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212"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9" w:lineRule="exact"/>
        <w:rPr>
          <w:sz w:val="24"/>
          <w:szCs w:val="24"/>
          <w:color w:val="auto"/>
        </w:rPr>
      </w:pPr>
    </w:p>
    <w:p>
      <w:pPr>
        <w:ind w:left="960" w:right="2359" w:hanging="953"/>
        <w:spacing w:after="0" w:line="257" w:lineRule="auto"/>
        <w:tabs>
          <w:tab w:leader="none" w:pos="9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ectPr>
          <w:pgSz w:w="11900" w:h="16838" w:orient="portrait"/>
          <w:cols w:equalWidth="0" w:num="1">
            <w:col w:w="10219"/>
          </w:cols>
          <w:pgMar w:left="240" w:top="249" w:right="1440" w:bottom="1151" w:gutter="0" w:footer="0" w:header="0"/>
        </w:sectPr>
      </w:pP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quarterly period ended</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February 24, 2001</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3140" w:space="120"/>
            <w:col w:w="6959"/>
          </w:cols>
          <w:pgMar w:left="240" w:top="249" w:right="1440" w:bottom="1151" w:gutter="0" w:footer="0" w:header="0"/>
          <w:type w:val="continuous"/>
        </w:sectPr>
      </w:pPr>
    </w:p>
    <w:p>
      <w:pPr>
        <w:spacing w:after="0" w:line="10" w:lineRule="exact"/>
        <w:rPr>
          <w:sz w:val="24"/>
          <w:szCs w:val="24"/>
          <w:color w:val="auto"/>
        </w:rPr>
      </w:pPr>
    </w:p>
    <w:p>
      <w:pPr>
        <w:ind w:left="410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249" w:right="1440" w:bottom="1151" w:gutter="0" w:footer="0" w:header="0"/>
          <w:type w:val="continuous"/>
        </w:sectPr>
      </w:pPr>
    </w:p>
    <w:p>
      <w:pPr>
        <w:spacing w:after="0" w:line="222" w:lineRule="exact"/>
        <w:rPr>
          <w:sz w:val="24"/>
          <w:szCs w:val="24"/>
          <w:color w:val="auto"/>
        </w:rPr>
      </w:pPr>
    </w:p>
    <w:p>
      <w:pPr>
        <w:ind w:left="960" w:right="2259" w:hanging="953"/>
        <w:spacing w:after="0" w:line="257" w:lineRule="auto"/>
        <w:tabs>
          <w:tab w:leader="none" w:pos="22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 OF THE SECURITIES EXCHANGE ACT OF 1934</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transition period from _______________________ to ______________________</w:t>
      </w:r>
    </w:p>
    <w:p>
      <w:pPr>
        <w:spacing w:after="0" w:line="210" w:lineRule="exact"/>
        <w:rPr>
          <w:sz w:val="24"/>
          <w:szCs w:val="24"/>
          <w:color w:val="auto"/>
        </w:rPr>
      </w:pPr>
    </w:p>
    <w:p>
      <w:pPr>
        <w:spacing w:after="0"/>
        <w:tabs>
          <w:tab w:leader="none" w:pos="2500" w:val="left"/>
        </w:tabs>
        <w:rPr>
          <w:sz w:val="20"/>
          <w:szCs w:val="20"/>
          <w:color w:val="auto"/>
        </w:rPr>
      </w:pPr>
      <w:r>
        <w:rPr>
          <w:rFonts w:ascii="Courier New" w:cs="Courier New" w:eastAsia="Courier New" w:hAnsi="Courier New"/>
          <w:sz w:val="17"/>
          <w:szCs w:val="17"/>
          <w:color w:val="auto"/>
        </w:rPr>
        <w:t>Commission file number</w:t>
        <w:tab/>
        <w:t>1-6403</w:t>
      </w:r>
    </w:p>
    <w:p>
      <w:pPr>
        <w:spacing w:after="0" w:line="9"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12"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WINNEBAGO INDUSTRIES, INC.</w:t>
      </w:r>
    </w:p>
    <w:p>
      <w:pPr>
        <w:spacing w:after="0" w:line="210"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3780" w:type="dxa"/>
            <w:vAlign w:val="bottom"/>
            <w:gridSpan w:val="2"/>
          </w:tcPr>
          <w:p>
            <w:pPr>
              <w:ind w:left="1060"/>
              <w:spacing w:after="0"/>
              <w:rPr>
                <w:sz w:val="20"/>
                <w:szCs w:val="20"/>
                <w:color w:val="auto"/>
              </w:rPr>
            </w:pPr>
            <w:r>
              <w:rPr>
                <w:rFonts w:ascii="Courier New" w:cs="Courier New" w:eastAsia="Courier New" w:hAnsi="Courier New"/>
                <w:sz w:val="17"/>
                <w:szCs w:val="17"/>
                <w:color w:val="auto"/>
              </w:rPr>
              <w:t>IOWA</w:t>
            </w:r>
          </w:p>
        </w:tc>
        <w:tc>
          <w:tcPr>
            <w:tcW w:w="1100" w:type="dxa"/>
            <w:vAlign w:val="bottom"/>
          </w:tcPr>
          <w:p>
            <w:pPr>
              <w:spacing w:after="0"/>
              <w:rPr>
                <w:sz w:val="17"/>
                <w:szCs w:val="17"/>
                <w:color w:val="auto"/>
              </w:rPr>
            </w:pPr>
          </w:p>
        </w:tc>
        <w:tc>
          <w:tcPr>
            <w:tcW w:w="3500" w:type="dxa"/>
            <w:vAlign w:val="bottom"/>
          </w:tcPr>
          <w:p>
            <w:pPr>
              <w:jc w:val="center"/>
              <w:ind w:left="1333"/>
              <w:spacing w:after="0"/>
              <w:rPr>
                <w:sz w:val="20"/>
                <w:szCs w:val="20"/>
                <w:color w:val="auto"/>
              </w:rPr>
            </w:pPr>
            <w:r>
              <w:rPr>
                <w:rFonts w:ascii="Courier New" w:cs="Courier New" w:eastAsia="Courier New" w:hAnsi="Courier New"/>
                <w:sz w:val="17"/>
                <w:szCs w:val="17"/>
                <w:color w:val="auto"/>
              </w:rPr>
              <w:t>42-0803978</w:t>
            </w:r>
          </w:p>
        </w:tc>
      </w:tr>
      <w:tr>
        <w:trPr>
          <w:trHeight w:val="201"/>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(State or other jurisdiction of</w:t>
            </w:r>
          </w:p>
        </w:tc>
        <w:tc>
          <w:tcPr>
            <w:tcW w:w="1100" w:type="dxa"/>
            <w:vAlign w:val="bottom"/>
          </w:tcPr>
          <w:p>
            <w:pPr>
              <w:spacing w:after="0"/>
              <w:rPr>
                <w:sz w:val="17"/>
                <w:szCs w:val="17"/>
                <w:color w:val="auto"/>
              </w:rPr>
            </w:pPr>
          </w:p>
        </w:tc>
        <w:tc>
          <w:tcPr>
            <w:tcW w:w="3500" w:type="dxa"/>
            <w:vAlign w:val="bottom"/>
          </w:tcPr>
          <w:p>
            <w:pPr>
              <w:jc w:val="center"/>
              <w:ind w:left="1333"/>
              <w:spacing w:after="0"/>
              <w:rPr>
                <w:sz w:val="20"/>
                <w:szCs w:val="20"/>
                <w:color w:val="auto"/>
              </w:rPr>
            </w:pPr>
            <w:r>
              <w:rPr>
                <w:rFonts w:ascii="Courier New" w:cs="Courier New" w:eastAsia="Courier New" w:hAnsi="Courier New"/>
                <w:sz w:val="17"/>
                <w:szCs w:val="17"/>
                <w:color w:val="auto"/>
              </w:rPr>
              <w:t>(I.R.S. Employer</w:t>
            </w:r>
          </w:p>
        </w:tc>
      </w:tr>
      <w:tr>
        <w:trPr>
          <w:trHeight w:val="201"/>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incorporation or organization)</w:t>
            </w:r>
          </w:p>
        </w:tc>
        <w:tc>
          <w:tcPr>
            <w:tcW w:w="1100" w:type="dxa"/>
            <w:vAlign w:val="bottom"/>
          </w:tcPr>
          <w:p>
            <w:pPr>
              <w:spacing w:after="0"/>
              <w:rPr>
                <w:sz w:val="17"/>
                <w:szCs w:val="17"/>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7"/>
                <w:szCs w:val="17"/>
                <w:color w:val="auto"/>
              </w:rPr>
              <w:t>Identification No.)</w:t>
            </w:r>
          </w:p>
        </w:tc>
      </w:tr>
      <w:tr>
        <w:trPr>
          <w:trHeight w:val="403"/>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P. O. Box 152, Forest City, Iowa</w:t>
            </w:r>
          </w:p>
        </w:tc>
        <w:tc>
          <w:tcPr>
            <w:tcW w:w="1100" w:type="dxa"/>
            <w:vAlign w:val="bottom"/>
          </w:tcPr>
          <w:p>
            <w:pPr>
              <w:spacing w:after="0"/>
              <w:rPr>
                <w:sz w:val="24"/>
                <w:szCs w:val="24"/>
                <w:color w:val="auto"/>
              </w:rPr>
            </w:pPr>
          </w:p>
        </w:tc>
        <w:tc>
          <w:tcPr>
            <w:tcW w:w="35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50436</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(Address of</w:t>
            </w:r>
          </w:p>
        </w:tc>
        <w:tc>
          <w:tcPr>
            <w:tcW w:w="36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principal executive offices)</w:t>
            </w:r>
          </w:p>
        </w:tc>
        <w:tc>
          <w:tcPr>
            <w:tcW w:w="3500" w:type="dxa"/>
            <w:vAlign w:val="bottom"/>
          </w:tcPr>
          <w:p>
            <w:pPr>
              <w:jc w:val="center"/>
              <w:ind w:left="1333"/>
              <w:spacing w:after="0"/>
              <w:rPr>
                <w:sz w:val="20"/>
                <w:szCs w:val="20"/>
                <w:color w:val="auto"/>
              </w:rPr>
            </w:pPr>
            <w:r>
              <w:rPr>
                <w:rFonts w:ascii="Courier New" w:cs="Courier New" w:eastAsia="Courier New" w:hAnsi="Courier New"/>
                <w:sz w:val="17"/>
                <w:szCs w:val="17"/>
                <w:color w:val="auto"/>
              </w:rPr>
              <w:t>(Zip Code)</w:t>
            </w:r>
          </w:p>
        </w:tc>
      </w:tr>
      <w:tr>
        <w:trPr>
          <w:trHeight w:val="403"/>
        </w:trPr>
        <w:tc>
          <w:tcPr>
            <w:tcW w:w="8380" w:type="dxa"/>
            <w:vAlign w:val="bottom"/>
            <w:gridSpan w:val="4"/>
          </w:tcPr>
          <w:p>
            <w:pPr>
              <w:spacing w:after="0"/>
              <w:rPr>
                <w:sz w:val="20"/>
                <w:szCs w:val="20"/>
                <w:color w:val="auto"/>
              </w:rPr>
            </w:pPr>
            <w:r>
              <w:rPr>
                <w:rFonts w:ascii="Courier New" w:cs="Courier New" w:eastAsia="Courier New" w:hAnsi="Courier New"/>
                <w:sz w:val="17"/>
                <w:szCs w:val="17"/>
                <w:color w:val="auto"/>
              </w:rPr>
              <w:t>Registrant's telephone number, including area code:  (641) 585-3535</w:t>
            </w:r>
          </w:p>
        </w:tc>
      </w:tr>
      <w:tr>
        <w:trPr>
          <w:trHeight w:val="403"/>
        </w:trPr>
        <w:tc>
          <w:tcPr>
            <w:tcW w:w="1220" w:type="dxa"/>
            <w:vAlign w:val="bottom"/>
          </w:tcPr>
          <w:p>
            <w:pPr>
              <w:spacing w:after="0"/>
              <w:rPr>
                <w:sz w:val="20"/>
                <w:szCs w:val="20"/>
                <w:color w:val="auto"/>
              </w:rPr>
            </w:pPr>
            <w:r>
              <w:rPr>
                <w:rFonts w:ascii="Courier New" w:cs="Courier New" w:eastAsia="Courier New" w:hAnsi="Courier New"/>
                <w:sz w:val="17"/>
                <w:szCs w:val="17"/>
                <w:color w:val="auto"/>
              </w:rPr>
              <w:t>Indicate by</w:t>
            </w:r>
          </w:p>
        </w:tc>
        <w:tc>
          <w:tcPr>
            <w:tcW w:w="71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check mark whether the registrant (1) has filed all reports required</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to be filed</w:t>
            </w:r>
          </w:p>
        </w:tc>
        <w:tc>
          <w:tcPr>
            <w:tcW w:w="71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by Section 13 or 15(d) of the Securities Exchange Act of 1934 during</w:t>
            </w:r>
          </w:p>
        </w:tc>
      </w:tr>
      <w:tr>
        <w:trPr>
          <w:trHeight w:val="201"/>
        </w:trPr>
        <w:tc>
          <w:tcPr>
            <w:tcW w:w="8380" w:type="dxa"/>
            <w:vAlign w:val="bottom"/>
            <w:gridSpan w:val="4"/>
          </w:tcPr>
          <w:p>
            <w:pPr>
              <w:spacing w:after="0"/>
              <w:rPr>
                <w:sz w:val="20"/>
                <w:szCs w:val="20"/>
                <w:color w:val="auto"/>
              </w:rPr>
            </w:pPr>
            <w:r>
              <w:rPr>
                <w:rFonts w:ascii="Courier New" w:cs="Courier New" w:eastAsia="Courier New" w:hAnsi="Courier New"/>
                <w:sz w:val="17"/>
                <w:szCs w:val="17"/>
                <w:color w:val="auto"/>
              </w:rPr>
              <w:t>the preceding 12 months (or for such shorter period that the registrant was</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required to</w:t>
            </w:r>
          </w:p>
        </w:tc>
        <w:tc>
          <w:tcPr>
            <w:tcW w:w="71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file such reports), and (2) has been subject to such filing</w:t>
            </w:r>
          </w:p>
        </w:tc>
      </w:tr>
      <w:tr>
        <w:trPr>
          <w:trHeight w:val="201"/>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requirements for the past 90 days.</w:t>
            </w: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Yes _X_</w:t>
            </w:r>
          </w:p>
        </w:tc>
        <w:tc>
          <w:tcPr>
            <w:tcW w:w="3500" w:type="dxa"/>
            <w:vAlign w:val="bottom"/>
          </w:tcPr>
          <w:p>
            <w:pPr>
              <w:jc w:val="right"/>
              <w:ind w:right="2533"/>
              <w:spacing w:after="0"/>
              <w:rPr>
                <w:sz w:val="20"/>
                <w:szCs w:val="20"/>
                <w:color w:val="auto"/>
              </w:rPr>
            </w:pPr>
            <w:r>
              <w:rPr>
                <w:rFonts w:ascii="Courier New" w:cs="Courier New" w:eastAsia="Courier New" w:hAnsi="Courier New"/>
                <w:sz w:val="17"/>
                <w:szCs w:val="17"/>
                <w:color w:val="auto"/>
              </w:rPr>
              <w:t>No ___.</w:t>
            </w:r>
          </w:p>
        </w:tc>
      </w:tr>
    </w:tbl>
    <w:p>
      <w:pPr>
        <w:spacing w:after="0" w:line="205" w:lineRule="exact"/>
        <w:rPr>
          <w:sz w:val="24"/>
          <w:szCs w:val="24"/>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There were 20,525,160 shares of $.50 par value common stock outstanding on April 6,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7180" w:type="dxa"/>
            <w:vAlign w:val="bottom"/>
          </w:tcPr>
          <w:p>
            <w:pPr>
              <w:ind w:left="2000"/>
              <w:spacing w:after="0"/>
              <w:rPr>
                <w:sz w:val="20"/>
                <w:szCs w:val="20"/>
                <w:color w:val="auto"/>
              </w:rPr>
            </w:pPr>
            <w:r>
              <w:rPr>
                <w:rFonts w:ascii="Courier New" w:cs="Courier New" w:eastAsia="Courier New" w:hAnsi="Courier New"/>
                <w:sz w:val="17"/>
                <w:szCs w:val="17"/>
                <w:color w:val="auto"/>
              </w:rPr>
              <w:t>WINNEBAGO INDUSTRIES, INC. AND SUBSIDIARIES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03"/>
        </w:trPr>
        <w:tc>
          <w:tcPr>
            <w:tcW w:w="7180" w:type="dxa"/>
            <w:vAlign w:val="bottom"/>
          </w:tcPr>
          <w:p>
            <w:pPr>
              <w:ind w:left="2740"/>
              <w:spacing w:after="0"/>
              <w:rPr>
                <w:sz w:val="20"/>
                <w:szCs w:val="20"/>
                <w:color w:val="auto"/>
              </w:rPr>
            </w:pPr>
            <w:r>
              <w:rPr>
                <w:rFonts w:ascii="Courier New" w:cs="Courier New" w:eastAsia="Courier New" w:hAnsi="Courier New"/>
                <w:sz w:val="17"/>
                <w:szCs w:val="17"/>
                <w:color w:val="auto"/>
              </w:rPr>
              <w:t>INDEX TO REPORT ON FORM 10-Q</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3"/>
        </w:trPr>
        <w:tc>
          <w:tcPr>
            <w:tcW w:w="7180" w:type="dxa"/>
            <w:vAlign w:val="bottom"/>
          </w:tcPr>
          <w:p>
            <w:pPr>
              <w:spacing w:after="0"/>
              <w:rPr>
                <w:sz w:val="24"/>
                <w:szCs w:val="24"/>
                <w:color w:val="auto"/>
              </w:rPr>
            </w:pPr>
          </w:p>
        </w:tc>
        <w:tc>
          <w:tcPr>
            <w:tcW w:w="120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Page Number</w:t>
            </w:r>
          </w:p>
        </w:tc>
      </w:tr>
      <w:tr>
        <w:trPr>
          <w:trHeight w:val="201"/>
        </w:trPr>
        <w:tc>
          <w:tcPr>
            <w:tcW w:w="7180" w:type="dxa"/>
            <w:vAlign w:val="bottom"/>
          </w:tcPr>
          <w:p>
            <w:pPr>
              <w:spacing w:after="0"/>
              <w:rPr>
                <w:sz w:val="17"/>
                <w:szCs w:val="17"/>
                <w:color w:val="auto"/>
              </w:rPr>
            </w:pPr>
          </w:p>
        </w:tc>
        <w:tc>
          <w:tcPr>
            <w:tcW w:w="120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PART I.  FINANCIAL INFORMATION:</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03"/>
        </w:trPr>
        <w:tc>
          <w:tcPr>
            <w:tcW w:w="7180" w:type="dxa"/>
            <w:vAlign w:val="bottom"/>
          </w:tcPr>
          <w:p>
            <w:pPr>
              <w:ind w:left="960"/>
              <w:spacing w:after="0"/>
              <w:rPr>
                <w:sz w:val="20"/>
                <w:szCs w:val="20"/>
                <w:color w:val="auto"/>
              </w:rPr>
            </w:pPr>
            <w:r>
              <w:rPr>
                <w:rFonts w:ascii="Courier New" w:cs="Courier New" w:eastAsia="Courier New" w:hAnsi="Courier New"/>
                <w:sz w:val="17"/>
                <w:szCs w:val="17"/>
                <w:color w:val="auto"/>
              </w:rPr>
              <w:t>Consolidated Balance Sheets (Interim period information</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1"/>
        </w:trPr>
        <w:tc>
          <w:tcPr>
            <w:tcW w:w="7180" w:type="dxa"/>
            <w:vAlign w:val="bottom"/>
          </w:tcPr>
          <w:p>
            <w:pPr>
              <w:ind w:left="1160"/>
              <w:spacing w:after="0"/>
              <w:rPr>
                <w:sz w:val="20"/>
                <w:szCs w:val="20"/>
                <w:color w:val="auto"/>
              </w:rPr>
            </w:pPr>
            <w:r>
              <w:rPr>
                <w:rFonts w:ascii="Courier New" w:cs="Courier New" w:eastAsia="Courier New" w:hAnsi="Courier New"/>
                <w:sz w:val="17"/>
                <w:szCs w:val="17"/>
                <w:color w:val="auto"/>
              </w:rPr>
              <w:t>unaudited)</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&amp;</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2</w:t>
            </w:r>
          </w:p>
        </w:tc>
      </w:tr>
      <w:tr>
        <w:trPr>
          <w:trHeight w:val="403"/>
        </w:trPr>
        <w:tc>
          <w:tcPr>
            <w:tcW w:w="7180" w:type="dxa"/>
            <w:vAlign w:val="bottom"/>
          </w:tcPr>
          <w:p>
            <w:pPr>
              <w:ind w:left="960"/>
              <w:spacing w:after="0"/>
              <w:rPr>
                <w:sz w:val="20"/>
                <w:szCs w:val="20"/>
                <w:color w:val="auto"/>
              </w:rPr>
            </w:pPr>
            <w:r>
              <w:rPr>
                <w:rFonts w:ascii="Courier New" w:cs="Courier New" w:eastAsia="Courier New" w:hAnsi="Courier New"/>
                <w:sz w:val="17"/>
                <w:szCs w:val="17"/>
                <w:color w:val="auto"/>
              </w:rPr>
              <w:t>Unaudited Consolidated Statements of Income</w:t>
            </w:r>
          </w:p>
        </w:tc>
        <w:tc>
          <w:tcPr>
            <w:tcW w:w="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560" w:type="dxa"/>
            <w:vAlign w:val="bottom"/>
          </w:tcPr>
          <w:p>
            <w:pPr>
              <w:spacing w:after="0"/>
              <w:rPr>
                <w:sz w:val="24"/>
                <w:szCs w:val="24"/>
                <w:color w:val="auto"/>
              </w:rPr>
            </w:pPr>
          </w:p>
        </w:tc>
      </w:tr>
      <w:tr>
        <w:trPr>
          <w:trHeight w:val="403"/>
        </w:trPr>
        <w:tc>
          <w:tcPr>
            <w:tcW w:w="7180" w:type="dxa"/>
            <w:vAlign w:val="bottom"/>
          </w:tcPr>
          <w:p>
            <w:pPr>
              <w:ind w:left="960"/>
              <w:spacing w:after="0"/>
              <w:rPr>
                <w:sz w:val="20"/>
                <w:szCs w:val="20"/>
                <w:color w:val="auto"/>
              </w:rPr>
            </w:pPr>
            <w:r>
              <w:rPr>
                <w:rFonts w:ascii="Courier New" w:cs="Courier New" w:eastAsia="Courier New" w:hAnsi="Courier New"/>
                <w:sz w:val="17"/>
                <w:szCs w:val="17"/>
                <w:color w:val="auto"/>
              </w:rPr>
              <w:t>Unaudited Consolidated Condensed Statements of Cash Flows</w:t>
            </w:r>
          </w:p>
        </w:tc>
        <w:tc>
          <w:tcPr>
            <w:tcW w:w="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560" w:type="dxa"/>
            <w:vAlign w:val="bottom"/>
          </w:tcPr>
          <w:p>
            <w:pPr>
              <w:spacing w:after="0"/>
              <w:rPr>
                <w:sz w:val="24"/>
                <w:szCs w:val="24"/>
                <w:color w:val="auto"/>
              </w:rPr>
            </w:pPr>
          </w:p>
        </w:tc>
      </w:tr>
      <w:tr>
        <w:trPr>
          <w:trHeight w:val="403"/>
        </w:trPr>
        <w:tc>
          <w:tcPr>
            <w:tcW w:w="7180" w:type="dxa"/>
            <w:vAlign w:val="bottom"/>
          </w:tcPr>
          <w:p>
            <w:pPr>
              <w:ind w:left="960"/>
              <w:spacing w:after="0"/>
              <w:rPr>
                <w:sz w:val="20"/>
                <w:szCs w:val="20"/>
                <w:color w:val="auto"/>
              </w:rPr>
            </w:pPr>
            <w:r>
              <w:rPr>
                <w:rFonts w:ascii="Courier New" w:cs="Courier New" w:eastAsia="Courier New" w:hAnsi="Courier New"/>
                <w:sz w:val="17"/>
                <w:szCs w:val="17"/>
                <w:color w:val="auto"/>
              </w:rPr>
              <w:t>Unaudited Condensed Notes to Consolidated Financial</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1"/>
        </w:trPr>
        <w:tc>
          <w:tcPr>
            <w:tcW w:w="7180" w:type="dxa"/>
            <w:vAlign w:val="bottom"/>
          </w:tcPr>
          <w:p>
            <w:pPr>
              <w:ind w:left="1160"/>
              <w:spacing w:after="0"/>
              <w:rPr>
                <w:sz w:val="20"/>
                <w:szCs w:val="20"/>
                <w:color w:val="auto"/>
              </w:rPr>
            </w:pPr>
            <w:r>
              <w:rPr>
                <w:rFonts w:ascii="Courier New" w:cs="Courier New" w:eastAsia="Courier New" w:hAnsi="Courier New"/>
                <w:sz w:val="17"/>
                <w:szCs w:val="17"/>
                <w:color w:val="auto"/>
              </w:rPr>
              <w:t>Statements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7</w:t>
            </w:r>
          </w:p>
        </w:tc>
      </w:tr>
      <w:tr>
        <w:trPr>
          <w:trHeight w:val="403"/>
        </w:trPr>
        <w:tc>
          <w:tcPr>
            <w:tcW w:w="7180" w:type="dxa"/>
            <w:vAlign w:val="bottom"/>
          </w:tcPr>
          <w:p>
            <w:pPr>
              <w:ind w:left="960"/>
              <w:spacing w:after="0"/>
              <w:rPr>
                <w:sz w:val="20"/>
                <w:szCs w:val="20"/>
                <w:color w:val="auto"/>
              </w:rPr>
            </w:pPr>
            <w:r>
              <w:rPr>
                <w:rFonts w:ascii="Courier New" w:cs="Courier New" w:eastAsia="Courier New" w:hAnsi="Courier New"/>
                <w:sz w:val="17"/>
                <w:szCs w:val="17"/>
                <w:color w:val="auto"/>
              </w:rPr>
              <w:t>Management's Discussion and Analysis of Financial Condition</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1"/>
        </w:trPr>
        <w:tc>
          <w:tcPr>
            <w:tcW w:w="7180" w:type="dxa"/>
            <w:vAlign w:val="bottom"/>
          </w:tcPr>
          <w:p>
            <w:pPr>
              <w:ind w:left="1160"/>
              <w:spacing w:after="0"/>
              <w:rPr>
                <w:sz w:val="20"/>
                <w:szCs w:val="20"/>
                <w:color w:val="auto"/>
              </w:rPr>
            </w:pPr>
            <w:r>
              <w:rPr>
                <w:rFonts w:ascii="Courier New" w:cs="Courier New" w:eastAsia="Courier New" w:hAnsi="Courier New"/>
                <w:sz w:val="17"/>
                <w:szCs w:val="17"/>
                <w:color w:val="auto"/>
              </w:rPr>
              <w:t>and Results of Operations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11</w:t>
            </w:r>
          </w:p>
        </w:tc>
      </w:tr>
      <w:tr>
        <w:trPr>
          <w:trHeight w:val="403"/>
        </w:trPr>
        <w:tc>
          <w:tcPr>
            <w:tcW w:w="7180" w:type="dxa"/>
            <w:vAlign w:val="bottom"/>
          </w:tcPr>
          <w:p>
            <w:pPr>
              <w:spacing w:after="0"/>
              <w:rPr>
                <w:sz w:val="20"/>
                <w:szCs w:val="20"/>
                <w:color w:val="auto"/>
              </w:rPr>
            </w:pPr>
            <w:r>
              <w:rPr>
                <w:rFonts w:ascii="Courier New" w:cs="Courier New" w:eastAsia="Courier New" w:hAnsi="Courier New"/>
                <w:sz w:val="17"/>
                <w:szCs w:val="17"/>
                <w:color w:val="auto"/>
              </w:rPr>
              <w:t>PART II. OTHER INFORMATION</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14</w:t>
            </w:r>
          </w:p>
        </w:tc>
      </w:tr>
    </w:tbl>
    <w:p>
      <w:pPr>
        <w:sectPr>
          <w:pgSz w:w="11900" w:h="16838" w:orient="portrait"/>
          <w:cols w:equalWidth="0" w:num="1">
            <w:col w:w="10219"/>
          </w:cols>
          <w:pgMar w:left="240" w:top="249" w:right="1440" w:bottom="115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Dollars in thousands</w:t>
      </w:r>
    </w:p>
    <w:p>
      <w:pPr>
        <w:sectPr>
          <w:pgSz w:w="11900" w:h="16838" w:orient="portrait"/>
          <w:cols w:equalWidth="0" w:num="1">
            <w:col w:w="10219"/>
          </w:cols>
          <w:pgMar w:left="240" w:top="92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2400"/>
        <w:spacing w:after="0"/>
        <w:rPr>
          <w:sz w:val="20"/>
          <w:szCs w:val="20"/>
          <w:color w:val="auto"/>
        </w:rPr>
      </w:pPr>
      <w:r>
        <w:rPr>
          <w:rFonts w:ascii="Courier New" w:cs="Courier New" w:eastAsia="Courier New" w:hAnsi="Courier New"/>
          <w:sz w:val="17"/>
          <w:szCs w:val="17"/>
          <w:color w:val="auto"/>
        </w:rPr>
        <w:t>ASSETS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FEBRUARY 24,</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2001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AUGUST 26,</w:t>
      </w:r>
    </w:p>
    <w:p>
      <w:pPr>
        <w:spacing w:after="0" w:line="9"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2000</w:t>
      </w:r>
    </w:p>
    <w:p>
      <w:pPr>
        <w:spacing w:after="0" w:line="9" w:lineRule="exact"/>
        <w:rPr>
          <w:sz w:val="20"/>
          <w:szCs w:val="20"/>
          <w:color w:val="auto"/>
        </w:rPr>
      </w:pPr>
    </w:p>
    <w:p>
      <w:pPr>
        <w:sectPr>
          <w:pgSz w:w="11900" w:h="16838" w:orient="portrait"/>
          <w:cols w:equalWidth="0" w:num="3">
            <w:col w:w="4740" w:space="720"/>
            <w:col w:w="1260" w:space="200"/>
            <w:col w:w="3299"/>
          </w:cols>
          <w:pgMar w:left="240" w:top="921" w:right="1440" w:bottom="1440" w:gutter="0" w:footer="0" w:header="0"/>
          <w:type w:val="continuous"/>
        </w:sectPr>
      </w:pPr>
    </w:p>
    <w:p>
      <w:pPr>
        <w:ind w:left="220" w:hanging="213"/>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5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$ 58,034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$ 51,443</w:t>
            </w: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Receivables, less allowance for doubtful</w:t>
            </w: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5560" w:type="dxa"/>
            <w:vAlign w:val="bottom"/>
          </w:tcPr>
          <w:p>
            <w:pPr>
              <w:ind w:left="120"/>
              <w:spacing w:after="0"/>
              <w:rPr>
                <w:sz w:val="20"/>
                <w:szCs w:val="20"/>
                <w:color w:val="auto"/>
              </w:rPr>
            </w:pPr>
            <w:r>
              <w:rPr>
                <w:rFonts w:ascii="Courier New" w:cs="Courier New" w:eastAsia="Courier New" w:hAnsi="Courier New"/>
                <w:sz w:val="17"/>
                <w:szCs w:val="17"/>
                <w:color w:val="auto"/>
              </w:rPr>
              <w:t>accounts ($1,100 and $1,168, respectively)</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17,605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32,045</w:t>
            </w: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Dealer financing receivables, less allowance</w:t>
            </w: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5560" w:type="dxa"/>
            <w:vAlign w:val="bottom"/>
          </w:tcPr>
          <w:p>
            <w:pPr>
              <w:ind w:left="120"/>
              <w:spacing w:after="0"/>
              <w:rPr>
                <w:sz w:val="20"/>
                <w:szCs w:val="20"/>
                <w:color w:val="auto"/>
              </w:rPr>
            </w:pPr>
            <w:r>
              <w:rPr>
                <w:rFonts w:ascii="Courier New" w:cs="Courier New" w:eastAsia="Courier New" w:hAnsi="Courier New"/>
                <w:sz w:val="17"/>
                <w:szCs w:val="17"/>
                <w:color w:val="auto"/>
              </w:rPr>
              <w:t>for doubtful accounts ($33 and $27, respectively)</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37,867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32,696</w:t>
            </w: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89,160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85,707</w:t>
            </w: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Prepaid expenses</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4,201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3,952</w:t>
            </w: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7,675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7,675</w:t>
            </w:r>
          </w:p>
        </w:tc>
      </w:tr>
      <w:tr>
        <w:trPr>
          <w:trHeight w:val="201"/>
        </w:trPr>
        <w:tc>
          <w:tcPr>
            <w:tcW w:w="556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560" w:type="dxa"/>
            <w:vAlign w:val="bottom"/>
          </w:tcPr>
          <w:p>
            <w:pPr>
              <w:ind w:left="540"/>
              <w:spacing w:after="0"/>
              <w:rPr>
                <w:sz w:val="20"/>
                <w:szCs w:val="20"/>
                <w:color w:val="auto"/>
              </w:rPr>
            </w:pPr>
            <w:r>
              <w:rPr>
                <w:rFonts w:ascii="Courier New" w:cs="Courier New" w:eastAsia="Courier New" w:hAnsi="Courier New"/>
                <w:sz w:val="17"/>
                <w:szCs w:val="17"/>
                <w:color w:val="auto"/>
              </w:rPr>
              <w:t>Total current assets</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214,542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213,518</w:t>
            </w:r>
          </w:p>
        </w:tc>
      </w:tr>
      <w:tr>
        <w:trPr>
          <w:trHeight w:val="201"/>
        </w:trPr>
        <w:tc>
          <w:tcPr>
            <w:tcW w:w="556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560" w:type="dxa"/>
            <w:vAlign w:val="bottom"/>
          </w:tcPr>
          <w:p>
            <w:pPr>
              <w:spacing w:after="0"/>
              <w:rPr>
                <w:sz w:val="20"/>
                <w:szCs w:val="20"/>
                <w:color w:val="auto"/>
              </w:rPr>
            </w:pPr>
            <w:r>
              <w:rPr>
                <w:rFonts w:ascii="Courier New" w:cs="Courier New" w:eastAsia="Courier New" w:hAnsi="Courier New"/>
                <w:sz w:val="17"/>
                <w:szCs w:val="17"/>
                <w:color w:val="auto"/>
              </w:rPr>
              <w:t>PROPERTY AND EQUIPMENT, at cost</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1,138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1,138</w:t>
            </w: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45,920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45,219</w:t>
            </w: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Machinery and equipment</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81,067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78,099</w:t>
            </w: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Transportation equipment</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5,504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5,414</w:t>
            </w:r>
          </w:p>
        </w:tc>
      </w:tr>
      <w:tr>
        <w:trPr>
          <w:trHeight w:val="201"/>
        </w:trPr>
        <w:tc>
          <w:tcPr>
            <w:tcW w:w="556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56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133,629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129,870</w:t>
            </w:r>
          </w:p>
        </w:tc>
      </w:tr>
      <w:tr>
        <w:trPr>
          <w:trHeight w:val="201"/>
        </w:trPr>
        <w:tc>
          <w:tcPr>
            <w:tcW w:w="5560" w:type="dxa"/>
            <w:vAlign w:val="bottom"/>
          </w:tcPr>
          <w:p>
            <w:pPr>
              <w:ind w:left="540"/>
              <w:spacing w:after="0"/>
              <w:rPr>
                <w:sz w:val="20"/>
                <w:szCs w:val="20"/>
                <w:color w:val="auto"/>
              </w:rPr>
            </w:pPr>
            <w:r>
              <w:rPr>
                <w:rFonts w:ascii="Courier New" w:cs="Courier New" w:eastAsia="Courier New" w:hAnsi="Courier New"/>
                <w:sz w:val="17"/>
                <w:szCs w:val="17"/>
                <w:color w:val="auto"/>
              </w:rPr>
              <w:t>Less accumulated depreciation</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87,113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84,415</w:t>
            </w:r>
          </w:p>
        </w:tc>
      </w:tr>
      <w:tr>
        <w:trPr>
          <w:trHeight w:val="201"/>
        </w:trPr>
        <w:tc>
          <w:tcPr>
            <w:tcW w:w="556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560" w:type="dxa"/>
            <w:vAlign w:val="bottom"/>
          </w:tcPr>
          <w:p>
            <w:pPr>
              <w:ind w:left="540"/>
              <w:spacing w:after="0"/>
              <w:rPr>
                <w:sz w:val="20"/>
                <w:szCs w:val="20"/>
                <w:color w:val="auto"/>
              </w:rPr>
            </w:pPr>
            <w:r>
              <w:rPr>
                <w:rFonts w:ascii="Courier New" w:cs="Courier New" w:eastAsia="Courier New" w:hAnsi="Courier New"/>
                <w:sz w:val="17"/>
                <w:szCs w:val="17"/>
                <w:color w:val="auto"/>
              </w:rPr>
              <w:t>Total property and equipment, net</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46,516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45,455</w:t>
            </w:r>
          </w:p>
        </w:tc>
      </w:tr>
      <w:tr>
        <w:trPr>
          <w:trHeight w:val="201"/>
        </w:trPr>
        <w:tc>
          <w:tcPr>
            <w:tcW w:w="556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INVESTMENT IN LIFE INSURANCE</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21,636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21,028</w:t>
            </w:r>
          </w:p>
        </w:tc>
      </w:tr>
      <w:tr>
        <w:trPr>
          <w:trHeight w:val="201"/>
        </w:trPr>
        <w:tc>
          <w:tcPr>
            <w:tcW w:w="556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560" w:type="dxa"/>
            <w:vAlign w:val="bottom"/>
          </w:tcPr>
          <w:p>
            <w:pPr>
              <w:spacing w:after="0"/>
              <w:rPr>
                <w:sz w:val="20"/>
                <w:szCs w:val="20"/>
                <w:color w:val="auto"/>
              </w:rPr>
            </w:pPr>
            <w:r>
              <w:rPr>
                <w:rFonts w:ascii="Courier New" w:cs="Courier New" w:eastAsia="Courier New" w:hAnsi="Courier New"/>
                <w:sz w:val="17"/>
                <w:szCs w:val="17"/>
                <w:color w:val="auto"/>
              </w:rPr>
              <w:t>DEFERRED INCOME TAXES, NET</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20,635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20,635</w:t>
            </w:r>
          </w:p>
        </w:tc>
      </w:tr>
      <w:tr>
        <w:trPr>
          <w:trHeight w:val="201"/>
        </w:trPr>
        <w:tc>
          <w:tcPr>
            <w:tcW w:w="556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5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7,814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8,050</w:t>
            </w:r>
          </w:p>
        </w:tc>
      </w:tr>
      <w:tr>
        <w:trPr>
          <w:trHeight w:val="201"/>
        </w:trPr>
        <w:tc>
          <w:tcPr>
            <w:tcW w:w="556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56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$311,143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$308,686</w:t>
            </w:r>
          </w:p>
        </w:tc>
      </w:tr>
      <w:tr>
        <w:trPr>
          <w:trHeight w:val="201"/>
        </w:trPr>
        <w:tc>
          <w:tcPr>
            <w:tcW w:w="5560" w:type="dxa"/>
            <w:vAlign w:val="bottom"/>
          </w:tcPr>
          <w:p>
            <w:pPr>
              <w:spacing w:after="0"/>
              <w:rPr>
                <w:sz w:val="17"/>
                <w:szCs w:val="17"/>
                <w:color w:val="auto"/>
              </w:rPr>
            </w:pP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921" w:right="1440" w:bottom="1440" w:gutter="0" w:footer="0" w:header="0"/>
          <w:type w:val="continuous"/>
        </w:sectPr>
      </w:pPr>
    </w:p>
    <w:bookmarkStart w:id="2" w:name="page3"/>
    <w:bookmarkEnd w:id="2"/>
    <w:p>
      <w:pPr>
        <w:jc w:val="center"/>
        <w:ind w:right="1719"/>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3"/>
        </w:trPr>
        <w:tc>
          <w:tcPr>
            <w:tcW w:w="5760" w:type="dxa"/>
            <w:vAlign w:val="bottom"/>
          </w:tcPr>
          <w:p>
            <w:pPr>
              <w:spacing w:after="0"/>
              <w:rPr>
                <w:sz w:val="24"/>
                <w:szCs w:val="24"/>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FEBRUARY 24,</w:t>
            </w:r>
          </w:p>
        </w:tc>
        <w:tc>
          <w:tcPr>
            <w:tcW w:w="12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AUGUST 26,</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2001</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728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17"/>
                <w:szCs w:val="17"/>
                <w:color w:val="auto"/>
              </w:rPr>
            </w:pP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(Unaudited)</w:t>
            </w:r>
          </w:p>
        </w:tc>
        <w:tc>
          <w:tcPr>
            <w:tcW w:w="1220" w:type="dxa"/>
            <w:vAlign w:val="bottom"/>
          </w:tcPr>
          <w:p>
            <w:pPr>
              <w:spacing w:after="0"/>
              <w:rPr>
                <w:sz w:val="17"/>
                <w:szCs w:val="17"/>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Accounts payable, trade</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$ 21,478</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$ 26,212</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Income tax payable</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13,917</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10,381</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Accrued expenses:</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5760" w:type="dxa"/>
            <w:vAlign w:val="bottom"/>
          </w:tcPr>
          <w:p>
            <w:pPr>
              <w:ind w:left="540"/>
              <w:spacing w:after="0"/>
              <w:rPr>
                <w:sz w:val="20"/>
                <w:szCs w:val="20"/>
                <w:color w:val="auto"/>
              </w:rPr>
            </w:pPr>
            <w:r>
              <w:rPr>
                <w:rFonts w:ascii="Courier New" w:cs="Courier New" w:eastAsia="Courier New" w:hAnsi="Courier New"/>
                <w:sz w:val="17"/>
                <w:szCs w:val="17"/>
                <w:color w:val="auto"/>
              </w:rPr>
              <w:t>Insurance</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5,109</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5,384</w:t>
            </w:r>
          </w:p>
        </w:tc>
      </w:tr>
      <w:tr>
        <w:trPr>
          <w:trHeight w:val="201"/>
        </w:trPr>
        <w:tc>
          <w:tcPr>
            <w:tcW w:w="5760" w:type="dxa"/>
            <w:vAlign w:val="bottom"/>
          </w:tcPr>
          <w:p>
            <w:pPr>
              <w:ind w:left="540"/>
              <w:spacing w:after="0"/>
              <w:rPr>
                <w:sz w:val="20"/>
                <w:szCs w:val="20"/>
                <w:color w:val="auto"/>
              </w:rPr>
            </w:pPr>
            <w:r>
              <w:rPr>
                <w:rFonts w:ascii="Courier New" w:cs="Courier New" w:eastAsia="Courier New" w:hAnsi="Courier New"/>
                <w:sz w:val="17"/>
                <w:szCs w:val="17"/>
                <w:color w:val="auto"/>
              </w:rPr>
              <w:t>Product warranties</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7,230</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8,114</w:t>
            </w:r>
          </w:p>
        </w:tc>
      </w:tr>
      <w:tr>
        <w:trPr>
          <w:trHeight w:val="201"/>
        </w:trPr>
        <w:tc>
          <w:tcPr>
            <w:tcW w:w="5760" w:type="dxa"/>
            <w:vAlign w:val="bottom"/>
          </w:tcPr>
          <w:p>
            <w:pPr>
              <w:ind w:left="540"/>
              <w:spacing w:after="0"/>
              <w:rPr>
                <w:sz w:val="20"/>
                <w:szCs w:val="20"/>
                <w:color w:val="auto"/>
              </w:rPr>
            </w:pPr>
            <w:r>
              <w:rPr>
                <w:rFonts w:ascii="Courier New" w:cs="Courier New" w:eastAsia="Courier New" w:hAnsi="Courier New"/>
                <w:sz w:val="17"/>
                <w:szCs w:val="17"/>
                <w:color w:val="auto"/>
              </w:rPr>
              <w:t>Accrued compensation</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9,958</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13,924</w:t>
            </w:r>
          </w:p>
        </w:tc>
      </w:tr>
      <w:tr>
        <w:trPr>
          <w:trHeight w:val="201"/>
        </w:trPr>
        <w:tc>
          <w:tcPr>
            <w:tcW w:w="5760" w:type="dxa"/>
            <w:vAlign w:val="bottom"/>
          </w:tcPr>
          <w:p>
            <w:pPr>
              <w:ind w:left="540"/>
              <w:spacing w:after="0"/>
              <w:rPr>
                <w:sz w:val="20"/>
                <w:szCs w:val="20"/>
                <w:color w:val="auto"/>
              </w:rPr>
            </w:pPr>
            <w:r>
              <w:rPr>
                <w:rFonts w:ascii="Courier New" w:cs="Courier New" w:eastAsia="Courier New" w:hAnsi="Courier New"/>
                <w:sz w:val="17"/>
                <w:szCs w:val="17"/>
                <w:color w:val="auto"/>
              </w:rPr>
              <w:t>Promotional</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6,354</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3,145</w:t>
            </w:r>
          </w:p>
        </w:tc>
      </w:tr>
      <w:tr>
        <w:trPr>
          <w:trHeight w:val="201"/>
        </w:trPr>
        <w:tc>
          <w:tcPr>
            <w:tcW w:w="5760" w:type="dxa"/>
            <w:vAlign w:val="bottom"/>
          </w:tcPr>
          <w:p>
            <w:pPr>
              <w:ind w:left="540"/>
              <w:spacing w:after="0"/>
              <w:rPr>
                <w:sz w:val="20"/>
                <w:szCs w:val="20"/>
                <w:color w:val="auto"/>
              </w:rPr>
            </w:pPr>
            <w:r>
              <w:rPr>
                <w:rFonts w:ascii="Courier New" w:cs="Courier New" w:eastAsia="Courier New" w:hAnsi="Courier New"/>
                <w:sz w:val="17"/>
                <w:szCs w:val="17"/>
                <w:color w:val="auto"/>
              </w:rPr>
              <w:t>Other</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3,855</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4,675</w:t>
            </w:r>
          </w:p>
        </w:tc>
      </w:tr>
      <w:tr>
        <w:trPr>
          <w:trHeight w:val="201"/>
        </w:trPr>
        <w:tc>
          <w:tcPr>
            <w:tcW w:w="57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ind w:left="840"/>
              <w:spacing w:after="0"/>
              <w:rPr>
                <w:sz w:val="20"/>
                <w:szCs w:val="20"/>
                <w:color w:val="auto"/>
              </w:rPr>
            </w:pPr>
            <w:r>
              <w:rPr>
                <w:rFonts w:ascii="Courier New" w:cs="Courier New" w:eastAsia="Courier New" w:hAnsi="Courier New"/>
                <w:sz w:val="17"/>
                <w:szCs w:val="17"/>
                <w:color w:val="auto"/>
              </w:rPr>
              <w:t>Total current liabilities</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67,901</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71,835</w:t>
            </w:r>
          </w:p>
        </w:tc>
      </w:tr>
      <w:tr>
        <w:trPr>
          <w:trHeight w:val="201"/>
        </w:trPr>
        <w:tc>
          <w:tcPr>
            <w:tcW w:w="57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POSTRETIREMENT HEALTH CARE AND DEFERRED</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63,610</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61,942</w:t>
            </w:r>
          </w:p>
        </w:tc>
      </w:tr>
      <w:tr>
        <w:trPr>
          <w:trHeight w:val="201"/>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COMPENSATION BENEFITS</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Capital stock, common, par value $.50; authorized</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60,000,000 shares:  issued 25,882,000 and 25,878,000</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shares, respectively</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12,941</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12,939</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Additional paid-in capital</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21,822</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21,994</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Reinvested earnings</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208,225</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195,556</w:t>
            </w:r>
          </w:p>
        </w:tc>
      </w:tr>
      <w:tr>
        <w:trPr>
          <w:trHeight w:val="201"/>
        </w:trPr>
        <w:tc>
          <w:tcPr>
            <w:tcW w:w="57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242,988</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230,489</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Less treasury stock, at cost</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63,356</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55,580</w:t>
            </w:r>
          </w:p>
        </w:tc>
      </w:tr>
      <w:tr>
        <w:trPr>
          <w:trHeight w:val="201"/>
        </w:trPr>
        <w:tc>
          <w:tcPr>
            <w:tcW w:w="57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179,632</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174,909</w:t>
            </w:r>
          </w:p>
        </w:tc>
      </w:tr>
      <w:tr>
        <w:trPr>
          <w:trHeight w:val="201"/>
        </w:trPr>
        <w:tc>
          <w:tcPr>
            <w:tcW w:w="57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$311,143</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$308,686</w:t>
            </w:r>
          </w:p>
        </w:tc>
      </w:tr>
      <w:tr>
        <w:trPr>
          <w:trHeight w:val="201"/>
        </w:trPr>
        <w:tc>
          <w:tcPr>
            <w:tcW w:w="57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921" w:right="1440" w:bottom="1440" w:gutter="0" w:footer="0" w:header="0"/>
        </w:sectPr>
      </w:pPr>
    </w:p>
    <w:bookmarkStart w:id="3" w:name="page4"/>
    <w:bookmarkEnd w:id="3"/>
    <w:p>
      <w:pPr>
        <w:jc w:val="center"/>
        <w:ind w:right="2620"/>
        <w:spacing w:after="0" w:line="254" w:lineRule="auto"/>
        <w:rPr>
          <w:sz w:val="20"/>
          <w:szCs w:val="20"/>
          <w:color w:val="auto"/>
        </w:rPr>
      </w:pPr>
      <w:r>
        <w:rPr>
          <w:rFonts w:ascii="Courier New" w:cs="Courier New" w:eastAsia="Courier New" w:hAnsi="Courier New"/>
          <w:sz w:val="17"/>
          <w:szCs w:val="17"/>
          <w:color w:val="auto"/>
        </w:rPr>
        <w:t>WINNEBAGO INDUSTRIES, INC. AND SUBSIDIARIES UNAUDITED CONSOLIDATED STATEMENTS OF INCOME ================================================================================</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THIRTEEN WEEKS ENDED</w:t>
            </w:r>
          </w:p>
        </w:tc>
        <w:tc>
          <w:tcPr>
            <w:tcW w:w="320" w:type="dxa"/>
            <w:vAlign w:val="bottom"/>
          </w:tcPr>
          <w:p>
            <w:pPr>
              <w:spacing w:after="0"/>
              <w:rPr>
                <w:sz w:val="17"/>
                <w:szCs w:val="17"/>
                <w:color w:val="auto"/>
              </w:rPr>
            </w:pPr>
          </w:p>
        </w:tc>
        <w:tc>
          <w:tcPr>
            <w:tcW w:w="250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TWENTY-SIX WEEKS ENDED</w:t>
            </w:r>
          </w:p>
        </w:tc>
      </w:tr>
      <w:tr>
        <w:trPr>
          <w:trHeight w:val="201"/>
        </w:trPr>
        <w:tc>
          <w:tcPr>
            <w:tcW w:w="5400" w:type="dxa"/>
            <w:vAlign w:val="bottom"/>
          </w:tcPr>
          <w:p>
            <w:pPr>
              <w:spacing w:after="0"/>
              <w:rPr>
                <w:sz w:val="17"/>
                <w:szCs w:val="17"/>
                <w:color w:val="auto"/>
              </w:rPr>
            </w:pPr>
          </w:p>
        </w:tc>
        <w:tc>
          <w:tcPr>
            <w:tcW w:w="560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5400" w:type="dxa"/>
            <w:vAlign w:val="bottom"/>
          </w:tcPr>
          <w:p>
            <w:pPr>
              <w:spacing w:after="0"/>
              <w:rPr>
                <w:sz w:val="17"/>
                <w:szCs w:val="17"/>
                <w:color w:val="auto"/>
              </w:rPr>
            </w:pPr>
          </w:p>
        </w:tc>
        <w:tc>
          <w:tcPr>
            <w:tcW w:w="424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February 24, February 26, February 24,</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February 26,</w:t>
            </w:r>
          </w:p>
        </w:tc>
      </w:tr>
      <w:tr>
        <w:trPr>
          <w:trHeight w:val="201"/>
        </w:trPr>
        <w:tc>
          <w:tcPr>
            <w:tcW w:w="5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2001</w:t>
            </w:r>
          </w:p>
        </w:tc>
        <w:tc>
          <w:tcPr>
            <w:tcW w:w="360" w:type="dxa"/>
            <w:vAlign w:val="bottom"/>
          </w:tcPr>
          <w:p>
            <w:pPr>
              <w:spacing w:after="0"/>
              <w:rPr>
                <w:sz w:val="17"/>
                <w:szCs w:val="17"/>
                <w:color w:val="auto"/>
              </w:rPr>
            </w:pPr>
          </w:p>
        </w:tc>
        <w:tc>
          <w:tcPr>
            <w:tcW w:w="10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2000</w:t>
            </w:r>
          </w:p>
        </w:tc>
        <w:tc>
          <w:tcPr>
            <w:tcW w:w="320" w:type="dxa"/>
            <w:vAlign w:val="bottom"/>
          </w:tcPr>
          <w:p>
            <w:pPr>
              <w:spacing w:after="0"/>
              <w:rPr>
                <w:sz w:val="17"/>
                <w:szCs w:val="17"/>
                <w:color w:val="auto"/>
              </w:rPr>
            </w:pPr>
          </w:p>
        </w:tc>
        <w:tc>
          <w:tcPr>
            <w:tcW w:w="11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2001</w:t>
            </w:r>
          </w:p>
        </w:tc>
        <w:tc>
          <w:tcPr>
            <w:tcW w:w="360" w:type="dxa"/>
            <w:vAlign w:val="bottom"/>
          </w:tcPr>
          <w:p>
            <w:pPr>
              <w:spacing w:after="0"/>
              <w:rPr>
                <w:sz w:val="17"/>
                <w:szCs w:val="17"/>
                <w:color w:val="auto"/>
              </w:rPr>
            </w:pPr>
          </w:p>
        </w:tc>
        <w:tc>
          <w:tcPr>
            <w:tcW w:w="10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$ 142,531</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$ 189,568</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$ 306,698</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$ 374,514</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125,365</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160,997</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267,049</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316,794</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ind w:left="540"/>
              <w:spacing w:after="0"/>
              <w:rPr>
                <w:sz w:val="20"/>
                <w:szCs w:val="20"/>
                <w:color w:val="auto"/>
              </w:rPr>
            </w:pPr>
            <w:r>
              <w:rPr>
                <w:rFonts w:ascii="Courier New" w:cs="Courier New" w:eastAsia="Courier New" w:hAnsi="Courier New"/>
                <w:sz w:val="17"/>
                <w:szCs w:val="17"/>
                <w:color w:val="auto"/>
              </w:rPr>
              <w:t>Gross profit</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17,166</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28,571</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39,649</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57,720</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5400" w:type="dxa"/>
            <w:vAlign w:val="bottom"/>
          </w:tcPr>
          <w:p>
            <w:pPr>
              <w:ind w:left="540"/>
              <w:spacing w:after="0"/>
              <w:rPr>
                <w:sz w:val="20"/>
                <w:szCs w:val="20"/>
                <w:color w:val="auto"/>
              </w:rPr>
            </w:pPr>
            <w:r>
              <w:rPr>
                <w:rFonts w:ascii="Courier New" w:cs="Courier New" w:eastAsia="Courier New" w:hAnsi="Courier New"/>
                <w:sz w:val="17"/>
                <w:szCs w:val="17"/>
                <w:color w:val="auto"/>
              </w:rPr>
              <w:t>Selling</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5,470</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5,723</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11,809</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12,212</w:t>
            </w:r>
          </w:p>
        </w:tc>
      </w:tr>
      <w:tr>
        <w:trPr>
          <w:trHeight w:val="201"/>
        </w:trPr>
        <w:tc>
          <w:tcPr>
            <w:tcW w:w="5400" w:type="dxa"/>
            <w:vAlign w:val="bottom"/>
          </w:tcPr>
          <w:p>
            <w:pPr>
              <w:ind w:left="540"/>
              <w:spacing w:after="0"/>
              <w:rPr>
                <w:sz w:val="20"/>
                <w:szCs w:val="20"/>
                <w:color w:val="auto"/>
              </w:rPr>
            </w:pPr>
            <w:r>
              <w:rPr>
                <w:rFonts w:ascii="Courier New" w:cs="Courier New" w:eastAsia="Courier New" w:hAnsi="Courier New"/>
                <w:sz w:val="17"/>
                <w:szCs w:val="17"/>
                <w:color w:val="auto"/>
              </w:rPr>
              <w:t>General and administrative</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3,146</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5,845</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5,910</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10,445</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ind w:left="540"/>
              <w:spacing w:after="0"/>
              <w:rPr>
                <w:sz w:val="20"/>
                <w:szCs w:val="20"/>
                <w:color w:val="auto"/>
              </w:rPr>
            </w:pPr>
            <w:r>
              <w:rPr>
                <w:rFonts w:ascii="Courier New" w:cs="Courier New" w:eastAsia="Courier New" w:hAnsi="Courier New"/>
                <w:sz w:val="17"/>
                <w:szCs w:val="17"/>
                <w:color w:val="auto"/>
              </w:rPr>
              <w:t>Total operating expenses</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8,616</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11,568</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17,719</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22,657</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8,550</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17,003</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21,930</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35,063</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Financial income</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901</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905</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1,872</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1,558</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Income before tax and cumulative effect of a</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change in accounting method</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9,451</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17,908</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23,802</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36,621</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Provision for taxes</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3,267</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6,057</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8,022</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12,389</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 of a change in</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accounting method</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6,184</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11,851</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15,780</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24,232</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Cumulative effect on prior years of the accounting</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method change</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(1,050)</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6,184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11,851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14,730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24,232</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Earnings per share - basic (Note 8):</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Income before cumulative effect of change in</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5400" w:type="dxa"/>
            <w:vAlign w:val="bottom"/>
          </w:tcPr>
          <w:p>
            <w:pPr>
              <w:ind w:left="640"/>
              <w:spacing w:after="0"/>
              <w:rPr>
                <w:sz w:val="20"/>
                <w:szCs w:val="20"/>
                <w:color w:val="auto"/>
              </w:rPr>
            </w:pPr>
            <w:r>
              <w:rPr>
                <w:rFonts w:ascii="Courier New" w:cs="Courier New" w:eastAsia="Courier New" w:hAnsi="Courier New"/>
                <w:sz w:val="17"/>
                <w:szCs w:val="17"/>
                <w:color w:val="auto"/>
              </w:rPr>
              <w:t>accounting method</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1.10</w:t>
            </w: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Cumulative effect on prior years of the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5400" w:type="dxa"/>
            <w:vAlign w:val="bottom"/>
          </w:tcPr>
          <w:p>
            <w:pPr>
              <w:ind w:left="640"/>
              <w:spacing w:after="0"/>
              <w:rPr>
                <w:sz w:val="20"/>
                <w:szCs w:val="20"/>
                <w:color w:val="auto"/>
              </w:rPr>
            </w:pPr>
            <w:r>
              <w:rPr>
                <w:rFonts w:ascii="Courier New" w:cs="Courier New" w:eastAsia="Courier New" w:hAnsi="Courier New"/>
                <w:sz w:val="17"/>
                <w:szCs w:val="17"/>
                <w:color w:val="auto"/>
              </w:rPr>
              <w:t>accounting method change</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(.05)</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1.10</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Number of shares used in per share calculations -</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basic (Note 8)</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20,576</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21,765</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20,839</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21,946</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Earnings per share - diluted (Note 8):</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Income before cumulative effect of a change in</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5400" w:type="dxa"/>
            <w:vAlign w:val="bottom"/>
          </w:tcPr>
          <w:p>
            <w:pPr>
              <w:ind w:left="640"/>
              <w:spacing w:after="0"/>
              <w:rPr>
                <w:sz w:val="20"/>
                <w:szCs w:val="20"/>
                <w:color w:val="auto"/>
              </w:rPr>
            </w:pPr>
            <w:r>
              <w:rPr>
                <w:rFonts w:ascii="Courier New" w:cs="Courier New" w:eastAsia="Courier New" w:hAnsi="Courier New"/>
                <w:sz w:val="17"/>
                <w:szCs w:val="17"/>
                <w:color w:val="auto"/>
              </w:rPr>
              <w:t>accounting method</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1.08</w:t>
            </w: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Cumulative effect on prior years of the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5400" w:type="dxa"/>
            <w:vAlign w:val="bottom"/>
          </w:tcPr>
          <w:p>
            <w:pPr>
              <w:ind w:left="640"/>
              <w:spacing w:after="0"/>
              <w:rPr>
                <w:sz w:val="20"/>
                <w:szCs w:val="20"/>
                <w:color w:val="auto"/>
              </w:rPr>
            </w:pPr>
            <w:r>
              <w:rPr>
                <w:rFonts w:ascii="Courier New" w:cs="Courier New" w:eastAsia="Courier New" w:hAnsi="Courier New"/>
                <w:sz w:val="17"/>
                <w:szCs w:val="17"/>
                <w:color w:val="auto"/>
              </w:rPr>
              <w:t>accounting method change</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(.05)</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1.08</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Number of shares used in per share calculations -</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diluted (Note 8)</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20,882</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22,134</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21,082</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22,339</w:t>
            </w:r>
          </w:p>
        </w:tc>
      </w:tr>
      <w:tr>
        <w:trPr>
          <w:trHeight w:val="201"/>
        </w:trPr>
        <w:tc>
          <w:tcPr>
            <w:tcW w:w="5400" w:type="dxa"/>
            <w:vAlign w:val="bottom"/>
          </w:tcPr>
          <w:p>
            <w:pPr>
              <w:spacing w:after="0"/>
              <w:rPr>
                <w:sz w:val="17"/>
                <w:szCs w:val="17"/>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Proforma information for the adoption of SAB101</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$ 142,531</w:t>
            </w: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$ 183,004</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$ 306,698</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$ 370,100</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6,184</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11,216</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15,780</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23,652</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Earnings per share - basic</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.52</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1.08</w:t>
            </w:r>
          </w:p>
        </w:tc>
      </w:tr>
      <w:tr>
        <w:trPr>
          <w:trHeight w:val="201"/>
        </w:trPr>
        <w:tc>
          <w:tcPr>
            <w:tcW w:w="5400" w:type="dxa"/>
            <w:vAlign w:val="bottom"/>
          </w:tcPr>
          <w:p>
            <w:pPr>
              <w:spacing w:after="0"/>
              <w:rPr>
                <w:sz w:val="20"/>
                <w:szCs w:val="20"/>
                <w:color w:val="auto"/>
              </w:rPr>
            </w:pPr>
            <w:r>
              <w:rPr>
                <w:rFonts w:ascii="Courier New" w:cs="Courier New" w:eastAsia="Courier New" w:hAnsi="Courier New"/>
                <w:sz w:val="17"/>
                <w:szCs w:val="17"/>
                <w:color w:val="auto"/>
              </w:rPr>
              <w:t>Earnings per share - diluted</w:t>
            </w:r>
          </w:p>
        </w:tc>
        <w:tc>
          <w:tcPr>
            <w:tcW w:w="36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.51</w:t>
            </w:r>
          </w:p>
        </w:tc>
        <w:tc>
          <w:tcPr>
            <w:tcW w:w="3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.75</w:t>
            </w:r>
          </w:p>
        </w:tc>
        <w:tc>
          <w:tcPr>
            <w:tcW w:w="360" w:type="dxa"/>
            <w:vAlign w:val="bottom"/>
          </w:tcPr>
          <w:p>
            <w:pPr>
              <w:spacing w:after="0"/>
              <w:rPr>
                <w:sz w:val="17"/>
                <w:szCs w:val="17"/>
                <w:color w:val="auto"/>
              </w:rPr>
            </w:pPr>
          </w:p>
        </w:tc>
        <w:tc>
          <w:tcPr>
            <w:tcW w:w="10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1.06</w:t>
            </w:r>
          </w:p>
        </w:tc>
      </w:tr>
    </w:tbl>
    <w:p>
      <w:pPr>
        <w:spacing w:after="0" w:line="200" w:lineRule="exact"/>
        <w:rPr>
          <w:sz w:val="20"/>
          <w:szCs w:val="20"/>
          <w:color w:val="auto"/>
        </w:rPr>
      </w:pPr>
    </w:p>
    <w:p>
      <w:pPr>
        <w:spacing w:after="0" w:line="207" w:lineRule="exact"/>
        <w:rPr>
          <w:sz w:val="20"/>
          <w:szCs w:val="20"/>
          <w:color w:val="auto"/>
        </w:rPr>
      </w:pPr>
    </w:p>
    <w:p>
      <w:pPr>
        <w:ind w:right="2620"/>
        <w:spacing w:after="0" w:line="257" w:lineRule="auto"/>
        <w:rPr>
          <w:sz w:val="20"/>
          <w:szCs w:val="20"/>
          <w:color w:val="auto"/>
        </w:rPr>
      </w:pPr>
      <w:r>
        <w:rPr>
          <w:rFonts w:ascii="Courier New" w:cs="Courier New" w:eastAsia="Courier New" w:hAnsi="Courier New"/>
          <w:sz w:val="17"/>
          <w:szCs w:val="17"/>
          <w:color w:val="auto"/>
        </w:rPr>
        <w:t>See Unaudited Condensed Notes to Consolidated Financial Statements. ================================================================================</w:t>
      </w:r>
    </w:p>
    <w:p>
      <w:pPr>
        <w:sectPr>
          <w:pgSz w:w="11900" w:h="16838" w:orient="portrait"/>
          <w:cols w:equalWidth="0" w:num="1">
            <w:col w:w="11000"/>
          </w:cols>
          <w:pgMar w:left="240" w:top="921" w:right="659" w:bottom="36" w:gutter="0" w:footer="0" w:header="0"/>
        </w:sectPr>
      </w:pPr>
    </w:p>
    <w:bookmarkStart w:id="4" w:name="page5"/>
    <w:bookmarkEnd w:id="4"/>
    <w:p>
      <w:pPr>
        <w:ind w:left="2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3" w:right="1440" w:bottom="1440" w:gutter="0" w:footer="0" w:header="0"/>
        </w:sectPr>
      </w:pPr>
    </w:p>
    <w:bookmarkStart w:id="5" w:name="page6"/>
    <w:bookmarkEnd w:id="5"/>
    <w:p>
      <w:pPr>
        <w:jc w:val="center"/>
        <w:ind w:right="1980"/>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9" w:lineRule="exact"/>
        <w:rPr>
          <w:sz w:val="20"/>
          <w:szCs w:val="20"/>
          <w:color w:val="auto"/>
        </w:rPr>
      </w:pPr>
    </w:p>
    <w:p>
      <w:pPr>
        <w:jc w:val="center"/>
        <w:ind w:right="1980"/>
        <w:spacing w:after="0"/>
        <w:rPr>
          <w:sz w:val="20"/>
          <w:szCs w:val="20"/>
          <w:color w:val="auto"/>
        </w:rPr>
      </w:pPr>
      <w:r>
        <w:rPr>
          <w:rFonts w:ascii="Courier New" w:cs="Courier New" w:eastAsia="Courier New" w:hAnsi="Courier New"/>
          <w:sz w:val="17"/>
          <w:szCs w:val="17"/>
          <w:color w:val="auto"/>
        </w:rPr>
        <w:t>UNAUDITED CONSOLIDATED CONDENSED STATEMENTS OF CASH FLOWS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30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TWENTY-SIX WEEKS ENDED</w:t>
            </w:r>
          </w:p>
        </w:tc>
      </w:tr>
      <w:tr>
        <w:trPr>
          <w:trHeight w:val="201"/>
        </w:trPr>
        <w:tc>
          <w:tcPr>
            <w:tcW w:w="744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February 24,</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February 26,</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2001</w:t>
            </w:r>
          </w:p>
        </w:tc>
        <w:tc>
          <w:tcPr>
            <w:tcW w:w="14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744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Net income as defined on the statements of income</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$ 14,730</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$ 24,232</w:t>
            </w:r>
          </w:p>
        </w:tc>
      </w:tr>
      <w:tr>
        <w:trPr>
          <w:trHeight w:val="201"/>
        </w:trPr>
        <w:tc>
          <w:tcPr>
            <w:tcW w:w="7440" w:type="dxa"/>
            <w:vAlign w:val="bottom"/>
          </w:tcPr>
          <w:p>
            <w:pPr>
              <w:ind w:left="420"/>
              <w:spacing w:after="0"/>
              <w:rPr>
                <w:sz w:val="20"/>
                <w:szCs w:val="20"/>
                <w:color w:val="auto"/>
              </w:rPr>
            </w:pPr>
            <w:r>
              <w:rPr>
                <w:rFonts w:ascii="Courier New" w:cs="Courier New" w:eastAsia="Courier New" w:hAnsi="Courier New"/>
                <w:sz w:val="17"/>
                <w:szCs w:val="17"/>
                <w:color w:val="auto"/>
              </w:rPr>
              <w:t>(page 3)</w:t>
            </w: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744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 to net cash provided by operating</w:t>
            </w: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activities:</w:t>
            </w: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3"/>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Depreciation and amortization</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3,636</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3,144</w:t>
            </w: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106</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177</w:t>
            </w:r>
          </w:p>
        </w:tc>
      </w:tr>
      <w:tr>
        <w:trPr>
          <w:trHeight w:val="201"/>
        </w:trPr>
        <w:tc>
          <w:tcPr>
            <w:tcW w:w="7440" w:type="dxa"/>
            <w:vAlign w:val="bottom"/>
          </w:tcPr>
          <w:p>
            <w:pPr>
              <w:spacing w:after="0"/>
              <w:rPr>
                <w:sz w:val="20"/>
                <w:szCs w:val="20"/>
                <w:color w:val="auto"/>
              </w:rPr>
            </w:pPr>
            <w:r>
              <w:rPr>
                <w:rFonts w:ascii="Courier New" w:cs="Courier New" w:eastAsia="Courier New" w:hAnsi="Courier New"/>
                <w:sz w:val="17"/>
                <w:szCs w:val="17"/>
                <w:color w:val="auto"/>
              </w:rPr>
              <w:t>Change in assets and liabilities:</w:t>
            </w: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Decrease (increase) in receivable and other assets</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14,099</w:t>
            </w:r>
          </w:p>
        </w:tc>
        <w:tc>
          <w:tcPr>
            <w:tcW w:w="1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(13,381)</w:t>
            </w: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(Increase) decrease in inventories</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(3,453)</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4,522</w:t>
            </w: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Decrease in accounts payable and accrued expenses</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(7,470)</w:t>
            </w:r>
          </w:p>
        </w:tc>
        <w:tc>
          <w:tcPr>
            <w:tcW w:w="1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(7,443)</w:t>
            </w: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Increase in income taxes payable</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3,536</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12,608</w:t>
            </w: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Increase in postretirement benefits</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3,862</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2,966</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744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29,046</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26,825</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7440" w:type="dxa"/>
            <w:vAlign w:val="bottom"/>
          </w:tcPr>
          <w:p>
            <w:pPr>
              <w:spacing w:after="0"/>
              <w:rPr>
                <w:sz w:val="20"/>
                <w:szCs w:val="20"/>
                <w:color w:val="auto"/>
              </w:rPr>
            </w:pPr>
            <w:r>
              <w:rPr>
                <w:rFonts w:ascii="Courier New" w:cs="Courier New" w:eastAsia="Courier New" w:hAnsi="Courier New"/>
                <w:sz w:val="17"/>
                <w:szCs w:val="17"/>
                <w:color w:val="auto"/>
              </w:rPr>
              <w:t>Cash flows used by investing activities:</w:t>
            </w: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3"/>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Purchases of property and equipment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(4,795)</w:t>
            </w:r>
          </w:p>
        </w:tc>
        <w:tc>
          <w:tcPr>
            <w:tcW w:w="1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(7,147)</w:t>
            </w: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Investments in dealer receivables</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(52,392)</w:t>
            </w:r>
          </w:p>
        </w:tc>
        <w:tc>
          <w:tcPr>
            <w:tcW w:w="1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(53,635)</w:t>
            </w: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Collections of dealer receivables</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47,220</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46,978</w:t>
            </w: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(2,481)</w:t>
            </w:r>
          </w:p>
        </w:tc>
        <w:tc>
          <w:tcPr>
            <w:tcW w:w="1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(2,040)</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7440" w:type="dxa"/>
            <w:vAlign w:val="bottom"/>
          </w:tcPr>
          <w:p>
            <w:pPr>
              <w:spacing w:after="0"/>
              <w:rPr>
                <w:sz w:val="20"/>
                <w:szCs w:val="20"/>
                <w:color w:val="auto"/>
              </w:rPr>
            </w:pPr>
            <w:r>
              <w:rPr>
                <w:rFonts w:ascii="Courier New" w:cs="Courier New" w:eastAsia="Courier New" w:hAnsi="Courier New"/>
                <w:sz w:val="17"/>
                <w:szCs w:val="17"/>
                <w:color w:val="auto"/>
              </w:rPr>
              <w:t>Net cash used by investing activities</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(12,448)</w:t>
            </w:r>
          </w:p>
        </w:tc>
        <w:tc>
          <w:tcPr>
            <w:tcW w:w="1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(15,844)</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7440" w:type="dxa"/>
            <w:vAlign w:val="bottom"/>
          </w:tcPr>
          <w:p>
            <w:pPr>
              <w:spacing w:after="0"/>
              <w:rPr>
                <w:sz w:val="20"/>
                <w:szCs w:val="20"/>
                <w:color w:val="auto"/>
              </w:rPr>
            </w:pPr>
            <w:r>
              <w:rPr>
                <w:rFonts w:ascii="Courier New" w:cs="Courier New" w:eastAsia="Courier New" w:hAnsi="Courier New"/>
                <w:sz w:val="17"/>
                <w:szCs w:val="17"/>
                <w:color w:val="auto"/>
              </w:rPr>
              <w:t>Cash flows used by financing activities and capital transactions:</w:t>
            </w: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Payments for purchase of common stock</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(9,300)</w:t>
            </w:r>
          </w:p>
        </w:tc>
        <w:tc>
          <w:tcPr>
            <w:tcW w:w="1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(14,490)</w:t>
            </w: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Payment of cash dividends</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(2,062)</w:t>
            </w:r>
          </w:p>
        </w:tc>
        <w:tc>
          <w:tcPr>
            <w:tcW w:w="1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(2,189)</w:t>
            </w:r>
          </w:p>
        </w:tc>
      </w:tr>
      <w:tr>
        <w:trPr>
          <w:trHeight w:val="201"/>
        </w:trPr>
        <w:tc>
          <w:tcPr>
            <w:tcW w:w="744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1,355</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1,036</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7440" w:type="dxa"/>
            <w:vAlign w:val="bottom"/>
          </w:tcPr>
          <w:p>
            <w:pPr>
              <w:spacing w:after="0"/>
              <w:rPr>
                <w:sz w:val="20"/>
                <w:szCs w:val="20"/>
                <w:color w:val="auto"/>
              </w:rPr>
            </w:pPr>
            <w:r>
              <w:rPr>
                <w:rFonts w:ascii="Courier New" w:cs="Courier New" w:eastAsia="Courier New" w:hAnsi="Courier New"/>
                <w:sz w:val="17"/>
                <w:szCs w:val="17"/>
                <w:color w:val="auto"/>
              </w:rPr>
              <w:t>Net cash used by financing activities and</w:t>
            </w: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1"/>
        </w:trPr>
        <w:tc>
          <w:tcPr>
            <w:tcW w:w="7440" w:type="dxa"/>
            <w:vAlign w:val="bottom"/>
          </w:tcPr>
          <w:p>
            <w:pPr>
              <w:ind w:left="320"/>
              <w:spacing w:after="0"/>
              <w:rPr>
                <w:sz w:val="20"/>
                <w:szCs w:val="20"/>
                <w:color w:val="auto"/>
              </w:rPr>
            </w:pPr>
            <w:r>
              <w:rPr>
                <w:rFonts w:ascii="Courier New" w:cs="Courier New" w:eastAsia="Courier New" w:hAnsi="Courier New"/>
                <w:sz w:val="17"/>
                <w:szCs w:val="17"/>
                <w:color w:val="auto"/>
              </w:rPr>
              <w:t>capital transactions</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(10,007)</w:t>
            </w:r>
          </w:p>
        </w:tc>
        <w:tc>
          <w:tcPr>
            <w:tcW w:w="1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(15,643)</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744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 and cash equivalents</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6,591</w:t>
            </w:r>
          </w:p>
        </w:tc>
        <w:tc>
          <w:tcPr>
            <w:tcW w:w="14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(4,662)</w:t>
            </w:r>
          </w:p>
        </w:tc>
      </w:tr>
      <w:tr>
        <w:trPr>
          <w:trHeight w:val="403"/>
        </w:trPr>
        <w:tc>
          <w:tcPr>
            <w:tcW w:w="7440" w:type="dxa"/>
            <w:vAlign w:val="bottom"/>
          </w:tcPr>
          <w:p>
            <w:pPr>
              <w:spacing w:after="0"/>
              <w:rPr>
                <w:sz w:val="20"/>
                <w:szCs w:val="20"/>
                <w:color w:val="auto"/>
              </w:rPr>
            </w:pPr>
            <w:r>
              <w:rPr>
                <w:rFonts w:ascii="Courier New" w:cs="Courier New" w:eastAsia="Courier New" w:hAnsi="Courier New"/>
                <w:sz w:val="17"/>
                <w:szCs w:val="17"/>
                <w:color w:val="auto"/>
              </w:rPr>
              <w:t>Cash and cash equivalents - beginning of period</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51,443</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48,160</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7440" w:type="dxa"/>
            <w:vAlign w:val="bottom"/>
          </w:tcPr>
          <w:p>
            <w:pPr>
              <w:spacing w:after="0"/>
              <w:rPr>
                <w:sz w:val="20"/>
                <w:szCs w:val="20"/>
                <w:color w:val="auto"/>
              </w:rPr>
            </w:pPr>
            <w:r>
              <w:rPr>
                <w:rFonts w:ascii="Courier New" w:cs="Courier New" w:eastAsia="Courier New" w:hAnsi="Courier New"/>
                <w:sz w:val="17"/>
                <w:szCs w:val="17"/>
                <w:color w:val="auto"/>
              </w:rPr>
              <w:t>Cash and cash equivalents - end of period</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$ 58,034</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$ 43,498</w:t>
            </w:r>
          </w:p>
        </w:tc>
      </w:tr>
      <w:tr>
        <w:trPr>
          <w:trHeight w:val="201"/>
        </w:trPr>
        <w:tc>
          <w:tcPr>
            <w:tcW w:w="7440" w:type="dxa"/>
            <w:vAlign w:val="bottom"/>
          </w:tcPr>
          <w:p>
            <w:pPr>
              <w:spacing w:after="0"/>
              <w:rPr>
                <w:sz w:val="17"/>
                <w:szCs w:val="17"/>
                <w:color w:val="auto"/>
              </w:rPr>
            </w:pP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480"/>
          </w:cols>
          <w:pgMar w:left="240" w:top="921" w:right="1179" w:bottom="1440" w:gutter="0" w:footer="0" w:header="0"/>
        </w:sectPr>
      </w:pPr>
    </w:p>
    <w:bookmarkStart w:id="6" w:name="page7"/>
    <w:bookmarkEnd w:id="6"/>
    <w:p>
      <w:pPr>
        <w:ind w:left="2000"/>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UNAUDITED CONDENSED NOTES TO CONSOLIDATED FINANCIAL STATEMENTS</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1:</w:t>
        <w:tab/>
        <w:t>BASIS OF PRESENTATION</w:t>
      </w:r>
    </w:p>
    <w:p>
      <w:pPr>
        <w:spacing w:after="0" w:line="210"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In the opinion of management, the accompanying unaudited consolidated condensed financial statements contain all adjustments, consisting of normal recurring accruals, necessary to present fairly the consolidated financial position as of February 24, 2001, the consolidated results of operations for the 26 and 13 weeks ended February 24, 2001 and February 26, 2000, and the consolidated cash flows for the 26 weeks ended February 24, 2001 and February 26, 2000. The statement of income for the 26 weeks ended February 24, 2001, is not necessarily indicative of the results to be expected for the full year. The balance sheet data as of August 26, 2000 was derived from audited financial statements, but does not include all disclosures contained in the Company's Annual Report to Shareholders for the year ended August 26, 2000. These interim consolidated financial statements should be read in conjunction with the audited financial statements and notes thereto appearing in the Company's Annual Report to Shareholders for the year ended August 26, 2000.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2:</w:t>
        <w:tab/>
        <w:t>NEW ACCOUNTING PRONOUNCEMENTS</w:t>
      </w:r>
    </w:p>
    <w:p>
      <w:pPr>
        <w:spacing w:after="0" w:line="210"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On August 27, 2000, the Company adopted the Securities and Exchange Commission's (SEC) Staff Accounting Bulletin (SAB) No. 101 - REVENUE RECOGNITION IN FINANCIAL STATEMENTS, which the SEC staff issued in December 1999. SAB No. 101 sets forth the SEC's views concerning revenue recognition, which the effect on the Company was to begin recording revenue upon receipt of products by Winnebago Industries' dealers rather than upon shipment by the Company. This change required an adjustment to retained earnings in the Company's first quarter 2001 results, which reflects the cumulative effect on the prior year's results due to the application of SAB No. 101. Pro forma information for the 13 and 26 weeks ended February 26, 2000 is disclosed on the Company's Unaudited Consolidated Statements of Income (page 3 of this report).</w:t>
      </w:r>
    </w:p>
    <w:p>
      <w:pPr>
        <w:spacing w:after="0" w:line="201"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On August 27, 2000, the Company adopted Statement of Financial Accounting Standards (SFAS) No. 133, ACCOUNTING FOR DERIVATIVE INSTRUMENTS AND HEDGING ACTIVITIES, as amended by SFAS No. 138, ACCOUNTING FOR CERTAIN DERIVATIVE INSTRUMENTS AND CERTAIN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they have no freestanding or embedded derivatives. All contracts that contain provisions meeting the definition of a derivative also meet the requirements of, and have been designated as, normal purchases or sales. The Company's policy is to not use freestanding derivatives and to not enter into contracts with terms that cannot be designated as normal purchases or sales.</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3:</w:t>
        <w:tab/>
        <w:t>INVENTORIES</w:t>
      </w:r>
    </w:p>
    <w:p>
      <w:pPr>
        <w:spacing w:after="0" w:line="210" w:lineRule="exact"/>
        <w:rPr>
          <w:sz w:val="20"/>
          <w:szCs w:val="20"/>
          <w:color w:val="auto"/>
        </w:rPr>
      </w:pPr>
    </w:p>
    <w:p>
      <w:pPr>
        <w:ind w:left="540" w:right="1839"/>
        <w:spacing w:after="0" w:line="254" w:lineRule="auto"/>
        <w:rPr>
          <w:sz w:val="20"/>
          <w:szCs w:val="20"/>
          <w:color w:val="auto"/>
        </w:rPr>
      </w:pPr>
      <w:r>
        <w:rPr>
          <w:rFonts w:ascii="Courier New" w:cs="Courier New" w:eastAsia="Courier New" w:hAnsi="Courier New"/>
          <w:sz w:val="17"/>
          <w:szCs w:val="17"/>
          <w:color w:val="auto"/>
        </w:rPr>
        <w:t>Inventories are valued at the lower of cost or market, with cost being determined under the last-in, first-out (LIFO) method and market defined as net realizable value.</w:t>
      </w:r>
    </w:p>
    <w:p>
      <w:pPr>
        <w:spacing w:after="0" w:line="19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Inventories are composed of the following (dollars in thousands):</w:t>
      </w: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16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February 24,</w:t>
            </w:r>
          </w:p>
        </w:tc>
        <w:tc>
          <w:tcPr>
            <w:tcW w:w="13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August 26,</w:t>
            </w:r>
          </w:p>
        </w:tc>
      </w:tr>
      <w:tr>
        <w:trPr>
          <w:trHeight w:val="201"/>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2001</w:t>
            </w:r>
          </w:p>
        </w:tc>
        <w:tc>
          <w:tcPr>
            <w:tcW w:w="42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24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36,855</w:t>
            </w:r>
          </w:p>
        </w:tc>
        <w:tc>
          <w:tcPr>
            <w:tcW w:w="4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28,286</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Work in process.......</w:t>
            </w:r>
          </w:p>
        </w:tc>
        <w:tc>
          <w:tcPr>
            <w:tcW w:w="460" w:type="dxa"/>
            <w:vAlign w:val="bottom"/>
          </w:tcPr>
          <w:p>
            <w:pPr>
              <w:spacing w:after="0"/>
              <w:rPr>
                <w:sz w:val="17"/>
                <w:szCs w:val="17"/>
                <w:color w:val="auto"/>
              </w:rPr>
            </w:pPr>
          </w:p>
        </w:tc>
        <w:tc>
          <w:tcPr>
            <w:tcW w:w="12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22,425</w:t>
            </w:r>
          </w:p>
        </w:tc>
        <w:tc>
          <w:tcPr>
            <w:tcW w:w="42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19,577</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460" w:type="dxa"/>
            <w:vAlign w:val="bottom"/>
          </w:tcPr>
          <w:p>
            <w:pPr>
              <w:spacing w:after="0"/>
              <w:rPr>
                <w:sz w:val="17"/>
                <w:szCs w:val="17"/>
                <w:color w:val="auto"/>
              </w:rPr>
            </w:pPr>
          </w:p>
        </w:tc>
        <w:tc>
          <w:tcPr>
            <w:tcW w:w="12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52,203</w:t>
            </w:r>
          </w:p>
        </w:tc>
        <w:tc>
          <w:tcPr>
            <w:tcW w:w="42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59,674</w:t>
            </w:r>
          </w:p>
        </w:tc>
      </w:tr>
      <w:tr>
        <w:trPr>
          <w:trHeight w:val="201"/>
        </w:trPr>
        <w:tc>
          <w:tcPr>
            <w:tcW w:w="24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111,483</w:t>
            </w:r>
          </w:p>
        </w:tc>
        <w:tc>
          <w:tcPr>
            <w:tcW w:w="42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107,537</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LIFO reserve..........</w:t>
            </w:r>
          </w:p>
        </w:tc>
        <w:tc>
          <w:tcPr>
            <w:tcW w:w="460" w:type="dxa"/>
            <w:vAlign w:val="bottom"/>
          </w:tcPr>
          <w:p>
            <w:pPr>
              <w:spacing w:after="0"/>
              <w:rPr>
                <w:sz w:val="17"/>
                <w:szCs w:val="17"/>
                <w:color w:val="auto"/>
              </w:rPr>
            </w:pP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(22,323)</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(21,830)</w:t>
            </w:r>
          </w:p>
        </w:tc>
      </w:tr>
      <w:tr>
        <w:trPr>
          <w:trHeight w:val="201"/>
        </w:trPr>
        <w:tc>
          <w:tcPr>
            <w:tcW w:w="24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460" w:type="dxa"/>
            <w:vAlign w:val="bottom"/>
          </w:tcPr>
          <w:p>
            <w:pPr>
              <w:spacing w:after="0"/>
              <w:rPr>
                <w:sz w:val="17"/>
                <w:szCs w:val="17"/>
                <w:color w:val="auto"/>
              </w:rPr>
            </w:pP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89,160</w:t>
            </w:r>
          </w:p>
        </w:tc>
        <w:tc>
          <w:tcPr>
            <w:tcW w:w="4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85,707</w:t>
            </w:r>
          </w:p>
        </w:tc>
      </w:tr>
      <w:tr>
        <w:trPr>
          <w:trHeight w:val="201"/>
        </w:trPr>
        <w:tc>
          <w:tcPr>
            <w:tcW w:w="24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2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921" w:right="1440" w:bottom="251"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7"/>
          <w:szCs w:val="17"/>
          <w:color w:val="auto"/>
        </w:rPr>
        <w:t>NOTE 4:</w:t>
        <w:tab/>
        <w:t>NOTES PAYABLE</w:t>
      </w:r>
    </w:p>
    <w:p>
      <w:pPr>
        <w:spacing w:after="0" w:line="210"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On October 19, 2000, the Company entered into an unsecured Credit Agreement with Wells Fargo Bank Iowa, National Association as amended. The Credit Agreement provides the Company with a line of credit of $20,000,000 until January 31, 2002, at an interest rate of either (1) a variable rate per annum of one percent below the Bank's prime rate in effect from time to time or (2) a fixed rate per annum determined by the Bank to be one percent above LIBOR, as selected by the Company in accordance with the Credit Agreement. The Credit Agreement contains covenants that, among other matters, impose certain limitations on mergers, transfers of assets and encumbering or otherwise pledging the Company's assets. In addition, the Company is required to satisfy certain financial covenants and tests relating to tangible net worth, total liabilities and current ratio. As of February 24, 2001, the Company was in compliance with these financial covenants. There were no outstanding borrowings under the line of credit at February 24, 2001.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5:</w:t>
        <w:tab/>
        <w:t>CONTINGENT LIABILITIES AND COMMITMENTS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It is customary practice for companies in the recreation vehicle industry</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to enter into repurchase agreements with lending institutions which have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provided wholesale floor plan financing to dealers. The Company's</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agreements provide for the repurchase of its products from the financing</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institution in the event of repossession upon a dealer's default. The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Company was contingently liable for approximately $251,540,000 and</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$219,873,000 under repurchase agreements with lending institutions as of</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February 24, 2001 and August 26, 2000, respectively. Included in these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contingent liabilities as of February 24, 2001 and August 26, 2000 are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approximately $1,633,000 and $6,846,000, respectively, of certain dealer</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receivables subject to recourse agreements with Bank of America Specialty</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Group (formerly NationsBank Specialty Lending Unit) and Conseco Finance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Servicing Group (formerly Green Tree Financial).</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6:</w:t>
        <w:tab/>
        <w:t>SUPPLEMENTAL CASH FLOW DISCLOSURE</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For the periods indicated, the Company paid cash for the following (dollars in thousands):</w:t>
      </w:r>
    </w:p>
    <w:p>
      <w:pPr>
        <w:sectPr>
          <w:pgSz w:w="11900" w:h="16838" w:orient="portrait"/>
          <w:cols w:equalWidth="0" w:num="1">
            <w:col w:w="10219"/>
          </w:cols>
          <w:pgMar w:left="240" w:top="9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Income taxes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Twenty-Six Weeks 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spacing w:after="0"/>
        <w:tabs>
          <w:tab w:leader="none" w:pos="1860" w:val="left"/>
        </w:tabs>
        <w:rPr>
          <w:sz w:val="20"/>
          <w:szCs w:val="20"/>
          <w:color w:val="auto"/>
        </w:rPr>
      </w:pPr>
      <w:r>
        <w:rPr>
          <w:rFonts w:ascii="Courier New" w:cs="Courier New" w:eastAsia="Courier New" w:hAnsi="Courier New"/>
          <w:sz w:val="17"/>
          <w:szCs w:val="17"/>
          <w:color w:val="auto"/>
        </w:rPr>
        <w:t>February 24,</w:t>
      </w:r>
      <w:r>
        <w:rPr>
          <w:sz w:val="20"/>
          <w:szCs w:val="20"/>
          <w:color w:val="auto"/>
        </w:rPr>
        <w:tab/>
      </w:r>
      <w:r>
        <w:rPr>
          <w:rFonts w:ascii="Courier New" w:cs="Courier New" w:eastAsia="Courier New" w:hAnsi="Courier New"/>
          <w:sz w:val="17"/>
          <w:szCs w:val="17"/>
          <w:color w:val="auto"/>
        </w:rPr>
        <w:t>February 26,</w:t>
      </w:r>
    </w:p>
    <w:p>
      <w:pPr>
        <w:spacing w:after="0" w:line="9" w:lineRule="exact"/>
        <w:rPr>
          <w:sz w:val="20"/>
          <w:szCs w:val="20"/>
          <w:color w:val="auto"/>
        </w:rPr>
      </w:pPr>
    </w:p>
    <w:p>
      <w:pPr>
        <w:ind w:left="520"/>
        <w:spacing w:after="0"/>
        <w:tabs>
          <w:tab w:leader="none" w:pos="2280" w:val="left"/>
        </w:tabs>
        <w:rPr>
          <w:sz w:val="20"/>
          <w:szCs w:val="20"/>
          <w:color w:val="auto"/>
        </w:rPr>
      </w:pPr>
      <w:r>
        <w:rPr>
          <w:rFonts w:ascii="Courier New" w:cs="Courier New" w:eastAsia="Courier New" w:hAnsi="Courier New"/>
          <w:sz w:val="17"/>
          <w:szCs w:val="17"/>
          <w:color w:val="auto"/>
        </w:rPr>
        <w:t>2001</w:t>
      </w:r>
      <w:r>
        <w:rPr>
          <w:sz w:val="20"/>
          <w:szCs w:val="20"/>
          <w:color w:val="auto"/>
        </w:rPr>
        <w:tab/>
      </w:r>
      <w:r>
        <w:rPr>
          <w:rFonts w:ascii="Courier New" w:cs="Courier New" w:eastAsia="Courier New" w:hAnsi="Courier New"/>
          <w:sz w:val="17"/>
          <w:szCs w:val="17"/>
          <w:color w:val="auto"/>
        </w:rPr>
        <w:t>2000</w:t>
      </w:r>
    </w:p>
    <w:p>
      <w:pPr>
        <w:spacing w:after="0" w:line="9"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9" w:lineRule="exact"/>
        <w:rPr>
          <w:sz w:val="20"/>
          <w:szCs w:val="20"/>
          <w:color w:val="auto"/>
        </w:rPr>
      </w:pPr>
    </w:p>
    <w:p>
      <w:pPr>
        <w:spacing w:after="0"/>
        <w:tabs>
          <w:tab w:leader="none" w:pos="1120" w:val="left"/>
          <w:tab w:leader="none" w:pos="1860" w:val="left"/>
          <w:tab w:leader="none" w:pos="28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129</w:t>
      </w:r>
    </w:p>
    <w:p>
      <w:pPr>
        <w:spacing w:after="0" w:line="9" w:lineRule="exact"/>
        <w:rPr>
          <w:sz w:val="20"/>
          <w:szCs w:val="20"/>
          <w:color w:val="auto"/>
        </w:rPr>
      </w:pPr>
    </w:p>
    <w:p>
      <w:pPr>
        <w:ind w:left="820"/>
        <w:spacing w:after="0"/>
        <w:tabs>
          <w:tab w:leader="none" w:pos="2480" w:val="left"/>
        </w:tabs>
        <w:rPr>
          <w:sz w:val="20"/>
          <w:szCs w:val="20"/>
          <w:color w:val="auto"/>
        </w:rPr>
      </w:pPr>
      <w:r>
        <w:rPr>
          <w:rFonts w:ascii="Courier New" w:cs="Courier New" w:eastAsia="Courier New" w:hAnsi="Courier New"/>
          <w:sz w:val="17"/>
          <w:szCs w:val="17"/>
          <w:color w:val="auto"/>
        </w:rPr>
        <w:t>3,000</w:t>
      </w:r>
      <w:r>
        <w:rPr>
          <w:sz w:val="20"/>
          <w:szCs w:val="20"/>
          <w:color w:val="auto"/>
        </w:rPr>
        <w:tab/>
      </w:r>
      <w:r>
        <w:rPr>
          <w:rFonts w:ascii="Courier New" w:cs="Courier New" w:eastAsia="Courier New" w:hAnsi="Courier New"/>
          <w:sz w:val="17"/>
          <w:szCs w:val="17"/>
          <w:color w:val="auto"/>
        </w:rPr>
        <w:t>13,205</w:t>
      </w:r>
    </w:p>
    <w:p>
      <w:pPr>
        <w:spacing w:after="0" w:line="200" w:lineRule="exact"/>
        <w:rPr>
          <w:sz w:val="20"/>
          <w:szCs w:val="20"/>
          <w:color w:val="auto"/>
        </w:rPr>
      </w:pPr>
    </w:p>
    <w:p>
      <w:pPr>
        <w:sectPr>
          <w:pgSz w:w="11900" w:h="16838" w:orient="portrait"/>
          <w:cols w:equalWidth="0" w:num="2">
            <w:col w:w="2020" w:space="720"/>
            <w:col w:w="7479"/>
          </w:cols>
          <w:pgMar w:left="240" w:top="921" w:right="1440" w:bottom="1440" w:gutter="0" w:footer="0" w:header="0"/>
          <w:type w:val="continuous"/>
        </w:sectPr>
      </w:pPr>
    </w:p>
    <w:p>
      <w:pPr>
        <w:spacing w:after="0" w:line="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7:</w:t>
        <w:tab/>
        <w:t>REPURCHASE OF OUTSTANDING STOCK</w:t>
      </w:r>
    </w:p>
    <w:p>
      <w:pPr>
        <w:spacing w:after="0" w:line="210" w:lineRule="exact"/>
        <w:rPr>
          <w:sz w:val="20"/>
          <w:szCs w:val="20"/>
          <w:color w:val="auto"/>
        </w:rPr>
      </w:pPr>
    </w:p>
    <w:p>
      <w:pPr>
        <w:ind w:left="740" w:right="1939"/>
        <w:spacing w:after="0" w:line="253" w:lineRule="auto"/>
        <w:rPr>
          <w:sz w:val="20"/>
          <w:szCs w:val="20"/>
          <w:color w:val="auto"/>
        </w:rPr>
      </w:pPr>
      <w:r>
        <w:rPr>
          <w:rFonts w:ascii="Courier New" w:cs="Courier New" w:eastAsia="Courier New" w:hAnsi="Courier New"/>
          <w:sz w:val="17"/>
          <w:szCs w:val="17"/>
          <w:color w:val="auto"/>
        </w:rPr>
        <w:t>On March 8, 2001, the Company completed the repurchase of outstanding shares of its common stock authorized by the Board of Directors on March 15, 2000. Under this repurchase program, 1,163,766 shares were repurchased for an aggregate consideration of approximately $14,999,000.</w:t>
      </w:r>
    </w:p>
    <w:p>
      <w:pPr>
        <w:spacing w:after="0" w:line="195" w:lineRule="exact"/>
        <w:rPr>
          <w:sz w:val="20"/>
          <w:szCs w:val="20"/>
          <w:color w:val="auto"/>
        </w:rPr>
      </w:pPr>
    </w:p>
    <w:p>
      <w:pPr>
        <w:ind w:left="740" w:right="2139"/>
        <w:spacing w:after="0" w:line="254" w:lineRule="auto"/>
        <w:rPr>
          <w:sz w:val="20"/>
          <w:szCs w:val="20"/>
          <w:color w:val="auto"/>
        </w:rPr>
      </w:pPr>
      <w:r>
        <w:rPr>
          <w:rFonts w:ascii="Courier New" w:cs="Courier New" w:eastAsia="Courier New" w:hAnsi="Courier New"/>
          <w:sz w:val="17"/>
          <w:szCs w:val="17"/>
          <w:color w:val="auto"/>
        </w:rPr>
        <w:t>On March 14, 2001, the Board of Directors authorized the repurchase of outstanding shares of the Company's common stock for an aggregate purchase price of up to $15,000,000.</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21" w:right="1440" w:bottom="1440" w:gutter="0" w:footer="0" w:header="0"/>
          <w:type w:val="continuous"/>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7"/>
          <w:szCs w:val="17"/>
          <w:color w:val="auto"/>
        </w:rPr>
        <w:t>NOTE 8:</w:t>
        <w:tab/>
        <w:t>INCOME PER SHARE</w:t>
      </w:r>
    </w:p>
    <w:p>
      <w:pPr>
        <w:spacing w:after="0" w:line="210" w:lineRule="exact"/>
        <w:rPr>
          <w:sz w:val="20"/>
          <w:szCs w:val="20"/>
          <w:color w:val="auto"/>
        </w:rPr>
      </w:pPr>
    </w:p>
    <w:p>
      <w:pPr>
        <w:ind w:left="740" w:right="3440"/>
        <w:spacing w:after="0" w:line="254" w:lineRule="auto"/>
        <w:rPr>
          <w:sz w:val="20"/>
          <w:szCs w:val="20"/>
          <w:color w:val="auto"/>
        </w:rPr>
      </w:pPr>
      <w:r>
        <w:rPr>
          <w:rFonts w:ascii="Courier New" w:cs="Courier New" w:eastAsia="Courier New" w:hAnsi="Courier New"/>
          <w:sz w:val="17"/>
          <w:szCs w:val="17"/>
          <w:color w:val="auto"/>
        </w:rPr>
        <w:t>The following table reflects the calculation of basic and diluted earnings per share for the 13 and 26 weeks ended February 24, 2001 and February 26, 2000:</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720" w:type="dxa"/>
            <w:vAlign w:val="bottom"/>
            <w:gridSpan w:val="4"/>
          </w:tcPr>
          <w:p>
            <w:pPr>
              <w:ind w:left="1160"/>
              <w:spacing w:after="0"/>
              <w:rPr>
                <w:sz w:val="20"/>
                <w:szCs w:val="20"/>
                <w:color w:val="auto"/>
              </w:rPr>
            </w:pPr>
            <w:r>
              <w:rPr>
                <w:rFonts w:ascii="Courier New" w:cs="Courier New" w:eastAsia="Courier New" w:hAnsi="Courier New"/>
                <w:sz w:val="17"/>
                <w:szCs w:val="17"/>
                <w:color w:val="auto"/>
              </w:rPr>
              <w:t>Thirteen Weeks Ended</w:t>
            </w:r>
          </w:p>
        </w:tc>
        <w:tc>
          <w:tcPr>
            <w:tcW w:w="2980" w:type="dxa"/>
            <w:vAlign w:val="bottom"/>
            <w:gridSpan w:val="4"/>
          </w:tcPr>
          <w:p>
            <w:pPr>
              <w:jc w:val="right"/>
              <w:ind w:right="213"/>
              <w:spacing w:after="0"/>
              <w:rPr>
                <w:sz w:val="20"/>
                <w:szCs w:val="20"/>
                <w:color w:val="auto"/>
              </w:rPr>
            </w:pPr>
            <w:r>
              <w:rPr>
                <w:rFonts w:ascii="Courier New" w:cs="Courier New" w:eastAsia="Courier New" w:hAnsi="Courier New"/>
                <w:sz w:val="17"/>
                <w:szCs w:val="17"/>
                <w:color w:val="auto"/>
              </w:rPr>
              <w:t>Twenty-Six Weeks Ended</w:t>
            </w:r>
          </w:p>
        </w:tc>
      </w:tr>
      <w:tr>
        <w:trPr>
          <w:trHeight w:val="201"/>
        </w:trPr>
        <w:tc>
          <w:tcPr>
            <w:tcW w:w="4820" w:type="dxa"/>
            <w:vAlign w:val="bottom"/>
          </w:tcPr>
          <w:p>
            <w:pPr>
              <w:spacing w:after="0"/>
              <w:rPr>
                <w:sz w:val="17"/>
                <w:szCs w:val="17"/>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0"/>
              </w:rPr>
              <w:t>--------------------------</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17"/>
                <w:szCs w:val="17"/>
                <w:color w:val="auto"/>
              </w:rPr>
            </w:pPr>
          </w:p>
        </w:tc>
        <w:tc>
          <w:tcPr>
            <w:tcW w:w="2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February 24,</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February 26,</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February 24,</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February 26,</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1360" w:type="dxa"/>
            <w:vAlign w:val="bottom"/>
          </w:tcPr>
          <w:p>
            <w:pPr>
              <w:spacing w:after="0"/>
              <w:rPr>
                <w:sz w:val="17"/>
                <w:szCs w:val="17"/>
                <w:color w:val="auto"/>
              </w:rPr>
            </w:pP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2001</w:t>
            </w:r>
          </w:p>
        </w:tc>
        <w:tc>
          <w:tcPr>
            <w:tcW w:w="7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2000</w:t>
            </w:r>
          </w:p>
        </w:tc>
        <w:tc>
          <w:tcPr>
            <w:tcW w:w="74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2001</w:t>
            </w:r>
          </w:p>
        </w:tc>
        <w:tc>
          <w:tcPr>
            <w:tcW w:w="7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4820" w:type="dxa"/>
            <w:vAlign w:val="bottom"/>
          </w:tcPr>
          <w:p>
            <w:pPr>
              <w:spacing w:after="0"/>
              <w:rPr>
                <w:sz w:val="17"/>
                <w:szCs w:val="17"/>
                <w:color w:val="auto"/>
              </w:rPr>
            </w:pPr>
          </w:p>
        </w:tc>
        <w:tc>
          <w:tcPr>
            <w:tcW w:w="2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820" w:type="dxa"/>
            <w:vAlign w:val="bottom"/>
          </w:tcPr>
          <w:p>
            <w:pPr>
              <w:spacing w:after="0"/>
              <w:rPr>
                <w:sz w:val="20"/>
                <w:szCs w:val="20"/>
                <w:color w:val="auto"/>
              </w:rPr>
            </w:pPr>
            <w:r>
              <w:rPr>
                <w:rFonts w:ascii="Courier New" w:cs="Courier New" w:eastAsia="Courier New" w:hAnsi="Courier New"/>
                <w:sz w:val="17"/>
                <w:szCs w:val="17"/>
                <w:color w:val="auto"/>
              </w:rPr>
              <w:t>Earnings per share - basic:</w:t>
            </w: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360" w:type="dxa"/>
            <w:vAlign w:val="bottom"/>
          </w:tcPr>
          <w:p>
            <w:pPr>
              <w:ind w:left="11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6,184</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$ 11,851</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$ 14,730</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$ 24,232</w:t>
            </w:r>
          </w:p>
        </w:tc>
      </w:tr>
      <w:tr>
        <w:trPr>
          <w:trHeight w:val="201"/>
        </w:trPr>
        <w:tc>
          <w:tcPr>
            <w:tcW w:w="4820" w:type="dxa"/>
            <w:vAlign w:val="bottom"/>
          </w:tcPr>
          <w:p>
            <w:pPr>
              <w:spacing w:after="0"/>
              <w:rPr>
                <w:sz w:val="17"/>
                <w:szCs w:val="17"/>
                <w:color w:val="auto"/>
              </w:rPr>
            </w:pPr>
          </w:p>
        </w:tc>
        <w:tc>
          <w:tcPr>
            <w:tcW w:w="2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1360" w:type="dxa"/>
            <w:vAlign w:val="bottom"/>
          </w:tcPr>
          <w:p>
            <w:pPr>
              <w:spacing w:after="0"/>
              <w:rPr>
                <w:sz w:val="17"/>
                <w:szCs w:val="17"/>
                <w:color w:val="auto"/>
              </w:rPr>
            </w:pP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20,576</w:t>
            </w:r>
          </w:p>
        </w:tc>
        <w:tc>
          <w:tcPr>
            <w:tcW w:w="7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21,765</w:t>
            </w:r>
          </w:p>
        </w:tc>
        <w:tc>
          <w:tcPr>
            <w:tcW w:w="74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20,839</w:t>
            </w:r>
          </w:p>
        </w:tc>
        <w:tc>
          <w:tcPr>
            <w:tcW w:w="7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21,946</w:t>
            </w:r>
          </w:p>
        </w:tc>
      </w:tr>
      <w:tr>
        <w:trPr>
          <w:trHeight w:val="403"/>
        </w:trPr>
        <w:tc>
          <w:tcPr>
            <w:tcW w:w="4820" w:type="dxa"/>
            <w:vAlign w:val="bottom"/>
          </w:tcPr>
          <w:p>
            <w:pPr>
              <w:spacing w:after="0"/>
              <w:rPr>
                <w:sz w:val="20"/>
                <w:szCs w:val="20"/>
                <w:color w:val="auto"/>
              </w:rPr>
            </w:pPr>
            <w:r>
              <w:rPr>
                <w:rFonts w:ascii="Courier New" w:cs="Courier New" w:eastAsia="Courier New" w:hAnsi="Courier New"/>
                <w:sz w:val="17"/>
                <w:szCs w:val="17"/>
                <w:color w:val="auto"/>
              </w:rPr>
              <w:t>Earnings per share - basic</w:t>
            </w:r>
          </w:p>
        </w:tc>
        <w:tc>
          <w:tcPr>
            <w:tcW w:w="1360" w:type="dxa"/>
            <w:vAlign w:val="bottom"/>
          </w:tcPr>
          <w:p>
            <w:pPr>
              <w:ind w:left="11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.71</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r>
      <w:tr>
        <w:trPr>
          <w:trHeight w:val="201"/>
        </w:trPr>
        <w:tc>
          <w:tcPr>
            <w:tcW w:w="4820" w:type="dxa"/>
            <w:vAlign w:val="bottom"/>
          </w:tcPr>
          <w:p>
            <w:pPr>
              <w:spacing w:after="0"/>
              <w:rPr>
                <w:sz w:val="17"/>
                <w:szCs w:val="17"/>
                <w:color w:val="auto"/>
              </w:rPr>
            </w:pPr>
          </w:p>
        </w:tc>
        <w:tc>
          <w:tcPr>
            <w:tcW w:w="2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820" w:type="dxa"/>
            <w:vAlign w:val="bottom"/>
          </w:tcPr>
          <w:p>
            <w:pPr>
              <w:spacing w:after="0"/>
              <w:rPr>
                <w:sz w:val="20"/>
                <w:szCs w:val="20"/>
                <w:color w:val="auto"/>
              </w:rPr>
            </w:pPr>
            <w:r>
              <w:rPr>
                <w:rFonts w:ascii="Courier New" w:cs="Courier New" w:eastAsia="Courier New" w:hAnsi="Courier New"/>
                <w:sz w:val="17"/>
                <w:szCs w:val="17"/>
                <w:color w:val="auto"/>
              </w:rPr>
              <w:t>Earnings per share - assuming dilution:</w:t>
            </w: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3"/>
        </w:trPr>
        <w:tc>
          <w:tcPr>
            <w:tcW w:w="48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360" w:type="dxa"/>
            <w:vAlign w:val="bottom"/>
          </w:tcPr>
          <w:p>
            <w:pPr>
              <w:ind w:left="11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6,184</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$ 11,851</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$ 14,730</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$ 24,232</w:t>
            </w:r>
          </w:p>
        </w:tc>
      </w:tr>
      <w:tr>
        <w:trPr>
          <w:trHeight w:val="201"/>
        </w:trPr>
        <w:tc>
          <w:tcPr>
            <w:tcW w:w="4820" w:type="dxa"/>
            <w:vAlign w:val="bottom"/>
          </w:tcPr>
          <w:p>
            <w:pPr>
              <w:spacing w:after="0"/>
              <w:rPr>
                <w:sz w:val="17"/>
                <w:szCs w:val="17"/>
                <w:color w:val="auto"/>
              </w:rPr>
            </w:pPr>
          </w:p>
        </w:tc>
        <w:tc>
          <w:tcPr>
            <w:tcW w:w="2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1360" w:type="dxa"/>
            <w:vAlign w:val="bottom"/>
          </w:tcPr>
          <w:p>
            <w:pPr>
              <w:spacing w:after="0"/>
              <w:rPr>
                <w:sz w:val="17"/>
                <w:szCs w:val="17"/>
                <w:color w:val="auto"/>
              </w:rPr>
            </w:pP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20,576</w:t>
            </w:r>
          </w:p>
        </w:tc>
        <w:tc>
          <w:tcPr>
            <w:tcW w:w="7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21,765</w:t>
            </w:r>
          </w:p>
        </w:tc>
        <w:tc>
          <w:tcPr>
            <w:tcW w:w="74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20,839</w:t>
            </w:r>
          </w:p>
        </w:tc>
        <w:tc>
          <w:tcPr>
            <w:tcW w:w="7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21,946</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Dilutive impact of options outstanding</w:t>
            </w:r>
          </w:p>
        </w:tc>
        <w:tc>
          <w:tcPr>
            <w:tcW w:w="1360" w:type="dxa"/>
            <w:vAlign w:val="bottom"/>
          </w:tcPr>
          <w:p>
            <w:pPr>
              <w:spacing w:after="0"/>
              <w:rPr>
                <w:sz w:val="17"/>
                <w:szCs w:val="17"/>
                <w:color w:val="auto"/>
              </w:rPr>
            </w:pP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306</w:t>
            </w:r>
          </w:p>
        </w:tc>
        <w:tc>
          <w:tcPr>
            <w:tcW w:w="7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369</w:t>
            </w:r>
          </w:p>
        </w:tc>
        <w:tc>
          <w:tcPr>
            <w:tcW w:w="74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243</w:t>
            </w:r>
          </w:p>
        </w:tc>
        <w:tc>
          <w:tcPr>
            <w:tcW w:w="7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393</w:t>
            </w:r>
          </w:p>
        </w:tc>
      </w:tr>
      <w:tr>
        <w:trPr>
          <w:trHeight w:val="201"/>
        </w:trPr>
        <w:tc>
          <w:tcPr>
            <w:tcW w:w="4820" w:type="dxa"/>
            <w:vAlign w:val="bottom"/>
          </w:tcPr>
          <w:p>
            <w:pPr>
              <w:spacing w:after="0"/>
              <w:rPr>
                <w:sz w:val="17"/>
                <w:szCs w:val="17"/>
                <w:color w:val="auto"/>
              </w:rPr>
            </w:pPr>
          </w:p>
        </w:tc>
        <w:tc>
          <w:tcPr>
            <w:tcW w:w="2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Weighted average shares &amp; potential</w:t>
            </w: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4820" w:type="dxa"/>
            <w:vAlign w:val="bottom"/>
          </w:tcPr>
          <w:p>
            <w:pPr>
              <w:ind w:left="420"/>
              <w:spacing w:after="0"/>
              <w:rPr>
                <w:sz w:val="20"/>
                <w:szCs w:val="20"/>
                <w:color w:val="auto"/>
              </w:rPr>
            </w:pPr>
            <w:r>
              <w:rPr>
                <w:rFonts w:ascii="Courier New" w:cs="Courier New" w:eastAsia="Courier New" w:hAnsi="Courier New"/>
                <w:sz w:val="17"/>
                <w:szCs w:val="17"/>
                <w:color w:val="auto"/>
              </w:rPr>
              <w:t>dilutive shares outstanding</w:t>
            </w:r>
          </w:p>
        </w:tc>
        <w:tc>
          <w:tcPr>
            <w:tcW w:w="1360" w:type="dxa"/>
            <w:vAlign w:val="bottom"/>
          </w:tcPr>
          <w:p>
            <w:pPr>
              <w:spacing w:after="0"/>
              <w:rPr>
                <w:sz w:val="17"/>
                <w:szCs w:val="17"/>
                <w:color w:val="auto"/>
              </w:rPr>
            </w:pP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20,882</w:t>
            </w:r>
          </w:p>
        </w:tc>
        <w:tc>
          <w:tcPr>
            <w:tcW w:w="7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22,134</w:t>
            </w:r>
          </w:p>
        </w:tc>
        <w:tc>
          <w:tcPr>
            <w:tcW w:w="74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21,082</w:t>
            </w:r>
          </w:p>
        </w:tc>
        <w:tc>
          <w:tcPr>
            <w:tcW w:w="7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22,339</w:t>
            </w:r>
          </w:p>
        </w:tc>
      </w:tr>
      <w:tr>
        <w:trPr>
          <w:trHeight w:val="201"/>
        </w:trPr>
        <w:tc>
          <w:tcPr>
            <w:tcW w:w="4820" w:type="dxa"/>
            <w:vAlign w:val="bottom"/>
          </w:tcPr>
          <w:p>
            <w:pPr>
              <w:spacing w:after="0"/>
              <w:rPr>
                <w:sz w:val="17"/>
                <w:szCs w:val="17"/>
                <w:color w:val="auto"/>
              </w:rPr>
            </w:pPr>
          </w:p>
        </w:tc>
        <w:tc>
          <w:tcPr>
            <w:tcW w:w="2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820" w:type="dxa"/>
            <w:vAlign w:val="bottom"/>
          </w:tcPr>
          <w:p>
            <w:pPr>
              <w:spacing w:after="0"/>
              <w:rPr>
                <w:sz w:val="20"/>
                <w:szCs w:val="20"/>
                <w:color w:val="auto"/>
              </w:rPr>
            </w:pPr>
            <w:r>
              <w:rPr>
                <w:rFonts w:ascii="Courier New" w:cs="Courier New" w:eastAsia="Courier New" w:hAnsi="Courier New"/>
                <w:sz w:val="17"/>
                <w:szCs w:val="17"/>
                <w:color w:val="auto"/>
              </w:rPr>
              <w:t>Earnings per share - assuming dilution</w:t>
            </w:r>
          </w:p>
        </w:tc>
        <w:tc>
          <w:tcPr>
            <w:tcW w:w="1360" w:type="dxa"/>
            <w:vAlign w:val="bottom"/>
          </w:tcPr>
          <w:p>
            <w:pPr>
              <w:ind w:left="11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1.08</w:t>
            </w:r>
          </w:p>
        </w:tc>
      </w:tr>
      <w:tr>
        <w:trPr>
          <w:trHeight w:val="201"/>
        </w:trPr>
        <w:tc>
          <w:tcPr>
            <w:tcW w:w="4820" w:type="dxa"/>
            <w:vAlign w:val="bottom"/>
          </w:tcPr>
          <w:p>
            <w:pPr>
              <w:spacing w:after="0"/>
              <w:rPr>
                <w:sz w:val="17"/>
                <w:szCs w:val="17"/>
                <w:color w:val="auto"/>
              </w:rPr>
            </w:pPr>
          </w:p>
        </w:tc>
        <w:tc>
          <w:tcPr>
            <w:tcW w:w="2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9:</w:t>
        <w:tab/>
        <w:t>BUSINESS SEGMENT INFORMATION</w:t>
      </w:r>
    </w:p>
    <w:p>
      <w:pPr>
        <w:spacing w:after="0" w:line="210" w:lineRule="exact"/>
        <w:rPr>
          <w:sz w:val="20"/>
          <w:szCs w:val="20"/>
          <w:color w:val="auto"/>
        </w:rPr>
      </w:pPr>
    </w:p>
    <w:p>
      <w:pPr>
        <w:ind w:left="540" w:right="3140"/>
        <w:spacing w:after="0" w:line="251" w:lineRule="auto"/>
        <w:rPr>
          <w:sz w:val="20"/>
          <w:szCs w:val="20"/>
          <w:color w:val="auto"/>
        </w:rPr>
      </w:pPr>
      <w:r>
        <w:rPr>
          <w:rFonts w:ascii="Courier New" w:cs="Courier New" w:eastAsia="Courier New" w:hAnsi="Courier New"/>
          <w:sz w:val="17"/>
          <w:szCs w:val="17"/>
          <w:color w:val="auto"/>
        </w:rPr>
        <w:t>The Company defines its operations into two business segments: Recreational vehicles and other manufactured products and dealer financing. Recreation vehicles and other manufactured products includes all data relative to the manufacturing and selling of the Company's Class A, B and C motor home products as well as sales of component products for other manufacturers and recreation vehicle related parts and service revenue. Dealer financing includes floorplan and rental unit financing for a limited number of the Company's dealers. Management focuses on operating income as a segment's measure of profit or loss when evaluating a segment's financial performance. Operating income is before interest expense, interest income, and income taxes. A variety of balance sheet ratios are used by management to measure the business. Maximizing the return from each segment's assets excluding cash and cash equivalents is the primary focus.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For the 26 weeks ended February 24, 2001 and February 26, 2000, the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Company's segment information is as follows:</w:t>
      </w:r>
    </w:p>
    <w:p>
      <w:pPr>
        <w:spacing w:after="0" w:line="200" w:lineRule="exact"/>
        <w:rPr>
          <w:sz w:val="20"/>
          <w:szCs w:val="20"/>
          <w:color w:val="auto"/>
        </w:rPr>
      </w:pP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3440" w:type="dxa"/>
            <w:vAlign w:val="bottom"/>
          </w:tcPr>
          <w:p>
            <w:pPr>
              <w:spacing w:after="0"/>
              <w:rPr>
                <w:sz w:val="17"/>
                <w:szCs w:val="17"/>
                <w:color w:val="auto"/>
              </w:rPr>
            </w:pPr>
          </w:p>
        </w:tc>
        <w:tc>
          <w:tcPr>
            <w:tcW w:w="2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Recreation Vehicles &amp;</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3440" w:type="dxa"/>
            <w:vAlign w:val="bottom"/>
          </w:tcPr>
          <w:p>
            <w:pPr>
              <w:spacing w:after="0"/>
              <w:rPr>
                <w:sz w:val="17"/>
                <w:szCs w:val="17"/>
                <w:color w:val="auto"/>
              </w:rPr>
            </w:pPr>
          </w:p>
        </w:tc>
        <w:tc>
          <w:tcPr>
            <w:tcW w:w="2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Other Manufactured</w:t>
            </w:r>
          </w:p>
        </w:tc>
        <w:tc>
          <w:tcPr>
            <w:tcW w:w="260" w:type="dxa"/>
            <w:vAlign w:val="bottom"/>
          </w:tcPr>
          <w:p>
            <w:pPr>
              <w:spacing w:after="0"/>
              <w:rPr>
                <w:sz w:val="17"/>
                <w:szCs w:val="17"/>
                <w:color w:val="auto"/>
              </w:rPr>
            </w:pPr>
          </w:p>
        </w:tc>
        <w:tc>
          <w:tcPr>
            <w:tcW w:w="1300" w:type="dxa"/>
            <w:vAlign w:val="bottom"/>
          </w:tcPr>
          <w:p>
            <w:pPr>
              <w:jc w:val="right"/>
              <w:ind w:right="593"/>
              <w:spacing w:after="0"/>
              <w:rPr>
                <w:sz w:val="20"/>
                <w:szCs w:val="20"/>
                <w:color w:val="auto"/>
              </w:rPr>
            </w:pPr>
            <w:r>
              <w:rPr>
                <w:rFonts w:ascii="Courier New" w:cs="Courier New" w:eastAsia="Courier New" w:hAnsi="Courier New"/>
                <w:sz w:val="17"/>
                <w:szCs w:val="17"/>
                <w:color w:val="auto"/>
                <w:w w:val="97"/>
              </w:rPr>
              <w:t>Dealer</w:t>
            </w:r>
          </w:p>
        </w:tc>
        <w:tc>
          <w:tcPr>
            <w:tcW w:w="580" w:type="dxa"/>
            <w:vAlign w:val="bottom"/>
          </w:tcPr>
          <w:p>
            <w:pPr>
              <w:spacing w:after="0"/>
              <w:rPr>
                <w:sz w:val="17"/>
                <w:szCs w:val="17"/>
                <w:color w:val="auto"/>
              </w:rPr>
            </w:pPr>
          </w:p>
        </w:tc>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General</w:t>
            </w:r>
          </w:p>
        </w:tc>
        <w:tc>
          <w:tcPr>
            <w:tcW w:w="1360" w:type="dxa"/>
            <w:vAlign w:val="bottom"/>
          </w:tcPr>
          <w:p>
            <w:pPr>
              <w:spacing w:after="0"/>
              <w:rPr>
                <w:sz w:val="17"/>
                <w:szCs w:val="17"/>
                <w:color w:val="auto"/>
              </w:rPr>
            </w:pPr>
          </w:p>
        </w:tc>
      </w:tr>
      <w:tr>
        <w:trPr>
          <w:trHeight w:val="201"/>
        </w:trPr>
        <w:tc>
          <w:tcPr>
            <w:tcW w:w="344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268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Products</w:t>
            </w:r>
          </w:p>
        </w:tc>
        <w:tc>
          <w:tcPr>
            <w:tcW w:w="15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Financing</w:t>
            </w:r>
          </w:p>
        </w:tc>
        <w:tc>
          <w:tcPr>
            <w:tcW w:w="194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Corporate</w:t>
            </w:r>
          </w:p>
        </w:tc>
        <w:tc>
          <w:tcPr>
            <w:tcW w:w="13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Total</w:t>
            </w:r>
          </w:p>
        </w:tc>
      </w:tr>
      <w:tr>
        <w:trPr>
          <w:trHeight w:val="201"/>
        </w:trPr>
        <w:tc>
          <w:tcPr>
            <w:tcW w:w="34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68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440" w:type="dxa"/>
            <w:vAlign w:val="bottom"/>
          </w:tcPr>
          <w:p>
            <w:pPr>
              <w:spacing w:after="0"/>
              <w:rPr>
                <w:sz w:val="20"/>
                <w:szCs w:val="20"/>
                <w:color w:val="auto"/>
              </w:rPr>
            </w:pPr>
            <w:r>
              <w:rPr>
                <w:rFonts w:ascii="Courier New" w:cs="Courier New" w:eastAsia="Courier New" w:hAnsi="Courier New"/>
                <w:sz w:val="17"/>
                <w:szCs w:val="17"/>
                <w:color w:val="auto"/>
              </w:rPr>
              <w:t>26 Weeks Ended February 24, 2001</w:t>
            </w:r>
          </w:p>
        </w:tc>
        <w:tc>
          <w:tcPr>
            <w:tcW w:w="2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344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268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$304,458</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2,240</w:t>
            </w:r>
          </w:p>
        </w:tc>
        <w:tc>
          <w:tcPr>
            <w:tcW w:w="580" w:type="dxa"/>
            <w:vAlign w:val="bottom"/>
          </w:tcPr>
          <w:p>
            <w:pPr>
              <w:ind w:left="480"/>
              <w:spacing w:after="0"/>
              <w:rPr>
                <w:sz w:val="20"/>
                <w:szCs w:val="20"/>
                <w:color w:val="auto"/>
              </w:rPr>
            </w:pPr>
            <w:r>
              <w:rPr>
                <w:rFonts w:ascii="Courier New" w:cs="Courier New" w:eastAsia="Courier New" w:hAnsi="Courier New"/>
                <w:sz w:val="17"/>
                <w:szCs w:val="17"/>
                <w:color w:val="auto"/>
                <w:w w:val="77"/>
              </w:rPr>
              <w:t>$</w:t>
            </w:r>
          </w:p>
        </w:tc>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$306,698</w:t>
            </w:r>
          </w:p>
        </w:tc>
      </w:tr>
      <w:tr>
        <w:trPr>
          <w:trHeight w:val="201"/>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268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20,162</w:t>
            </w:r>
          </w:p>
        </w:tc>
        <w:tc>
          <w:tcPr>
            <w:tcW w:w="260" w:type="dxa"/>
            <w:vAlign w:val="bottom"/>
          </w:tcPr>
          <w:p>
            <w:pPr>
              <w:spacing w:after="0"/>
              <w:rPr>
                <w:sz w:val="17"/>
                <w:szCs w:val="17"/>
                <w:color w:val="auto"/>
              </w:rPr>
            </w:pPr>
          </w:p>
        </w:tc>
        <w:tc>
          <w:tcPr>
            <w:tcW w:w="13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2,219</w:t>
            </w:r>
          </w:p>
        </w:tc>
        <w:tc>
          <w:tcPr>
            <w:tcW w:w="580" w:type="dxa"/>
            <w:vAlign w:val="bottom"/>
          </w:tcPr>
          <w:p>
            <w:pPr>
              <w:spacing w:after="0"/>
              <w:rPr>
                <w:sz w:val="17"/>
                <w:szCs w:val="17"/>
                <w:color w:val="auto"/>
              </w:rPr>
            </w:pPr>
          </w:p>
        </w:tc>
        <w:tc>
          <w:tcPr>
            <w:tcW w:w="13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(451)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21,930</w:t>
            </w:r>
          </w:p>
        </w:tc>
      </w:tr>
      <w:tr>
        <w:trPr>
          <w:trHeight w:val="201"/>
        </w:trPr>
        <w:tc>
          <w:tcPr>
            <w:tcW w:w="3440" w:type="dxa"/>
            <w:vAlign w:val="bottom"/>
          </w:tcPr>
          <w:p>
            <w:pPr>
              <w:spacing w:after="0"/>
              <w:rPr>
                <w:sz w:val="20"/>
                <w:szCs w:val="20"/>
                <w:color w:val="auto"/>
              </w:rPr>
            </w:pPr>
            <w:r>
              <w:rPr>
                <w:rFonts w:ascii="Courier New" w:cs="Courier New" w:eastAsia="Courier New" w:hAnsi="Courier New"/>
                <w:sz w:val="17"/>
                <w:szCs w:val="17"/>
                <w:color w:val="auto"/>
              </w:rPr>
              <w:t>Identifiable assets</w:t>
            </w:r>
          </w:p>
        </w:tc>
        <w:tc>
          <w:tcPr>
            <w:tcW w:w="268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182,192</w:t>
            </w:r>
          </w:p>
        </w:tc>
        <w:tc>
          <w:tcPr>
            <w:tcW w:w="260" w:type="dxa"/>
            <w:vAlign w:val="bottom"/>
          </w:tcPr>
          <w:p>
            <w:pPr>
              <w:spacing w:after="0"/>
              <w:rPr>
                <w:sz w:val="17"/>
                <w:szCs w:val="17"/>
                <w:color w:val="auto"/>
              </w:rPr>
            </w:pPr>
          </w:p>
        </w:tc>
        <w:tc>
          <w:tcPr>
            <w:tcW w:w="13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38,750</w:t>
            </w:r>
          </w:p>
        </w:tc>
        <w:tc>
          <w:tcPr>
            <w:tcW w:w="580" w:type="dxa"/>
            <w:vAlign w:val="bottom"/>
          </w:tcPr>
          <w:p>
            <w:pPr>
              <w:spacing w:after="0"/>
              <w:rPr>
                <w:sz w:val="17"/>
                <w:szCs w:val="17"/>
                <w:color w:val="auto"/>
              </w:rPr>
            </w:pPr>
          </w:p>
        </w:tc>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90,201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311,143</w:t>
            </w:r>
          </w:p>
        </w:tc>
      </w:tr>
      <w:tr>
        <w:trPr>
          <w:trHeight w:val="403"/>
        </w:trPr>
        <w:tc>
          <w:tcPr>
            <w:tcW w:w="3440" w:type="dxa"/>
            <w:vAlign w:val="bottom"/>
          </w:tcPr>
          <w:p>
            <w:pPr>
              <w:spacing w:after="0"/>
              <w:rPr>
                <w:sz w:val="20"/>
                <w:szCs w:val="20"/>
                <w:color w:val="auto"/>
              </w:rPr>
            </w:pPr>
            <w:r>
              <w:rPr>
                <w:rFonts w:ascii="Courier New" w:cs="Courier New" w:eastAsia="Courier New" w:hAnsi="Courier New"/>
                <w:sz w:val="17"/>
                <w:szCs w:val="17"/>
                <w:color w:val="auto"/>
              </w:rPr>
              <w:t>26 Weeks Ended February 26, 2000</w:t>
            </w:r>
          </w:p>
        </w:tc>
        <w:tc>
          <w:tcPr>
            <w:tcW w:w="2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344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268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$372,719</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1,795</w:t>
            </w:r>
          </w:p>
        </w:tc>
        <w:tc>
          <w:tcPr>
            <w:tcW w:w="580" w:type="dxa"/>
            <w:vAlign w:val="bottom"/>
          </w:tcPr>
          <w:p>
            <w:pPr>
              <w:ind w:left="480"/>
              <w:spacing w:after="0"/>
              <w:rPr>
                <w:sz w:val="20"/>
                <w:szCs w:val="20"/>
                <w:color w:val="auto"/>
              </w:rPr>
            </w:pPr>
            <w:r>
              <w:rPr>
                <w:rFonts w:ascii="Courier New" w:cs="Courier New" w:eastAsia="Courier New" w:hAnsi="Courier New"/>
                <w:sz w:val="17"/>
                <w:szCs w:val="17"/>
                <w:color w:val="auto"/>
                <w:w w:val="77"/>
              </w:rPr>
              <w:t>$</w:t>
            </w:r>
          </w:p>
        </w:tc>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$374,514</w:t>
            </w:r>
          </w:p>
        </w:tc>
      </w:tr>
      <w:tr>
        <w:trPr>
          <w:trHeight w:val="201"/>
        </w:trPr>
        <w:tc>
          <w:tcPr>
            <w:tcW w:w="344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268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33,808</w:t>
            </w:r>
          </w:p>
        </w:tc>
        <w:tc>
          <w:tcPr>
            <w:tcW w:w="260" w:type="dxa"/>
            <w:vAlign w:val="bottom"/>
          </w:tcPr>
          <w:p>
            <w:pPr>
              <w:spacing w:after="0"/>
              <w:rPr>
                <w:sz w:val="17"/>
                <w:szCs w:val="17"/>
                <w:color w:val="auto"/>
              </w:rPr>
            </w:pPr>
          </w:p>
        </w:tc>
        <w:tc>
          <w:tcPr>
            <w:tcW w:w="13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1,739</w:t>
            </w:r>
          </w:p>
        </w:tc>
        <w:tc>
          <w:tcPr>
            <w:tcW w:w="580" w:type="dxa"/>
            <w:vAlign w:val="bottom"/>
          </w:tcPr>
          <w:p>
            <w:pPr>
              <w:spacing w:after="0"/>
              <w:rPr>
                <w:sz w:val="17"/>
                <w:szCs w:val="17"/>
                <w:color w:val="auto"/>
              </w:rPr>
            </w:pPr>
          </w:p>
        </w:tc>
        <w:tc>
          <w:tcPr>
            <w:tcW w:w="13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(484)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35,063</w:t>
            </w:r>
          </w:p>
        </w:tc>
      </w:tr>
      <w:tr>
        <w:trPr>
          <w:trHeight w:val="201"/>
        </w:trPr>
        <w:tc>
          <w:tcPr>
            <w:tcW w:w="3440" w:type="dxa"/>
            <w:vAlign w:val="bottom"/>
          </w:tcPr>
          <w:p>
            <w:pPr>
              <w:spacing w:after="0"/>
              <w:rPr>
                <w:sz w:val="20"/>
                <w:szCs w:val="20"/>
                <w:color w:val="auto"/>
              </w:rPr>
            </w:pPr>
            <w:r>
              <w:rPr>
                <w:rFonts w:ascii="Courier New" w:cs="Courier New" w:eastAsia="Courier New" w:hAnsi="Courier New"/>
                <w:sz w:val="17"/>
                <w:szCs w:val="17"/>
                <w:color w:val="auto"/>
              </w:rPr>
              <w:t>Identifiable assets</w:t>
            </w:r>
          </w:p>
        </w:tc>
        <w:tc>
          <w:tcPr>
            <w:tcW w:w="2680" w:type="dxa"/>
            <w:vAlign w:val="bottom"/>
          </w:tcPr>
          <w:p>
            <w:pPr>
              <w:jc w:val="right"/>
              <w:ind w:right="813"/>
              <w:spacing w:after="0"/>
              <w:rPr>
                <w:sz w:val="20"/>
                <w:szCs w:val="20"/>
                <w:color w:val="auto"/>
              </w:rPr>
            </w:pPr>
            <w:r>
              <w:rPr>
                <w:rFonts w:ascii="Courier New" w:cs="Courier New" w:eastAsia="Courier New" w:hAnsi="Courier New"/>
                <w:sz w:val="17"/>
                <w:szCs w:val="17"/>
                <w:color w:val="auto"/>
              </w:rPr>
              <w:t>183,520</w:t>
            </w:r>
          </w:p>
        </w:tc>
        <w:tc>
          <w:tcPr>
            <w:tcW w:w="260" w:type="dxa"/>
            <w:vAlign w:val="bottom"/>
          </w:tcPr>
          <w:p>
            <w:pPr>
              <w:spacing w:after="0"/>
              <w:rPr>
                <w:sz w:val="17"/>
                <w:szCs w:val="17"/>
                <w:color w:val="auto"/>
              </w:rPr>
            </w:pPr>
          </w:p>
        </w:tc>
        <w:tc>
          <w:tcPr>
            <w:tcW w:w="13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32,466</w:t>
            </w:r>
          </w:p>
        </w:tc>
        <w:tc>
          <w:tcPr>
            <w:tcW w:w="580" w:type="dxa"/>
            <w:vAlign w:val="bottom"/>
          </w:tcPr>
          <w:p>
            <w:pPr>
              <w:spacing w:after="0"/>
              <w:rPr>
                <w:sz w:val="17"/>
                <w:szCs w:val="17"/>
                <w:color w:val="auto"/>
              </w:rPr>
            </w:pPr>
          </w:p>
        </w:tc>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86,905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302,891</w:t>
            </w:r>
          </w:p>
        </w:tc>
      </w:tr>
      <w:tr>
        <w:trPr>
          <w:trHeight w:val="806"/>
        </w:trPr>
        <w:tc>
          <w:tcPr>
            <w:tcW w:w="3440" w:type="dxa"/>
            <w:vAlign w:val="bottom"/>
          </w:tcPr>
          <w:p>
            <w:pPr>
              <w:spacing w:after="0"/>
              <w:rPr>
                <w:sz w:val="24"/>
                <w:szCs w:val="24"/>
                <w:color w:val="auto"/>
              </w:rPr>
            </w:pPr>
          </w:p>
        </w:tc>
        <w:tc>
          <w:tcPr>
            <w:tcW w:w="2680" w:type="dxa"/>
            <w:vAlign w:val="bottom"/>
          </w:tcPr>
          <w:p>
            <w:pPr>
              <w:jc w:val="right"/>
              <w:ind w:right="2373"/>
              <w:spacing w:after="0"/>
              <w:rPr>
                <w:sz w:val="20"/>
                <w:szCs w:val="20"/>
                <w:color w:val="auto"/>
              </w:rPr>
            </w:pPr>
            <w:r>
              <w:rPr>
                <w:rFonts w:ascii="Courier New" w:cs="Courier New" w:eastAsia="Courier New" w:hAnsi="Courier New"/>
                <w:sz w:val="17"/>
                <w:szCs w:val="17"/>
                <w:color w:val="auto"/>
              </w:rPr>
              <w:t>7</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520"/>
          </w:cols>
          <w:pgMar w:left="240" w:top="921" w:right="139"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ITEM 2.</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AND RESULTS OF OPERATIONS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10"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Thirteen Weeks Ended February 24, 2001 Compared to Thirteen Weeks Ended February 26, 2000</w:t>
      </w:r>
    </w:p>
    <w:p>
      <w:pPr>
        <w:spacing w:after="0" w:line="19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Net revenues for recreation vehicles and other manufactured products for the 13 weeks ended February 24, 2001 were $141,320,000, a decrease of $47,323,000, or 25.1 percent from the 13-week period ended February 26, 2000. Motor home unit sales (Class A and C) were 1,804 units, a decrease of 788 units, or 30.4 percent, during the second quarter of fiscal 2001 compared to the second quarter of fiscal 2000. The percentage decrease in net revenues in the second quarter of fiscal 2001 was less than the percentage decrease in motor home unit sales for that period as a result of the Company's sales of more units, as a percentage of the total unit sales, with the higher-priced slideout option during the second quarter of fiscal 2001. Current economic conditions such as higher interest rates and a decline in consumer confidence levels contributed to reductions in unit sales, which resulted in reductions in the Company's net revenues.</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Company's expectations for the current fiscal year remain below the past two fiscal year levels as a result of these factors. However, the long-term outlook for motor home sales continues to appear very favorable. Demographic studies for the United States show continued growth of the recreation vehicle industry's prime target market for the next 30 years. Order backlog for the Company's Class A and Class C motor homes was approximately 1,550 and 2,500 orders at February 24, 2001 and February 26, 2000, respectively.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200" w:lineRule="exact"/>
        <w:rPr>
          <w:sz w:val="20"/>
          <w:szCs w:val="20"/>
          <w:color w:val="auto"/>
        </w:rPr>
      </w:pPr>
    </w:p>
    <w:p>
      <w:pPr>
        <w:spacing w:after="0" w:line="203"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Net revenues for dealer financing of Winnebago Acceptance Corporation (WAC) were $1,211,000 for the 13 weeks ended February 24, 2001; an increase of $286,000, or 30.9 percent from the 13-week period ended February 26, 2000. Increased revenues for dealer financing reflect an increase in dealer receivable balances and to a lesser extent, an increase in interest rates charged when comparing the second quarter of fiscal 2001 to the second quarter of fiscal 2000.</w:t>
      </w:r>
    </w:p>
    <w:p>
      <w:pPr>
        <w:spacing w:after="0" w:line="197"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Gross profit, as a percent of net revenues, was 12.0 percent for the 13 weeks ended February 24, 2001 compared to 15.1 percent for the 13 weeks ended February 26, 2000. The Company's lower volume of production and sales resulted in the lower margins.</w:t>
      </w:r>
    </w:p>
    <w:p>
      <w:pPr>
        <w:spacing w:after="0" w:line="195"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Selling expenses were $5,470,000, or 3.8 percent of net revenues during the second quarter of fiscal 2001 compared to $5,723,000, or 3.0 percent of net revenues during the second quarter of fiscal 2000. The decrease in dollars can be attributed primarily to a reduction in incentives paid to the Company's outside sales staff and to a reduction in Company sponsored promotional programs; these reductions were partially offset by increases in Company advertising costs. The increase in percentage was caused by the decreased sales volume during the second quarter of fiscal 2001.</w:t>
      </w:r>
    </w:p>
    <w:p>
      <w:pPr>
        <w:spacing w:after="0" w:line="201"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General and administrative expenses were $3,146,000, or 2.2 percent of net revenues during the 13 weeks ended February 24, 2001 compared to $5,845,000, or 3.1 percent of net revenues during the 13 weeks ended February 26, 2000. The decreases in dollars and percentage when comparing the two quarters were primarily due to reductions in employee incentive programs and lower legal and insurance costs.</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 had net financial income of $901,000 for the second quarter of fiscal 2001 compared to net financial income of $905,000 for the comparable quarter of fiscal 2000. During the 13 weeks ended February 24, 2001, the Company recorded $917,000 of net interest income and losses of $16,000 in foreign currency transactions. During the 13 weeks ended February 26, 2000, the Company recorded $909,000 of net interest income and losses of $4,000 in foreign currency transactions. The increase in interest income when comparing the two periods was due primarily to larger cash balances available for investing during the second quarter of fiscal 2001.</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9" w:right="1440" w:bottom="457" w:gutter="0" w:footer="0" w:header="0"/>
        </w:sectPr>
      </w:pPr>
    </w:p>
    <w:bookmarkStart w:id="10" w:name="page11"/>
    <w:bookmarkEnd w:id="10"/>
    <w:p>
      <w:pPr>
        <w:ind w:right="2039"/>
        <w:spacing w:after="0" w:line="253" w:lineRule="auto"/>
        <w:rPr>
          <w:sz w:val="20"/>
          <w:szCs w:val="20"/>
          <w:color w:val="auto"/>
        </w:rPr>
      </w:pPr>
      <w:r>
        <w:rPr>
          <w:rFonts w:ascii="Courier New" w:cs="Courier New" w:eastAsia="Courier New" w:hAnsi="Courier New"/>
          <w:sz w:val="17"/>
          <w:szCs w:val="17"/>
          <w:color w:val="auto"/>
        </w:rPr>
        <w:t>The effective income tax rate increased to 34.6 percent during the second quarter of fiscal 2001 from 33.8 percent during the second quarter of fiscal 2000. The primary reason for the increase was due to higher state income taxes during the second quarter of fiscal 2001.</w:t>
      </w:r>
    </w:p>
    <w:p>
      <w:pPr>
        <w:spacing w:after="0" w:line="195"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For the second quarter of fiscal 2001, the Company had net income of $6,184,000, or $.30 per diluted share compared to the second quarter of fiscal 2000's net income of $11,851,000, or $.54 per diluted share. Net income and earnings per diluted share decreased by 47.8 percent and 44.4 percent, respectively, when comparing the second quarter of fiscal 2001 to the second quarter of fiscal 2000. The difference in percentages when comparing the net income to the net earnings per share was due primarily to a lower number of outstanding shares of the Company's common stock at February 24, 2001 (see Note 7).</w:t>
      </w:r>
    </w:p>
    <w:p>
      <w:pPr>
        <w:spacing w:after="0" w:line="201"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Twenty-Six Weeks Ended February 24, 2001 Compared to Twenty-Six Weeks Ended February 26, 2000</w:t>
      </w:r>
    </w:p>
    <w:p>
      <w:pPr>
        <w:spacing w:after="0" w:line="19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Net revenues for manufactured products for the 26 weeks ended February 24, 2001 were $304,458,000, a decrease of $68,261,000, or 18.3 percent from the 26-week period ended February 26, 2000. Motor home unit sales (Class A and C) were 4,001 units, a decrease of 1,216 units, or 23.3 percent during the 26 weeks ended February 24, 2001 when compared to the 26 weeks ended February 26, 2000. The percentage decrease in net revenues during the first half of fiscal 2001 was less than the percentage decrease in motor home unit sales for that period as a result of the Company's sales of more units, as a percentage of the total unit sales, with the higher-priced slideout option during the first half of fiscal 2001. The Company's expectations for the remainder of the fiscal year remain below prior year levels due to current economic conditions. However, the long-term outlook for motor home sales continues to appear very favorable. Demographic studies for the United States show continued growth of the recreation vehicle industry's prime target market for the next 30 years.</w:t>
      </w:r>
    </w:p>
    <w:p>
      <w:pPr>
        <w:spacing w:after="0" w:line="202"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Net revenues for dealer financing of WAC were $2,240,000 for the 26 weeks ended February 24, 2001, an increase of $445,000 or 24.8 percent from the 26-week period ended February 26, 2000. Increased revenues for dealer financing reflect an increase in interest rates charged and to a lesser extent an increase in dealer receivable balances when comparing the first half of fiscal 2001 to the first half of fiscal 2000.</w:t>
      </w:r>
    </w:p>
    <w:p>
      <w:pPr>
        <w:spacing w:after="0" w:line="197"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Gross profit, as a percent of net revenue, was 12.9 percent for the 26 weeks ended February 24, 2001 compared to 15.4 percent for the 26 weeks ended February 26, 2000. The Company's lower volume of production and sales of motor homes resulted in the lower margins.</w:t>
      </w:r>
    </w:p>
    <w:p>
      <w:pPr>
        <w:spacing w:after="0" w:line="195"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Selling expenses were $11,809,000, or 3.9 percent of net revenues during the first six months of fiscal 2001 compared to $12,212,000, or 3.3 percent of net revenues during the first six months of fiscal 2000. The decrease in dollars can be attributed primarily to a reduction in incentives paid to the Company's outside sales staff and to a reduction in Company sponsored promotional programs as well as to reductions in advertising expenses. The increase in percentage was caused by the decreased sales volume during the first six months of fiscal 2001.</w:t>
      </w:r>
    </w:p>
    <w:p>
      <w:pPr>
        <w:spacing w:after="0" w:line="196"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General and administrative expenses were $5,910,000, or 1.9 percent of net revenue during the 26 weeks ended February 24, 2001 compared to $10,445,000, or 2.8 percent of net revenues during the 26 weeks ended February 26, 2000. The decreases in dollars and percentage when comparing the two periods were primarily due to reductions in employee incentive programs and lower insurance and legal costs.</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 had net financial income of $1,872,000 for the first half of fiscal 2001 compared to net financial income of $1,558,000 for the comparable period of fiscal 2000. During the first half of fiscal 2001, the Company recorded $1,869,000 of net interest income and gains of $3,000 in foreign currency transactions. During the first half of fiscal 2000, the Company recorded $1,535,000 of net interest income and gains of $23,000 in foreign currency transactions. The increase in interest income when comparing the two periods was due primarily to higher rates of return earned on available invested cash and larger cash balances during the first half of fiscal 2001.</w:t>
      </w:r>
    </w:p>
    <w:p>
      <w:pPr>
        <w:spacing w:after="0" w:line="201"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The effective income tax rate during the 26 weeks ended February 24, 2001 was 33.7 percent compared to 33.8 percent during the 26 weeks ended February 26, 2000.</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21" w:right="1440" w:bottom="256" w:gutter="0" w:footer="0" w:header="0"/>
        </w:sectPr>
      </w:pPr>
    </w:p>
    <w:bookmarkStart w:id="11" w:name="page12"/>
    <w:bookmarkEnd w:id="11"/>
    <w:p>
      <w:pPr>
        <w:ind w:right="1839"/>
        <w:spacing w:after="0" w:line="253" w:lineRule="auto"/>
        <w:rPr>
          <w:sz w:val="20"/>
          <w:szCs w:val="20"/>
          <w:color w:val="auto"/>
        </w:rPr>
      </w:pPr>
      <w:r>
        <w:rPr>
          <w:rFonts w:ascii="Courier New" w:cs="Courier New" w:eastAsia="Courier New" w:hAnsi="Courier New"/>
          <w:sz w:val="17"/>
          <w:szCs w:val="17"/>
          <w:color w:val="auto"/>
        </w:rPr>
        <w:t>For the 26 weeks ended February 24, 2001, the Company had income before cumulative effect of a change in accounting method (SAB No. 101) of $15,780,000, or $.75 per diluted share. The comparable results for the 26 weeks ended February 26, 2000 was income of $24,232,000, or $1.08 per diluted share.</w:t>
      </w:r>
    </w:p>
    <w:p>
      <w:pPr>
        <w:spacing w:after="0" w:line="195"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The Company adopted SAB No. 101 in fiscal 2001. SAB No. 101 which was issued by the SEC in December 1999 sets forth the views of the SEC concerning revenue recognition, the effect of which on the Company is to record revenue upon receipt of products to dealers rather than upon shipment by the Company. Adoption of SAB 101 during the 26 weeks ended February 24, 2001 resulted in a decrease to the Company's income of $1,050,000, or $.05 per diluted share.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26 weeks ended February 24, 2001, the Company had net income of</w:t>
      </w:r>
    </w:p>
    <w:p>
      <w:pPr>
        <w:spacing w:after="0" w:line="9"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$14,730,000, or $.70 per diluted share compared to the 26 weeks ended February 26, 2000's net income of $24,232,000, or $1.08 per diluted share. Net income and earnings per diluted share decreased by 39.2 percent and 35.2 percent, respectively, when comparing the two periods. The difference in percentages when comparing the net income to the net earnings per share was due primarily to a lower number of outstanding shares of the Company's common stock at February 24, 2001 (see Note 7).</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FINANCIAL CONDITION</w:t>
      </w:r>
    </w:p>
    <w:p>
      <w:pPr>
        <w:spacing w:after="0" w:line="210" w:lineRule="exact"/>
        <w:rPr>
          <w:sz w:val="20"/>
          <w:szCs w:val="20"/>
          <w:color w:val="auto"/>
        </w:rPr>
      </w:pPr>
    </w:p>
    <w:p>
      <w:pPr>
        <w:ind w:right="2779"/>
        <w:spacing w:after="0" w:line="254" w:lineRule="auto"/>
        <w:rPr>
          <w:sz w:val="20"/>
          <w:szCs w:val="20"/>
          <w:color w:val="auto"/>
        </w:rPr>
      </w:pPr>
      <w:r>
        <w:rPr>
          <w:rFonts w:ascii="Courier New" w:cs="Courier New" w:eastAsia="Courier New" w:hAnsi="Courier New"/>
          <w:sz w:val="17"/>
          <w:szCs w:val="17"/>
          <w:color w:val="auto"/>
        </w:rPr>
        <w:t>The Company meets its working capital requirements, capital equipment requirements and cash requirements of subsidiaries with funds generated internally and funds from agreements with financial institutions.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February 24, 2001, working capital was $146,641,000, an increase of</w:t>
      </w:r>
    </w:p>
    <w:p>
      <w:pPr>
        <w:spacing w:after="0" w:line="9"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$4,958,000 from the amount at August 26, 2000. The Company's principal uses of cash during the 26 weeks ended February 24, 2001 were $9,300,000 for the purchase of shares of the Company's Common Stock, $4,795,000 for the purchase of property and equipment and dividend payments of $2,062,000. The Company's sources and uses of cash during the 26 weeks ended February 24, 2001 are set forth in the unaudited consolidated condensed statement of cash flows for that period.</w:t>
      </w:r>
    </w:p>
    <w:p>
      <w:pPr>
        <w:spacing w:after="0" w:line="398"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Principal known demands at February 24, 2001 on the Company's liquid assets for the remainder of fiscal 2001 include approximately $6,000,000 of capital expenditures and payments of cash dividends. In addition, on March 14, 2001, the Board of Directors authorized the repurchase of outstanding shares of the Company's common stock for an aggregate purchase price of up to $15,000,000.</w:t>
      </w:r>
    </w:p>
    <w:p>
      <w:pPr>
        <w:spacing w:after="0" w:line="197"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Management currently expects its cash on hand, funds from operations and borrowings available under existing credit facilities to be sufficient to cover both short-term and long-term operating requirements.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INFORMATION</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availability and price of fuel, significant increase in interest rates, a general slowdown in the economy, availability of chassis, slower than anticipated sales of new or existing products, new product introductions by competitors, collections of dealer receivables, and other factors which may be disclosed throughout this Form 10-Q or in the Company's Annual Report on Form 10-K for the year ended August 26, 2000.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2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ITEM 3.</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QUANTITATIVE AND QUALITATIVE DISCLOSURES ABOUT MARKET RISK</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As of February 24, 2001, the Company had an investment portfolio of fixed income securities, which are classified as cash and cash equivalents of $58.0 million. These securities, like all fixed income investments,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 in such an event.</w:t>
      </w:r>
    </w:p>
    <w:p>
      <w:pPr>
        <w:spacing w:after="0" w:line="196"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As of February 24, 2001, the Company had dealer financing receivables in the amount of $37.9 million. Interest rates charged on these receivables vary based on the prime rate and are adjusted monthly.</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921" w:right="1440" w:bottom="1440" w:gutter="0" w:footer="0" w:header="0"/>
        </w:sectPr>
      </w:pPr>
    </w:p>
    <w:bookmarkStart w:id="13" w:name="page14"/>
    <w:bookmarkEnd w:id="13"/>
    <w:p>
      <w:pPr>
        <w:spacing w:after="0"/>
        <w:tabs>
          <w:tab w:leader="none" w:pos="94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Matters to a Vote of Security Holders</w:t>
      </w:r>
    </w:p>
    <w:p>
      <w:pPr>
        <w:spacing w:after="0" w:line="210" w:lineRule="exact"/>
        <w:rPr>
          <w:sz w:val="20"/>
          <w:szCs w:val="20"/>
          <w:color w:val="auto"/>
        </w:rPr>
      </w:pPr>
    </w:p>
    <w:p>
      <w:pPr>
        <w:ind w:left="1900" w:hanging="950"/>
        <w:spacing w:after="0"/>
        <w:tabs>
          <w:tab w:leader="none" w:pos="19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meeting of shareholders was held January 16, 2001.</w:t>
      </w:r>
    </w:p>
    <w:p>
      <w:pPr>
        <w:spacing w:after="0" w:line="210" w:lineRule="exact"/>
        <w:rPr>
          <w:rFonts w:ascii="Courier New" w:cs="Courier New" w:eastAsia="Courier New" w:hAnsi="Courier New"/>
          <w:sz w:val="17"/>
          <w:szCs w:val="17"/>
          <w:color w:val="auto"/>
        </w:rPr>
      </w:pPr>
    </w:p>
    <w:p>
      <w:pPr>
        <w:ind w:left="1900" w:right="2039" w:hanging="950"/>
        <w:spacing w:after="0" w:line="257" w:lineRule="auto"/>
        <w:tabs>
          <w:tab w:leader="none" w:pos="19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breakdown of votes for the election of two directors was as follows*:</w:t>
      </w:r>
    </w:p>
    <w:p>
      <w:pPr>
        <w:spacing w:after="0" w:line="192" w:lineRule="exact"/>
        <w:rPr>
          <w:sz w:val="20"/>
          <w:szCs w:val="20"/>
          <w:color w:val="auto"/>
        </w:rPr>
      </w:pPr>
    </w:p>
    <w:tbl>
      <w:tblPr>
        <w:tblLayout w:type="fixed"/>
        <w:tblInd w:w="148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780" w:type="dxa"/>
            <w:vAlign w:val="bottom"/>
          </w:tcPr>
          <w:p>
            <w:pPr>
              <w:ind w:left="100"/>
              <w:spacing w:after="0"/>
              <w:rPr>
                <w:sz w:val="20"/>
                <w:szCs w:val="20"/>
                <w:color w:val="auto"/>
              </w:rPr>
            </w:pPr>
            <w:r>
              <w:rPr>
                <w:rFonts w:ascii="Courier New" w:cs="Courier New" w:eastAsia="Courier New" w:hAnsi="Courier New"/>
                <w:sz w:val="17"/>
                <w:szCs w:val="17"/>
                <w:color w:val="auto"/>
              </w:rPr>
              <w:t>Votes Cast For</w:t>
            </w:r>
          </w:p>
        </w:tc>
        <w:tc>
          <w:tcPr>
            <w:tcW w:w="2080" w:type="dxa"/>
            <w:vAlign w:val="bottom"/>
          </w:tcPr>
          <w:p>
            <w:pPr>
              <w:jc w:val="right"/>
              <w:spacing w:after="0"/>
              <w:rPr>
                <w:sz w:val="20"/>
                <w:szCs w:val="20"/>
                <w:color w:val="auto"/>
              </w:rPr>
            </w:pPr>
            <w:r>
              <w:rPr>
                <w:rFonts w:ascii="Courier New" w:cs="Courier New" w:eastAsia="Courier New" w:hAnsi="Courier New"/>
                <w:sz w:val="17"/>
                <w:szCs w:val="17"/>
                <w:color w:val="auto"/>
              </w:rPr>
              <w:t>Authority Withheld</w:t>
            </w:r>
          </w:p>
        </w:tc>
      </w:tr>
      <w:tr>
        <w:trPr>
          <w:trHeight w:val="201"/>
        </w:trPr>
        <w:tc>
          <w:tcPr>
            <w:tcW w:w="2620" w:type="dxa"/>
            <w:vAlign w:val="bottom"/>
          </w:tcPr>
          <w:p>
            <w:pPr>
              <w:spacing w:after="0"/>
              <w:rPr>
                <w:sz w:val="17"/>
                <w:szCs w:val="17"/>
                <w:color w:val="auto"/>
              </w:rPr>
            </w:pP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Joseph W. England (2004)</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18,086,494</w:t>
            </w:r>
          </w:p>
        </w:tc>
        <w:tc>
          <w:tcPr>
            <w:tcW w:w="20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228,257</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Richard C. Scott (2004)</w:t>
            </w: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18,103,235</w:t>
            </w:r>
          </w:p>
        </w:tc>
        <w:tc>
          <w:tcPr>
            <w:tcW w:w="20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211,516</w:t>
            </w:r>
          </w:p>
        </w:tc>
      </w:tr>
    </w:tbl>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 There were no broker non-votes.</w:t>
      </w:r>
    </w:p>
    <w:p>
      <w:pPr>
        <w:spacing w:after="0" w:line="210" w:lineRule="exact"/>
        <w:rPr>
          <w:sz w:val="20"/>
          <w:szCs w:val="20"/>
          <w:color w:val="auto"/>
        </w:rPr>
      </w:pPr>
    </w:p>
    <w:p>
      <w:pPr>
        <w:ind w:left="1480" w:right="2359" w:hanging="530"/>
        <w:spacing w:after="0" w:line="257" w:lineRule="auto"/>
        <w:tabs>
          <w:tab w:leader="none" w:pos="127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Represents year of Annual Meeting that individual's term will expire.</w:t>
      </w:r>
    </w:p>
    <w:p>
      <w:pPr>
        <w:spacing w:after="0" w:line="1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Exhibits and Reports on Form 8-K</w:t>
      </w:r>
    </w:p>
    <w:p>
      <w:pPr>
        <w:spacing w:after="0" w:line="210" w:lineRule="exact"/>
        <w:rPr>
          <w:sz w:val="20"/>
          <w:szCs w:val="20"/>
          <w:color w:val="auto"/>
        </w:rPr>
      </w:pPr>
    </w:p>
    <w:p>
      <w:pPr>
        <w:ind w:left="1480" w:hanging="530"/>
        <w:spacing w:after="0"/>
        <w:tabs>
          <w:tab w:leader="none" w:pos="148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 See Exhibit Index on page 14.</w:t>
      </w:r>
    </w:p>
    <w:p>
      <w:pPr>
        <w:spacing w:after="0" w:line="210" w:lineRule="exact"/>
        <w:rPr>
          <w:rFonts w:ascii="Courier New" w:cs="Courier New" w:eastAsia="Courier New" w:hAnsi="Courier New"/>
          <w:sz w:val="17"/>
          <w:szCs w:val="17"/>
          <w:color w:val="auto"/>
        </w:rPr>
      </w:pPr>
    </w:p>
    <w:p>
      <w:pPr>
        <w:ind w:left="1360" w:right="1939" w:hanging="410"/>
        <w:spacing w:after="0" w:line="257" w:lineRule="auto"/>
        <w:tabs>
          <w:tab w:leader="none" w:pos="13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did not file any reports on Form 8-K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21" w:right="1440" w:bottom="1440" w:gutter="0" w:footer="0" w:header="0"/>
        </w:sectPr>
      </w:pPr>
    </w:p>
    <w:bookmarkStart w:id="14" w:name="page15"/>
    <w:bookmarkEnd w:id="14"/>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jc w:val="both"/>
        <w:ind w:right="2679"/>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921"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April 6, 2001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D. Hertzke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D. Hertzke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Chief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 and President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(Principal Executive Officer)</w:t>
      </w:r>
    </w:p>
    <w:p>
      <w:pPr>
        <w:spacing w:after="0" w:line="200" w:lineRule="exact"/>
        <w:rPr>
          <w:sz w:val="20"/>
          <w:szCs w:val="20"/>
          <w:color w:val="auto"/>
        </w:rPr>
      </w:pPr>
    </w:p>
    <w:p>
      <w:pPr>
        <w:sectPr>
          <w:pgSz w:w="11900" w:h="16838" w:orient="portrait"/>
          <w:cols w:equalWidth="0" w:num="2">
            <w:col w:w="4320" w:space="720"/>
            <w:col w:w="5179"/>
          </w:cols>
          <w:pgMar w:left="240" w:top="921"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April 6,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 Edwin F. Barker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Edwin F. Barker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 Chief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Officer</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(Principal Financial Officer)</w:t>
      </w:r>
    </w:p>
    <w:p>
      <w:pPr>
        <w:sectPr>
          <w:pgSz w:w="11900" w:h="16838" w:orient="portrait"/>
          <w:cols w:equalWidth="0" w:num="2">
            <w:col w:w="4320" w:space="720"/>
            <w:col w:w="5179"/>
          </w:cols>
          <w:pgMar w:left="240" w:top="921" w:right="1440" w:bottom="1440" w:gutter="0" w:footer="0" w:header="0"/>
          <w:type w:val="continuous"/>
        </w:sectPr>
      </w:pPr>
    </w:p>
    <w:bookmarkStart w:id="15" w:name="page16"/>
    <w:bookmarkEnd w:id="15"/>
    <w:p>
      <w:pPr>
        <w:jc w:val="center"/>
        <w:ind w:right="1719"/>
        <w:spacing w:after="0"/>
        <w:rPr>
          <w:sz w:val="20"/>
          <w:szCs w:val="20"/>
          <w:color w:val="auto"/>
        </w:rPr>
      </w:pPr>
      <w:r>
        <w:rPr>
          <w:rFonts w:ascii="Courier New" w:cs="Courier New" w:eastAsia="Courier New" w:hAnsi="Courier New"/>
          <w:sz w:val="17"/>
          <w:szCs w:val="17"/>
          <w:color w:val="auto"/>
        </w:rPr>
        <w:t>EXHIBIT INDEX</w:t>
      </w:r>
    </w:p>
    <w:p>
      <w:pPr>
        <w:spacing w:after="0" w:line="210" w:lineRule="exact"/>
        <w:rPr>
          <w:sz w:val="20"/>
          <w:szCs w:val="20"/>
          <w:color w:val="auto"/>
        </w:rPr>
      </w:pPr>
    </w:p>
    <w:p>
      <w:pPr>
        <w:ind w:left="960" w:right="1939" w:hanging="959"/>
        <w:spacing w:after="0" w:line="254" w:lineRule="auto"/>
        <w:tabs>
          <w:tab w:leader="none" w:pos="940" w:val="left"/>
        </w:tabs>
        <w:rPr>
          <w:sz w:val="20"/>
          <w:szCs w:val="20"/>
          <w:color w:val="auto"/>
        </w:rPr>
      </w:pPr>
      <w:r>
        <w:rPr>
          <w:rFonts w:ascii="Courier New" w:cs="Courier New" w:eastAsia="Courier New" w:hAnsi="Courier New"/>
          <w:sz w:val="17"/>
          <w:szCs w:val="17"/>
          <w:color w:val="auto"/>
        </w:rPr>
        <w:t>4d.</w:t>
      </w:r>
      <w:r>
        <w:rPr>
          <w:sz w:val="20"/>
          <w:szCs w:val="20"/>
          <w:color w:val="auto"/>
        </w:rPr>
        <w:tab/>
      </w:r>
      <w:r>
        <w:rPr>
          <w:rFonts w:ascii="Courier New" w:cs="Courier New" w:eastAsia="Courier New" w:hAnsi="Courier New"/>
          <w:sz w:val="17"/>
          <w:szCs w:val="17"/>
          <w:color w:val="auto"/>
        </w:rPr>
        <w:t>First Amendment dated October 19, 2000 to the Credit Agreement between Winnebago Industries, Inc. and Wells Fargo Bank Iowa, National Association.</w:t>
      </w:r>
    </w:p>
    <w:p>
      <w:pPr>
        <w:spacing w:after="0" w:line="1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10i.</w:t>
      </w:r>
      <w:r>
        <w:rPr>
          <w:sz w:val="20"/>
          <w:szCs w:val="20"/>
          <w:color w:val="auto"/>
        </w:rPr>
        <w:tab/>
      </w:r>
      <w:r>
        <w:rPr>
          <w:rFonts w:ascii="Courier New" w:cs="Courier New" w:eastAsia="Courier New" w:hAnsi="Courier New"/>
          <w:sz w:val="17"/>
          <w:szCs w:val="17"/>
          <w:color w:val="auto"/>
        </w:rPr>
        <w:t>Amendment to Winnebago Industries, Inc. Executive Share Option Plan.</w:t>
      </w:r>
    </w:p>
    <w:p>
      <w:pPr>
        <w:spacing w:after="0" w:line="210" w:lineRule="exact"/>
        <w:rPr>
          <w:sz w:val="20"/>
          <w:szCs w:val="20"/>
          <w:color w:val="auto"/>
        </w:rPr>
      </w:pPr>
    </w:p>
    <w:p>
      <w:pPr>
        <w:ind w:left="960" w:right="2139" w:hanging="959"/>
        <w:spacing w:after="0" w:line="257" w:lineRule="auto"/>
        <w:tabs>
          <w:tab w:leader="none" w:pos="940" w:val="left"/>
        </w:tabs>
        <w:rPr>
          <w:sz w:val="20"/>
          <w:szCs w:val="20"/>
          <w:color w:val="auto"/>
        </w:rPr>
      </w:pPr>
      <w:r>
        <w:rPr>
          <w:rFonts w:ascii="Courier New" w:cs="Courier New" w:eastAsia="Courier New" w:hAnsi="Courier New"/>
          <w:sz w:val="17"/>
          <w:szCs w:val="17"/>
          <w:color w:val="auto"/>
        </w:rPr>
        <w:t>10n.</w:t>
      </w:r>
      <w:r>
        <w:rPr>
          <w:sz w:val="20"/>
          <w:szCs w:val="20"/>
          <w:color w:val="auto"/>
        </w:rPr>
        <w:tab/>
      </w:r>
      <w:r>
        <w:rPr>
          <w:rFonts w:ascii="Courier New" w:cs="Courier New" w:eastAsia="Courier New" w:hAnsi="Courier New"/>
          <w:sz w:val="17"/>
          <w:szCs w:val="17"/>
          <w:color w:val="auto"/>
        </w:rPr>
        <w:t>Executive Change of Control Agreement dated January 17, 2001 between Winnebago Industries, Inc. and Bruce D. Hertzke.</w:t>
      </w:r>
    </w:p>
    <w:p>
      <w:pPr>
        <w:spacing w:after="0" w:line="192" w:lineRule="exact"/>
        <w:rPr>
          <w:sz w:val="20"/>
          <w:szCs w:val="20"/>
          <w:color w:val="auto"/>
        </w:rPr>
      </w:pPr>
    </w:p>
    <w:p>
      <w:pPr>
        <w:ind w:left="960" w:right="2139" w:hanging="959"/>
        <w:spacing w:after="0" w:line="257" w:lineRule="auto"/>
        <w:tabs>
          <w:tab w:leader="none" w:pos="940" w:val="left"/>
        </w:tabs>
        <w:rPr>
          <w:sz w:val="20"/>
          <w:szCs w:val="20"/>
          <w:color w:val="auto"/>
        </w:rPr>
      </w:pPr>
      <w:r>
        <w:rPr>
          <w:rFonts w:ascii="Courier New" w:cs="Courier New" w:eastAsia="Courier New" w:hAnsi="Courier New"/>
          <w:sz w:val="17"/>
          <w:szCs w:val="17"/>
          <w:color w:val="auto"/>
        </w:rPr>
        <w:t>10o.</w:t>
      </w:r>
      <w:r>
        <w:rPr>
          <w:sz w:val="20"/>
          <w:szCs w:val="20"/>
          <w:color w:val="auto"/>
        </w:rPr>
        <w:tab/>
      </w:r>
      <w:r>
        <w:rPr>
          <w:rFonts w:ascii="Courier New" w:cs="Courier New" w:eastAsia="Courier New" w:hAnsi="Courier New"/>
          <w:sz w:val="17"/>
          <w:szCs w:val="17"/>
          <w:color w:val="auto"/>
        </w:rPr>
        <w:t>Executive Change of Control Agreement dated January 17, 2001 between Winnebago Industries, Inc. and Edwin F. Barker.</w:t>
      </w:r>
    </w:p>
    <w:p>
      <w:pPr>
        <w:spacing w:after="0" w:line="192" w:lineRule="exact"/>
        <w:rPr>
          <w:sz w:val="20"/>
          <w:szCs w:val="20"/>
          <w:color w:val="auto"/>
        </w:rPr>
      </w:pPr>
    </w:p>
    <w:p>
      <w:pPr>
        <w:ind w:left="960" w:right="2139" w:hanging="959"/>
        <w:spacing w:after="0" w:line="257" w:lineRule="auto"/>
        <w:tabs>
          <w:tab w:leader="none" w:pos="940" w:val="left"/>
        </w:tabs>
        <w:rPr>
          <w:sz w:val="20"/>
          <w:szCs w:val="20"/>
          <w:color w:val="auto"/>
        </w:rPr>
      </w:pPr>
      <w:r>
        <w:rPr>
          <w:rFonts w:ascii="Courier New" w:cs="Courier New" w:eastAsia="Courier New" w:hAnsi="Courier New"/>
          <w:sz w:val="17"/>
          <w:szCs w:val="17"/>
          <w:color w:val="auto"/>
        </w:rPr>
        <w:t>10p.</w:t>
      </w:r>
      <w:r>
        <w:rPr>
          <w:sz w:val="20"/>
          <w:szCs w:val="20"/>
          <w:color w:val="auto"/>
        </w:rPr>
        <w:tab/>
      </w:r>
      <w:r>
        <w:rPr>
          <w:rFonts w:ascii="Courier New" w:cs="Courier New" w:eastAsia="Courier New" w:hAnsi="Courier New"/>
          <w:sz w:val="17"/>
          <w:szCs w:val="17"/>
          <w:color w:val="auto"/>
        </w:rPr>
        <w:t>Executive Change of Control Agreement dated January 17, 2001 between Winnebago Industries, Inc. and Raymond M. Beebe.</w:t>
      </w:r>
    </w:p>
    <w:p>
      <w:pPr>
        <w:spacing w:after="0" w:line="192" w:lineRule="exact"/>
        <w:rPr>
          <w:sz w:val="20"/>
          <w:szCs w:val="20"/>
          <w:color w:val="auto"/>
        </w:rPr>
      </w:pPr>
    </w:p>
    <w:p>
      <w:pPr>
        <w:ind w:left="960" w:right="2139" w:hanging="959"/>
        <w:spacing w:after="0" w:line="257" w:lineRule="auto"/>
        <w:tabs>
          <w:tab w:leader="none" w:pos="940" w:val="left"/>
        </w:tabs>
        <w:rPr>
          <w:sz w:val="20"/>
          <w:szCs w:val="20"/>
          <w:color w:val="auto"/>
        </w:rPr>
      </w:pPr>
      <w:r>
        <w:rPr>
          <w:rFonts w:ascii="Courier New" w:cs="Courier New" w:eastAsia="Courier New" w:hAnsi="Courier New"/>
          <w:sz w:val="17"/>
          <w:szCs w:val="17"/>
          <w:color w:val="auto"/>
        </w:rPr>
        <w:t>10q.</w:t>
      </w:r>
      <w:r>
        <w:rPr>
          <w:sz w:val="20"/>
          <w:szCs w:val="20"/>
          <w:color w:val="auto"/>
        </w:rPr>
        <w:tab/>
      </w:r>
      <w:r>
        <w:rPr>
          <w:rFonts w:ascii="Courier New" w:cs="Courier New" w:eastAsia="Courier New" w:hAnsi="Courier New"/>
          <w:sz w:val="17"/>
          <w:szCs w:val="17"/>
          <w:color w:val="auto"/>
        </w:rPr>
        <w:t>Executive Change of Control Agreement dated January 17, 2001 between Winnebago Industries, Inc. and Robert L. Gossett.</w:t>
      </w:r>
    </w:p>
    <w:p>
      <w:pPr>
        <w:spacing w:after="0" w:line="192" w:lineRule="exact"/>
        <w:rPr>
          <w:sz w:val="20"/>
          <w:szCs w:val="20"/>
          <w:color w:val="auto"/>
        </w:rPr>
      </w:pPr>
    </w:p>
    <w:p>
      <w:pPr>
        <w:ind w:left="960" w:right="2139" w:hanging="959"/>
        <w:spacing w:after="0" w:line="257" w:lineRule="auto"/>
        <w:tabs>
          <w:tab w:leader="none" w:pos="940" w:val="left"/>
        </w:tabs>
        <w:rPr>
          <w:sz w:val="20"/>
          <w:szCs w:val="20"/>
          <w:color w:val="auto"/>
        </w:rPr>
      </w:pPr>
      <w:r>
        <w:rPr>
          <w:rFonts w:ascii="Courier New" w:cs="Courier New" w:eastAsia="Courier New" w:hAnsi="Courier New"/>
          <w:sz w:val="17"/>
          <w:szCs w:val="17"/>
          <w:color w:val="auto"/>
        </w:rPr>
        <w:t>10r.</w:t>
      </w:r>
      <w:r>
        <w:rPr>
          <w:sz w:val="20"/>
          <w:szCs w:val="20"/>
          <w:color w:val="auto"/>
        </w:rPr>
        <w:tab/>
      </w:r>
      <w:r>
        <w:rPr>
          <w:rFonts w:ascii="Courier New" w:cs="Courier New" w:eastAsia="Courier New" w:hAnsi="Courier New"/>
          <w:sz w:val="17"/>
          <w:szCs w:val="17"/>
          <w:color w:val="auto"/>
        </w:rPr>
        <w:t>Executive Change of Control Agreement dated January 17, 2001 between Winnebago Industries, Inc. and James P. Jaskoviak.</w:t>
      </w:r>
    </w:p>
    <w:p>
      <w:pPr>
        <w:spacing w:after="0" w:line="192" w:lineRule="exact"/>
        <w:rPr>
          <w:sz w:val="20"/>
          <w:szCs w:val="20"/>
          <w:color w:val="auto"/>
        </w:rPr>
      </w:pPr>
    </w:p>
    <w:p>
      <w:pPr>
        <w:ind w:left="960" w:right="2139" w:hanging="959"/>
        <w:spacing w:after="0" w:line="257" w:lineRule="auto"/>
        <w:tabs>
          <w:tab w:leader="none" w:pos="940" w:val="left"/>
        </w:tabs>
        <w:rPr>
          <w:sz w:val="20"/>
          <w:szCs w:val="20"/>
          <w:color w:val="auto"/>
        </w:rPr>
      </w:pPr>
      <w:r>
        <w:rPr>
          <w:rFonts w:ascii="Courier New" w:cs="Courier New" w:eastAsia="Courier New" w:hAnsi="Courier New"/>
          <w:sz w:val="17"/>
          <w:szCs w:val="17"/>
          <w:color w:val="auto"/>
        </w:rPr>
        <w:t>10s.</w:t>
      </w:r>
      <w:r>
        <w:rPr>
          <w:sz w:val="20"/>
          <w:szCs w:val="20"/>
          <w:color w:val="auto"/>
        </w:rPr>
        <w:tab/>
      </w:r>
      <w:r>
        <w:rPr>
          <w:rFonts w:ascii="Courier New" w:cs="Courier New" w:eastAsia="Courier New" w:hAnsi="Courier New"/>
          <w:sz w:val="17"/>
          <w:szCs w:val="17"/>
          <w:color w:val="auto"/>
        </w:rPr>
        <w:t>Executive Change of Control Agreement dated January 17, 2001 between Winnebago Industries, Inc. and Robert J. Olson.</w:t>
      </w:r>
    </w:p>
    <w:p>
      <w:pPr>
        <w:sectPr>
          <w:pgSz w:w="11900" w:h="16838" w:orient="portrait"/>
          <w:cols w:equalWidth="0" w:num="1">
            <w:col w:w="10219"/>
          </w:cols>
          <w:pgMar w:left="240" w:top="921" w:right="1440" w:bottom="1440" w:gutter="0" w:footer="0" w:header="0"/>
        </w:sectPr>
      </w:pPr>
    </w:p>
    <w:bookmarkStart w:id="16" w:name="page17"/>
    <w:bookmarkEnd w:id="16"/>
    <w:p>
      <w:pPr>
        <w:jc w:val="center"/>
        <w:ind w:right="1719"/>
        <w:spacing w:after="0"/>
        <w:rPr>
          <w:sz w:val="20"/>
          <w:szCs w:val="20"/>
          <w:color w:val="auto"/>
        </w:rPr>
      </w:pPr>
      <w:r>
        <w:rPr>
          <w:rFonts w:ascii="Courier New" w:cs="Courier New" w:eastAsia="Courier New" w:hAnsi="Courier New"/>
          <w:sz w:val="17"/>
          <w:szCs w:val="17"/>
          <w:color w:val="auto"/>
        </w:rPr>
        <w:t>EXHIBIT 4d.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FIRST AMENDMENT TO CREDIT AGREEMENT</w:t>
      </w:r>
    </w:p>
    <w:p>
      <w:pPr>
        <w:spacing w:after="0" w:line="210"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This First Amendment to Credit Agreement (the "Amendment") is entered into as of March 19, 2001 by and among WINNEBAGO INDUSTRIES, INC., an Iowa corporation ("Borrower"), WINNEBAGO ACCEPTANCE CORPORATION, an Iowa corporation, WINNEBAGO INTERNATIONAL CORPORATION, a Virgin Islands corporation, WINNEBAGO HEALTH CARE MANAGEMENT COMPANY, an Iowa corporation and WINNEBAGO RV, INCORPORATED, a Delaware corporation (each a "Guarantor" and, together, the "Guarantors") and WELLS FARGO BANK IOWA, NATIONAL ASSOCIATION ("Bank").</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The parties hereto have previously entered into a Credit Agreement dated as of October 19, 2000 (the "Credit Agreement") relating to a Twenty Million Dollar ($20,000,000.00) line of credit. The parties have discovered that the Credit Agreement and relating instruments or documents contain typographical errors which need to be corrected.</w:t>
      </w:r>
    </w:p>
    <w:p>
      <w:pPr>
        <w:spacing w:after="0" w:line="197"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THEREFORE, it is agreed as follows:</w:t>
      </w:r>
    </w:p>
    <w:p>
      <w:pPr>
        <w:spacing w:after="0" w:line="210" w:lineRule="exact"/>
        <w:rPr>
          <w:sz w:val="20"/>
          <w:szCs w:val="20"/>
          <w:color w:val="auto"/>
        </w:rPr>
      </w:pPr>
    </w:p>
    <w:p>
      <w:pPr>
        <w:jc w:val="both"/>
        <w:ind w:right="1839" w:firstLine="950"/>
        <w:spacing w:after="0" w:line="253" w:lineRule="auto"/>
        <w:tabs>
          <w:tab w:leader="none" w:pos="125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reference in the Credit Agreement, the Line of Credit Note, any Guaranty or any other instrument of document referred to in the Credit Agreement to "Wells Fargo Bank, National Association" shall be deemed to be a reference to "Wells Fargo Bank Iowa, National Association."</w:t>
      </w:r>
    </w:p>
    <w:p>
      <w:pPr>
        <w:spacing w:after="0" w:line="195" w:lineRule="exact"/>
        <w:rPr>
          <w:rFonts w:ascii="Courier New" w:cs="Courier New" w:eastAsia="Courier New" w:hAnsi="Courier New"/>
          <w:sz w:val="17"/>
          <w:szCs w:val="17"/>
          <w:color w:val="auto"/>
        </w:rPr>
      </w:pPr>
    </w:p>
    <w:p>
      <w:pPr>
        <w:ind w:right="1839" w:firstLine="950"/>
        <w:spacing w:after="0" w:line="257" w:lineRule="auto"/>
        <w:tabs>
          <w:tab w:leader="none" w:pos="125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reference in Section 4.9(a) to "$150,000.00" is hereby corrected to be a reference to "150,000,000.00."</w:t>
      </w:r>
    </w:p>
    <w:p>
      <w:pPr>
        <w:spacing w:after="0" w:line="191" w:lineRule="exact"/>
        <w:rPr>
          <w:rFonts w:ascii="Courier New" w:cs="Courier New" w:eastAsia="Courier New" w:hAnsi="Courier New"/>
          <w:sz w:val="17"/>
          <w:szCs w:val="17"/>
          <w:color w:val="auto"/>
        </w:rPr>
      </w:pPr>
    </w:p>
    <w:p>
      <w:pPr>
        <w:ind w:right="1839" w:firstLine="950"/>
        <w:spacing w:after="0" w:line="257" w:lineRule="auto"/>
        <w:tabs>
          <w:tab w:leader="none" w:pos="125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Borrower and Guarantors warrant and represent to the Bank that as of the date hereof there exists no default under the Credit Agreement.</w:t>
      </w:r>
    </w:p>
    <w:p>
      <w:pPr>
        <w:spacing w:after="0" w:line="191" w:lineRule="exact"/>
        <w:rPr>
          <w:rFonts w:ascii="Courier New" w:cs="Courier New" w:eastAsia="Courier New" w:hAnsi="Courier New"/>
          <w:sz w:val="17"/>
          <w:szCs w:val="17"/>
          <w:color w:val="auto"/>
        </w:rPr>
      </w:pPr>
    </w:p>
    <w:p>
      <w:pPr>
        <w:ind w:right="1939" w:firstLine="950"/>
        <w:spacing w:after="0" w:line="257" w:lineRule="auto"/>
        <w:tabs>
          <w:tab w:leader="none" w:pos="125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herein modified, the Credit Agreement, the Line of Credit Note and each Guaranty remains unaltered and in full force and effect.</w:t>
      </w:r>
    </w:p>
    <w:p>
      <w:pPr>
        <w:spacing w:after="0" w:line="191" w:lineRule="exact"/>
        <w:rPr>
          <w:rFonts w:ascii="Courier New" w:cs="Courier New" w:eastAsia="Courier New" w:hAnsi="Courier New"/>
          <w:sz w:val="17"/>
          <w:szCs w:val="17"/>
          <w:color w:val="auto"/>
        </w:rPr>
      </w:pPr>
    </w:p>
    <w:p>
      <w:pPr>
        <w:ind w:right="2039" w:firstLine="950"/>
        <w:spacing w:after="0" w:line="257" w:lineRule="auto"/>
        <w:tabs>
          <w:tab w:leader="none" w:pos="125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Borrower and each Guarantor hereby acknowledges receipt of a fully executed copy of this Amendment.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IMPORTANT: READ BEFORE SIGNING. THE TERMS OF THIS AGREEMENT SHOULD BE READ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CAREFULLY BECAUSE ONLY THOSE TERMS IN WRITING ARE ENFORCEABLE. NO OTHER TERMS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ORAL PROMISES NOT CONTAINED IN THIS WRITTEN CONTRACT MAY BE LEGALLY ENFORCED.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 MAY CHANGE THE TERMS OF THIS AGREEMENT ONLY BY ANOTHER WRITTEN AGREEMENT.</w:t>
      </w:r>
    </w:p>
    <w:p>
      <w:pPr>
        <w:spacing w:after="0" w:line="210"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12" w:lineRule="exact"/>
        <w:rPr>
          <w:sz w:val="20"/>
          <w:szCs w:val="20"/>
          <w:color w:val="auto"/>
        </w:rPr>
      </w:pPr>
    </w:p>
    <w:p>
      <w:pPr>
        <w:ind w:left="4300"/>
        <w:spacing w:after="0"/>
        <w:tabs>
          <w:tab w:leader="none" w:pos="4800" w:val="left"/>
        </w:tabs>
        <w:rPr>
          <w:sz w:val="20"/>
          <w:szCs w:val="20"/>
          <w:color w:val="auto"/>
        </w:rPr>
      </w:pPr>
      <w:r>
        <w:rPr>
          <w:rFonts w:ascii="Courier New" w:cs="Courier New" w:eastAsia="Courier New" w:hAnsi="Courier New"/>
          <w:sz w:val="17"/>
          <w:szCs w:val="17"/>
          <w:color w:val="auto"/>
        </w:rPr>
        <w:t>By:</w:t>
        <w:tab/>
        <w:t>/s/ Edwin F. Barker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Edwin F. Barker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Vice President, CFO</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WINNEBAGO ACCEPTANCE CORPORATION</w:t>
      </w:r>
    </w:p>
    <w:p>
      <w:pPr>
        <w:spacing w:after="0" w:line="200" w:lineRule="exact"/>
        <w:rPr>
          <w:sz w:val="20"/>
          <w:szCs w:val="20"/>
          <w:color w:val="auto"/>
        </w:rPr>
      </w:pPr>
    </w:p>
    <w:p>
      <w:pPr>
        <w:spacing w:after="0" w:line="212" w:lineRule="exact"/>
        <w:rPr>
          <w:sz w:val="20"/>
          <w:szCs w:val="20"/>
          <w:color w:val="auto"/>
        </w:rPr>
      </w:pPr>
    </w:p>
    <w:p>
      <w:pPr>
        <w:ind w:left="4300"/>
        <w:spacing w:after="0"/>
        <w:tabs>
          <w:tab w:leader="none" w:pos="4800" w:val="left"/>
        </w:tabs>
        <w:rPr>
          <w:sz w:val="20"/>
          <w:szCs w:val="20"/>
          <w:color w:val="auto"/>
        </w:rPr>
      </w:pPr>
      <w:r>
        <w:rPr>
          <w:rFonts w:ascii="Courier New" w:cs="Courier New" w:eastAsia="Courier New" w:hAnsi="Courier New"/>
          <w:sz w:val="17"/>
          <w:szCs w:val="17"/>
          <w:color w:val="auto"/>
        </w:rPr>
        <w:t>By:</w:t>
        <w:tab/>
        <w:t>/s/ Edwin F. Barker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Edwin F. Barker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Vice President, CFO</w:t>
      </w:r>
    </w:p>
    <w:p>
      <w:pPr>
        <w:spacing w:after="0" w:line="200" w:lineRule="exact"/>
        <w:rPr>
          <w:sz w:val="20"/>
          <w:szCs w:val="20"/>
          <w:color w:val="auto"/>
        </w:rPr>
      </w:pPr>
    </w:p>
    <w:p>
      <w:pPr>
        <w:spacing w:after="0" w:line="212"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WINNEBAGO INTERNATIONAL CORPORATION</w:t>
      </w:r>
    </w:p>
    <w:p>
      <w:pPr>
        <w:spacing w:after="0" w:line="200" w:lineRule="exact"/>
        <w:rPr>
          <w:sz w:val="20"/>
          <w:szCs w:val="20"/>
          <w:color w:val="auto"/>
        </w:rPr>
      </w:pPr>
    </w:p>
    <w:p>
      <w:pPr>
        <w:spacing w:after="0" w:line="212" w:lineRule="exact"/>
        <w:rPr>
          <w:sz w:val="20"/>
          <w:szCs w:val="20"/>
          <w:color w:val="auto"/>
        </w:rPr>
      </w:pPr>
    </w:p>
    <w:p>
      <w:pPr>
        <w:ind w:left="4300"/>
        <w:spacing w:after="0"/>
        <w:tabs>
          <w:tab w:leader="none" w:pos="4800" w:val="left"/>
        </w:tabs>
        <w:rPr>
          <w:sz w:val="20"/>
          <w:szCs w:val="20"/>
          <w:color w:val="auto"/>
        </w:rPr>
      </w:pPr>
      <w:r>
        <w:rPr>
          <w:rFonts w:ascii="Courier New" w:cs="Courier New" w:eastAsia="Courier New" w:hAnsi="Courier New"/>
          <w:sz w:val="17"/>
          <w:szCs w:val="17"/>
          <w:color w:val="auto"/>
        </w:rPr>
        <w:t>By:</w:t>
        <w:tab/>
        <w:t>/s/ Edwin F. Barker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Edwin F. Barker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Vice President, Treasurer</w:t>
      </w:r>
    </w:p>
    <w:p>
      <w:pPr>
        <w:spacing w:after="0" w:line="200" w:lineRule="exact"/>
        <w:rPr>
          <w:sz w:val="20"/>
          <w:szCs w:val="20"/>
          <w:color w:val="auto"/>
        </w:rPr>
      </w:pPr>
    </w:p>
    <w:p>
      <w:pPr>
        <w:spacing w:after="0" w:line="212"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WINNEBAGO HEALTH CARE MANAGEMENT</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ind w:left="4300"/>
        <w:spacing w:after="0"/>
        <w:tabs>
          <w:tab w:leader="none" w:pos="4800" w:val="left"/>
        </w:tabs>
        <w:rPr>
          <w:sz w:val="20"/>
          <w:szCs w:val="20"/>
          <w:color w:val="auto"/>
        </w:rPr>
      </w:pPr>
      <w:r>
        <w:rPr>
          <w:rFonts w:ascii="Courier New" w:cs="Courier New" w:eastAsia="Courier New" w:hAnsi="Courier New"/>
          <w:sz w:val="17"/>
          <w:szCs w:val="17"/>
          <w:color w:val="auto"/>
        </w:rPr>
        <w:t>By:</w:t>
        <w:tab/>
        <w:t>/s/ Edwin F. Barker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Edwin F. Barker</w:t>
      </w:r>
    </w:p>
    <w:p>
      <w:pPr>
        <w:sectPr>
          <w:pgSz w:w="11900" w:h="16838" w:orient="portrait"/>
          <w:cols w:equalWidth="0" w:num="1">
            <w:col w:w="10219"/>
          </w:cols>
          <w:pgMar w:left="240" w:top="142" w:right="1440" w:bottom="0" w:gutter="0" w:footer="0" w:header="0"/>
        </w:sectPr>
      </w:pPr>
    </w:p>
    <w:bookmarkStart w:id="17" w:name="page18"/>
    <w:bookmarkEnd w:id="17"/>
    <w:p>
      <w:pPr>
        <w:jc w:val="center"/>
        <w:ind w:right="-220"/>
        <w:spacing w:after="0"/>
        <w:rPr>
          <w:sz w:val="20"/>
          <w:szCs w:val="20"/>
          <w:color w:val="auto"/>
        </w:rPr>
      </w:pPr>
      <w:r>
        <w:rPr>
          <w:rFonts w:ascii="Courier New" w:cs="Courier New" w:eastAsia="Courier New" w:hAnsi="Courier New"/>
          <w:sz w:val="17"/>
          <w:szCs w:val="17"/>
          <w:color w:val="auto"/>
        </w:rPr>
        <w:t>Vice President, CFO</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7"/>
          <w:szCs w:val="17"/>
          <w:color w:val="auto"/>
        </w:rPr>
        <w:t>WINNEBAGO RV, INCORPORATED</w:t>
      </w:r>
    </w:p>
    <w:p>
      <w:pPr>
        <w:spacing w:after="0" w:line="200" w:lineRule="exact"/>
        <w:rPr>
          <w:sz w:val="20"/>
          <w:szCs w:val="20"/>
          <w:color w:val="auto"/>
        </w:rPr>
      </w:pPr>
    </w:p>
    <w:p>
      <w:pPr>
        <w:spacing w:after="0" w:line="212" w:lineRule="exact"/>
        <w:rPr>
          <w:sz w:val="20"/>
          <w:szCs w:val="20"/>
          <w:color w:val="auto"/>
        </w:rPr>
      </w:pPr>
    </w:p>
    <w:p>
      <w:pPr>
        <w:jc w:val="center"/>
        <w:ind w:right="99"/>
        <w:spacing w:after="0"/>
        <w:tabs>
          <w:tab w:leader="none" w:pos="180" w:val="left"/>
        </w:tabs>
        <w:rPr>
          <w:sz w:val="20"/>
          <w:szCs w:val="20"/>
          <w:color w:val="auto"/>
        </w:rPr>
      </w:pPr>
      <w:r>
        <w:rPr>
          <w:rFonts w:ascii="Courier New" w:cs="Courier New" w:eastAsia="Courier New" w:hAnsi="Courier New"/>
          <w:sz w:val="17"/>
          <w:szCs w:val="17"/>
          <w:color w:val="auto"/>
        </w:rPr>
        <w:t>By:</w:t>
        <w:tab/>
        <w:t>/s/ Edwin F. Barker</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Edwin F. Barker</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Vice President, CFO</w:t>
      </w:r>
    </w:p>
    <w:p>
      <w:pPr>
        <w:spacing w:after="0" w:line="200" w:lineRule="exact"/>
        <w:rPr>
          <w:sz w:val="20"/>
          <w:szCs w:val="20"/>
          <w:color w:val="auto"/>
        </w:rPr>
      </w:pPr>
    </w:p>
    <w:p>
      <w:pPr>
        <w:spacing w:after="0" w:line="212"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WELLS FARGO BANK IOWA, NATIONAL</w:t>
      </w:r>
    </w:p>
    <w:p>
      <w:pPr>
        <w:spacing w:after="0" w:line="9"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ASSOCIATION</w:t>
      </w:r>
    </w:p>
    <w:p>
      <w:pPr>
        <w:spacing w:after="0" w:line="210" w:lineRule="exact"/>
        <w:rPr>
          <w:sz w:val="20"/>
          <w:szCs w:val="20"/>
          <w:color w:val="auto"/>
        </w:rPr>
      </w:pPr>
    </w:p>
    <w:p>
      <w:pPr>
        <w:ind w:left="3100"/>
        <w:spacing w:after="0"/>
        <w:tabs>
          <w:tab w:leader="none" w:pos="39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Michael Wilson</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Michael Wilson</w:t>
      </w:r>
    </w:p>
    <w:p>
      <w:pPr>
        <w:spacing w:after="0" w:line="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Vice President</w:t>
      </w:r>
    </w:p>
    <w:p>
      <w:pPr>
        <w:spacing w:after="0" w:line="200" w:lineRule="exact"/>
        <w:rPr>
          <w:sz w:val="20"/>
          <w:szCs w:val="20"/>
          <w:color w:val="auto"/>
        </w:rPr>
      </w:pPr>
    </w:p>
    <w:p>
      <w:pPr>
        <w:spacing w:after="0" w:line="212"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019"/>
          </w:cols>
          <w:pgMar w:left="1440" w:top="142" w:right="1440" w:bottom="1440" w:gutter="0" w:footer="0" w:header="0"/>
        </w:sectPr>
      </w:pPr>
    </w:p>
    <w:bookmarkStart w:id="18" w:name="page19"/>
    <w:bookmarkEnd w:id="18"/>
    <w:p>
      <w:pPr>
        <w:ind w:left="3560"/>
        <w:spacing w:after="0"/>
        <w:rPr>
          <w:sz w:val="20"/>
          <w:szCs w:val="20"/>
          <w:color w:val="auto"/>
        </w:rPr>
      </w:pPr>
      <w:r>
        <w:rPr>
          <w:rFonts w:ascii="Courier New" w:cs="Courier New" w:eastAsia="Courier New" w:hAnsi="Courier New"/>
          <w:sz w:val="17"/>
          <w:szCs w:val="17"/>
          <w:color w:val="auto"/>
        </w:rPr>
        <w:t>EXHIBIT 10i.</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EXECUTIVE SHARE OPTION PLAN</w:t>
      </w:r>
    </w:p>
    <w:p>
      <w:pPr>
        <w:spacing w:after="0" w:line="200" w:lineRule="exact"/>
        <w:rPr>
          <w:sz w:val="20"/>
          <w:szCs w:val="20"/>
          <w:color w:val="auto"/>
        </w:rPr>
      </w:pPr>
    </w:p>
    <w:p>
      <w:pPr>
        <w:spacing w:after="0" w:line="212"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(Amended and Restated Effective January 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TABLE OF CONTENTS</w:t>
      </w:r>
    </w:p>
    <w:p>
      <w:pPr>
        <w:spacing w:after="0" w:line="210" w:lineRule="exact"/>
        <w:rPr>
          <w:sz w:val="20"/>
          <w:szCs w:val="20"/>
          <w:color w:val="auto"/>
        </w:rPr>
      </w:pPr>
    </w:p>
    <w:p>
      <w:pPr>
        <w:spacing w:after="0"/>
        <w:tabs>
          <w:tab w:leader="none" w:pos="7940" w:val="left"/>
        </w:tabs>
        <w:rPr>
          <w:sz w:val="20"/>
          <w:szCs w:val="20"/>
          <w:color w:val="auto"/>
        </w:rPr>
      </w:pPr>
      <w:r>
        <w:rPr>
          <w:rFonts w:ascii="Courier New" w:cs="Courier New" w:eastAsia="Courier New" w:hAnsi="Courier New"/>
          <w:sz w:val="17"/>
          <w:szCs w:val="17"/>
          <w:color w:val="auto"/>
        </w:rPr>
        <w:t>ARTICLE</w:t>
      </w:r>
      <w:r>
        <w:rPr>
          <w:sz w:val="20"/>
          <w:szCs w:val="20"/>
          <w:color w:val="auto"/>
        </w:rPr>
        <w:tab/>
      </w:r>
      <w:r>
        <w:rPr>
          <w:rFonts w:ascii="Courier New" w:cs="Courier New" w:eastAsia="Courier New" w:hAnsi="Courier New"/>
          <w:sz w:val="17"/>
          <w:szCs w:val="17"/>
          <w:color w:val="auto"/>
        </w:rPr>
        <w:t>PAGE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w:t>
      </w:r>
    </w:p>
    <w:p>
      <w:pPr>
        <w:spacing w:after="0" w:line="9" w:lineRule="exact"/>
        <w:rPr>
          <w:sz w:val="20"/>
          <w:szCs w:val="20"/>
          <w:color w:val="auto"/>
        </w:rPr>
      </w:pPr>
    </w:p>
    <w:p>
      <w:pPr>
        <w:ind w:left="740"/>
        <w:spacing w:after="0"/>
        <w:tabs>
          <w:tab w:leader="dot" w:pos="8260" w:val="left"/>
        </w:tabs>
        <w:rPr>
          <w:sz w:val="20"/>
          <w:szCs w:val="20"/>
          <w:color w:val="auto"/>
        </w:rPr>
      </w:pPr>
      <w:r>
        <w:rPr>
          <w:rFonts w:ascii="Courier New" w:cs="Courier New" w:eastAsia="Courier New" w:hAnsi="Courier New"/>
          <w:sz w:val="17"/>
          <w:szCs w:val="17"/>
          <w:color w:val="auto"/>
        </w:rPr>
        <w:t>PURPOSE</w:t>
      </w:r>
      <w:r>
        <w:rPr>
          <w:sz w:val="20"/>
          <w:szCs w:val="20"/>
          <w:color w:val="auto"/>
        </w:rPr>
        <w:tab/>
      </w:r>
      <w:r>
        <w:rPr>
          <w:rFonts w:ascii="Courier New" w:cs="Courier New" w:eastAsia="Courier New" w:hAnsi="Courier New"/>
          <w:sz w:val="16"/>
          <w:szCs w:val="16"/>
          <w:color w:val="auto"/>
        </w:rPr>
        <w:t>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w:t>
      </w:r>
    </w:p>
    <w:p>
      <w:pPr>
        <w:spacing w:after="0" w:line="9" w:lineRule="exact"/>
        <w:rPr>
          <w:sz w:val="20"/>
          <w:szCs w:val="20"/>
          <w:color w:val="auto"/>
        </w:rPr>
      </w:pPr>
    </w:p>
    <w:p>
      <w:pPr>
        <w:ind w:left="740"/>
        <w:spacing w:after="0"/>
        <w:tabs>
          <w:tab w:leader="dot" w:pos="8260" w:val="left"/>
        </w:tabs>
        <w:rPr>
          <w:sz w:val="20"/>
          <w:szCs w:val="20"/>
          <w:color w:val="auto"/>
        </w:rPr>
      </w:pPr>
      <w:r>
        <w:rPr>
          <w:rFonts w:ascii="Courier New" w:cs="Courier New" w:eastAsia="Courier New" w:hAnsi="Courier New"/>
          <w:sz w:val="17"/>
          <w:szCs w:val="17"/>
          <w:color w:val="auto"/>
        </w:rPr>
        <w:t>DEFINITIONS AND CONSTRUCTION</w:t>
      </w:r>
      <w:r>
        <w:rPr>
          <w:sz w:val="20"/>
          <w:szCs w:val="20"/>
          <w:color w:val="auto"/>
        </w:rPr>
        <w:tab/>
      </w:r>
      <w:r>
        <w:rPr>
          <w:rFonts w:ascii="Courier New" w:cs="Courier New" w:eastAsia="Courier New" w:hAnsi="Courier New"/>
          <w:sz w:val="16"/>
          <w:szCs w:val="16"/>
          <w:color w:val="auto"/>
        </w:rPr>
        <w:t>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III</w:t>
      </w:r>
    </w:p>
    <w:p>
      <w:pPr>
        <w:spacing w:after="0" w:line="9" w:lineRule="exact"/>
        <w:rPr>
          <w:sz w:val="20"/>
          <w:szCs w:val="20"/>
          <w:color w:val="auto"/>
        </w:rPr>
      </w:pPr>
    </w:p>
    <w:p>
      <w:pPr>
        <w:ind w:left="740"/>
        <w:spacing w:after="0"/>
        <w:tabs>
          <w:tab w:leader="dot" w:pos="8260" w:val="left"/>
        </w:tabs>
        <w:rPr>
          <w:sz w:val="20"/>
          <w:szCs w:val="20"/>
          <w:color w:val="auto"/>
        </w:rPr>
      </w:pPr>
      <w:r>
        <w:rPr>
          <w:rFonts w:ascii="Courier New" w:cs="Courier New" w:eastAsia="Courier New" w:hAnsi="Courier New"/>
          <w:sz w:val="17"/>
          <w:szCs w:val="17"/>
          <w:color w:val="auto"/>
        </w:rPr>
        <w:t>OPTION GRANT</w:t>
      </w:r>
      <w:r>
        <w:rPr>
          <w:sz w:val="20"/>
          <w:szCs w:val="20"/>
          <w:color w:val="auto"/>
        </w:rPr>
        <w:tab/>
      </w:r>
      <w:r>
        <w:rPr>
          <w:rFonts w:ascii="Courier New" w:cs="Courier New" w:eastAsia="Courier New" w:hAnsi="Courier New"/>
          <w:sz w:val="16"/>
          <w:szCs w:val="16"/>
          <w:color w:val="auto"/>
        </w:rPr>
        <w:t>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IV</w:t>
      </w:r>
    </w:p>
    <w:p>
      <w:pPr>
        <w:spacing w:after="0" w:line="9" w:lineRule="exact"/>
        <w:rPr>
          <w:sz w:val="20"/>
          <w:szCs w:val="20"/>
          <w:color w:val="auto"/>
        </w:rPr>
      </w:pPr>
    </w:p>
    <w:p>
      <w:pPr>
        <w:ind w:left="740"/>
        <w:spacing w:after="0"/>
        <w:tabs>
          <w:tab w:leader="dot" w:pos="8260" w:val="left"/>
        </w:tabs>
        <w:rPr>
          <w:sz w:val="20"/>
          <w:szCs w:val="20"/>
          <w:color w:val="auto"/>
        </w:rPr>
      </w:pPr>
      <w:r>
        <w:rPr>
          <w:rFonts w:ascii="Courier New" w:cs="Courier New" w:eastAsia="Courier New" w:hAnsi="Courier New"/>
          <w:sz w:val="17"/>
          <w:szCs w:val="17"/>
          <w:color w:val="auto"/>
        </w:rPr>
        <w:t>OPTION EXERCISE</w:t>
      </w:r>
      <w:r>
        <w:rPr>
          <w:sz w:val="20"/>
          <w:szCs w:val="20"/>
          <w:color w:val="auto"/>
        </w:rPr>
        <w:tab/>
      </w:r>
      <w:r>
        <w:rPr>
          <w:rFonts w:ascii="Courier New" w:cs="Courier New" w:eastAsia="Courier New" w:hAnsi="Courier New"/>
          <w:sz w:val="16"/>
          <w:szCs w:val="16"/>
          <w:color w:val="auto"/>
        </w:rPr>
        <w:t>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w:t>
      </w:r>
    </w:p>
    <w:p>
      <w:pPr>
        <w:spacing w:after="0" w:line="9" w:lineRule="exact"/>
        <w:rPr>
          <w:sz w:val="20"/>
          <w:szCs w:val="20"/>
          <w:color w:val="auto"/>
        </w:rPr>
      </w:pPr>
    </w:p>
    <w:p>
      <w:pPr>
        <w:ind w:left="740"/>
        <w:spacing w:after="0"/>
        <w:tabs>
          <w:tab w:leader="dot" w:pos="8160" w:val="left"/>
        </w:tabs>
        <w:rPr>
          <w:sz w:val="20"/>
          <w:szCs w:val="20"/>
          <w:color w:val="auto"/>
        </w:rPr>
      </w:pPr>
      <w:r>
        <w:rPr>
          <w:rFonts w:ascii="Courier New" w:cs="Courier New" w:eastAsia="Courier New" w:hAnsi="Courier New"/>
          <w:sz w:val="17"/>
          <w:szCs w:val="17"/>
          <w:color w:val="auto"/>
        </w:rPr>
        <w:t>AMENDMENT OR TERMINATION</w:t>
      </w:r>
      <w:r>
        <w:rPr>
          <w:sz w:val="20"/>
          <w:szCs w:val="20"/>
          <w:color w:val="auto"/>
        </w:rPr>
        <w:tab/>
      </w:r>
      <w:r>
        <w:rPr>
          <w:rFonts w:ascii="Courier New" w:cs="Courier New" w:eastAsia="Courier New" w:hAnsi="Courier New"/>
          <w:sz w:val="16"/>
          <w:szCs w:val="16"/>
          <w:color w:val="auto"/>
        </w:rPr>
        <w:t>10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w:t>
      </w:r>
    </w:p>
    <w:p>
      <w:pPr>
        <w:spacing w:after="0" w:line="9" w:lineRule="exact"/>
        <w:rPr>
          <w:sz w:val="20"/>
          <w:szCs w:val="20"/>
          <w:color w:val="auto"/>
        </w:rPr>
      </w:pPr>
    </w:p>
    <w:p>
      <w:pPr>
        <w:ind w:left="740"/>
        <w:spacing w:after="0"/>
        <w:tabs>
          <w:tab w:leader="dot" w:pos="8160" w:val="left"/>
        </w:tabs>
        <w:rPr>
          <w:sz w:val="20"/>
          <w:szCs w:val="20"/>
          <w:color w:val="auto"/>
        </w:rPr>
      </w:pPr>
      <w:r>
        <w:rPr>
          <w:rFonts w:ascii="Courier New" w:cs="Courier New" w:eastAsia="Courier New" w:hAnsi="Courier New"/>
          <w:sz w:val="17"/>
          <w:szCs w:val="17"/>
          <w:color w:val="auto"/>
        </w:rPr>
        <w:t>ADMINISTRATION</w:t>
      </w:r>
      <w:r>
        <w:rPr>
          <w:sz w:val="20"/>
          <w:szCs w:val="20"/>
          <w:color w:val="auto"/>
        </w:rPr>
        <w:tab/>
      </w:r>
      <w:r>
        <w:rPr>
          <w:rFonts w:ascii="Courier New" w:cs="Courier New" w:eastAsia="Courier New" w:hAnsi="Courier New"/>
          <w:sz w:val="16"/>
          <w:szCs w:val="16"/>
          <w:color w:val="auto"/>
        </w:rPr>
        <w:t>11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VII</w:t>
      </w:r>
    </w:p>
    <w:p>
      <w:pPr>
        <w:spacing w:after="0" w:line="9" w:lineRule="exact"/>
        <w:rPr>
          <w:sz w:val="20"/>
          <w:szCs w:val="20"/>
          <w:color w:val="auto"/>
        </w:rPr>
      </w:pPr>
    </w:p>
    <w:p>
      <w:pPr>
        <w:ind w:left="740"/>
        <w:spacing w:after="0"/>
        <w:tabs>
          <w:tab w:leader="dot" w:pos="8160" w:val="left"/>
        </w:tabs>
        <w:rPr>
          <w:sz w:val="20"/>
          <w:szCs w:val="20"/>
          <w:color w:val="auto"/>
        </w:rPr>
      </w:pPr>
      <w:r>
        <w:rPr>
          <w:rFonts w:ascii="Courier New" w:cs="Courier New" w:eastAsia="Courier New" w:hAnsi="Courier New"/>
          <w:sz w:val="17"/>
          <w:szCs w:val="17"/>
          <w:color w:val="auto"/>
        </w:rPr>
        <w:t>TRUST PROVISIONS</w:t>
      </w:r>
      <w:r>
        <w:rPr>
          <w:sz w:val="20"/>
          <w:szCs w:val="20"/>
          <w:color w:val="auto"/>
        </w:rPr>
        <w:tab/>
      </w:r>
      <w:r>
        <w:rPr>
          <w:rFonts w:ascii="Courier New" w:cs="Courier New" w:eastAsia="Courier New" w:hAnsi="Courier New"/>
          <w:sz w:val="16"/>
          <w:szCs w:val="16"/>
          <w:color w:val="auto"/>
        </w:rPr>
        <w:t>13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VIII</w:t>
      </w:r>
    </w:p>
    <w:p>
      <w:pPr>
        <w:spacing w:after="0" w:line="9" w:lineRule="exact"/>
        <w:rPr>
          <w:sz w:val="20"/>
          <w:szCs w:val="20"/>
          <w:color w:val="auto"/>
        </w:rPr>
      </w:pPr>
    </w:p>
    <w:p>
      <w:pPr>
        <w:ind w:left="740"/>
        <w:spacing w:after="0"/>
        <w:tabs>
          <w:tab w:leader="dot" w:pos="8160" w:val="left"/>
        </w:tabs>
        <w:rPr>
          <w:sz w:val="20"/>
          <w:szCs w:val="20"/>
          <w:color w:val="auto"/>
        </w:rPr>
      </w:pPr>
      <w:r>
        <w:rPr>
          <w:rFonts w:ascii="Courier New" w:cs="Courier New" w:eastAsia="Courier New" w:hAnsi="Courier New"/>
          <w:sz w:val="17"/>
          <w:szCs w:val="17"/>
          <w:color w:val="auto"/>
        </w:rPr>
        <w:t>MISCELLANEOUS PROVISIONS</w:t>
      </w:r>
      <w:r>
        <w:rPr>
          <w:sz w:val="20"/>
          <w:szCs w:val="20"/>
          <w:color w:val="auto"/>
        </w:rPr>
        <w:tab/>
      </w:r>
      <w:r>
        <w:rPr>
          <w:rFonts w:ascii="Courier New" w:cs="Courier New" w:eastAsia="Courier New" w:hAnsi="Courier New"/>
          <w:sz w:val="16"/>
          <w:szCs w:val="16"/>
          <w:color w:val="auto"/>
        </w:rPr>
        <w:t>13</w:t>
      </w:r>
    </w:p>
    <w:p>
      <w:pPr>
        <w:sectPr>
          <w:pgSz w:w="11900" w:h="16838" w:orient="portrait"/>
          <w:cols w:equalWidth="0" w:num="1">
            <w:col w:w="10219"/>
          </w:cols>
          <w:pgMar w:left="240" w:top="142" w:right="1440" w:bottom="1440" w:gutter="0" w:footer="0" w:header="0"/>
        </w:sectPr>
      </w:pPr>
    </w:p>
    <w:bookmarkStart w:id="19" w:name="page20"/>
    <w:bookmarkEnd w:id="19"/>
    <w:p>
      <w:pPr>
        <w:ind w:left="2840"/>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EXECUTIVE SHARE OPTION PLAN</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ARTICLE I</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PURPOSE</w:t>
      </w:r>
    </w:p>
    <w:p>
      <w:pPr>
        <w:spacing w:after="0" w:line="210"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1.1 PURPOSE. The purpose of the Plan is to provide stock options to certain key individuals, commensurate with their contributions to the success of the Employer, in a form that will provide incentives and rewards for superior performance, encourage the recipients to continue in the employment of the Employer, and allow the recipients to diversify their investment portfolios.</w:t>
      </w:r>
    </w:p>
    <w:p>
      <w:pPr>
        <w:spacing w:after="0" w:line="197"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1.2 INTENT. The Plan is intended to be a nonqualified stock option plan within the meaning of Section 83 of the Code. The Plan is not intended to be a plan covered by the Employee Retirement Income Security Act of 1974, as amended.</w:t>
      </w:r>
    </w:p>
    <w:p>
      <w:pPr>
        <w:spacing w:after="0" w:line="194"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ARTICLE II</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DEFINITIONS AND CONSTRUCTION</w:t>
      </w:r>
    </w:p>
    <w:p>
      <w:pPr>
        <w:spacing w:after="0" w:line="210" w:lineRule="exact"/>
        <w:rPr>
          <w:sz w:val="20"/>
          <w:szCs w:val="20"/>
          <w:color w:val="auto"/>
        </w:rPr>
      </w:pPr>
    </w:p>
    <w:p>
      <w:pPr>
        <w:ind w:right="1939" w:firstLine="943"/>
        <w:spacing w:after="0" w:line="257" w:lineRule="auto"/>
        <w:rPr>
          <w:sz w:val="20"/>
          <w:szCs w:val="20"/>
          <w:color w:val="auto"/>
        </w:rPr>
      </w:pPr>
      <w:r>
        <w:rPr>
          <w:rFonts w:ascii="Courier New" w:cs="Courier New" w:eastAsia="Courier New" w:hAnsi="Courier New"/>
          <w:sz w:val="17"/>
          <w:szCs w:val="17"/>
          <w:color w:val="auto"/>
        </w:rPr>
        <w:t>As used herein, the following capitalized words and phrases shall have the respective meanings set forth below:</w:t>
      </w:r>
    </w:p>
    <w:p>
      <w:pPr>
        <w:spacing w:after="0" w:line="192" w:lineRule="exact"/>
        <w:rPr>
          <w:sz w:val="20"/>
          <w:szCs w:val="20"/>
          <w:color w:val="auto"/>
        </w:rPr>
      </w:pPr>
    </w:p>
    <w:p>
      <w:pPr>
        <w:jc w:val="both"/>
        <w:ind w:right="2879" w:firstLine="943"/>
        <w:spacing w:after="0" w:line="254" w:lineRule="auto"/>
        <w:rPr>
          <w:sz w:val="20"/>
          <w:szCs w:val="20"/>
          <w:color w:val="auto"/>
        </w:rPr>
      </w:pPr>
      <w:r>
        <w:rPr>
          <w:rFonts w:ascii="Courier New" w:cs="Courier New" w:eastAsia="Courier New" w:hAnsi="Courier New"/>
          <w:sz w:val="17"/>
          <w:szCs w:val="17"/>
          <w:color w:val="auto"/>
        </w:rPr>
        <w:t>2.1 "BENEFICIARY" means the person or persons designated by a Participant, pursuant to Section 3.7, to exercise an Option after the Participant's death.</w:t>
      </w:r>
    </w:p>
    <w:p>
      <w:pPr>
        <w:spacing w:after="0" w:line="194"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2.2 "BOARD OF DIRECTORS" OR "BOARD" means the board of directors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Employer.</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2.3 "CHANGE OF CONTROL" for the purposes of the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92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For the purpose of the definition "Change of Control:"</w:t>
      </w:r>
    </w:p>
    <w:p>
      <w:pPr>
        <w:spacing w:after="0" w:line="210" w:lineRule="exact"/>
        <w:rPr>
          <w:sz w:val="20"/>
          <w:szCs w:val="20"/>
          <w:color w:val="auto"/>
        </w:rPr>
      </w:pPr>
    </w:p>
    <w:p>
      <w:pPr>
        <w:ind w:right="1839" w:firstLine="950"/>
        <w:spacing w:after="0" w:line="251" w:lineRule="auto"/>
        <w:tabs>
          <w:tab w:leader="none" w:pos="136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1" w:lineRule="exact"/>
        <w:rPr>
          <w:rFonts w:ascii="Courier New" w:cs="Courier New" w:eastAsia="Courier New" w:hAnsi="Courier New"/>
          <w:sz w:val="17"/>
          <w:szCs w:val="17"/>
          <w:color w:val="auto"/>
        </w:rPr>
      </w:pPr>
    </w:p>
    <w:p>
      <w:pPr>
        <w:ind w:right="1839" w:firstLine="950"/>
        <w:spacing w:after="0" w:line="252" w:lineRule="auto"/>
        <w:tabs>
          <w:tab w:leader="none" w:pos="136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"Acquiring Person" means any person or any individual or group of Affiliates or Associates of such Person who acquires the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96" w:lineRule="exact"/>
        <w:rPr>
          <w:rFonts w:ascii="Courier New" w:cs="Courier New" w:eastAsia="Courier New" w:hAnsi="Courier New"/>
          <w:sz w:val="17"/>
          <w:szCs w:val="17"/>
          <w:color w:val="auto"/>
        </w:rPr>
      </w:pPr>
    </w:p>
    <w:p>
      <w:pPr>
        <w:ind w:right="1939" w:firstLine="950"/>
        <w:spacing w:after="0" w:line="254" w:lineRule="auto"/>
        <w:tabs>
          <w:tab w:leader="none" w:pos="136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means a person that directly or indirectly through one or more intermediaries, controls, or is controlled by, or is under common control with, the person specified.</w:t>
      </w:r>
    </w:p>
    <w:p>
      <w:pPr>
        <w:spacing w:after="0" w:line="194" w:lineRule="exact"/>
        <w:rPr>
          <w:rFonts w:ascii="Courier New" w:cs="Courier New" w:eastAsia="Courier New" w:hAnsi="Courier New"/>
          <w:sz w:val="17"/>
          <w:szCs w:val="17"/>
          <w:color w:val="auto"/>
        </w:rPr>
      </w:pPr>
    </w:p>
    <w:p>
      <w:pPr>
        <w:ind w:right="1839" w:firstLine="950"/>
        <w:spacing w:after="0" w:line="251" w:lineRule="auto"/>
        <w:tabs>
          <w:tab w:leader="none" w:pos="136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any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950"/>
        <w:spacing w:after="0" w:line="252" w:lineRule="auto"/>
        <w:tabs>
          <w:tab w:leader="none" w:pos="136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97"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means Winnebago Industries Inc., an Iowa corporation.</w:t>
      </w:r>
    </w:p>
    <w:p>
      <w:pPr>
        <w:spacing w:after="0" w:line="210" w:lineRule="exact"/>
        <w:rPr>
          <w:rFonts w:ascii="Courier New" w:cs="Courier New" w:eastAsia="Courier New" w:hAnsi="Courier New"/>
          <w:sz w:val="17"/>
          <w:szCs w:val="17"/>
          <w:color w:val="auto"/>
        </w:rPr>
      </w:pPr>
    </w:p>
    <w:p>
      <w:pPr>
        <w:ind w:right="2139" w:firstLine="950"/>
        <w:spacing w:after="0" w:line="254" w:lineRule="auto"/>
        <w:tabs>
          <w:tab w:leader="none" w:pos="136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means an individual, corporation, limited liability company, partnership, association, joint stock company, trust, unincorporated organization or government or political subdivision thereof.</w:t>
      </w:r>
    </w:p>
    <w:p>
      <w:pPr>
        <w:spacing w:after="0" w:line="194" w:lineRule="exact"/>
        <w:rPr>
          <w:sz w:val="20"/>
          <w:szCs w:val="20"/>
          <w:color w:val="auto"/>
        </w:rPr>
      </w:pPr>
    </w:p>
    <w:p>
      <w:pPr>
        <w:ind w:right="2359" w:firstLine="943"/>
        <w:spacing w:after="0" w:line="257" w:lineRule="auto"/>
        <w:rPr>
          <w:sz w:val="20"/>
          <w:szCs w:val="20"/>
          <w:color w:val="auto"/>
        </w:rPr>
      </w:pPr>
      <w:r>
        <w:rPr>
          <w:rFonts w:ascii="Courier New" w:cs="Courier New" w:eastAsia="Courier New" w:hAnsi="Courier New"/>
          <w:sz w:val="17"/>
          <w:szCs w:val="17"/>
          <w:color w:val="auto"/>
        </w:rPr>
        <w:t>2.4 "CODE" means the Internal Revenue Code of 1986, any amendments thereto, and any regulations or rulings issued thereunder.</w:t>
      </w:r>
    </w:p>
    <w:p>
      <w:pPr>
        <w:spacing w:after="0" w:line="192" w:lineRule="exact"/>
        <w:rPr>
          <w:sz w:val="20"/>
          <w:szCs w:val="20"/>
          <w:color w:val="auto"/>
        </w:rPr>
      </w:pPr>
    </w:p>
    <w:p>
      <w:pPr>
        <w:ind w:right="1839" w:firstLine="943"/>
        <w:spacing w:after="0" w:line="257" w:lineRule="auto"/>
        <w:rPr>
          <w:sz w:val="20"/>
          <w:szCs w:val="20"/>
          <w:color w:val="auto"/>
        </w:rPr>
      </w:pPr>
      <w:r>
        <w:rPr>
          <w:rFonts w:ascii="Courier New" w:cs="Courier New" w:eastAsia="Courier New" w:hAnsi="Courier New"/>
          <w:sz w:val="17"/>
          <w:szCs w:val="17"/>
          <w:color w:val="auto"/>
        </w:rPr>
        <w:t>2.5 "COMMITTEE" means the Winnebago Compensation Committee appointed in accordance with Section 6.1.</w:t>
      </w:r>
    </w:p>
    <w:p>
      <w:pPr>
        <w:spacing w:after="0" w:line="192" w:lineRule="exact"/>
        <w:rPr>
          <w:sz w:val="20"/>
          <w:szCs w:val="20"/>
          <w:color w:val="auto"/>
        </w:rPr>
      </w:pPr>
    </w:p>
    <w:p>
      <w:pPr>
        <w:ind w:right="2039" w:firstLine="943"/>
        <w:spacing w:after="0" w:line="254" w:lineRule="auto"/>
        <w:rPr>
          <w:sz w:val="20"/>
          <w:szCs w:val="20"/>
          <w:color w:val="auto"/>
        </w:rPr>
      </w:pPr>
      <w:r>
        <w:rPr>
          <w:rFonts w:ascii="Courier New" w:cs="Courier New" w:eastAsia="Courier New" w:hAnsi="Courier New"/>
          <w:sz w:val="17"/>
          <w:szCs w:val="17"/>
          <w:color w:val="auto"/>
        </w:rPr>
        <w:t>2.6 "EFFECTIVE DATE" means April 1, 1997 as originally adopted by the Board of Directors. The effective date of this amended and restated plan is January 1, 2001.</w:t>
      </w:r>
    </w:p>
    <w:p>
      <w:pPr>
        <w:spacing w:after="0" w:line="194"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2.7 "EMPLOYEE" means any key individual, including, but not limited to, a person in an executive position with the Employer, who is employed by the Employer.</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921" w:right="1440" w:bottom="1440" w:gutter="0" w:footer="0" w:header="0"/>
        </w:sectPr>
      </w:pPr>
    </w:p>
    <w:bookmarkStart w:id="21" w:name="page22"/>
    <w:bookmarkEnd w:id="21"/>
    <w:p>
      <w:pPr>
        <w:ind w:left="960"/>
        <w:spacing w:after="0"/>
        <w:rPr>
          <w:sz w:val="20"/>
          <w:szCs w:val="20"/>
          <w:color w:val="auto"/>
        </w:rPr>
      </w:pPr>
      <w:r>
        <w:rPr>
          <w:rFonts w:ascii="Courier New" w:cs="Courier New" w:eastAsia="Courier New" w:hAnsi="Courier New"/>
          <w:sz w:val="17"/>
          <w:szCs w:val="17"/>
          <w:color w:val="auto"/>
        </w:rPr>
        <w:t>2.8 "EMPLOYER" means Winnebago Industries, Inc. and any successor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thereto.</w:t>
      </w:r>
    </w:p>
    <w:p>
      <w:pPr>
        <w:spacing w:after="0" w:line="210" w:lineRule="exact"/>
        <w:rPr>
          <w:sz w:val="20"/>
          <w:szCs w:val="20"/>
          <w:color w:val="auto"/>
        </w:rPr>
      </w:pPr>
    </w:p>
    <w:p>
      <w:pPr>
        <w:ind w:right="1939" w:firstLine="943"/>
        <w:spacing w:after="0" w:line="257" w:lineRule="auto"/>
        <w:rPr>
          <w:sz w:val="20"/>
          <w:szCs w:val="20"/>
          <w:color w:val="auto"/>
        </w:rPr>
      </w:pPr>
      <w:r>
        <w:rPr>
          <w:rFonts w:ascii="Courier New" w:cs="Courier New" w:eastAsia="Courier New" w:hAnsi="Courier New"/>
          <w:sz w:val="17"/>
          <w:szCs w:val="17"/>
          <w:color w:val="auto"/>
        </w:rPr>
        <w:t>2.9 "ERISA" means the Employee Retirement Income Security Act of 1974, any amendments thereto, and any regulations or rulings issued thereunder.</w:t>
      </w:r>
    </w:p>
    <w:p>
      <w:pPr>
        <w:spacing w:after="0" w:line="192" w:lineRule="exact"/>
        <w:rPr>
          <w:sz w:val="20"/>
          <w:szCs w:val="20"/>
          <w:color w:val="auto"/>
        </w:rPr>
      </w:pPr>
    </w:p>
    <w:p>
      <w:pPr>
        <w:ind w:right="2259" w:firstLine="943"/>
        <w:spacing w:after="0" w:line="257" w:lineRule="auto"/>
        <w:rPr>
          <w:sz w:val="20"/>
          <w:szCs w:val="20"/>
          <w:color w:val="auto"/>
        </w:rPr>
      </w:pPr>
      <w:r>
        <w:rPr>
          <w:rFonts w:ascii="Courier New" w:cs="Courier New" w:eastAsia="Courier New" w:hAnsi="Courier New"/>
          <w:sz w:val="17"/>
          <w:szCs w:val="17"/>
          <w:color w:val="auto"/>
        </w:rPr>
        <w:t>2.10 "EXERCISE DATE" means, with respect to any Option, the date on which the Option is exercised by a Participant.</w:t>
      </w:r>
    </w:p>
    <w:p>
      <w:pPr>
        <w:spacing w:after="0" w:line="192" w:lineRule="exact"/>
        <w:rPr>
          <w:sz w:val="20"/>
          <w:szCs w:val="20"/>
          <w:color w:val="auto"/>
        </w:rPr>
      </w:pPr>
    </w:p>
    <w:p>
      <w:pPr>
        <w:ind w:right="1839" w:firstLine="943"/>
        <w:spacing w:after="0" w:line="257" w:lineRule="auto"/>
        <w:rPr>
          <w:sz w:val="20"/>
          <w:szCs w:val="20"/>
          <w:color w:val="auto"/>
        </w:rPr>
      </w:pPr>
      <w:r>
        <w:rPr>
          <w:rFonts w:ascii="Courier New" w:cs="Courier New" w:eastAsia="Courier New" w:hAnsi="Courier New"/>
          <w:sz w:val="17"/>
          <w:szCs w:val="17"/>
          <w:color w:val="auto"/>
        </w:rPr>
        <w:t>2.11 "EXERCISE PERIOD " means the period during which a Participant may exercise an Option, as determined under Section 4.1.</w:t>
      </w:r>
    </w:p>
    <w:p>
      <w:pPr>
        <w:spacing w:after="0" w:line="192" w:lineRule="exact"/>
        <w:rPr>
          <w:sz w:val="20"/>
          <w:szCs w:val="20"/>
          <w:color w:val="auto"/>
        </w:rPr>
      </w:pPr>
    </w:p>
    <w:p>
      <w:pPr>
        <w:ind w:right="2139" w:firstLine="943"/>
        <w:spacing w:after="0" w:line="257" w:lineRule="auto"/>
        <w:rPr>
          <w:sz w:val="20"/>
          <w:szCs w:val="20"/>
          <w:color w:val="auto"/>
        </w:rPr>
      </w:pPr>
      <w:r>
        <w:rPr>
          <w:rFonts w:ascii="Courier New" w:cs="Courier New" w:eastAsia="Courier New" w:hAnsi="Courier New"/>
          <w:sz w:val="17"/>
          <w:szCs w:val="17"/>
          <w:color w:val="auto"/>
        </w:rPr>
        <w:t>2.12 "EXERCISE PRICE" means the price to be paid by a Participant to exercise an Option, as determined under Section 3.3.</w:t>
      </w:r>
    </w:p>
    <w:p>
      <w:pPr>
        <w:spacing w:after="0" w:line="192" w:lineRule="exact"/>
        <w:rPr>
          <w:sz w:val="20"/>
          <w:szCs w:val="20"/>
          <w:color w:val="auto"/>
        </w:rPr>
      </w:pPr>
    </w:p>
    <w:p>
      <w:pPr>
        <w:ind w:right="1939" w:firstLine="943"/>
        <w:spacing w:after="0" w:line="257" w:lineRule="auto"/>
        <w:rPr>
          <w:sz w:val="20"/>
          <w:szCs w:val="20"/>
          <w:color w:val="auto"/>
        </w:rPr>
      </w:pPr>
      <w:r>
        <w:rPr>
          <w:rFonts w:ascii="Courier New" w:cs="Courier New" w:eastAsia="Courier New" w:hAnsi="Courier New"/>
          <w:sz w:val="17"/>
          <w:szCs w:val="17"/>
          <w:color w:val="auto"/>
        </w:rPr>
        <w:t>2.13 "GRANT DATE" means, with respect to any Option, the date on which the Option Agreement is executed by the Employer and the Participant.</w:t>
      </w:r>
    </w:p>
    <w:p>
      <w:pPr>
        <w:spacing w:after="0" w:line="19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2.14 "MARKET PRICE" means the closing price of a share of Stock reflected in the consolidated trading tables of the Wall Street Journal (presently the NYSE Composite Transactions), or other recognized market source, as determined by the Committee, on the applicable date of reference hereunder, or if there is no sale on such date, then the closing price on the last previous day on which a sale is reported. In the case of open-end mutual fund shares, the Market Price means the net asset value per share as reported by the fund in such publication on the applicable date of reference hereunder.</w:t>
      </w:r>
    </w:p>
    <w:p>
      <w:pPr>
        <w:spacing w:after="0" w:line="201"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2.15 "OPTION" means the right of a Participant, granted by the Employer in accordance with Section 3.2, to purchase Stock from the Employer at the Exercise Price.</w:t>
      </w:r>
    </w:p>
    <w:p>
      <w:pPr>
        <w:spacing w:after="0" w:line="194" w:lineRule="exact"/>
        <w:rPr>
          <w:sz w:val="20"/>
          <w:szCs w:val="20"/>
          <w:color w:val="auto"/>
        </w:rPr>
      </w:pPr>
    </w:p>
    <w:p>
      <w:pPr>
        <w:ind w:right="2039" w:firstLine="943"/>
        <w:spacing w:after="0" w:line="257" w:lineRule="auto"/>
        <w:rPr>
          <w:sz w:val="20"/>
          <w:szCs w:val="20"/>
          <w:color w:val="auto"/>
        </w:rPr>
      </w:pPr>
      <w:r>
        <w:rPr>
          <w:rFonts w:ascii="Courier New" w:cs="Courier New" w:eastAsia="Courier New" w:hAnsi="Courier New"/>
          <w:sz w:val="17"/>
          <w:szCs w:val="17"/>
          <w:color w:val="auto"/>
        </w:rPr>
        <w:t>2.16 "OPTION AGREEMENT" means an agreement setting forth the terms of an Option executed by the Employer and a Participant pursuant to Section 3.2.</w:t>
      </w:r>
    </w:p>
    <w:p>
      <w:pPr>
        <w:spacing w:after="0" w:line="192"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2.17 "PARTICIPANT" means any Employee (i) who meets the eligibility requirements of Section 3.1 or (ii) who has received an award of an Option in accordance with Section 3.2 and whose Option has not been completely exercised or lapsed.</w:t>
      </w:r>
    </w:p>
    <w:p>
      <w:pPr>
        <w:spacing w:after="0" w:line="195" w:lineRule="exact"/>
        <w:rPr>
          <w:sz w:val="20"/>
          <w:szCs w:val="20"/>
          <w:color w:val="auto"/>
        </w:rPr>
      </w:pPr>
    </w:p>
    <w:p>
      <w:pPr>
        <w:ind w:right="1939" w:firstLine="943"/>
        <w:spacing w:after="0" w:line="253" w:lineRule="auto"/>
        <w:rPr>
          <w:sz w:val="20"/>
          <w:szCs w:val="20"/>
          <w:color w:val="auto"/>
        </w:rPr>
      </w:pPr>
      <w:r>
        <w:rPr>
          <w:rFonts w:ascii="Courier New" w:cs="Courier New" w:eastAsia="Courier New" w:hAnsi="Courier New"/>
          <w:sz w:val="17"/>
          <w:szCs w:val="17"/>
          <w:color w:val="auto"/>
        </w:rPr>
        <w:t>For purposes of this Plan, Participants shall be categorized under the following classifications and such additional classifications which shall hereafter be determined by Human Resources Committee of the Board from time to time:</w:t>
      </w:r>
    </w:p>
    <w:p>
      <w:pPr>
        <w:spacing w:after="0" w:line="195" w:lineRule="exact"/>
        <w:rPr>
          <w:sz w:val="20"/>
          <w:szCs w:val="20"/>
          <w:color w:val="auto"/>
        </w:rPr>
      </w:pPr>
    </w:p>
    <w:p>
      <w:pPr>
        <w:ind w:left="1160" w:hanging="629"/>
        <w:spacing w:after="0"/>
        <w:tabs>
          <w:tab w:leader="none" w:pos="11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Chief Executive Officer</w:t>
      </w:r>
    </w:p>
    <w:p>
      <w:pPr>
        <w:spacing w:after="0" w:line="8" w:lineRule="exact"/>
        <w:rPr>
          <w:rFonts w:ascii="Courier New" w:cs="Courier New" w:eastAsia="Courier New" w:hAnsi="Courier New"/>
          <w:sz w:val="17"/>
          <w:szCs w:val="17"/>
          <w:color w:val="auto"/>
        </w:rPr>
      </w:pPr>
    </w:p>
    <w:p>
      <w:pPr>
        <w:ind w:left="1160" w:hanging="629"/>
        <w:spacing w:after="0"/>
        <w:tabs>
          <w:tab w:leader="none" w:pos="11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A Officer</w:t>
      </w:r>
    </w:p>
    <w:p>
      <w:pPr>
        <w:spacing w:after="0" w:line="8" w:lineRule="exact"/>
        <w:rPr>
          <w:rFonts w:ascii="Courier New" w:cs="Courier New" w:eastAsia="Courier New" w:hAnsi="Courier New"/>
          <w:sz w:val="17"/>
          <w:szCs w:val="17"/>
          <w:color w:val="auto"/>
        </w:rPr>
      </w:pPr>
    </w:p>
    <w:p>
      <w:pPr>
        <w:ind w:left="1160" w:hanging="629"/>
        <w:spacing w:after="0"/>
        <w:tabs>
          <w:tab w:leader="none" w:pos="11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B Executive Employees</w:t>
      </w:r>
    </w:p>
    <w:p>
      <w:pPr>
        <w:spacing w:after="0" w:line="8" w:lineRule="exact"/>
        <w:rPr>
          <w:rFonts w:ascii="Courier New" w:cs="Courier New" w:eastAsia="Courier New" w:hAnsi="Courier New"/>
          <w:sz w:val="17"/>
          <w:szCs w:val="17"/>
          <w:color w:val="auto"/>
        </w:rPr>
      </w:pPr>
    </w:p>
    <w:p>
      <w:pPr>
        <w:ind w:left="1160" w:hanging="629"/>
        <w:spacing w:after="0"/>
        <w:tabs>
          <w:tab w:leader="none" w:pos="11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C Management Employees</w:t>
      </w:r>
    </w:p>
    <w:p>
      <w:pPr>
        <w:spacing w:after="0" w:line="210" w:lineRule="exact"/>
        <w:rPr>
          <w:sz w:val="20"/>
          <w:szCs w:val="20"/>
          <w:color w:val="auto"/>
        </w:rPr>
      </w:pPr>
    </w:p>
    <w:p>
      <w:pPr>
        <w:ind w:right="1839" w:firstLine="943"/>
        <w:spacing w:after="0" w:line="257" w:lineRule="auto"/>
        <w:rPr>
          <w:sz w:val="20"/>
          <w:szCs w:val="20"/>
          <w:color w:val="auto"/>
        </w:rPr>
      </w:pPr>
      <w:r>
        <w:rPr>
          <w:rFonts w:ascii="Courier New" w:cs="Courier New" w:eastAsia="Courier New" w:hAnsi="Courier New"/>
          <w:sz w:val="17"/>
          <w:szCs w:val="17"/>
          <w:color w:val="auto"/>
        </w:rPr>
        <w:t>2.18 "PLAN" means the Winnebago Industries, Inc. Executive Share Option Plan, as set forth herein and from time to time amended.</w:t>
      </w:r>
    </w:p>
    <w:p>
      <w:pPr>
        <w:spacing w:after="0" w:line="192"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2.19 "STOCK" means shares of common or preferred stock of a corporation listed on a national securities exchange (exclusive of the stock of Winnebago Industries, Inc.) or NASDAQ, or shares of a regulated investment company designated by the Committee as subject to purchase through the exercise of an Option.</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21" w:right="1440" w:bottom="1440" w:gutter="0" w:footer="0" w:header="0"/>
        </w:sectPr>
      </w:pPr>
    </w:p>
    <w:bookmarkStart w:id="22" w:name="page23"/>
    <w:bookmarkEnd w:id="22"/>
    <w:p>
      <w:pPr>
        <w:ind w:right="2039" w:firstLine="943"/>
        <w:spacing w:after="0" w:line="252" w:lineRule="auto"/>
        <w:rPr>
          <w:sz w:val="20"/>
          <w:szCs w:val="20"/>
          <w:color w:val="auto"/>
        </w:rPr>
      </w:pPr>
      <w:r>
        <w:rPr>
          <w:rFonts w:ascii="Courier New" w:cs="Courier New" w:eastAsia="Courier New" w:hAnsi="Courier New"/>
          <w:sz w:val="17"/>
          <w:szCs w:val="17"/>
          <w:color w:val="auto"/>
        </w:rPr>
        <w:t>2.20 "TERMINATION OF EMPLOYMENT" means an Employee's separation from the service of the Employer (including all subsidiaries and affiliates of the Employer) by reason of resignation, discharge, death or other termination. The Committee may, in its discretion, determine whether any leave or other absence from service constitutes a Termination of Employment for purposes of the Plan.</w:t>
      </w:r>
    </w:p>
    <w:p>
      <w:pPr>
        <w:spacing w:after="0" w:line="197" w:lineRule="exact"/>
        <w:rPr>
          <w:sz w:val="20"/>
          <w:szCs w:val="20"/>
          <w:color w:val="auto"/>
        </w:rPr>
      </w:pPr>
    </w:p>
    <w:p>
      <w:pPr>
        <w:ind w:right="2139" w:firstLine="943"/>
        <w:spacing w:after="0" w:line="257" w:lineRule="auto"/>
        <w:rPr>
          <w:sz w:val="20"/>
          <w:szCs w:val="20"/>
          <w:color w:val="auto"/>
        </w:rPr>
      </w:pPr>
      <w:r>
        <w:rPr>
          <w:rFonts w:ascii="Courier New" w:cs="Courier New" w:eastAsia="Courier New" w:hAnsi="Courier New"/>
          <w:sz w:val="17"/>
          <w:szCs w:val="17"/>
          <w:color w:val="auto"/>
        </w:rPr>
        <w:t>2.21 "TRUST" means the trust established pursuant to Article VII to hold the Stock that is subject to purchase through the exercise of an Option.</w:t>
      </w:r>
    </w:p>
    <w:p>
      <w:pPr>
        <w:spacing w:after="0" w:line="192" w:lineRule="exact"/>
        <w:rPr>
          <w:sz w:val="20"/>
          <w:szCs w:val="20"/>
          <w:color w:val="auto"/>
        </w:rPr>
      </w:pPr>
    </w:p>
    <w:p>
      <w:pPr>
        <w:ind w:right="2139" w:firstLine="943"/>
        <w:spacing w:after="0" w:line="257" w:lineRule="auto"/>
        <w:rPr>
          <w:sz w:val="20"/>
          <w:szCs w:val="20"/>
          <w:color w:val="auto"/>
        </w:rPr>
      </w:pPr>
      <w:r>
        <w:rPr>
          <w:rFonts w:ascii="Courier New" w:cs="Courier New" w:eastAsia="Courier New" w:hAnsi="Courier New"/>
          <w:sz w:val="17"/>
          <w:szCs w:val="17"/>
          <w:color w:val="auto"/>
        </w:rPr>
        <w:t>2.22 "TRUST AGREEMENT" means an agreement setting forth the terms of the Trust established pursuant to Article VII.</w:t>
      </w:r>
    </w:p>
    <w:p>
      <w:pPr>
        <w:spacing w:after="0" w:line="192"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2.23 "TRUST FUND" means the Stock subject to an Option that is held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Trust</w:t>
      </w:r>
    </w:p>
    <w:p>
      <w:pPr>
        <w:spacing w:after="0" w:line="210" w:lineRule="exact"/>
        <w:rPr>
          <w:sz w:val="20"/>
          <w:szCs w:val="20"/>
          <w:color w:val="auto"/>
        </w:rPr>
      </w:pPr>
    </w:p>
    <w:p>
      <w:pPr>
        <w:ind w:right="2139" w:firstLine="943"/>
        <w:spacing w:after="0" w:line="257" w:lineRule="auto"/>
        <w:rPr>
          <w:sz w:val="20"/>
          <w:szCs w:val="20"/>
          <w:color w:val="auto"/>
        </w:rPr>
      </w:pPr>
      <w:r>
        <w:rPr>
          <w:rFonts w:ascii="Courier New" w:cs="Courier New" w:eastAsia="Courier New" w:hAnsi="Courier New"/>
          <w:sz w:val="17"/>
          <w:szCs w:val="17"/>
          <w:color w:val="auto"/>
        </w:rPr>
        <w:t>2.24 "TRUSTEE" means the persons or institution acting as trustee of the Trust.</w:t>
      </w:r>
    </w:p>
    <w:p>
      <w:pPr>
        <w:spacing w:after="0" w:line="3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III</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OPTION GRANT</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3.1 ELIGIBILITY. Options may be granted to any Employee selected by the Human Resources Committee of the Board of Directors from the key Employees of the Employer who have the capability of making a substantial contribution to the success of the Employer. In making this selection, the Human Resources Committee of the Board of Directors shall consider any factors that it deems relevant, including the individual's functions, responsibilities, value of services to the Employer and past and potential contributions to the Employer's profitability and growth. Participation shall commence on the next day following the last Saturday of November, February, May, or August subsequent to an Employee's selection by the Human Resources Committee of the Board of Directors.</w:t>
      </w:r>
    </w:p>
    <w:p>
      <w:pPr>
        <w:spacing w:after="0" w:line="201"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3.2 GRANT OF OPTIONS. Options may be granted by the Committee at any time on or after the Effective Date and prior to the termination of the Plan. Options may be granted, at the discretion of the Committee, in the form of outright awards, in exchange for a specified amount of the future compensation or bonus of the Participant, or in return for the Participant's agreement to relinquish rights to unfunded, nonqualified deferred compensation that he or she has accrued but does not have a current right to receive. While a Participant may agree to exchange all or a portion of any future bonus or incentive compensation payable to him or her for an Option, in the manner prescribed by the Committee and prior to the fiscal year in which such compensation is earned, the maximum percentage of future base compensation which a Participant may exchange for an Option during a calendar year shall not exceed 30 percent. No Committee member may take part in any way in determining the amount of any award of an Opinion to himself or herself.</w:t>
      </w:r>
    </w:p>
    <w:p>
      <w:pPr>
        <w:spacing w:after="0" w:line="202" w:lineRule="exact"/>
        <w:rPr>
          <w:sz w:val="20"/>
          <w:szCs w:val="20"/>
          <w:color w:val="auto"/>
        </w:rPr>
      </w:pPr>
    </w:p>
    <w:p>
      <w:pPr>
        <w:ind w:right="1839" w:firstLine="950"/>
        <w:spacing w:after="0" w:line="251" w:lineRule="auto"/>
        <w:tabs>
          <w:tab w:leader="none" w:pos="136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SUBMISSION OF REQUESTS TO EXCHANGE COMPENSATION. Any specified exchange of future base compensation or bonus by a Participant for an Option must be executed by the Participant and the Committee before the beginning of the calendar year in which the base compensation will be earned or before the fiscal year in which the bonus will be earned. In the case of a newly eligible Participant, such specified initial request to exchange compensation shall be filed with the Committee within 30 days following the effective date of his or her Plan eligibility and prior to the rendition of any services to which any exchanged base compensation pertains or prior to the commencement of any quarterly fiscal period beginning on the next day following the last Saturday of November, February, May, and August with respect to any specified exchanges of quarterly bonuses.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122" w:right="1440" w:bottom="1440" w:gutter="0" w:footer="0" w:header="0"/>
        </w:sectPr>
      </w:pPr>
    </w:p>
    <w:bookmarkStart w:id="23" w:name="page24"/>
    <w:bookmarkEnd w:id="23"/>
    <w:p>
      <w:pPr>
        <w:ind w:right="1839" w:firstLine="950"/>
        <w:spacing w:after="0" w:line="253" w:lineRule="auto"/>
        <w:tabs>
          <w:tab w:leader="none" w:pos="136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DATE AND OPTION AGREEMENT. Options granted in exchange for a specified amount of the future base compensation of the Participant shall be granted in January of each year and shall reflect the requested exchange of base compensation of the Participant for the calendar year.</w:t>
      </w:r>
    </w:p>
    <w:p>
      <w:pPr>
        <w:spacing w:after="0" w:line="195"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Options granted in exchange for a specified amount of the future bonus of the Participant shall be granted quarterly following the determination of such bonus as of the last Saturday in November, February, May, and August of each fiscal year and shall reflect the requested exchange of bonus of the Participant for the fiscal quarter (excluding any fiscal quarter during which a Participant's Termination of Employment occurs). Options granted in the form of outright awards or in exchange for the Participant's agreement to relinquish rights to nonqualified deferred compensation which the Participant does not have a current right to receive may be granted to Participant at any time at the discretion of the Committee.</w:t>
      </w:r>
    </w:p>
    <w:p>
      <w:pPr>
        <w:spacing w:after="0" w:line="201"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Options shall become effective upon the execution by Employer and the Participant of an Option Agreement specifying the Stock, the number of shares subject to the Option the Exercise Price, and such other terms and in such form as the Committee may from time to time determine in accordance with the Plan. Any items not specified in the Plan shall be specified in the Option Agreement.</w:t>
      </w:r>
    </w:p>
    <w:p>
      <w:pPr>
        <w:spacing w:after="0" w:line="197" w:lineRule="exact"/>
        <w:rPr>
          <w:sz w:val="20"/>
          <w:szCs w:val="20"/>
          <w:color w:val="auto"/>
        </w:rPr>
      </w:pPr>
    </w:p>
    <w:p>
      <w:pPr>
        <w:ind w:right="1839" w:firstLine="950"/>
        <w:spacing w:after="0" w:line="252" w:lineRule="auto"/>
        <w:tabs>
          <w:tab w:leader="none" w:pos="136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TERMINATION. In the event that a Participant's employment with the Employer terminates prior to the grant of his or her Option in January pertaining to a requested exchange of base compensation, an amount of compensation equivalent to the amount of foregone base compensation, which was to be exchanged for an Option, through the date of Termination of Employment, shall be paid to the Participant by the Employer upon his or her Termination of Employment.</w:t>
      </w:r>
    </w:p>
    <w:p>
      <w:pPr>
        <w:spacing w:after="0" w:line="398" w:lineRule="exact"/>
        <w:rPr>
          <w:rFonts w:ascii="Courier New" w:cs="Courier New" w:eastAsia="Courier New" w:hAnsi="Courier New"/>
          <w:sz w:val="17"/>
          <w:szCs w:val="17"/>
          <w:color w:val="auto"/>
        </w:rPr>
      </w:pPr>
    </w:p>
    <w:p>
      <w:pPr>
        <w:ind w:right="1939" w:firstLine="950"/>
        <w:spacing w:after="0" w:line="252" w:lineRule="auto"/>
        <w:tabs>
          <w:tab w:leader="none" w:pos="136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MAXIMUM OPTION GRANTS. The maximum number of underlying cumulative share units permitted to be covered by all Option grants made to any one Participant throughout his or her participation in the Plan is that number of units for which the cumulative Market Price of the Stock, determined as of the original Grant Dates, totals the dollar amount denoted for the specific classification of Participant(s) which is set forth below:</w:t>
      </w:r>
    </w:p>
    <w:p>
      <w:pPr>
        <w:spacing w:after="0" w:line="197" w:lineRule="exact"/>
        <w:rPr>
          <w:sz w:val="20"/>
          <w:szCs w:val="20"/>
          <w:color w:val="auto"/>
        </w:rPr>
      </w:pPr>
    </w:p>
    <w:tbl>
      <w:tblPr>
        <w:tblLayout w:type="fixed"/>
        <w:tblInd w:w="1060" w:type="dxa"/>
        <w:tblCellMar>
          <w:top w:w="0" w:type="dxa"/>
          <w:left w:w="0" w:type="dxa"/>
          <w:bottom w:w="0" w:type="dxa"/>
          <w:right w:w="0" w:type="dxa"/>
        </w:tblCellMar>
      </w:tblPr>
      <w:tr>
        <w:trPr>
          <w:trHeight w:val="197"/>
        </w:trPr>
        <w:tc>
          <w:tcPr>
            <w:tcW w:w="3400" w:type="dxa"/>
            <w:vAlign w:val="bottom"/>
          </w:tcPr>
          <w:p>
            <w:pPr>
              <w:spacing w:after="0"/>
              <w:rPr>
                <w:sz w:val="20"/>
                <w:szCs w:val="20"/>
                <w:color w:val="auto"/>
              </w:rPr>
            </w:pPr>
            <w:r>
              <w:rPr>
                <w:rFonts w:ascii="Courier New" w:cs="Courier New" w:eastAsia="Courier New" w:hAnsi="Courier New"/>
                <w:sz w:val="17"/>
                <w:szCs w:val="17"/>
                <w:color w:val="auto"/>
              </w:rPr>
              <w:t>Participant Classification</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rPr>
              <w:t>Maximum Option Grants</w:t>
            </w:r>
          </w:p>
        </w:tc>
      </w:tr>
      <w:tr>
        <w:trPr>
          <w:trHeight w:val="201"/>
        </w:trPr>
        <w:tc>
          <w:tcPr>
            <w:tcW w:w="34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400" w:type="dxa"/>
            <w:vAlign w:val="bottom"/>
          </w:tcPr>
          <w:p>
            <w:pPr>
              <w:spacing w:after="0"/>
              <w:rPr>
                <w:sz w:val="20"/>
                <w:szCs w:val="20"/>
                <w:color w:val="auto"/>
              </w:rPr>
            </w:pPr>
            <w:r>
              <w:rPr>
                <w:rFonts w:ascii="Courier New" w:cs="Courier New" w:eastAsia="Courier New" w:hAnsi="Courier New"/>
                <w:sz w:val="17"/>
                <w:szCs w:val="17"/>
                <w:color w:val="auto"/>
              </w:rPr>
              <w:t>Chief Executive Officer</w:t>
            </w:r>
          </w:p>
        </w:tc>
        <w:tc>
          <w:tcPr>
            <w:tcW w:w="26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$ 2,000,000</w:t>
            </w:r>
          </w:p>
        </w:tc>
      </w:tr>
      <w:tr>
        <w:trPr>
          <w:trHeight w:val="201"/>
        </w:trPr>
        <w:tc>
          <w:tcPr>
            <w:tcW w:w="3400" w:type="dxa"/>
            <w:vAlign w:val="bottom"/>
          </w:tcPr>
          <w:p>
            <w:pPr>
              <w:spacing w:after="0"/>
              <w:rPr>
                <w:sz w:val="20"/>
                <w:szCs w:val="20"/>
                <w:color w:val="auto"/>
              </w:rPr>
            </w:pPr>
            <w:r>
              <w:rPr>
                <w:rFonts w:ascii="Courier New" w:cs="Courier New" w:eastAsia="Courier New" w:hAnsi="Courier New"/>
                <w:sz w:val="17"/>
                <w:szCs w:val="17"/>
                <w:color w:val="auto"/>
              </w:rPr>
              <w:t>Class A Officers</w:t>
            </w:r>
          </w:p>
        </w:tc>
        <w:tc>
          <w:tcPr>
            <w:tcW w:w="26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1,000,000</w:t>
            </w:r>
          </w:p>
        </w:tc>
      </w:tr>
      <w:tr>
        <w:trPr>
          <w:trHeight w:val="201"/>
        </w:trPr>
        <w:tc>
          <w:tcPr>
            <w:tcW w:w="3400" w:type="dxa"/>
            <w:vAlign w:val="bottom"/>
          </w:tcPr>
          <w:p>
            <w:pPr>
              <w:spacing w:after="0"/>
              <w:rPr>
                <w:sz w:val="20"/>
                <w:szCs w:val="20"/>
                <w:color w:val="auto"/>
              </w:rPr>
            </w:pPr>
            <w:r>
              <w:rPr>
                <w:rFonts w:ascii="Courier New" w:cs="Courier New" w:eastAsia="Courier New" w:hAnsi="Courier New"/>
                <w:sz w:val="17"/>
                <w:szCs w:val="17"/>
                <w:color w:val="auto"/>
              </w:rPr>
              <w:t>Class B Executive Employees</w:t>
            </w:r>
          </w:p>
        </w:tc>
        <w:tc>
          <w:tcPr>
            <w:tcW w:w="26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500,000</w:t>
            </w:r>
          </w:p>
        </w:tc>
      </w:tr>
      <w:tr>
        <w:trPr>
          <w:trHeight w:val="201"/>
        </w:trPr>
        <w:tc>
          <w:tcPr>
            <w:tcW w:w="3400" w:type="dxa"/>
            <w:vAlign w:val="bottom"/>
          </w:tcPr>
          <w:p>
            <w:pPr>
              <w:spacing w:after="0"/>
              <w:rPr>
                <w:sz w:val="20"/>
                <w:szCs w:val="20"/>
                <w:color w:val="auto"/>
              </w:rPr>
            </w:pPr>
            <w:r>
              <w:rPr>
                <w:rFonts w:ascii="Courier New" w:cs="Courier New" w:eastAsia="Courier New" w:hAnsi="Courier New"/>
                <w:sz w:val="17"/>
                <w:szCs w:val="17"/>
                <w:color w:val="auto"/>
              </w:rPr>
              <w:t>Class C Management Employees</w:t>
            </w:r>
          </w:p>
        </w:tc>
        <w:tc>
          <w:tcPr>
            <w:tcW w:w="26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266,666</w:t>
            </w:r>
          </w:p>
        </w:tc>
      </w:tr>
    </w:tbl>
    <w:p>
      <w:pPr>
        <w:spacing w:after="0" w:line="205" w:lineRule="exact"/>
        <w:rPr>
          <w:sz w:val="20"/>
          <w:szCs w:val="20"/>
          <w:color w:val="auto"/>
        </w:rPr>
      </w:pPr>
    </w:p>
    <w:p>
      <w:pPr>
        <w:ind w:right="1839" w:firstLine="950"/>
        <w:spacing w:after="0" w:line="251" w:lineRule="auto"/>
        <w:tabs>
          <w:tab w:leader="none" w:pos="136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CASH DIVIDENDS AND DISTRIBUTIONS WITH RESPECT TO STOCK. All cash dividends and distributions received with respect to Stock shall be reinvested in additional property of the same kind (or as nearly the same kind as feasible, if property of the same kind is not available). Any property acquired through reinvestment will be added to the Stock which is subject to an Option Agreement. Any Stock representing shares of an open-end regulated investment company which are acquired through reinvestment of long-term capital gain dividends and return of capital distributions will be added to the Stock which is subject to an Option Agreement. Any Stock representing shares of an open-end regulated investment company which are acquired through reinvestment of ordinary income dividends and exempt-interest dividends will also be added to the Stock which is subject to an Option Agreement.</w:t>
      </w:r>
    </w:p>
    <w:p>
      <w:pPr>
        <w:spacing w:after="0" w:line="201"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3.3 EXERCISE PRICE. The Exercise Price shall be initially determined by the Committee but shall be no less than 25 percent and no more than 100 percent of the Fair Market Value of the Stock on the Grant Date. The Exercise Price shall be adjusted for the following events:</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21" w:right="1440" w:bottom="1440" w:gutter="0" w:footer="0" w:header="0"/>
        </w:sectPr>
      </w:pPr>
    </w:p>
    <w:bookmarkStart w:id="24" w:name="page25"/>
    <w:bookmarkEnd w:id="24"/>
    <w:p>
      <w:pPr>
        <w:ind w:right="1839" w:firstLine="943"/>
        <w:spacing w:after="0" w:line="251" w:lineRule="auto"/>
        <w:rPr>
          <w:sz w:val="20"/>
          <w:szCs w:val="20"/>
          <w:color w:val="auto"/>
        </w:rPr>
      </w:pPr>
      <w:r>
        <w:rPr>
          <w:rFonts w:ascii="Courier New" w:cs="Courier New" w:eastAsia="Courier New" w:hAnsi="Courier New"/>
          <w:sz w:val="17"/>
          <w:szCs w:val="17"/>
          <w:color w:val="auto"/>
        </w:rPr>
        <w:t>In the event of a stock dividend, stock split, reverse stock split, rights offering, recapitalization or similar transaction that materially affects the Market Price of the Stock, the Committee shall adjust the Exercise Price so that it retains the same ratio to the Market Price of the Stock as existed immediately before such transactions, or as otherwise provided in the Option Agreement. Any Stock acquired because of one of the above events will immediately be subject to an Option in favor of the Participant on terms identical to those set forth in the pertinent Option Agreement.</w:t>
      </w:r>
    </w:p>
    <w:p>
      <w:pPr>
        <w:spacing w:after="0" w:line="201" w:lineRule="exact"/>
        <w:rPr>
          <w:sz w:val="20"/>
          <w:szCs w:val="20"/>
          <w:color w:val="auto"/>
        </w:rPr>
      </w:pPr>
    </w:p>
    <w:p>
      <w:pPr>
        <w:jc w:val="both"/>
        <w:ind w:right="1839" w:firstLine="943"/>
        <w:spacing w:after="0" w:line="254" w:lineRule="auto"/>
        <w:rPr>
          <w:sz w:val="20"/>
          <w:szCs w:val="20"/>
          <w:color w:val="auto"/>
        </w:rPr>
      </w:pPr>
      <w:r>
        <w:rPr>
          <w:rFonts w:ascii="Courier New" w:cs="Courier New" w:eastAsia="Courier New" w:hAnsi="Courier New"/>
          <w:sz w:val="17"/>
          <w:szCs w:val="17"/>
          <w:color w:val="auto"/>
        </w:rPr>
        <w:t>3.4 CONDITIONS OF GRANT. As a condition to the grant of a Stock Option, the Committee may, in its discretion, require a Participant to enter into one or more of the following agreements with the Employer on or before the Grant Date:</w:t>
      </w:r>
    </w:p>
    <w:p>
      <w:pPr>
        <w:spacing w:after="0" w:line="194" w:lineRule="exact"/>
        <w:rPr>
          <w:sz w:val="20"/>
          <w:szCs w:val="20"/>
          <w:color w:val="auto"/>
        </w:rPr>
      </w:pPr>
    </w:p>
    <w:p>
      <w:pPr>
        <w:ind w:right="1839" w:firstLine="950"/>
        <w:spacing w:after="0" w:line="253" w:lineRule="auto"/>
        <w:tabs>
          <w:tab w:leader="none" w:pos="136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covenant not to compete with the Employer, which shall become effective on the date of Termination of Employment of the Participant with the Employer and which shall contain such terms and conditions as may be required by the Committee.</w:t>
      </w:r>
    </w:p>
    <w:p>
      <w:pPr>
        <w:spacing w:after="0" w:line="195" w:lineRule="exact"/>
        <w:rPr>
          <w:rFonts w:ascii="Courier New" w:cs="Courier New" w:eastAsia="Courier New" w:hAnsi="Courier New"/>
          <w:sz w:val="17"/>
          <w:szCs w:val="17"/>
          <w:color w:val="auto"/>
        </w:rPr>
      </w:pPr>
    </w:p>
    <w:p>
      <w:pPr>
        <w:ind w:right="2039" w:firstLine="950"/>
        <w:spacing w:after="0" w:line="257" w:lineRule="auto"/>
        <w:tabs>
          <w:tab w:leader="none" w:pos="136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agreement to remain in the employ of the Employer for at least six months after the Grant Date of an Option.</w:t>
      </w:r>
    </w:p>
    <w:p>
      <w:pPr>
        <w:spacing w:after="0" w:line="19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3.5 STOCK TO BE HELD IN TRUST. Upon the grant of an Option, the Employer in accordance with the Trust Agreement, shall instruct the Trustee to purchase the Stock underlying each Option Agreement as of the day of the Option Agreement. The Employer shall transfer to the Trustee an amount of funds equal to the Market Price of the Stock. Such funds shall be applied by the Trustee for the purpose of payment for such underlying securities. In addition, if on the date the Committee grants the Option, the principal of the Trust, and any earnings thereon, are not sufficient to purchase such underlying securities, the Employer may transfer to the Trustee an amount of funds sufficient to purchase the underlying securities.</w:t>
      </w:r>
    </w:p>
    <w:p>
      <w:pPr>
        <w:spacing w:after="0" w:line="200" w:lineRule="exact"/>
        <w:rPr>
          <w:sz w:val="20"/>
          <w:szCs w:val="20"/>
          <w:color w:val="auto"/>
        </w:rPr>
      </w:pPr>
    </w:p>
    <w:p>
      <w:pPr>
        <w:spacing w:after="0" w:line="203"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The Trustee shall establish a separate account for each Option Agreement in which the Trustee shall hold funds to purchase securities, as well as securities already purchased, underlying the Option Agreement. The Trustee shall hold the securities in its own name until the Plan Participant exercises the Option to purchase securities.</w:t>
      </w:r>
    </w:p>
    <w:p>
      <w:pPr>
        <w:spacing w:after="0" w:line="197"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3.6 SUBSTITUTION OF ASSETS HELD IN TRUST. The Committee may, in its discretion, after consultation with the Participant, substitute Stock of equal Market Price for any Stock subject to purchase through the exercise of an Option. When that substitution occurs, both parties are required to terminate the Option Agreement and to adopt a new Option Agreement which awards an Option of equal Market Price on the new Stock. Such change in Option property shall be considered the grant of a new Option and the terms of this Plan, including Articles III and IV, shall apply to the grant of the new Option, except that the term of the new Option shall not extend beyond the term of the original Option. The Exercise Price of the new Option shall be the same as the Exercise Price of the original Option immediately before the substitution.</w:t>
      </w:r>
    </w:p>
    <w:p>
      <w:pPr>
        <w:spacing w:after="0" w:line="201"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3.7 DESIGNATION OF BENEFICIARY. As soon as practicable after the grant of an Option, the Participant shall designate one or more Beneficiaries and successor Beneficiaries, and may change a Beneficiary designation at any time, by filing the prescribed form with the Committee. The consent of the Participant's current Beneficiary shall not be required for a change of Beneficiary. No Beneficiary shall have any rights under the Plan or an Option Agreement during the lifetime of the Participant, except as may otherwise be provided in Section 3.9.</w:t>
      </w:r>
    </w:p>
    <w:p>
      <w:pPr>
        <w:spacing w:after="0" w:line="201" w:lineRule="exact"/>
        <w:rPr>
          <w:sz w:val="20"/>
          <w:szCs w:val="20"/>
          <w:color w:val="auto"/>
        </w:rPr>
      </w:pPr>
    </w:p>
    <w:p>
      <w:pPr>
        <w:jc w:val="both"/>
        <w:ind w:right="1839" w:firstLine="950"/>
        <w:spacing w:after="0" w:line="254" w:lineRule="auto"/>
        <w:tabs>
          <w:tab w:leader="none" w:pos="136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Beneficiary of a Participant who dies without having designated a Beneficiary in accordance with this Section 3.7 and who is lawfully married on the date of death shall be the Participant's surviving spouse.</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21" w:right="1440" w:bottom="1440" w:gutter="0" w:footer="0" w:header="0"/>
        </w:sectPr>
      </w:pPr>
    </w:p>
    <w:bookmarkStart w:id="25" w:name="page26"/>
    <w:bookmarkEnd w:id="25"/>
    <w:p>
      <w:pPr>
        <w:ind w:right="2139" w:firstLine="950"/>
        <w:spacing w:after="0" w:line="254" w:lineRule="auto"/>
        <w:tabs>
          <w:tab w:leader="none" w:pos="136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Beneficiary of any other Participant who dies without having designated a Beneficiary in accordance with this Section 3.7 shall be the Participant's estate.</w:t>
      </w:r>
    </w:p>
    <w:p>
      <w:pPr>
        <w:spacing w:after="0" w:line="194"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3.8 GENERAL NON-TRANSFERABILITY. No Option granted under this Plan may be transferred, assigned, or alienated (whether by operation of law or otherwise), except as provided herein, and no Option shall be subject to execution, attachment or similar process. An Option may be exercised only by the Participant (or the Participant's Beneficiary pursuant to Section 3.7).</w:t>
      </w:r>
    </w:p>
    <w:p>
      <w:pPr>
        <w:spacing w:after="0" w:line="39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IV</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OPTION EXERCISE</w:t>
      </w:r>
    </w:p>
    <w:p>
      <w:pPr>
        <w:spacing w:after="0" w:line="210" w:lineRule="exact"/>
        <w:rPr>
          <w:sz w:val="20"/>
          <w:szCs w:val="20"/>
          <w:color w:val="auto"/>
        </w:rPr>
      </w:pPr>
    </w:p>
    <w:p>
      <w:pPr>
        <w:ind w:right="2039" w:firstLine="943"/>
        <w:spacing w:after="0" w:line="254" w:lineRule="auto"/>
        <w:rPr>
          <w:sz w:val="20"/>
          <w:szCs w:val="20"/>
          <w:color w:val="auto"/>
        </w:rPr>
      </w:pPr>
      <w:r>
        <w:rPr>
          <w:rFonts w:ascii="Courier New" w:cs="Courier New" w:eastAsia="Courier New" w:hAnsi="Courier New"/>
          <w:sz w:val="17"/>
          <w:szCs w:val="17"/>
          <w:color w:val="auto"/>
        </w:rPr>
        <w:t>4.1 EXERCISE PERIOD. A Participant may exercise all or any portion of an Option at any time during the period beginning six months after the Grant Date and ending on the earlier of:</w:t>
      </w:r>
    </w:p>
    <w:p>
      <w:pPr>
        <w:spacing w:after="0" w:line="194" w:lineRule="exact"/>
        <w:rPr>
          <w:sz w:val="20"/>
          <w:szCs w:val="20"/>
          <w:color w:val="auto"/>
        </w:rPr>
      </w:pPr>
    </w:p>
    <w:p>
      <w:pPr>
        <w:ind w:left="1360" w:hanging="410"/>
        <w:spacing w:after="0"/>
        <w:tabs>
          <w:tab w:leader="none" w:pos="136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twelve months after the Participant's date of death, and</w:t>
      </w:r>
    </w:p>
    <w:p>
      <w:pPr>
        <w:spacing w:after="0" w:line="210"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fifteen years after the Grant Date.</w:t>
      </w:r>
    </w:p>
    <w:p>
      <w:pPr>
        <w:spacing w:after="0" w:line="210"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4.2 EXERCISE OF VESTED PORTION OF OPTION. A Participant (or the Participant's Beneficiary pursuant to Section 3.7) may exercise the "Vested Portion" of an Option in accordance with this Section 4.2. The terms of the Participant's Option Agreement will determine the Vested Portion of an Option eligible for exercise in the case of an Option granted to a Participant in the form of an outright award or in exchange for the Participant's agreement to relinquish rights to nonqualified deferred compensation which the Participant does not have a current right to receive. That percentage of a Participant's Option granted in the form of an outright award or in exchange for the Participant's agreement to relinquish rights to nonqualified deferred compensation which the Participant does not have a current right to receive, which is not a Vested Portion of an Option, shall be forfeited by the Participant upon Termination of Employment.</w:t>
      </w:r>
    </w:p>
    <w:p>
      <w:pPr>
        <w:spacing w:after="0" w:line="201"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The Vested Portion of an Option granted in exchange for the base compensation of a Participant is 100 percent if the Participant remains in service with the Employer through the end of the calendar year in which the Option is granted. If the Participant's service with the Employer is terminated during the same calendar year in which the Grant Date occurs, he or she may exercise the Vested Portion of the Option, which is equal to the full number of payroll periods during which the Participant was in the service of the Employer during the calendar year in which the Option was granted, divided by 50. That percentage of a Participant's Option granted in exchange for the base compensation of a Participant which is not a Vested Portion of the Option shall be forfeited by the Participant upon Termination of Employment during the calendar year in which the Option was granted.</w:t>
      </w:r>
    </w:p>
    <w:p>
      <w:pPr>
        <w:spacing w:after="0" w:line="201"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The Participant shall exercise the Vested Portion of the Option by giving written notice to the Committee and (i) tendering full payment of the Exercise Price on or before the date of exercise, or (ii) by obtaining necessary financing from a financial institution which is utilized to pay the Exercise Price. The minimum number of share units allowed to be exercised at any one time is the number of share units for which the Market Price of the Stock totals $2,500.</w:t>
      </w:r>
    </w:p>
    <w:p>
      <w:pPr>
        <w:spacing w:after="0" w:line="196"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In the event that the listing, registration or qualification of the Option or the Stock on any securities exchange or under any state or federal law, or the consent or approval of any governmental regulatory body, or the availability of any exemption therefrom, is necessary as a condition of, or in connection with, the exercise of the Option, then the Option shall not be exercised in whole or in part until such listing, registration, qualification, consent, approval, or exemption has been effected, obtained, or established to the satisfaction of the Committee.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21" w:right="1440" w:bottom="1440" w:gutter="0" w:footer="0" w:header="0"/>
        </w:sectPr>
      </w:pPr>
    </w:p>
    <w:bookmarkStart w:id="26" w:name="page27"/>
    <w:bookmarkEnd w:id="26"/>
    <w:p>
      <w:pPr>
        <w:ind w:right="1839" w:firstLine="943"/>
        <w:spacing w:after="0" w:line="251" w:lineRule="auto"/>
        <w:rPr>
          <w:sz w:val="20"/>
          <w:szCs w:val="20"/>
          <w:color w:val="auto"/>
        </w:rPr>
      </w:pPr>
      <w:r>
        <w:rPr>
          <w:rFonts w:ascii="Courier New" w:cs="Courier New" w:eastAsia="Courier New" w:hAnsi="Courier New"/>
          <w:sz w:val="17"/>
          <w:szCs w:val="17"/>
          <w:color w:val="auto"/>
        </w:rPr>
        <w:t>4.3 DELIVERY OF STOCK. On the date of exercise, or as soon as practicable thereafter (but in no event later than five business days after the date of exercise), the Employer shall deliver or cause to be delivered the Stock then being purchased to the Participant (or the Participant's Beneficiary pursuant to Section 3.7). In the event that the listing, registration or qualification of the Option or the Stock on any securities exchange or under any state or federal law, or the consent or approval of any governmental regulatory body, is necessary as a condition of, or in connection with, the exercise of the Option, then the Option shall not be exercised in whole or in part until such listing, registration, qualification, consent or approval has been effected or obtained.</w:t>
      </w:r>
    </w:p>
    <w:p>
      <w:pPr>
        <w:spacing w:after="0" w:line="200" w:lineRule="exact"/>
        <w:rPr>
          <w:sz w:val="20"/>
          <w:szCs w:val="20"/>
          <w:color w:val="auto"/>
        </w:rPr>
      </w:pPr>
    </w:p>
    <w:p>
      <w:pPr>
        <w:spacing w:after="0" w:line="203"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4.4 TAX WITHHOLDING. Whenever Stock is to be delivered upon exercise of an Option under the Plan, the Employer shall require as a condition of such delivery:</w:t>
      </w:r>
    </w:p>
    <w:p>
      <w:pPr>
        <w:spacing w:after="0" w:line="194" w:lineRule="exact"/>
        <w:rPr>
          <w:sz w:val="20"/>
          <w:szCs w:val="20"/>
          <w:color w:val="auto"/>
        </w:rPr>
      </w:pPr>
    </w:p>
    <w:p>
      <w:pPr>
        <w:ind w:right="2359" w:firstLine="950"/>
        <w:spacing w:after="0" w:line="254" w:lineRule="auto"/>
        <w:tabs>
          <w:tab w:leader="none" w:pos="136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cash payment by the Participant of an amount sufficient to satisfy all federal, state and local tax withholding, requirements related thereto,</w:t>
      </w:r>
    </w:p>
    <w:p>
      <w:pPr>
        <w:spacing w:after="0" w:line="194" w:lineRule="exact"/>
        <w:rPr>
          <w:rFonts w:ascii="Courier New" w:cs="Courier New" w:eastAsia="Courier New" w:hAnsi="Courier New"/>
          <w:sz w:val="17"/>
          <w:szCs w:val="17"/>
          <w:color w:val="auto"/>
        </w:rPr>
      </w:pPr>
    </w:p>
    <w:p>
      <w:pPr>
        <w:ind w:right="2139" w:firstLine="950"/>
        <w:spacing w:after="0" w:line="257" w:lineRule="auto"/>
        <w:tabs>
          <w:tab w:leader="none" w:pos="136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withholding of such amount from any Stock to be delivered to the Participant,</w:t>
      </w:r>
    </w:p>
    <w:p>
      <w:pPr>
        <w:spacing w:after="0" w:line="191" w:lineRule="exact"/>
        <w:rPr>
          <w:rFonts w:ascii="Courier New" w:cs="Courier New" w:eastAsia="Courier New" w:hAnsi="Courier New"/>
          <w:sz w:val="17"/>
          <w:szCs w:val="17"/>
          <w:color w:val="auto"/>
        </w:rPr>
      </w:pPr>
    </w:p>
    <w:p>
      <w:pPr>
        <w:ind w:right="2039" w:firstLine="950"/>
        <w:spacing w:after="0" w:line="257" w:lineRule="auto"/>
        <w:tabs>
          <w:tab w:leader="none" w:pos="136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withholding of such amount from compensation otherwise due to the Participant, or</w:t>
      </w:r>
    </w:p>
    <w:p>
      <w:pPr>
        <w:spacing w:after="0" w:line="191" w:lineRule="exact"/>
        <w:rPr>
          <w:rFonts w:ascii="Courier New" w:cs="Courier New" w:eastAsia="Courier New" w:hAnsi="Courier New"/>
          <w:sz w:val="17"/>
          <w:szCs w:val="17"/>
          <w:color w:val="auto"/>
        </w:rPr>
      </w:pPr>
    </w:p>
    <w:p>
      <w:pPr>
        <w:ind w:right="1839" w:firstLine="950"/>
        <w:spacing w:after="0" w:line="253" w:lineRule="auto"/>
        <w:tabs>
          <w:tab w:leader="none" w:pos="136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combination of the foregoing, at the election of the Participant with the consent of the Employer. Such election shall be made before the date on which the amount of tax to be withheld is determined by the Employer, and such election shall be irrevocable.</w:t>
      </w:r>
    </w:p>
    <w:p>
      <w:pPr>
        <w:spacing w:after="0" w:line="195" w:lineRule="exact"/>
        <w:rPr>
          <w:sz w:val="20"/>
          <w:szCs w:val="20"/>
          <w:color w:val="auto"/>
        </w:rPr>
      </w:pPr>
    </w:p>
    <w:p>
      <w:pPr>
        <w:ind w:right="2039" w:firstLine="943"/>
        <w:spacing w:after="0" w:line="252" w:lineRule="auto"/>
        <w:rPr>
          <w:sz w:val="20"/>
          <w:szCs w:val="20"/>
          <w:color w:val="auto"/>
        </w:rPr>
      </w:pPr>
      <w:r>
        <w:rPr>
          <w:rFonts w:ascii="Courier New" w:cs="Courier New" w:eastAsia="Courier New" w:hAnsi="Courier New"/>
          <w:sz w:val="17"/>
          <w:szCs w:val="17"/>
          <w:color w:val="auto"/>
        </w:rPr>
        <w:t>4.5 ADDITIONAL WITHHOLDING. With the consent of the Employer, the Participant may elect a greater amount of withholding, not to exceed the estimated amount of the Participant's total tax liability with respect to the delivery of Stock under the Plan. Such election shall be made at the same time and in the same manner as provided under Section 4.4.</w:t>
      </w:r>
    </w:p>
    <w:p>
      <w:pPr>
        <w:spacing w:after="0" w:line="197"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4.6 FAILURE TO EXERCISE. No Option shall be exercised, in whole or in part, after the end of the Exercise Period and the Employer shall have no obligation to deliver or cause to be delivered to the Participant (or the Participant's Beneficiary or Assignee) the Stock subject to such Option.</w:t>
      </w:r>
    </w:p>
    <w:p>
      <w:pPr>
        <w:spacing w:after="0" w:line="3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ARTICLE V</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AMENDMENT OR TERMINATION</w:t>
      </w:r>
    </w:p>
    <w:p>
      <w:pPr>
        <w:spacing w:after="0" w:line="210"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5.1 PLAN AMENDMENT. The Board may, from time to time in its discretion, amend any provision of the Plan, in whole or in part, with respect to any Participant or group of Participants. Such amendment shall be effective as of the date specified therein and shall be binding upon the Committee, all Participants and Beneficiaries, and all other persons claiming an interest under the Plan.</w:t>
      </w:r>
    </w:p>
    <w:p>
      <w:pPr>
        <w:spacing w:after="0" w:line="399"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5.2 PLAN TERMINATION. The Plan shall terminate on the fifteenth anniversary of the original Effective Date or such earlier date as the Board may determine in its discretion. Such termination shall be effective as of the date determined by the Board and shall be binding upon the Committee, all Participants and Beneficiaries, and all other persons claiming an interest under the Plan. Options shall continue to be exercisable after the effective date of such termination, and may be exercised in accordance with Article IV, but no new Options shall be granted. However, in the event of a termination of the Plan in connection with compliance with or any addition or</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21" w:right="1440" w:bottom="1440" w:gutter="0" w:footer="0" w:header="0"/>
        </w:sectPr>
      </w:pPr>
    </w:p>
    <w:bookmarkStart w:id="27" w:name="page28"/>
    <w:bookmarkEnd w:id="27"/>
    <w:p>
      <w:pPr>
        <w:ind w:right="1939"/>
        <w:spacing w:after="0" w:line="257" w:lineRule="auto"/>
        <w:rPr>
          <w:sz w:val="20"/>
          <w:szCs w:val="20"/>
          <w:color w:val="auto"/>
        </w:rPr>
      </w:pPr>
      <w:r>
        <w:rPr>
          <w:rFonts w:ascii="Courier New" w:cs="Courier New" w:eastAsia="Courier New" w:hAnsi="Courier New"/>
          <w:sz w:val="17"/>
          <w:szCs w:val="17"/>
          <w:color w:val="auto"/>
        </w:rPr>
        <w:t>change in the Code or ERISA, federal or state securities laws, or any other law or regulations, all Options shall be required to be exercised immediately.</w:t>
      </w:r>
    </w:p>
    <w:p>
      <w:pPr>
        <w:spacing w:after="0" w:line="192"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5.3 AMENDMENT OF OPTIONS. An Option may be amended by the Committee at any time if the Committee determines that an amendment is necessary or advisable as a result of:</w:t>
      </w:r>
    </w:p>
    <w:p>
      <w:pPr>
        <w:spacing w:after="0" w:line="194" w:lineRule="exact"/>
        <w:rPr>
          <w:sz w:val="20"/>
          <w:szCs w:val="20"/>
          <w:color w:val="auto"/>
        </w:rPr>
      </w:pPr>
    </w:p>
    <w:p>
      <w:pPr>
        <w:ind w:right="1839" w:firstLine="950"/>
        <w:spacing w:after="0" w:line="254" w:lineRule="auto"/>
        <w:tabs>
          <w:tab w:leader="none" w:pos="136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addition to or change in the Code or ERISA, a federal or state securities law or any other law or regulation, which occurs after the Grant Date and by its terms applies to the Option,</w:t>
      </w:r>
    </w:p>
    <w:p>
      <w:pPr>
        <w:spacing w:after="0" w:line="194"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substitution of stock held in Trust pursuant to Section 3.6,</w:t>
      </w:r>
    </w:p>
    <w:p>
      <w:pPr>
        <w:spacing w:after="0" w:line="210" w:lineRule="exact"/>
        <w:rPr>
          <w:rFonts w:ascii="Courier New" w:cs="Courier New" w:eastAsia="Courier New" w:hAnsi="Courier New"/>
          <w:sz w:val="17"/>
          <w:szCs w:val="17"/>
          <w:color w:val="auto"/>
        </w:rPr>
      </w:pPr>
    </w:p>
    <w:p>
      <w:pPr>
        <w:ind w:right="1939" w:firstLine="950"/>
        <w:spacing w:after="0" w:line="254" w:lineRule="auto"/>
        <w:tabs>
          <w:tab w:leader="none" w:pos="136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Plan amendment pursuant to Section 5.1, or Plan termination pursuant to Section 5.2, provided that the amendment does not materially affect the terms, conditions and restrictions applicable to the Option, or</w:t>
      </w:r>
    </w:p>
    <w:p>
      <w:pPr>
        <w:spacing w:after="0" w:line="194" w:lineRule="exact"/>
        <w:rPr>
          <w:rFonts w:ascii="Courier New" w:cs="Courier New" w:eastAsia="Courier New" w:hAnsi="Courier New"/>
          <w:sz w:val="17"/>
          <w:szCs w:val="17"/>
          <w:color w:val="auto"/>
        </w:rPr>
      </w:pPr>
    </w:p>
    <w:p>
      <w:pPr>
        <w:ind w:right="2259" w:firstLine="950"/>
        <w:spacing w:after="0" w:line="257" w:lineRule="auto"/>
        <w:tabs>
          <w:tab w:leader="none" w:pos="1362"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circumstances not specified in Paragraphs (a), (b), or (c), with the consent of the Participant.</w:t>
      </w:r>
    </w:p>
    <w:p>
      <w:pPr>
        <w:spacing w:after="0" w:line="192" w:lineRule="exact"/>
        <w:rPr>
          <w:sz w:val="20"/>
          <w:szCs w:val="20"/>
          <w:color w:val="auto"/>
        </w:rPr>
      </w:pPr>
    </w:p>
    <w:p>
      <w:pPr>
        <w:ind w:right="1939" w:firstLine="943"/>
        <w:spacing w:after="0" w:line="257" w:lineRule="auto"/>
        <w:rPr>
          <w:sz w:val="20"/>
          <w:szCs w:val="20"/>
          <w:color w:val="auto"/>
        </w:rPr>
      </w:pPr>
      <w:r>
        <w:rPr>
          <w:rFonts w:ascii="Courier New" w:cs="Courier New" w:eastAsia="Courier New" w:hAnsi="Courier New"/>
          <w:sz w:val="17"/>
          <w:szCs w:val="17"/>
          <w:color w:val="auto"/>
        </w:rPr>
        <w:t>5.4 CHANGE OF CONTROL. Notwithstanding any other provision of the Plan or an Option Agreement, in the event of a Change of Control:</w:t>
      </w:r>
    </w:p>
    <w:p>
      <w:pPr>
        <w:spacing w:after="0" w:line="192" w:lineRule="exact"/>
        <w:rPr>
          <w:sz w:val="20"/>
          <w:szCs w:val="20"/>
          <w:color w:val="auto"/>
        </w:rPr>
      </w:pPr>
    </w:p>
    <w:p>
      <w:pPr>
        <w:ind w:right="2139" w:firstLine="950"/>
        <w:spacing w:after="0" w:line="254" w:lineRule="auto"/>
        <w:tabs>
          <w:tab w:leader="none" w:pos="136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Participant shall not be required to remain in the employ of the Employer for at least six months after the Grant Date of an Option under Section 3.4(b),</w:t>
      </w:r>
    </w:p>
    <w:p>
      <w:pPr>
        <w:spacing w:after="0" w:line="194" w:lineRule="exact"/>
        <w:rPr>
          <w:rFonts w:ascii="Courier New" w:cs="Courier New" w:eastAsia="Courier New" w:hAnsi="Courier New"/>
          <w:sz w:val="17"/>
          <w:szCs w:val="17"/>
          <w:color w:val="auto"/>
        </w:rPr>
      </w:pPr>
    </w:p>
    <w:p>
      <w:pPr>
        <w:ind w:right="2139" w:firstLine="950"/>
        <w:spacing w:after="0" w:line="257" w:lineRule="auto"/>
        <w:tabs>
          <w:tab w:leader="none" w:pos="136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Period under Section 4.1 shall not end prior to six months after such Change of Control,</w:t>
      </w:r>
    </w:p>
    <w:p>
      <w:pPr>
        <w:spacing w:after="0" w:line="191" w:lineRule="exact"/>
        <w:rPr>
          <w:rFonts w:ascii="Courier New" w:cs="Courier New" w:eastAsia="Courier New" w:hAnsi="Courier New"/>
          <w:sz w:val="17"/>
          <w:szCs w:val="17"/>
          <w:color w:val="auto"/>
        </w:rPr>
      </w:pPr>
    </w:p>
    <w:p>
      <w:pPr>
        <w:ind w:right="2259" w:firstLine="950"/>
        <w:spacing w:after="0" w:line="257" w:lineRule="auto"/>
        <w:tabs>
          <w:tab w:leader="none" w:pos="136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Option Agreement shall not be amended by the Committee under Section 5.3 for any reason without the consent of the Participant, and</w:t>
      </w:r>
    </w:p>
    <w:p>
      <w:pPr>
        <w:spacing w:after="0" w:line="191" w:lineRule="exact"/>
        <w:rPr>
          <w:rFonts w:ascii="Courier New" w:cs="Courier New" w:eastAsia="Courier New" w:hAnsi="Courier New"/>
          <w:sz w:val="17"/>
          <w:szCs w:val="17"/>
          <w:color w:val="auto"/>
        </w:rPr>
      </w:pPr>
    </w:p>
    <w:p>
      <w:pPr>
        <w:ind w:right="2139" w:firstLine="950"/>
        <w:spacing w:after="0" w:line="252" w:lineRule="auto"/>
        <w:tabs>
          <w:tab w:leader="none" w:pos="136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Option may be terminated by the Committee on any date after a Change of Control, in its sole discretion and without the consent of the Participant, if the Committee makes a cash payment to the Participant on such date in an amount equal to the Fair Market Value of the Stock subject to such Option, reduced by the Exercise Price, and multiplied by the number of shares subject to such Option.</w:t>
      </w:r>
    </w:p>
    <w:p>
      <w:pPr>
        <w:spacing w:after="0" w:line="398"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ARTICLE VI</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ADMINISTRATION</w:t>
      </w:r>
    </w:p>
    <w:p>
      <w:pPr>
        <w:spacing w:after="0" w:line="210" w:lineRule="exact"/>
        <w:rPr>
          <w:sz w:val="20"/>
          <w:szCs w:val="20"/>
          <w:color w:val="auto"/>
        </w:rPr>
      </w:pPr>
    </w:p>
    <w:p>
      <w:pPr>
        <w:ind w:right="2039" w:firstLine="943"/>
        <w:spacing w:after="0" w:line="252" w:lineRule="auto"/>
        <w:rPr>
          <w:sz w:val="20"/>
          <w:szCs w:val="20"/>
          <w:color w:val="auto"/>
        </w:rPr>
      </w:pPr>
      <w:r>
        <w:rPr>
          <w:rFonts w:ascii="Courier New" w:cs="Courier New" w:eastAsia="Courier New" w:hAnsi="Courier New"/>
          <w:sz w:val="17"/>
          <w:szCs w:val="17"/>
          <w:color w:val="auto"/>
        </w:rPr>
        <w:t>6.1 THE COMMITTEE. The Plan shall be administered by a Committee consisting of one or more persons appointed by the Board of Directors. The Committee shall act by a majority of its members at the time in office and may take action either by vote at a meeting or by consent in writing without a meeting.</w:t>
      </w:r>
    </w:p>
    <w:p>
      <w:pPr>
        <w:spacing w:after="0" w:line="197" w:lineRule="exact"/>
        <w:rPr>
          <w:sz w:val="20"/>
          <w:szCs w:val="20"/>
          <w:color w:val="auto"/>
        </w:rPr>
      </w:pPr>
    </w:p>
    <w:p>
      <w:pPr>
        <w:ind w:right="1939" w:firstLine="950"/>
        <w:spacing w:after="0" w:line="254" w:lineRule="auto"/>
        <w:tabs>
          <w:tab w:leader="none" w:pos="1362"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may remove any member of the Committee at any time, with or without cause, and may fill any vacancy. If a vacancy occurs, the remaining member or members of the Committee shall have full authority to act.</w:t>
      </w:r>
    </w:p>
    <w:p>
      <w:pPr>
        <w:spacing w:after="0" w:line="194" w:lineRule="exact"/>
        <w:rPr>
          <w:rFonts w:ascii="Courier New" w:cs="Courier New" w:eastAsia="Courier New" w:hAnsi="Courier New"/>
          <w:sz w:val="17"/>
          <w:szCs w:val="17"/>
          <w:color w:val="auto"/>
        </w:rPr>
      </w:pPr>
    </w:p>
    <w:p>
      <w:pPr>
        <w:ind w:right="2259" w:firstLine="950"/>
        <w:spacing w:after="0" w:line="253" w:lineRule="auto"/>
        <w:tabs>
          <w:tab w:leader="none" w:pos="1362"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member of the Committee may resign by written resignation delivered to the Board. Any such resignation shall become effective upon its receipt by the Board or on such other date as agreed to by the Board and the resigning member.</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21" w:right="1440" w:bottom="1440" w:gutter="0" w:footer="0" w:header="0"/>
        </w:sectPr>
      </w:pPr>
    </w:p>
    <w:bookmarkStart w:id="28" w:name="page29"/>
    <w:bookmarkEnd w:id="28"/>
    <w:p>
      <w:pPr>
        <w:jc w:val="both"/>
        <w:ind w:right="1839" w:firstLine="943"/>
        <w:spacing w:after="0" w:line="254" w:lineRule="auto"/>
        <w:rPr>
          <w:sz w:val="20"/>
          <w:szCs w:val="20"/>
          <w:color w:val="auto"/>
        </w:rPr>
      </w:pPr>
      <w:r>
        <w:rPr>
          <w:rFonts w:ascii="Courier New" w:cs="Courier New" w:eastAsia="Courier New" w:hAnsi="Courier New"/>
          <w:sz w:val="17"/>
          <w:szCs w:val="17"/>
          <w:color w:val="auto"/>
        </w:rPr>
        <w:t>6.2 POWERS OF THE COMMITTEE. In carrying out its duties with respect to the general administration of the Plan, the Committee shall have, in addition to any other powers conferred by the Plan or by law, the following powers:</w:t>
      </w:r>
    </w:p>
    <w:p>
      <w:pPr>
        <w:spacing w:after="0" w:line="194" w:lineRule="exact"/>
        <w:rPr>
          <w:sz w:val="20"/>
          <w:szCs w:val="20"/>
          <w:color w:val="auto"/>
        </w:rPr>
      </w:pPr>
    </w:p>
    <w:p>
      <w:pPr>
        <w:ind w:left="1360" w:hanging="410"/>
        <w:spacing w:after="0"/>
        <w:tabs>
          <w:tab w:leader="none" w:pos="136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eligibility to receive Options;</w:t>
      </w:r>
    </w:p>
    <w:p>
      <w:pPr>
        <w:spacing w:after="0" w:line="210"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grant Options, and to determine the form, amount and timing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such Options;</w:t>
      </w:r>
    </w:p>
    <w:p>
      <w:pPr>
        <w:spacing w:after="0" w:line="210" w:lineRule="exact"/>
        <w:rPr>
          <w:rFonts w:ascii="Courier New" w:cs="Courier New" w:eastAsia="Courier New" w:hAnsi="Courier New"/>
          <w:sz w:val="17"/>
          <w:szCs w:val="17"/>
          <w:color w:val="auto"/>
        </w:rPr>
      </w:pPr>
    </w:p>
    <w:p>
      <w:pPr>
        <w:ind w:right="1839" w:firstLine="950"/>
        <w:spacing w:after="0" w:line="257" w:lineRule="auto"/>
        <w:tabs>
          <w:tab w:leader="none" w:pos="136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terms and provisions of the Option Agreements, and to modify such Option Agreements as provided in Section 5.3;</w:t>
      </w:r>
    </w:p>
    <w:p>
      <w:pPr>
        <w:spacing w:after="0" w:line="191"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substitute stock held in Trust as provided in Section 3.6;</w:t>
      </w:r>
    </w:p>
    <w:p>
      <w:pPr>
        <w:spacing w:after="0" w:line="210"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maintain all records necessary for the administration of the</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Plan;</w:t>
      </w:r>
    </w:p>
    <w:p>
      <w:pPr>
        <w:spacing w:after="0" w:line="210" w:lineRule="exact"/>
        <w:rPr>
          <w:rFonts w:ascii="Courier New" w:cs="Courier New" w:eastAsia="Courier New" w:hAnsi="Courier New"/>
          <w:sz w:val="17"/>
          <w:szCs w:val="17"/>
          <w:color w:val="auto"/>
        </w:rPr>
      </w:pPr>
    </w:p>
    <w:p>
      <w:pPr>
        <w:ind w:right="2139" w:firstLine="950"/>
        <w:spacing w:after="0" w:line="257" w:lineRule="auto"/>
        <w:tabs>
          <w:tab w:leader="none" w:pos="136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prescribe, amend, and rescind rules for the administration of the Plan to the extent not inconsistent with the terms thereof;</w:t>
      </w:r>
    </w:p>
    <w:p>
      <w:pPr>
        <w:spacing w:after="0" w:line="191"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direct the Trustee respecting investment of the Trust Fund;</w:t>
      </w:r>
    </w:p>
    <w:p>
      <w:pPr>
        <w:spacing w:after="0" w:line="210" w:lineRule="exact"/>
        <w:rPr>
          <w:rFonts w:ascii="Courier New" w:cs="Courier New" w:eastAsia="Courier New" w:hAnsi="Courier New"/>
          <w:sz w:val="17"/>
          <w:szCs w:val="17"/>
          <w:color w:val="auto"/>
        </w:rPr>
      </w:pPr>
    </w:p>
    <w:p>
      <w:pPr>
        <w:ind w:right="1839" w:firstLine="950"/>
        <w:spacing w:after="0" w:line="257" w:lineRule="auto"/>
        <w:tabs>
          <w:tab w:leader="none" w:pos="136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appoint such individuals and subcommittees as it deems desirable for the conduct of its affairs and the administration of the Plan;</w:t>
      </w:r>
    </w:p>
    <w:p>
      <w:pPr>
        <w:spacing w:after="0" w:line="191" w:lineRule="exact"/>
        <w:rPr>
          <w:rFonts w:ascii="Courier New" w:cs="Courier New" w:eastAsia="Courier New" w:hAnsi="Courier New"/>
          <w:sz w:val="17"/>
          <w:szCs w:val="17"/>
          <w:color w:val="auto"/>
        </w:rPr>
      </w:pPr>
    </w:p>
    <w:p>
      <w:pPr>
        <w:ind w:right="2359" w:firstLine="950"/>
        <w:spacing w:after="0" w:line="257" w:lineRule="auto"/>
        <w:tabs>
          <w:tab w:leader="none" w:pos="136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employ counsel, accountants and other consultants to aid in exercising its powers and carrying out its duties under the Plan; and</w:t>
      </w:r>
    </w:p>
    <w:p>
      <w:pPr>
        <w:spacing w:after="0" w:line="191" w:lineRule="exact"/>
        <w:rPr>
          <w:rFonts w:ascii="Courier New" w:cs="Courier New" w:eastAsia="Courier New" w:hAnsi="Courier New"/>
          <w:sz w:val="17"/>
          <w:szCs w:val="17"/>
          <w:color w:val="auto"/>
        </w:rPr>
      </w:pPr>
    </w:p>
    <w:p>
      <w:pPr>
        <w:ind w:right="1939" w:firstLine="950"/>
        <w:spacing w:after="0" w:line="254" w:lineRule="auto"/>
        <w:tabs>
          <w:tab w:leader="none" w:pos="1362"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perform any other acts necessary, and proper for the conduct of its affairs and the administration of the Plan, except those reserved by the Board.</w:t>
      </w:r>
    </w:p>
    <w:p>
      <w:pPr>
        <w:spacing w:after="0" w:line="194"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6.3 DETERMINATIONS BY THE COMMITTEE. The Committee shall interpret and construe the Plan and the Option Agreements and its interpretations and determinations shall be conclusive and binding on all Participants, Beneficiaries and any other persons claiming an interest under the Plan or any Option Agreement. The Committee's interpretations and determinations under the Plan and Option Agreements need not be uniform and may be made by it selectively among Participants, Beneficiaries and any other persons whether or not they are similarly situated. The failure of the Committee to strictly enforce the terms and conditions of the Plan or the Option Agreement shall not constitute a waiver of any provision of the Plan or the Option Agreement. No Participant may rely on any act or statement of the Committee or anyone charged with the administration of the Plan which is inconsistent with any of the terms and conditions of the Plan or the Option Agreement.</w:t>
      </w:r>
    </w:p>
    <w:p>
      <w:pPr>
        <w:spacing w:after="0" w:line="201"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6.4 INDEMNIFICATION OF THE COMMITTEE. The Employer shall indemnify and hold harmless each member of the Committee against any and all expenses and liabilities arising out of such member's action or failure to act in such capacity excepting only expenses and liabilities arising out of such member's own willful misconduct or gross negligence.</w:t>
      </w:r>
    </w:p>
    <w:p>
      <w:pPr>
        <w:spacing w:after="0" w:line="197" w:lineRule="exact"/>
        <w:rPr>
          <w:sz w:val="20"/>
          <w:szCs w:val="20"/>
          <w:color w:val="auto"/>
        </w:rPr>
      </w:pPr>
    </w:p>
    <w:p>
      <w:pPr>
        <w:ind w:right="1839" w:firstLine="950"/>
        <w:spacing w:after="0" w:line="252" w:lineRule="auto"/>
        <w:tabs>
          <w:tab w:leader="none" w:pos="1362"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and liabilities against which a member of the Committee is indemnified hereunder shall include, without limitation, the amount of any settlement or judgment, costs, counsel fees and related charges reasonably incurred in connection with a claim asserted or a proceeding brought against him or the settlement thereof, provided that the Employer shall not be liable for any settlement to which it does not consent but such consent shall not be unreasonably withheld.</w:t>
      </w:r>
    </w:p>
    <w:p>
      <w:pPr>
        <w:spacing w:after="0" w:line="3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21" w:right="1440" w:bottom="1440" w:gutter="0" w:footer="0" w:header="0"/>
        </w:sectPr>
      </w:pPr>
    </w:p>
    <w:bookmarkStart w:id="29" w:name="page30"/>
    <w:bookmarkEnd w:id="29"/>
    <w:p>
      <w:pPr>
        <w:ind w:right="2259" w:firstLine="950"/>
        <w:spacing w:after="0" w:line="257" w:lineRule="auto"/>
        <w:tabs>
          <w:tab w:leader="none" w:pos="136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right of indemnification shall be in addition to any other rights to which any member of the Committee may be entitled.</w:t>
      </w:r>
    </w:p>
    <w:p>
      <w:pPr>
        <w:spacing w:after="0" w:line="191" w:lineRule="exact"/>
        <w:rPr>
          <w:rFonts w:ascii="Courier New" w:cs="Courier New" w:eastAsia="Courier New" w:hAnsi="Courier New"/>
          <w:sz w:val="17"/>
          <w:szCs w:val="17"/>
          <w:color w:val="auto"/>
        </w:rPr>
      </w:pPr>
    </w:p>
    <w:p>
      <w:pPr>
        <w:ind w:right="1939" w:firstLine="950"/>
        <w:spacing w:after="0" w:line="252" w:lineRule="auto"/>
        <w:tabs>
          <w:tab w:leader="none" w:pos="136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Employer may, at its own expense, settle any claim asserted or proceeding brought against any member of the Committee when such settlement appears to be in the best interests of the Employer, provided that such settlement includes a complete release from liability of such member and is otherwise reasonably acceptable to such member.</w:t>
      </w:r>
    </w:p>
    <w:p>
      <w:pPr>
        <w:spacing w:after="0" w:line="197"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The provisions of this Section 6.4 are for the benefit of each member of the Committee, his or her heirs, successors and assigns and as to each such member shall survive the termination of his or her service as such. Any amendment of this Section 6.4 shall not materially impair the rights of members and former members of the Committee thereunder as to any period prior to such amendment.</w:t>
      </w:r>
    </w:p>
    <w:p>
      <w:pPr>
        <w:spacing w:after="0" w:line="197"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6.5 EXPENSES OF THE COMMITTEE. The members of the Committee shall serve without compensation for services as such. All expenses of the Committee shall be paid by the Employer.</w:t>
      </w:r>
    </w:p>
    <w:p>
      <w:pPr>
        <w:spacing w:after="0" w:line="39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VII</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TRUST PROVISIONS</w:t>
      </w:r>
    </w:p>
    <w:p>
      <w:pPr>
        <w:spacing w:after="0" w:line="210"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7.1 ESTABLISHMENT OF THE TRUST. The Trust shall be established to hold all Stock contributed by the Employer pursuant to Section 3.5. Except as otherwise provided in Section 7.2, and Section 12 of the Trust Agreement, the Trust shall be irrevocable and no portion of the Trust Fund shall be used for any purpose other than the delivery of Stock pursuant to the exercise of an Option, and the payment of expenses of the Plan and Trust.</w:t>
      </w:r>
    </w:p>
    <w:p>
      <w:pPr>
        <w:spacing w:after="0" w:line="197"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7.2 TRUST STATUS. The Trust is intended to be a grantor trust, within the meaning of Section 671 of the Code, of which the Employer is the grantor, and this Plan is to be construed in accordance with that intention. Notwithstanding any other provision of this Plan, the Trust Fund shall remain the property of the Employer and shall be subject to the claims of its creditors in the event of its bankruptcy or insolvency. No Participant shall have any priority claim on the Trust Fund or any security interest or other right superior to the rights of a general creditor of the Employer.</w:t>
      </w:r>
    </w:p>
    <w:p>
      <w:pPr>
        <w:spacing w:after="0" w:line="200" w:lineRule="exact"/>
        <w:rPr>
          <w:sz w:val="20"/>
          <w:szCs w:val="20"/>
          <w:color w:val="auto"/>
        </w:rPr>
      </w:pPr>
    </w:p>
    <w:p>
      <w:pPr>
        <w:spacing w:after="0" w:line="20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ARTICLE VIII</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MISCELLANEOUS PROVISIONS</w:t>
      </w:r>
    </w:p>
    <w:p>
      <w:pPr>
        <w:spacing w:after="0" w:line="210" w:lineRule="exact"/>
        <w:rPr>
          <w:sz w:val="20"/>
          <w:szCs w:val="20"/>
          <w:color w:val="auto"/>
        </w:rPr>
      </w:pPr>
    </w:p>
    <w:p>
      <w:pPr>
        <w:ind w:right="2259" w:firstLine="943"/>
        <w:spacing w:after="0" w:line="254" w:lineRule="auto"/>
        <w:rPr>
          <w:sz w:val="20"/>
          <w:szCs w:val="20"/>
          <w:color w:val="auto"/>
        </w:rPr>
      </w:pPr>
      <w:r>
        <w:rPr>
          <w:rFonts w:ascii="Courier New" w:cs="Courier New" w:eastAsia="Courier New" w:hAnsi="Courier New"/>
          <w:sz w:val="17"/>
          <w:szCs w:val="17"/>
          <w:color w:val="auto"/>
        </w:rPr>
        <w:t>8.1 HEADINGS. The headings of Articles, Sections and Paragraphs are solely for convenience of reference. If there is any conflict between such headings and the text of this Plan, the text shall control.</w:t>
      </w:r>
    </w:p>
    <w:p>
      <w:pPr>
        <w:spacing w:after="0" w:line="194" w:lineRule="exact"/>
        <w:rPr>
          <w:sz w:val="20"/>
          <w:szCs w:val="20"/>
          <w:color w:val="auto"/>
        </w:rPr>
      </w:pPr>
    </w:p>
    <w:p>
      <w:pPr>
        <w:ind w:right="2139" w:firstLine="943"/>
        <w:spacing w:after="0" w:line="257" w:lineRule="auto"/>
        <w:rPr>
          <w:sz w:val="20"/>
          <w:szCs w:val="20"/>
          <w:color w:val="auto"/>
        </w:rPr>
      </w:pPr>
      <w:r>
        <w:rPr>
          <w:rFonts w:ascii="Courier New" w:cs="Courier New" w:eastAsia="Courier New" w:hAnsi="Courier New"/>
          <w:sz w:val="17"/>
          <w:szCs w:val="17"/>
          <w:color w:val="auto"/>
        </w:rPr>
        <w:t>8.2 GENDER. Unless the context clearly requires a different meaning, all pronouns shall refer indifferently to persons of any gender.</w:t>
      </w:r>
    </w:p>
    <w:p>
      <w:pPr>
        <w:spacing w:after="0" w:line="192" w:lineRule="exact"/>
        <w:rPr>
          <w:sz w:val="20"/>
          <w:szCs w:val="20"/>
          <w:color w:val="auto"/>
        </w:rPr>
      </w:pPr>
    </w:p>
    <w:p>
      <w:pPr>
        <w:ind w:right="1939" w:firstLine="943"/>
        <w:spacing w:after="0" w:line="257" w:lineRule="auto"/>
        <w:rPr>
          <w:sz w:val="20"/>
          <w:szCs w:val="20"/>
          <w:color w:val="auto"/>
        </w:rPr>
      </w:pPr>
      <w:r>
        <w:rPr>
          <w:rFonts w:ascii="Courier New" w:cs="Courier New" w:eastAsia="Courier New" w:hAnsi="Courier New"/>
          <w:sz w:val="17"/>
          <w:szCs w:val="17"/>
          <w:color w:val="auto"/>
        </w:rPr>
        <w:t>8.3 SINGULAR AND PLURAL. Unless the context clearly requires a different meaning, singular terms shall also include the plural and vice versa.</w:t>
      </w:r>
    </w:p>
    <w:p>
      <w:pPr>
        <w:spacing w:after="0" w:line="192" w:lineRule="exact"/>
        <w:rPr>
          <w:sz w:val="20"/>
          <w:szCs w:val="20"/>
          <w:color w:val="auto"/>
        </w:rPr>
      </w:pPr>
    </w:p>
    <w:p>
      <w:pPr>
        <w:ind w:right="2039" w:firstLine="943"/>
        <w:spacing w:after="0" w:line="254" w:lineRule="auto"/>
        <w:rPr>
          <w:sz w:val="20"/>
          <w:szCs w:val="20"/>
          <w:color w:val="auto"/>
        </w:rPr>
      </w:pPr>
      <w:r>
        <w:rPr>
          <w:rFonts w:ascii="Courier New" w:cs="Courier New" w:eastAsia="Courier New" w:hAnsi="Courier New"/>
          <w:sz w:val="17"/>
          <w:szCs w:val="17"/>
          <w:color w:val="auto"/>
        </w:rPr>
        <w:t>8.4 GOVERNING LAW. Except to the extent preempted by federal law, the construction and operation of the Plan shall be governed by the laws of the State of Iowa without regard to the choice of law principles of such state.</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921" w:right="1440" w:bottom="1440" w:gutter="0" w:footer="0" w:header="0"/>
        </w:sectPr>
      </w:pPr>
    </w:p>
    <w:bookmarkStart w:id="30" w:name="page31"/>
    <w:bookmarkEnd w:id="30"/>
    <w:p>
      <w:pPr>
        <w:ind w:right="2359" w:firstLine="943"/>
        <w:spacing w:after="0" w:line="252" w:lineRule="auto"/>
        <w:rPr>
          <w:sz w:val="20"/>
          <w:szCs w:val="20"/>
          <w:color w:val="auto"/>
        </w:rPr>
      </w:pPr>
      <w:r>
        <w:rPr>
          <w:rFonts w:ascii="Courier New" w:cs="Courier New" w:eastAsia="Courier New" w:hAnsi="Courier New"/>
          <w:sz w:val="17"/>
          <w:szCs w:val="17"/>
          <w:color w:val="auto"/>
        </w:rPr>
        <w:t>8.5 SEVERABILITY. If any provision of this Plan is held illegal or invalid by any court or govemmental authority for any reason, the remaining provisions shall remain in full force and effect and shall be construed and enforced in accordance with the purposes of the Plan as if the illegal or invalid provision did not exist.</w:t>
      </w:r>
    </w:p>
    <w:p>
      <w:pPr>
        <w:spacing w:after="0" w:line="197" w:lineRule="exact"/>
        <w:rPr>
          <w:sz w:val="20"/>
          <w:szCs w:val="20"/>
          <w:color w:val="auto"/>
        </w:rPr>
      </w:pPr>
    </w:p>
    <w:p>
      <w:pPr>
        <w:ind w:right="2039" w:firstLine="943"/>
        <w:spacing w:after="0" w:line="257" w:lineRule="auto"/>
        <w:rPr>
          <w:sz w:val="20"/>
          <w:szCs w:val="20"/>
          <w:color w:val="auto"/>
        </w:rPr>
      </w:pPr>
      <w:r>
        <w:rPr>
          <w:rFonts w:ascii="Courier New" w:cs="Courier New" w:eastAsia="Courier New" w:hAnsi="Courier New"/>
          <w:sz w:val="17"/>
          <w:szCs w:val="17"/>
          <w:color w:val="auto"/>
        </w:rPr>
        <w:t>8.6 NO OBLIGATION TO EXERCISE. The granting of an Option shall impose no obligation upon a Participant to exercise such Option.</w:t>
      </w:r>
    </w:p>
    <w:p>
      <w:pPr>
        <w:spacing w:after="0" w:line="192"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8.7 NO RIGHTS OF SHAREHOLDER. Neither the Participant or, a Beneficiary shall be, or shall have any of the rights and privileges of, a stockholder with respect to any Stock purchasable or issuable upon the exercise of an Option, prior to the date of exercise of such Option.</w:t>
      </w:r>
    </w:p>
    <w:p>
      <w:pPr>
        <w:spacing w:after="0" w:line="195"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8.8 NO RIGHT TO CONTINUED EMPLOYMENT. Nothing contained in the Plan shall be deemed to give any person the right to be retained in the employ of the Employer, or to interfere with the right of the Employer to discharge any person at any time without regard to the effect that such discharge shall have upon such person's rights or potential rights, if any, under the Plan. The provisions of the Plan are in addition to, and not a limitation on, any rights that a Participant may have against the Employer by reason of any employment or other agreement with the Employer.</w:t>
      </w:r>
    </w:p>
    <w:p>
      <w:pPr>
        <w:spacing w:after="0" w:line="201"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8.9 NOTICES. Unless otherwise specified in an Option Agreement, any notice to be provided under the Plan to the Committee shall be mailed (by certified mail, postage prepaid) or delivered to the Committee in care of the Employer at its executive offices, and any notice to the Participant shall be mailed (by certified mail, postage prepaid) or delivered to the Participant at the current address shown on the payroll records of the Employer. No notice shall be binding on the Committee until received by the Committee, and no notice shall be binding on the Participant until received by the Participant.</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21" w:right="1440" w:bottom="1440" w:gutter="0" w:footer="0" w:header="0"/>
        </w:sectPr>
      </w:pPr>
    </w:p>
    <w:bookmarkStart w:id="31" w:name="page32"/>
    <w:bookmarkEnd w:id="31"/>
    <w:p>
      <w:pPr>
        <w:jc w:val="center"/>
        <w:ind w:right="1839"/>
        <w:spacing w:after="0"/>
        <w:rPr>
          <w:sz w:val="20"/>
          <w:szCs w:val="20"/>
          <w:color w:val="auto"/>
        </w:rPr>
      </w:pPr>
      <w:r>
        <w:rPr>
          <w:rFonts w:ascii="Courier New" w:cs="Courier New" w:eastAsia="Courier New" w:hAnsi="Courier New"/>
          <w:sz w:val="17"/>
          <w:szCs w:val="17"/>
          <w:color w:val="auto"/>
        </w:rPr>
        <w:t>EXHIBIT 10n.</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EXECUTIVE CHANGE OF CONTROL AGREEMENT</w:t>
      </w:r>
    </w:p>
    <w:p>
      <w:pPr>
        <w:spacing w:after="0" w:line="210"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This EXECUTIVE CHANGE OF CONTROL AGREEMENT is made as of January 17, 2001, by and between WINNEBAGO INDUSTRIES, INC., an Iowa corporation (the "Company"), and Bruce D. Hertzke (the "Executive").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WHEREAS, the Executive is a senior executive and officer of the Company and has made and is expected to continue to make major contributions to the profitability, growth and financial strength of the Company;</w:t>
      </w:r>
    </w:p>
    <w:p>
      <w:pPr>
        <w:spacing w:after="0" w:line="194" w:lineRule="exact"/>
        <w:rPr>
          <w:sz w:val="20"/>
          <w:szCs w:val="20"/>
          <w:color w:val="auto"/>
        </w:rPr>
      </w:pPr>
    </w:p>
    <w:p>
      <w:pPr>
        <w:ind w:right="1939" w:firstLine="943"/>
        <w:spacing w:after="0" w:line="254" w:lineRule="auto"/>
        <w:rPr>
          <w:sz w:val="20"/>
          <w:szCs w:val="20"/>
          <w:color w:val="auto"/>
        </w:rPr>
      </w:pPr>
      <w:r>
        <w:rPr>
          <w:rFonts w:ascii="Courier New" w:cs="Courier New" w:eastAsia="Courier New" w:hAnsi="Courier New"/>
          <w:sz w:val="17"/>
          <w:szCs w:val="17"/>
          <w:color w:val="auto"/>
        </w:rPr>
        <w:t>WHEREAS, the Company recognizes that, as is the case for most publicly held companies, the possibility of a Change of Control (as hereafter defined) exists;</w:t>
      </w:r>
    </w:p>
    <w:p>
      <w:pPr>
        <w:spacing w:after="0" w:line="194"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WHEREAS, it is in the best interests of the Company, considering the past and future services of the Executive, to improve the security and climate for objective decision making by providing for the personal security of the Executive upon a Change of Control.</w:t>
      </w:r>
    </w:p>
    <w:p>
      <w:pPr>
        <w:spacing w:after="0" w:line="195"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NOW, THEREFORE, in consideration of the foregoing premises and the past and future services rendered and to be rendered by the Executive to the Company and of the mutual covenants and agreements hereinafter set forth, the parties agree as follows: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AGREEMENT</w:t>
      </w:r>
    </w:p>
    <w:p>
      <w:pPr>
        <w:spacing w:after="0" w:line="210" w:lineRule="exact"/>
        <w:rPr>
          <w:sz w:val="20"/>
          <w:szCs w:val="20"/>
          <w:color w:val="auto"/>
        </w:rPr>
      </w:pPr>
    </w:p>
    <w:p>
      <w:pPr>
        <w:ind w:right="1939" w:firstLine="950"/>
        <w:spacing w:after="0" w:line="251" w:lineRule="auto"/>
        <w:tabs>
          <w:tab w:leader="none" w:pos="1257"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SERVICE BY EXECUTIVE. In the event a person or entity, in order to effect a Change of Control, commences a 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01" w:lineRule="exact"/>
        <w:rPr>
          <w:rFonts w:ascii="Courier New" w:cs="Courier New" w:eastAsia="Courier New" w:hAnsi="Courier New"/>
          <w:sz w:val="17"/>
          <w:szCs w:val="17"/>
          <w:color w:val="auto"/>
        </w:rPr>
      </w:pPr>
    </w:p>
    <w:p>
      <w:pPr>
        <w:ind w:right="1939" w:firstLine="950"/>
        <w:spacing w:after="0" w:line="251" w:lineRule="auto"/>
        <w:tabs>
          <w:tab w:leader="none" w:pos="1257"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For purposes of this Agreement, the term "Change of Control" means the time when (i) any Person becomes an Acquiring Person, or</w:t>
      </w:r>
    </w:p>
    <w:p>
      <w:pPr>
        <w:ind w:right="1939" w:firstLine="7"/>
        <w:spacing w:after="0" w:line="251" w:lineRule="auto"/>
        <w:tabs>
          <w:tab w:leader="none" w:pos="52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individuals who shall qualify as Continuing Directors of the Company shall have ceased for any reason to constitute at least a majority of the Board of Directors of the Company; PROVIDED HOWEVER, that in the case of either clause</w:t>
      </w:r>
    </w:p>
    <w:p>
      <w:pPr>
        <w:ind w:left="420" w:hanging="413"/>
        <w:spacing w:after="0"/>
        <w:tabs>
          <w:tab w:leader="none" w:pos="4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(ii) a Change of Control shall not be deemed to have occurred if the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1" w:lineRule="exact"/>
        <w:rPr>
          <w:sz w:val="20"/>
          <w:szCs w:val="20"/>
          <w:color w:val="auto"/>
        </w:rPr>
      </w:pPr>
    </w:p>
    <w:p>
      <w:pPr>
        <w:ind w:right="1839" w:firstLine="943"/>
        <w:spacing w:after="0" w:line="257" w:lineRule="auto"/>
        <w:rPr>
          <w:sz w:val="20"/>
          <w:szCs w:val="20"/>
          <w:color w:val="auto"/>
        </w:rPr>
      </w:pPr>
      <w:r>
        <w:rPr>
          <w:rFonts w:ascii="Courier New" w:cs="Courier New" w:eastAsia="Courier New" w:hAnsi="Courier New"/>
          <w:sz w:val="17"/>
          <w:szCs w:val="17"/>
          <w:color w:val="auto"/>
        </w:rPr>
        <w:t>For the purpose of the foregoing definition of "Change of Control," the capitalized terms shall have the following meanings:</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00" w:right="1839" w:hanging="950"/>
        <w:spacing w:after="0" w:line="251" w:lineRule="auto"/>
        <w:tabs>
          <w:tab w:leader="none" w:pos="19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1" w:lineRule="exact"/>
        <w:rPr>
          <w:rFonts w:ascii="Courier New" w:cs="Courier New" w:eastAsia="Courier New" w:hAnsi="Courier New"/>
          <w:sz w:val="17"/>
          <w:szCs w:val="17"/>
          <w:color w:val="auto"/>
        </w:rPr>
      </w:pPr>
    </w:p>
    <w:p>
      <w:pPr>
        <w:ind w:left="1900" w:right="1839" w:hanging="950"/>
        <w:spacing w:after="0" w:line="252" w:lineRule="auto"/>
        <w:tabs>
          <w:tab w:leader="none" w:pos="19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January 17, 2001, except</w:t>
      </w:r>
    </w:p>
    <w:p>
      <w:pPr>
        <w:sectPr>
          <w:pgSz w:w="11900" w:h="16838" w:orient="portrait"/>
          <w:cols w:equalWidth="0" w:num="1">
            <w:col w:w="10219"/>
          </w:cols>
          <w:pgMar w:left="240" w:top="142" w:right="1440" w:bottom="0" w:gutter="0" w:footer="0" w:header="0"/>
        </w:sectPr>
      </w:pPr>
    </w:p>
    <w:bookmarkStart w:id="32" w:name="page33"/>
    <w:bookmarkEnd w:id="32"/>
    <w:p>
      <w:pPr>
        <w:ind w:left="950" w:right="1939"/>
        <w:spacing w:after="0" w:line="254" w:lineRule="auto"/>
        <w:rPr>
          <w:sz w:val="20"/>
          <w:szCs w:val="20"/>
          <w:color w:val="auto"/>
        </w:rPr>
      </w:pPr>
      <w:r>
        <w:rPr>
          <w:rFonts w:ascii="Courier New" w:cs="Courier New" w:eastAsia="Courier New" w:hAnsi="Courier New"/>
          <w:sz w:val="17"/>
          <w:szCs w:val="17"/>
          <w:color w:val="auto"/>
        </w:rPr>
        <w:t>that the term "Acquiring Person" shall not include a Hanson Family Member or an Affiliate or Associate of a Hanson Family Member.</w:t>
      </w:r>
    </w:p>
    <w:p>
      <w:pPr>
        <w:spacing w:after="0" w:line="194" w:lineRule="exact"/>
        <w:rPr>
          <w:sz w:val="20"/>
          <w:szCs w:val="20"/>
          <w:color w:val="auto"/>
        </w:rPr>
      </w:pPr>
    </w:p>
    <w:p>
      <w:pPr>
        <w:ind w:left="950" w:right="1839" w:hanging="950"/>
        <w:spacing w:after="0" w:line="254" w:lineRule="auto"/>
        <w:tabs>
          <w:tab w:leader="none" w:pos="95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means a Person that directly or indirectly through one or more intermediaries, controls, or is controlled by, or is under common control with, the person specified.</w:t>
      </w:r>
    </w:p>
    <w:p>
      <w:pPr>
        <w:spacing w:after="0" w:line="194" w:lineRule="exact"/>
        <w:rPr>
          <w:rFonts w:ascii="Courier New" w:cs="Courier New" w:eastAsia="Courier New" w:hAnsi="Courier New"/>
          <w:sz w:val="17"/>
          <w:szCs w:val="17"/>
          <w:color w:val="auto"/>
        </w:rPr>
      </w:pPr>
    </w:p>
    <w:p>
      <w:pPr>
        <w:ind w:left="950" w:right="1939" w:hanging="950"/>
        <w:spacing w:after="0" w:line="251" w:lineRule="auto"/>
        <w:tabs>
          <w:tab w:leader="none" w:pos="95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ind w:left="950" w:right="2039" w:hanging="7"/>
        <w:spacing w:after="0" w:line="251" w:lineRule="auto"/>
        <w:tabs>
          <w:tab w:leader="none" w:pos="1369"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trust or fund in which such person has a substantial beneficial interest or as to which such person serves as trustee or in a similar fiduciary capacity, (3) any relative or spouse of such person, or any relative of such spouse, or</w:t>
      </w:r>
    </w:p>
    <w:p>
      <w:pPr>
        <w:ind w:left="950" w:right="2559" w:hanging="7"/>
        <w:spacing w:after="0" w:line="257" w:lineRule="auto"/>
        <w:tabs>
          <w:tab w:leader="none" w:pos="1369"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investment company for which such person or any Affiliate of such person serves as investment advisor.</w:t>
      </w:r>
    </w:p>
    <w:p>
      <w:pPr>
        <w:spacing w:after="0" w:line="191" w:lineRule="exact"/>
        <w:rPr>
          <w:rFonts w:ascii="Courier New" w:cs="Courier New" w:eastAsia="Courier New" w:hAnsi="Courier New"/>
          <w:sz w:val="17"/>
          <w:szCs w:val="17"/>
          <w:color w:val="auto"/>
        </w:rPr>
      </w:pPr>
    </w:p>
    <w:p>
      <w:pPr>
        <w:ind w:left="950" w:right="1939" w:hanging="950"/>
        <w:spacing w:after="0" w:line="252" w:lineRule="auto"/>
        <w:tabs>
          <w:tab w:leader="none" w:pos="95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"Hanson Family Member" means John K. Hanson (deceased)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96" w:lineRule="exact"/>
        <w:rPr>
          <w:rFonts w:ascii="Courier New" w:cs="Courier New" w:eastAsia="Courier New" w:hAnsi="Courier New"/>
          <w:sz w:val="17"/>
          <w:szCs w:val="17"/>
          <w:color w:val="auto"/>
        </w:rPr>
      </w:pPr>
    </w:p>
    <w:p>
      <w:pPr>
        <w:ind w:left="950" w:right="1839" w:hanging="950"/>
        <w:spacing w:after="0" w:line="253" w:lineRule="auto"/>
        <w:tabs>
          <w:tab w:leader="none" w:pos="95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means an individual, corporation, limited liability company, partnership, association, joint stock company, trust, unincorporated organization or government or political subdivision thereof.</w:t>
      </w:r>
    </w:p>
    <w:p>
      <w:pPr>
        <w:spacing w:after="0" w:line="195" w:lineRule="exact"/>
        <w:rPr>
          <w:sz w:val="20"/>
          <w:szCs w:val="20"/>
          <w:color w:val="auto"/>
        </w:rPr>
      </w:pPr>
    </w:p>
    <w:p>
      <w:pPr>
        <w:ind w:left="-950" w:right="1839" w:firstLine="950"/>
        <w:spacing w:after="0" w:line="253" w:lineRule="auto"/>
        <w:tabs>
          <w:tab w:leader="none" w:pos="307"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BENEFITS EFFECTIVE IMMEDIATELY UPON A CHANGE OF CONTROL. If a Change of Control shall have occurred while the Executive is still an employee of the Company, then the Executive shall immediately be entitled to the following benefits:</w:t>
      </w:r>
    </w:p>
    <w:p>
      <w:pPr>
        <w:spacing w:after="0" w:line="195" w:lineRule="exact"/>
        <w:rPr>
          <w:rFonts w:ascii="Courier New" w:cs="Courier New" w:eastAsia="Courier New" w:hAnsi="Courier New"/>
          <w:sz w:val="17"/>
          <w:szCs w:val="17"/>
          <w:color w:val="auto"/>
        </w:rPr>
      </w:pPr>
    </w:p>
    <w:p>
      <w:pPr>
        <w:ind w:left="-950" w:right="1839" w:firstLine="1893"/>
        <w:spacing w:after="0" w:line="252" w:lineRule="auto"/>
        <w:tabs>
          <w:tab w:leader="none" w:pos="1354"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 VESTING OF ALL STOCK OPTIONS AND RIGHTS. All options and rights granted to the Executive by the Company pursuant to the Company's Stock Option Plan effective as of August 14, 1997, or any successor or supplemental stock plan shall become immediately exercisable upon a Change of Control.</w:t>
      </w:r>
    </w:p>
    <w:p>
      <w:pPr>
        <w:spacing w:after="0" w:line="197" w:lineRule="exact"/>
        <w:rPr>
          <w:rFonts w:ascii="Courier New" w:cs="Courier New" w:eastAsia="Courier New" w:hAnsi="Courier New"/>
          <w:sz w:val="17"/>
          <w:szCs w:val="17"/>
          <w:color w:val="auto"/>
        </w:rPr>
      </w:pPr>
    </w:p>
    <w:p>
      <w:pPr>
        <w:ind w:left="-950" w:right="2139" w:firstLine="1893"/>
        <w:spacing w:after="0" w:line="252" w:lineRule="auto"/>
        <w:tabs>
          <w:tab w:leader="none" w:pos="1354"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If the Executive is a participant under the Company's Executive Split Dollar Life Insurance Program at the time of a Change of Control and the Company has paid any portion of the premium on the policy or policies issued in connection therewith during the twelve months preceding the occurrence of</w:t>
      </w:r>
    </w:p>
    <w:p>
      <w:pPr>
        <w:spacing w:after="0" w:line="399"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269"/>
          </w:cols>
          <w:pgMar w:left="1190" w:top="142" w:right="1440" w:bottom="1440" w:gutter="0" w:footer="0" w:header="0"/>
        </w:sectPr>
      </w:pPr>
    </w:p>
    <w:bookmarkStart w:id="33" w:name="page34"/>
    <w:bookmarkEnd w:id="33"/>
    <w:p>
      <w:pPr>
        <w:ind w:right="2139"/>
        <w:spacing w:after="0" w:line="257" w:lineRule="auto"/>
        <w:rPr>
          <w:sz w:val="20"/>
          <w:szCs w:val="20"/>
          <w:color w:val="auto"/>
        </w:rPr>
      </w:pPr>
      <w:r>
        <w:rPr>
          <w:rFonts w:ascii="Courier New" w:cs="Courier New" w:eastAsia="Courier New" w:hAnsi="Courier New"/>
          <w:sz w:val="17"/>
          <w:szCs w:val="17"/>
          <w:color w:val="auto"/>
        </w:rPr>
        <w:t>the Change of Control, then the Company shall continue to pay all premiums on such policies so long as the Executive remains in the employ of the Company.</w:t>
      </w:r>
    </w:p>
    <w:p>
      <w:pPr>
        <w:spacing w:after="0" w:line="192" w:lineRule="exact"/>
        <w:rPr>
          <w:sz w:val="20"/>
          <w:szCs w:val="20"/>
          <w:color w:val="auto"/>
        </w:rPr>
      </w:pPr>
    </w:p>
    <w:p>
      <w:pPr>
        <w:ind w:right="2139" w:firstLine="1893"/>
        <w:spacing w:after="0" w:line="252" w:lineRule="auto"/>
        <w:tabs>
          <w:tab w:leader="none" w:pos="2304" w:val="left"/>
        </w:tabs>
        <w:numPr>
          <w:ilvl w:val="2"/>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HEALTH INSURANCE. Any plans or policies of the Company providing for medical, dental, vision or similar benefits for retired employees existing as of the time of a Change of Control shall, as to the Executive, not be rescinded or modified in any manner which is adverse to the Executive following a Change of Control.</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All nonregistered stock of the Company owned by the Executive, which is subject to restrictions on sale or other transfer, shall, at the option of the Executive (exercisable at any time by the delivery of written notice to the Company) be purchased by the Company at its fair market value. The purchase shall be completed by the Company within thirty</w:t>
      </w:r>
    </w:p>
    <w:p>
      <w:pPr>
        <w:ind w:right="2259" w:firstLine="7"/>
        <w:spacing w:after="0" w:line="252" w:lineRule="auto"/>
        <w:tabs>
          <w:tab w:leader="none" w:pos="524"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after the Company receives the written notice of exercise from the Executive. So long as the Company's stock is traded on the New York Stock Exchange (the "NYSE"), the "fair market value" shall be the mean between the highest and lowest reported selling prices as reported by the NYSE on the business day immediately preceding the day of sale.</w:t>
      </w:r>
    </w:p>
    <w:p>
      <w:pPr>
        <w:spacing w:after="0" w:line="197"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BENEFITS EFFECTIVE IMMEDIATELY UPON A CHANGE OF CONTROL PURSUANT TO PLAN DOCUMENTS. It is acknowledged that there presently exist other plans and agreements of the Company which may provide benefits to the Executive and which contain specific provisions dealing with the occurrence of a change of control of the Company (as defined in such plan or agreement). Following a Change of Control, no such plan or agreement shall be rescinded or modified in any manner which is adverse to the Executive. Such other plans and agreements of the Company shall mean: (a) the Executive Share Option Program; (b) the Officers' Long-Term Incentive Plan; (c) the Deferred Compensation and Deferred Bonus Plans; and (d) the Officers' Incentive Compensation Plan. Nothing herein shall be construed to affect the Company's right and ability to terminate or amend any such plan or agreement (subject to the terms thereof) prior to a Change of Control.</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FOLLOWING A CHANGE OF CONTROL. If a Change of Control shall have occurred while the Executive is still an employee of the Company, and if the Executive's employment with the Company is terminated, within three years following such Change of Control, then the Executive shall be entitled to the compensation and benefits provided in Sections 6 and 7, unless such termination is a result of: (a) the Executive's death; (b) the Executive's disability [as defined in Section 5(a) below]; (c) the Executive's retirement [as defined in Section 5(b) below]; (d) the Executive's termination by the Company for Cause [as defined in Section 5(c) below]; or (e) the Executive's decision to terminate employment other than for Good Reason [as defined in Section 5(d) below].</w:t>
      </w:r>
    </w:p>
    <w:p>
      <w:pPr>
        <w:spacing w:after="0" w:line="201"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If, as a result of the Executive's incapacity due to physical or mental illness, the Executive shall have 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96" w:lineRule="exact"/>
        <w:rPr>
          <w:rFonts w:ascii="Courier New" w:cs="Courier New" w:eastAsia="Courier New" w:hAnsi="Courier New"/>
          <w:sz w:val="17"/>
          <w:szCs w:val="17"/>
          <w:color w:val="auto"/>
        </w:rPr>
      </w:pPr>
    </w:p>
    <w:p>
      <w:pPr>
        <w:ind w:right="1939" w:firstLine="1893"/>
        <w:spacing w:after="0" w:line="252" w:lineRule="auto"/>
        <w:tabs>
          <w:tab w:leader="none" w:pos="2304" w:val="left"/>
        </w:tabs>
        <w:numPr>
          <w:ilvl w:val="2"/>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The term "Retirement" as used in this Agreement shall mean termination by the Company or the Executive of the Executive's employment based on the Executive having attained the age of 65 or such other age as shall have been fixed in any arrangement established with the Executive's consent with respect to the Executive.</w:t>
      </w:r>
    </w:p>
    <w:p>
      <w:pPr>
        <w:spacing w:after="0" w:line="197"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may terminate the Executive's employment for Cause. For purposes of this Agreement only, the Company shall have "Cause" to terminate the Executive's employment hereunder only on the basis of (i) fraud, misappropriation or embezzlement on the part of the Executive; or (ii) intentional misconduct or gross negligence on</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21" w:right="1440" w:bottom="1440" w:gutter="0" w:footer="0" w:header="0"/>
        </w:sectPr>
      </w:pPr>
    </w:p>
    <w:bookmarkStart w:id="34" w:name="page35"/>
    <w:bookmarkEnd w:id="34"/>
    <w:p>
      <w:pPr>
        <w:ind w:right="1939"/>
        <w:spacing w:after="0" w:line="251" w:lineRule="auto"/>
        <w:rPr>
          <w:sz w:val="20"/>
          <w:szCs w:val="20"/>
          <w:color w:val="auto"/>
        </w:rPr>
      </w:pPr>
      <w:r>
        <w:rPr>
          <w:rFonts w:ascii="Courier New" w:cs="Courier New" w:eastAsia="Courier New" w:hAnsi="Courier New"/>
          <w:sz w:val="17"/>
          <w:szCs w:val="17"/>
          <w:color w:val="auto"/>
        </w:rPr>
        <w:t>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5(c) and specifying the particulars thereof in detail. Nothing herein shall limit the right of the Executive or his beneficiaries to contest the validity or propriety of any such determination.</w:t>
      </w:r>
    </w:p>
    <w:p>
      <w:pPr>
        <w:spacing w:after="0" w:line="200" w:lineRule="exact"/>
        <w:rPr>
          <w:sz w:val="20"/>
          <w:szCs w:val="20"/>
          <w:color w:val="auto"/>
        </w:rPr>
      </w:pPr>
    </w:p>
    <w:p>
      <w:pPr>
        <w:spacing w:after="0" w:line="203" w:lineRule="exact"/>
        <w:rPr>
          <w:sz w:val="20"/>
          <w:szCs w:val="20"/>
          <w:color w:val="auto"/>
        </w:rPr>
      </w:pPr>
    </w:p>
    <w:p>
      <w:pPr>
        <w:ind w:right="2039" w:firstLine="1893"/>
        <w:spacing w:after="0" w:line="253" w:lineRule="auto"/>
        <w:tabs>
          <w:tab w:leader="none" w:pos="2304"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REASON. The Executive may terminate the Executive's employment for Good Reason at any time during the term of this Agreement. For purposes of this Agreement "Good Reason" shall mean any of the following (without the Executive's express written consent):</w:t>
      </w:r>
    </w:p>
    <w:p>
      <w:pPr>
        <w:spacing w:after="0" w:line="195" w:lineRule="exact"/>
        <w:rPr>
          <w:sz w:val="20"/>
          <w:szCs w:val="20"/>
          <w:color w:val="auto"/>
        </w:rPr>
      </w:pPr>
    </w:p>
    <w:p>
      <w:pPr>
        <w:ind w:left="960" w:right="1839" w:firstLine="933"/>
        <w:spacing w:after="0" w:line="251" w:lineRule="auto"/>
        <w:tabs>
          <w:tab w:leader="none" w:pos="2322"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201" w:lineRule="exact"/>
        <w:rPr>
          <w:rFonts w:ascii="Courier New" w:cs="Courier New" w:eastAsia="Courier New" w:hAnsi="Courier New"/>
          <w:sz w:val="17"/>
          <w:szCs w:val="17"/>
          <w:color w:val="auto"/>
        </w:rPr>
      </w:pPr>
    </w:p>
    <w:p>
      <w:pPr>
        <w:ind w:left="960" w:right="1839" w:firstLine="933"/>
        <w:spacing w:after="0" w:line="251" w:lineRule="auto"/>
        <w:tabs>
          <w:tab w:leader="none" w:pos="242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201" w:lineRule="exact"/>
        <w:rPr>
          <w:rFonts w:ascii="Courier New" w:cs="Courier New" w:eastAsia="Courier New" w:hAnsi="Courier New"/>
          <w:sz w:val="17"/>
          <w:szCs w:val="17"/>
          <w:color w:val="auto"/>
        </w:rPr>
      </w:pPr>
    </w:p>
    <w:p>
      <w:pPr>
        <w:ind w:left="960" w:right="1839" w:firstLine="933"/>
        <w:spacing w:after="0" w:line="251" w:lineRule="auto"/>
        <w:tabs>
          <w:tab w:leader="none" w:pos="2531"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201" w:lineRule="exact"/>
        <w:rPr>
          <w:rFonts w:ascii="Courier New" w:cs="Courier New" w:eastAsia="Courier New" w:hAnsi="Courier New"/>
          <w:sz w:val="17"/>
          <w:szCs w:val="17"/>
          <w:color w:val="auto"/>
        </w:rPr>
      </w:pPr>
    </w:p>
    <w:p>
      <w:pPr>
        <w:ind w:left="960" w:right="1839" w:firstLine="933"/>
        <w:spacing w:after="0" w:line="251" w:lineRule="auto"/>
        <w:tabs>
          <w:tab w:leader="none" w:pos="242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reduce the Executive's benefits under any such Incentive Plan, expressed as a percentage of his base salary, by more than 10 percentage points in any fiscal year as compared to the immediately preceding fiscal year;</w:t>
      </w:r>
    </w:p>
    <w:p>
      <w:pPr>
        <w:spacing w:after="0" w:line="201" w:lineRule="exact"/>
        <w:rPr>
          <w:rFonts w:ascii="Courier New" w:cs="Courier New" w:eastAsia="Courier New" w:hAnsi="Courier New"/>
          <w:sz w:val="17"/>
          <w:szCs w:val="17"/>
          <w:color w:val="auto"/>
        </w:rPr>
      </w:pPr>
    </w:p>
    <w:p>
      <w:pPr>
        <w:ind w:left="960" w:right="1839" w:firstLine="933"/>
        <w:spacing w:after="0" w:line="253" w:lineRule="auto"/>
        <w:tabs>
          <w:tab w:leader="none" w:pos="2322"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21" w:right="1440" w:bottom="659" w:gutter="0" w:footer="0" w:header="0"/>
        </w:sectPr>
      </w:pPr>
    </w:p>
    <w:bookmarkStart w:id="35" w:name="page36"/>
    <w:bookmarkEnd w:id="35"/>
    <w:p>
      <w:pPr>
        <w:ind w:left="10" w:right="2139"/>
        <w:spacing w:after="0" w:line="253" w:lineRule="auto"/>
        <w:rPr>
          <w:sz w:val="20"/>
          <w:szCs w:val="20"/>
          <w:color w:val="auto"/>
        </w:rPr>
      </w:pPr>
      <w:r>
        <w:rPr>
          <w:rFonts w:ascii="Courier New" w:cs="Courier New" w:eastAsia="Courier New" w:hAnsi="Courier New"/>
          <w:sz w:val="17"/>
          <w:szCs w:val="17"/>
          <w:color w:val="auto"/>
        </w:rPr>
        <w:t>(hereinafter referred to as "Securities Plans") or the taking of any action by the Company which would adversely affect the Executive's participation in or materially reduce the Executive's benefits under any such Securities Plan;</w:t>
      </w:r>
    </w:p>
    <w:p>
      <w:pPr>
        <w:spacing w:after="0" w:line="195" w:lineRule="exact"/>
        <w:rPr>
          <w:sz w:val="20"/>
          <w:szCs w:val="20"/>
          <w:color w:val="auto"/>
        </w:rPr>
      </w:pPr>
    </w:p>
    <w:p>
      <w:pPr>
        <w:ind w:left="10" w:right="1839" w:firstLine="933"/>
        <w:spacing w:after="0" w:line="251" w:lineRule="auto"/>
        <w:tabs>
          <w:tab w:leader="none" w:pos="1476"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01" w:lineRule="exact"/>
        <w:rPr>
          <w:rFonts w:ascii="Courier New" w:cs="Courier New" w:eastAsia="Courier New" w:hAnsi="Courier New"/>
          <w:sz w:val="17"/>
          <w:szCs w:val="17"/>
          <w:color w:val="auto"/>
        </w:rPr>
      </w:pPr>
    </w:p>
    <w:p>
      <w:pPr>
        <w:ind w:left="10" w:right="1839" w:firstLine="933"/>
        <w:spacing w:after="0" w:line="254" w:lineRule="auto"/>
        <w:tabs>
          <w:tab w:leader="none" w:pos="1581"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provide the Executive with the number of paid vacation days to which the Executive is entitled at the time of a Change in Control of the Company;</w:t>
      </w:r>
    </w:p>
    <w:p>
      <w:pPr>
        <w:spacing w:after="0" w:line="194" w:lineRule="exact"/>
        <w:rPr>
          <w:rFonts w:ascii="Courier New" w:cs="Courier New" w:eastAsia="Courier New" w:hAnsi="Courier New"/>
          <w:sz w:val="17"/>
          <w:szCs w:val="17"/>
          <w:color w:val="auto"/>
        </w:rPr>
      </w:pPr>
    </w:p>
    <w:p>
      <w:pPr>
        <w:ind w:left="1670" w:hanging="727"/>
        <w:spacing w:after="0"/>
        <w:tabs>
          <w:tab w:leader="none" w:pos="167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breach by the Company of any provision of</w:t>
      </w:r>
    </w:p>
    <w:p>
      <w:pPr>
        <w:spacing w:after="0" w:line="8" w:lineRule="exact"/>
        <w:rPr>
          <w:rFonts w:ascii="Courier New" w:cs="Courier New" w:eastAsia="Courier New" w:hAnsi="Courier New"/>
          <w:sz w:val="17"/>
          <w:szCs w:val="17"/>
          <w:color w:val="auto"/>
        </w:rPr>
      </w:pPr>
    </w:p>
    <w:p>
      <w:pPr>
        <w:ind w:left="1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w:t>
      </w:r>
    </w:p>
    <w:p>
      <w:pPr>
        <w:spacing w:after="0" w:line="210" w:lineRule="exact"/>
        <w:rPr>
          <w:rFonts w:ascii="Courier New" w:cs="Courier New" w:eastAsia="Courier New" w:hAnsi="Courier New"/>
          <w:sz w:val="17"/>
          <w:szCs w:val="17"/>
          <w:color w:val="auto"/>
        </w:rPr>
      </w:pPr>
    </w:p>
    <w:p>
      <w:pPr>
        <w:ind w:left="10" w:right="2139" w:firstLine="933"/>
        <w:spacing w:after="0" w:line="257" w:lineRule="auto"/>
        <w:tabs>
          <w:tab w:leader="none" w:pos="1476"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obtain the assumption of this Agreement by any successor or assign of the Company; or</w:t>
      </w:r>
    </w:p>
    <w:p>
      <w:pPr>
        <w:spacing w:after="0" w:line="191" w:lineRule="exact"/>
        <w:rPr>
          <w:rFonts w:ascii="Courier New" w:cs="Courier New" w:eastAsia="Courier New" w:hAnsi="Courier New"/>
          <w:sz w:val="17"/>
          <w:szCs w:val="17"/>
          <w:color w:val="auto"/>
        </w:rPr>
      </w:pPr>
    </w:p>
    <w:p>
      <w:pPr>
        <w:jc w:val="both"/>
        <w:ind w:left="10" w:right="2039" w:firstLine="933"/>
        <w:spacing w:after="0" w:line="253" w:lineRule="auto"/>
        <w:tabs>
          <w:tab w:leader="none" w:pos="1372"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purported termination of the Executive's employment which is not effected pursuant to a Notice of Termination satisfying the requirements of Section 3(f), and for purposes of this Agreement, no such purported termination shall be effective.</w:t>
      </w:r>
    </w:p>
    <w:p>
      <w:pPr>
        <w:spacing w:after="0" w:line="195" w:lineRule="exact"/>
        <w:rPr>
          <w:sz w:val="20"/>
          <w:szCs w:val="20"/>
          <w:color w:val="auto"/>
        </w:rPr>
      </w:pPr>
    </w:p>
    <w:p>
      <w:pPr>
        <w:ind w:left="-950" w:right="1839" w:firstLine="1893"/>
        <w:spacing w:after="0" w:line="251" w:lineRule="auto"/>
        <w:tabs>
          <w:tab w:leader="none" w:pos="1354"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TERMINATION. Any termination by the Company pursuant to Section 5(a), (b) or (c) shall be 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01" w:lineRule="exact"/>
        <w:rPr>
          <w:rFonts w:ascii="Courier New" w:cs="Courier New" w:eastAsia="Courier New" w:hAnsi="Courier New"/>
          <w:sz w:val="17"/>
          <w:szCs w:val="17"/>
          <w:color w:val="auto"/>
        </w:rPr>
      </w:pPr>
    </w:p>
    <w:p>
      <w:pPr>
        <w:ind w:left="-950" w:right="1939" w:firstLine="1893"/>
        <w:spacing w:after="0" w:line="251" w:lineRule="auto"/>
        <w:tabs>
          <w:tab w:leader="none" w:pos="1354"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OF TERMINATION. "Date of Termination" shall mean (a) if this Agreement is terminated by the Company for Disability, 30 days after Notice of Termination is given to the Executive (provided that the Executive shall not have returned to the performance of the Executive's duties on a time basis during such 30-day period) or (b) if the Executive's employment is terminated by the Company for any other reason, the date on which a Notice of Termination is given; PROVIDED that if within 30 days after any Notice of Termination is given to the Executive by the Company the Executive notifies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01" w:lineRule="exact"/>
        <w:rPr>
          <w:rFonts w:ascii="Courier New" w:cs="Courier New" w:eastAsia="Courier New" w:hAnsi="Courier New"/>
          <w:sz w:val="17"/>
          <w:szCs w:val="17"/>
          <w:color w:val="auto"/>
        </w:rPr>
      </w:pPr>
    </w:p>
    <w:p>
      <w:pPr>
        <w:ind w:left="-950" w:right="1839" w:firstLine="950"/>
        <w:spacing w:after="0" w:line="251" w:lineRule="auto"/>
        <w:tabs>
          <w:tab w:leader="none" w:pos="307"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COMPENSATION UPON TERMINATION OF EMPLOYMENT. If the Company shall terminate the Executive's employment other 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200" w:lineRule="exact"/>
        <w:rPr>
          <w:sz w:val="20"/>
          <w:szCs w:val="20"/>
          <w:color w:val="auto"/>
        </w:rPr>
      </w:pPr>
    </w:p>
    <w:p>
      <w:pPr>
        <w:spacing w:after="0" w:line="203"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269"/>
          </w:cols>
          <w:pgMar w:left="1190" w:top="921" w:right="1440" w:bottom="1440" w:gutter="0" w:footer="0" w:header="0"/>
        </w:sectPr>
      </w:pPr>
    </w:p>
    <w:bookmarkStart w:id="36" w:name="page37"/>
    <w:bookmarkEnd w:id="36"/>
    <w:p>
      <w:pPr>
        <w:ind w:right="2039" w:firstLine="950"/>
        <w:spacing w:after="0" w:line="252" w:lineRule="auto"/>
        <w:tabs>
          <w:tab w:leader="none" w:pos="1257"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BENEFITS UPON TERMINATION. If within three years following a Change of Control, the Company shall terminate the Executive's employment other than pursuant to Section 5(a), (b) or (c) or if the Executive shall terminate his employment for Good Reason, then the Company shall further provide to the Executive the following benefits:</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LIFE, DENTAL, VISION, HEALTH AND LONG-TERM DISABILITY COVERAGE. The Executive's participation in, and entitlement to, benefits under:</w:t>
      </w:r>
    </w:p>
    <w:p>
      <w:pPr>
        <w:ind w:right="1839" w:firstLine="7"/>
        <w:spacing w:after="0" w:line="251" w:lineRule="auto"/>
        <w:tabs>
          <w:tab w:leader="none" w:pos="41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life insurance plans of the Company; (ii) all health insurance plans of the Company, including, but not limited to, those providing major medical and hospitalization benefits, dental benefits and vision benefits; and (iii) the Company's long-term disability plan or plans; as all such plans existed immediately prior to the Change of Control shall continue as though the Executive remained employed by the Corporation for an additional period of three</w:t>
      </w: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years or until the obtainment of such coverages by the Executive through another employer, whichever is earlier; provided, however, that in the case of all health insurance plans of the Company (including, but not limited to, those providing major medical and hospitalization benefits, dental benefits and vision benefits), such three-(3) year period shall be extended to the time that the Executive attains age 65 (and provided further that the Executive may then be entitled to certain retiree health insurance under Section 3(c) hereof). To the extent such participation or entitlement is not possible for any reason whatsoever, equivalent benefits shall be provided by the Company to the Executive.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AUTOMOBILE BENEFIT. If the Executive is entitled to the use of a Company-owned automobile at the time of a Change of Control, then title to such automobile shall be transferred to the Executive (upon termination of employment as described in Section 7 above) free and clear of all liens and encumbrances (or, if the Company does not own such automobile at the time of termination, then the Company shall arrange for the purchase, for the benefit of the Executive, of a similar make, model and year of automobile).</w:t>
      </w:r>
    </w:p>
    <w:p>
      <w:pPr>
        <w:spacing w:after="0" w:line="195"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Provided that the Company is obligated, pursuant to Section 3(b) hereof, to pay premiums on a policy or policies issued in favor of the Executive following a Change of Control, then the Company shall, in the same manner, continue making such premium payments until the later of (i) the Executive attains the age of 55; or</w:t>
      </w:r>
    </w:p>
    <w:p>
      <w:pPr>
        <w:ind w:right="2259" w:firstLine="7"/>
        <w:spacing w:after="0" w:line="254" w:lineRule="auto"/>
        <w:tabs>
          <w:tab w:leader="none" w:pos="524"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three (3) years following the Executive's termination of employment (provided, however, that the Company shall not be obligated to make any such payments after the Executive attains age 65).</w:t>
      </w:r>
    </w:p>
    <w:p>
      <w:pPr>
        <w:spacing w:after="0" w:line="194" w:lineRule="exact"/>
        <w:rPr>
          <w:rFonts w:ascii="Courier New" w:cs="Courier New" w:eastAsia="Courier New" w:hAnsi="Courier New"/>
          <w:sz w:val="17"/>
          <w:szCs w:val="17"/>
          <w:color w:val="auto"/>
        </w:rPr>
      </w:pPr>
    </w:p>
    <w:p>
      <w:pPr>
        <w:ind w:right="2039" w:firstLine="1893"/>
        <w:spacing w:after="0" w:line="252" w:lineRule="auto"/>
        <w:tabs>
          <w:tab w:leader="none" w:pos="2304" w:val="left"/>
        </w:tabs>
        <w:numPr>
          <w:ilvl w:val="2"/>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COMPENSATION PLANS. Any vesting requirement imposed under the provisions of, or rules relating to, the Company's Deferred Compensation and Deferred Bonus Plans, (including, but not limited to, vesting conditions requiring that the Executive attain the age of 55 and/or complete five years of service following a deferral) shall be waived and the Executive shall be fully vested in all deferrals made under such plans.</w:t>
      </w:r>
    </w:p>
    <w:p>
      <w:pPr>
        <w:spacing w:after="0" w:line="196" w:lineRule="exact"/>
        <w:rPr>
          <w:rFonts w:ascii="Courier New" w:cs="Courier New" w:eastAsia="Courier New" w:hAnsi="Courier New"/>
          <w:sz w:val="17"/>
          <w:szCs w:val="17"/>
          <w:color w:val="auto"/>
        </w:rPr>
      </w:pPr>
    </w:p>
    <w:p>
      <w:pPr>
        <w:ind w:left="1260" w:hanging="310"/>
        <w:spacing w:after="0"/>
        <w:tabs>
          <w:tab w:leader="none" w:pos="1260"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EXCISE TAX-ADDITIONAL PAYMENT.</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2"/>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21" w:right="1440" w:bottom="1440" w:gutter="0" w:footer="0" w:header="0"/>
        </w:sectPr>
      </w:pPr>
    </w:p>
    <w:bookmarkStart w:id="37" w:name="page38"/>
    <w:bookmarkEnd w:id="37"/>
    <w:p>
      <w:pPr>
        <w:ind w:right="2139"/>
        <w:spacing w:after="0" w:line="257" w:lineRule="auto"/>
        <w:rPr>
          <w:sz w:val="20"/>
          <w:szCs w:val="20"/>
          <w:color w:val="auto"/>
        </w:rPr>
      </w:pPr>
      <w:r>
        <w:rPr>
          <w:rFonts w:ascii="Courier New" w:cs="Courier New" w:eastAsia="Courier New" w:hAnsi="Courier New"/>
          <w:sz w:val="17"/>
          <w:szCs w:val="17"/>
          <w:color w:val="auto"/>
        </w:rPr>
        <w:t>Payment, the Executive retains an amount of the Gross-Up Payment equal to the Excise Tax imposed upon such Payment.</w:t>
      </w:r>
    </w:p>
    <w:p>
      <w:pPr>
        <w:spacing w:after="0" w:line="192" w:lineRule="exact"/>
        <w:rPr>
          <w:sz w:val="20"/>
          <w:szCs w:val="20"/>
          <w:color w:val="auto"/>
        </w:rPr>
      </w:pPr>
    </w:p>
    <w:p>
      <w:pPr>
        <w:ind w:right="1839" w:firstLine="1893"/>
        <w:spacing w:after="0" w:line="251" w:lineRule="auto"/>
        <w:tabs>
          <w:tab w:leader="none" w:pos="2304"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determinations and computations required to be made under this Section 8, including whether a Gross-Up Payment is required under clause (ii) of paragraph 8(a)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8 shall be paid by the Company to the Executive within five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8(c) and the Executive thereafter shall become obligated to make a payment of any Excise Tax, and if the amount thereof shall exceed the amount, if any, of any Excise Tax computed by the Accounting Firm pursuant to this paragraph 8(b)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8 shall be paid by the Company.</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01" w:lineRule="exact"/>
        <w:rPr>
          <w:sz w:val="20"/>
          <w:szCs w:val="20"/>
          <w:color w:val="auto"/>
        </w:rPr>
      </w:pPr>
    </w:p>
    <w:p>
      <w:pPr>
        <w:ind w:left="960" w:right="2359" w:firstLine="933"/>
        <w:spacing w:after="0" w:line="257" w:lineRule="auto"/>
        <w:tabs>
          <w:tab w:leader="none" w:pos="2322"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 the Company any information reasonably requested relating to such claim,</w:t>
      </w:r>
    </w:p>
    <w:p>
      <w:pPr>
        <w:spacing w:after="0" w:line="191" w:lineRule="exact"/>
        <w:rPr>
          <w:rFonts w:ascii="Courier New" w:cs="Courier New" w:eastAsia="Courier New" w:hAnsi="Courier New"/>
          <w:sz w:val="17"/>
          <w:szCs w:val="17"/>
          <w:color w:val="auto"/>
        </w:rPr>
      </w:pPr>
    </w:p>
    <w:p>
      <w:pPr>
        <w:ind w:left="960" w:right="1839" w:firstLine="933"/>
        <w:spacing w:after="0" w:line="253" w:lineRule="auto"/>
        <w:tabs>
          <w:tab w:leader="none" w:pos="2426"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396" w:lineRule="exact"/>
        <w:rPr>
          <w:rFonts w:ascii="Courier New" w:cs="Courier New" w:eastAsia="Courier New" w:hAnsi="Courier New"/>
          <w:sz w:val="17"/>
          <w:szCs w:val="17"/>
          <w:color w:val="auto"/>
        </w:rPr>
      </w:pPr>
    </w:p>
    <w:p>
      <w:pPr>
        <w:ind w:left="960" w:right="2559" w:firstLine="933"/>
        <w:spacing w:after="0" w:line="257" w:lineRule="auto"/>
        <w:tabs>
          <w:tab w:leader="none" w:pos="2531"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with the Company in good faith in order effectively to contest such claim, and</w:t>
      </w:r>
    </w:p>
    <w:p>
      <w:pPr>
        <w:spacing w:after="0" w:line="191" w:lineRule="exact"/>
        <w:rPr>
          <w:rFonts w:ascii="Courier New" w:cs="Courier New" w:eastAsia="Courier New" w:hAnsi="Courier New"/>
          <w:sz w:val="17"/>
          <w:szCs w:val="17"/>
          <w:color w:val="auto"/>
        </w:rPr>
      </w:pPr>
    </w:p>
    <w:p>
      <w:pPr>
        <w:ind w:left="960" w:right="2359" w:firstLine="933"/>
        <w:spacing w:after="0" w:line="257" w:lineRule="auto"/>
        <w:tabs>
          <w:tab w:leader="none" w:pos="2426"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 the Company to participate in any proceedings relating to such claim;</w:t>
      </w:r>
    </w:p>
    <w:p>
      <w:pPr>
        <w:spacing w:after="0" w:line="192"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8(c), the Company shall control all proceedings taken in connection with such contest and, at its sole option, may pursue or forgo any and all administrative appeals, proceedings, hearings and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21" w:right="1440" w:bottom="1440" w:gutter="0" w:footer="0" w:header="0"/>
        </w:sectPr>
      </w:pPr>
    </w:p>
    <w:bookmarkStart w:id="38" w:name="page39"/>
    <w:bookmarkEnd w:id="38"/>
    <w:p>
      <w:pPr>
        <w:ind w:right="1839"/>
        <w:spacing w:after="0" w:line="251" w:lineRule="auto"/>
        <w:rPr>
          <w:sz w:val="20"/>
          <w:szCs w:val="20"/>
          <w:color w:val="auto"/>
        </w:rPr>
      </w:pPr>
      <w:r>
        <w:rPr>
          <w:rFonts w:ascii="Courier New" w:cs="Courier New" w:eastAsia="Courier New" w:hAnsi="Courier New"/>
          <w:sz w:val="17"/>
          <w:szCs w:val="17"/>
          <w:color w:val="auto"/>
        </w:rPr>
        <w:t>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PROVIDED, HOWEVER,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03" w:lineRule="exact"/>
        <w:rPr>
          <w:sz w:val="20"/>
          <w:szCs w:val="20"/>
          <w:color w:val="auto"/>
        </w:rPr>
      </w:pPr>
    </w:p>
    <w:p>
      <w:pPr>
        <w:ind w:right="1839" w:firstLine="1893"/>
        <w:spacing w:after="0" w:line="251" w:lineRule="auto"/>
        <w:tabs>
          <w:tab w:leader="none" w:pos="2304"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the receipt by the Executive of an amount advanced by the Company or the subsidiary pursuant to paragraph 8(c), the Executive becomes entitled to receive any refund with respect to such claim, the Executive shall (subject to compliance with the requirements of Section 8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8(c),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201" w:lineRule="exact"/>
        <w:rPr>
          <w:rFonts w:ascii="Courier New" w:cs="Courier New" w:eastAsia="Courier New" w:hAnsi="Courier New"/>
          <w:sz w:val="17"/>
          <w:szCs w:val="17"/>
          <w:color w:val="auto"/>
        </w:rPr>
      </w:pPr>
    </w:p>
    <w:p>
      <w:pPr>
        <w:ind w:left="1260" w:hanging="310"/>
        <w:spacing w:after="0"/>
        <w:tabs>
          <w:tab w:leader="none" w:pos="126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OBLIGATION TO MITIGATE DAMAGES; NO EFFECT ON OTHER CONTRACTUAL</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RIGHTS.</w:t>
      </w:r>
    </w:p>
    <w:p>
      <w:pPr>
        <w:spacing w:after="0" w:line="210"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6"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97"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SUCCESSOR TO THE COMPANY.</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21" w:right="1440" w:bottom="1440" w:gutter="0" w:footer="0" w:header="0"/>
        </w:sectPr>
      </w:pPr>
    </w:p>
    <w:bookmarkStart w:id="39" w:name="page40"/>
    <w:bookmarkEnd w:id="39"/>
    <w:p>
      <w:pPr>
        <w:ind w:right="2039"/>
        <w:spacing w:after="0" w:line="252" w:lineRule="auto"/>
        <w:rPr>
          <w:sz w:val="20"/>
          <w:szCs w:val="20"/>
          <w:color w:val="auto"/>
        </w:rPr>
      </w:pPr>
      <w:r>
        <w:rPr>
          <w:rFonts w:ascii="Courier New" w:cs="Courier New" w:eastAsia="Courier New" w:hAnsi="Courier New"/>
          <w:sz w:val="17"/>
          <w:szCs w:val="17"/>
          <w:color w:val="auto"/>
        </w:rPr>
        <w:t>Reason. As used in this Agreement, "Company" shall mean the Company as hereinbefore defined and any successor or assign to its business and/or assets as aforesaid which executes and delivers the agreement provided for in this Section 10 or which otherwise becomes bound by all the terms and provisions of this Agreement by operation of law.</w:t>
      </w:r>
    </w:p>
    <w:p>
      <w:pPr>
        <w:spacing w:after="0" w:line="197" w:lineRule="exact"/>
        <w:rPr>
          <w:sz w:val="20"/>
          <w:szCs w:val="20"/>
          <w:color w:val="auto"/>
        </w:rPr>
      </w:pPr>
    </w:p>
    <w:p>
      <w:pPr>
        <w:ind w:right="1839" w:firstLine="1893"/>
        <w:spacing w:after="0" w:line="252" w:lineRule="auto"/>
        <w:tabs>
          <w:tab w:leader="none" w:pos="2304"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5" w:lineRule="exact"/>
        <w:rPr>
          <w:rFonts w:ascii="Courier New" w:cs="Courier New" w:eastAsia="Courier New" w:hAnsi="Courier New"/>
          <w:sz w:val="17"/>
          <w:szCs w:val="17"/>
          <w:color w:val="auto"/>
        </w:rPr>
      </w:pPr>
    </w:p>
    <w:p>
      <w:pPr>
        <w:ind w:right="2039" w:firstLine="950"/>
        <w:spacing w:after="0" w:line="252" w:lineRule="auto"/>
        <w:tabs>
          <w:tab w:leader="none" w:pos="1362"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GUARANTY OF EMPLOYMENT. Nothing in this Agreement shall be deemed to entitle the Executive to continued employment with the Company prior to a Change of Control, and the rights of the Company to terminate the employment of the Executive, prior to a Change of Control, shall continue as fully as if this Agreement were not in effect.</w:t>
      </w:r>
    </w:p>
    <w:p>
      <w:pPr>
        <w:spacing w:after="0" w:line="197" w:lineRule="exact"/>
        <w:rPr>
          <w:rFonts w:ascii="Courier New" w:cs="Courier New" w:eastAsia="Courier New" w:hAnsi="Courier New"/>
          <w:sz w:val="17"/>
          <w:szCs w:val="17"/>
          <w:color w:val="auto"/>
        </w:rPr>
      </w:pPr>
    </w:p>
    <w:p>
      <w:pPr>
        <w:ind w:right="2139" w:firstLine="950"/>
        <w:spacing w:after="0" w:line="253" w:lineRule="auto"/>
        <w:tabs>
          <w:tab w:leader="none" w:pos="1362"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For purposes of this Agreement, notices and all other communications provided for in the Agreement shall be in writing and shall be deemed to have been duly given when delivered or mailed by United States registered mail, return receipt registered, postage prepaid, as follows:</w:t>
      </w:r>
    </w:p>
    <w:p>
      <w:pPr>
        <w:spacing w:after="0" w:line="195"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If to the Company:</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Attn: General Counsel</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605 W. Crystal Lake Road</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P.O. Box 152</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Forest City, IA 50436</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If to the Executive:</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Bruce D. Hertzke</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3368 Sage Drive</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Forest City, IA 50436</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or such other address as either party may have furnished to the other in writing in accordance herewith, except that notices of change of address shall be effective only upon receipt.</w:t>
      </w:r>
    </w:p>
    <w:p>
      <w:pPr>
        <w:spacing w:after="0" w:line="194" w:lineRule="exact"/>
        <w:rPr>
          <w:sz w:val="20"/>
          <w:szCs w:val="20"/>
          <w:color w:val="auto"/>
        </w:rPr>
      </w:pPr>
    </w:p>
    <w:p>
      <w:pPr>
        <w:ind w:right="1839" w:firstLine="950"/>
        <w:spacing w:after="0" w:line="251" w:lineRule="auto"/>
        <w:tabs>
          <w:tab w:leader="none" w:pos="1362"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No provisions of this Agreement may be modified, waived or discharged unless such waiver, 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01"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VALIDITY. The invalidity or unenforceability of any provisions of this Agreement shall not affect the validity or enforceability of any other provision of this Agreement, which shall remain in full force and effect.</w:t>
      </w:r>
    </w:p>
    <w:p>
      <w:pPr>
        <w:spacing w:after="0" w:line="194"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one or more counterparts, each of which shall be deemed to be an original but all of which together will constitute one and the same instrument.</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21" w:right="1440" w:bottom="1440" w:gutter="0" w:footer="0" w:header="0"/>
        </w:sectPr>
      </w:pPr>
    </w:p>
    <w:bookmarkStart w:id="40" w:name="page41"/>
    <w:bookmarkEnd w:id="40"/>
    <w:p>
      <w:pPr>
        <w:jc w:val="both"/>
        <w:ind w:right="2039" w:firstLine="950"/>
        <w:spacing w:after="0" w:line="253" w:lineRule="auto"/>
        <w:tabs>
          <w:tab w:leader="none" w:pos="1362"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LEGAL FEES AND EXPENSES. The Company shall pay all legal fees and expenses which the Executive may incur as a result of the Company's contesting the validity, enforceability or the Executive's interpretation of, or determinations under, this Agreement.</w:t>
      </w:r>
    </w:p>
    <w:p>
      <w:pPr>
        <w:spacing w:after="0" w:line="195" w:lineRule="exact"/>
        <w:rPr>
          <w:rFonts w:ascii="Courier New" w:cs="Courier New" w:eastAsia="Courier New" w:hAnsi="Courier New"/>
          <w:sz w:val="17"/>
          <w:szCs w:val="17"/>
          <w:color w:val="auto"/>
        </w:rPr>
      </w:pPr>
    </w:p>
    <w:p>
      <w:pPr>
        <w:jc w:val="both"/>
        <w:ind w:right="2039" w:firstLine="950"/>
        <w:spacing w:after="0" w:line="254" w:lineRule="auto"/>
        <w:tabs>
          <w:tab w:leader="none" w:pos="1362"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 The Executive shall retain in confidence any and all confidential information known to the Executive concerning the Company and its business so long as such information is not otherwise publicly disclosed.</w:t>
      </w:r>
    </w:p>
    <w:p>
      <w:pPr>
        <w:spacing w:after="0" w:line="194" w:lineRule="exact"/>
        <w:rPr>
          <w:sz w:val="20"/>
          <w:szCs w:val="20"/>
          <w:color w:val="auto"/>
        </w:rPr>
      </w:pPr>
    </w:p>
    <w:p>
      <w:pPr>
        <w:ind w:right="2259" w:firstLine="943"/>
        <w:spacing w:after="0" w:line="257" w:lineRule="auto"/>
        <w:rPr>
          <w:sz w:val="20"/>
          <w:szCs w:val="20"/>
          <w:color w:val="auto"/>
        </w:rPr>
      </w:pPr>
      <w:r>
        <w:rPr>
          <w:rFonts w:ascii="Courier New" w:cs="Courier New" w:eastAsia="Courier New" w:hAnsi="Courier New"/>
          <w:sz w:val="17"/>
          <w:szCs w:val="17"/>
          <w:color w:val="auto"/>
        </w:rPr>
        <w:t>IN WITNESS WHEREOF, the parties have executed this agreement on the date set out above.</w:t>
      </w:r>
    </w:p>
    <w:p>
      <w:pPr>
        <w:spacing w:after="0" w:line="19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Raymond M. Beebe</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Vice President-General Counsel and</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Secretary</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Bruce D. Hertzke</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21" w:right="1440" w:bottom="1440" w:gutter="0" w:footer="0" w:header="0"/>
        </w:sectPr>
      </w:pPr>
    </w:p>
    <w:bookmarkStart w:id="41" w:name="page42"/>
    <w:bookmarkEnd w:id="41"/>
    <w:p>
      <w:pPr>
        <w:jc w:val="center"/>
        <w:ind w:right="1839"/>
        <w:spacing w:after="0"/>
        <w:rPr>
          <w:sz w:val="20"/>
          <w:szCs w:val="20"/>
          <w:color w:val="auto"/>
        </w:rPr>
      </w:pPr>
      <w:r>
        <w:rPr>
          <w:rFonts w:ascii="Courier New" w:cs="Courier New" w:eastAsia="Courier New" w:hAnsi="Courier New"/>
          <w:sz w:val="17"/>
          <w:szCs w:val="17"/>
          <w:color w:val="auto"/>
        </w:rPr>
        <w:t>EXHIBIT 10o.</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EXECUTIVE CHANGE OF CONTROL AGREEMENT</w:t>
      </w:r>
    </w:p>
    <w:p>
      <w:pPr>
        <w:spacing w:after="0" w:line="210"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This EXECUTIVE CHANGE OF CONTROL AGREEMENT is made as of January 17, 2001, by and between WINNEBAGO INDUSTRIES, INC., an Iowa corporation (the "Company"), and Edwin F. Barker (the "Executive").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WHEREAS, the Executive is a senior executive and officer of the Company and has made and is expected to continue to make major contributions to the profitability, growth and financial strength of the Company;</w:t>
      </w:r>
    </w:p>
    <w:p>
      <w:pPr>
        <w:spacing w:after="0" w:line="194" w:lineRule="exact"/>
        <w:rPr>
          <w:sz w:val="20"/>
          <w:szCs w:val="20"/>
          <w:color w:val="auto"/>
        </w:rPr>
      </w:pPr>
    </w:p>
    <w:p>
      <w:pPr>
        <w:ind w:right="1939" w:firstLine="943"/>
        <w:spacing w:after="0" w:line="254" w:lineRule="auto"/>
        <w:rPr>
          <w:sz w:val="20"/>
          <w:szCs w:val="20"/>
          <w:color w:val="auto"/>
        </w:rPr>
      </w:pPr>
      <w:r>
        <w:rPr>
          <w:rFonts w:ascii="Courier New" w:cs="Courier New" w:eastAsia="Courier New" w:hAnsi="Courier New"/>
          <w:sz w:val="17"/>
          <w:szCs w:val="17"/>
          <w:color w:val="auto"/>
        </w:rPr>
        <w:t>WHEREAS, the Company recognizes that, as is the case for most publicly held companies, the possibility of a Change of Control (as hereafter defined) exists;</w:t>
      </w:r>
    </w:p>
    <w:p>
      <w:pPr>
        <w:spacing w:after="0" w:line="194"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WHEREAS, it is in the best interests of the Company, considering the past and future services of the Executive, to improve the security and climate for objective decision making by providing for the personal security of the Executive upon a Change of Control.</w:t>
      </w:r>
    </w:p>
    <w:p>
      <w:pPr>
        <w:spacing w:after="0" w:line="195"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NOW, THEREFORE, in consideration of the foregoing premises and the past and future services rendered and to be rendered by the Executive to the Company and of the mutual covenants and agreements hereinafter set forth, the parties agree as follows:</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AGREEMENT:</w:t>
      </w:r>
    </w:p>
    <w:p>
      <w:pPr>
        <w:spacing w:after="0" w:line="210" w:lineRule="exact"/>
        <w:rPr>
          <w:sz w:val="20"/>
          <w:szCs w:val="20"/>
          <w:color w:val="auto"/>
        </w:rPr>
      </w:pPr>
    </w:p>
    <w:p>
      <w:pPr>
        <w:ind w:right="1939" w:firstLine="950"/>
        <w:spacing w:after="0" w:line="251" w:lineRule="auto"/>
        <w:tabs>
          <w:tab w:leader="none" w:pos="1257"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SERVICE BY EXECUTIVE. In the event a person or entity, in order to effect a Change of Control, commences a 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01" w:lineRule="exact"/>
        <w:rPr>
          <w:rFonts w:ascii="Courier New" w:cs="Courier New" w:eastAsia="Courier New" w:hAnsi="Courier New"/>
          <w:sz w:val="17"/>
          <w:szCs w:val="17"/>
          <w:color w:val="auto"/>
        </w:rPr>
      </w:pPr>
    </w:p>
    <w:p>
      <w:pPr>
        <w:ind w:right="1939" w:firstLine="950"/>
        <w:spacing w:after="0" w:line="251" w:lineRule="auto"/>
        <w:tabs>
          <w:tab w:leader="none" w:pos="1257"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For purposes of this Agreement, the term "Change of Control" means the time when (i) any Person becomes an Acquiring Person, or</w:t>
      </w:r>
    </w:p>
    <w:p>
      <w:pPr>
        <w:ind w:right="1939" w:firstLine="7"/>
        <w:spacing w:after="0" w:line="251" w:lineRule="auto"/>
        <w:tabs>
          <w:tab w:leader="none" w:pos="524"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individuals who shall qualify as Continuing Directors of the Company shall have ceased for any reason to constitute at least a majority of the Board of Directors of the Company; PROVIDED HOWEVER, that in the case of either clause</w:t>
      </w:r>
    </w:p>
    <w:p>
      <w:pPr>
        <w:ind w:left="420" w:hanging="413"/>
        <w:spacing w:after="0"/>
        <w:tabs>
          <w:tab w:leader="none" w:pos="4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(ii) a Change of Control shall not be deemed to have occurred if the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1" w:lineRule="exact"/>
        <w:rPr>
          <w:sz w:val="20"/>
          <w:szCs w:val="20"/>
          <w:color w:val="auto"/>
        </w:rPr>
      </w:pPr>
    </w:p>
    <w:p>
      <w:pPr>
        <w:ind w:right="1839" w:firstLine="943"/>
        <w:spacing w:after="0" w:line="257" w:lineRule="auto"/>
        <w:rPr>
          <w:sz w:val="20"/>
          <w:szCs w:val="20"/>
          <w:color w:val="auto"/>
        </w:rPr>
      </w:pPr>
      <w:r>
        <w:rPr>
          <w:rFonts w:ascii="Courier New" w:cs="Courier New" w:eastAsia="Courier New" w:hAnsi="Courier New"/>
          <w:sz w:val="17"/>
          <w:szCs w:val="17"/>
          <w:color w:val="auto"/>
        </w:rPr>
        <w:t>For the purpose of the foregoing definition of "Change of Control," the capitalized terms shall have the following meanings:</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00" w:right="1839" w:hanging="950"/>
        <w:spacing w:after="0" w:line="251" w:lineRule="auto"/>
        <w:tabs>
          <w:tab w:leader="none" w:pos="19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1" w:lineRule="exact"/>
        <w:rPr>
          <w:rFonts w:ascii="Courier New" w:cs="Courier New" w:eastAsia="Courier New" w:hAnsi="Courier New"/>
          <w:sz w:val="17"/>
          <w:szCs w:val="17"/>
          <w:color w:val="auto"/>
        </w:rPr>
      </w:pPr>
    </w:p>
    <w:p>
      <w:pPr>
        <w:ind w:left="1900" w:right="1839" w:hanging="950"/>
        <w:spacing w:after="0" w:line="252" w:lineRule="auto"/>
        <w:tabs>
          <w:tab w:leader="none" w:pos="19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January 17, 2001, except</w:t>
      </w:r>
    </w:p>
    <w:p>
      <w:pPr>
        <w:sectPr>
          <w:pgSz w:w="11900" w:h="16838" w:orient="portrait"/>
          <w:cols w:equalWidth="0" w:num="1">
            <w:col w:w="10219"/>
          </w:cols>
          <w:pgMar w:left="240" w:top="142" w:right="1440" w:bottom="0" w:gutter="0" w:footer="0" w:header="0"/>
        </w:sectPr>
      </w:pPr>
    </w:p>
    <w:bookmarkStart w:id="42" w:name="page43"/>
    <w:bookmarkEnd w:id="42"/>
    <w:p>
      <w:pPr>
        <w:ind w:left="950" w:right="1939"/>
        <w:spacing w:after="0" w:line="254" w:lineRule="auto"/>
        <w:rPr>
          <w:sz w:val="20"/>
          <w:szCs w:val="20"/>
          <w:color w:val="auto"/>
        </w:rPr>
      </w:pPr>
      <w:r>
        <w:rPr>
          <w:rFonts w:ascii="Courier New" w:cs="Courier New" w:eastAsia="Courier New" w:hAnsi="Courier New"/>
          <w:sz w:val="17"/>
          <w:szCs w:val="17"/>
          <w:color w:val="auto"/>
        </w:rPr>
        <w:t>that the term "Acquiring Person" shall not include a Hanson Family Member or an Affiliate or Associate of a Hanson Family Member.</w:t>
      </w:r>
    </w:p>
    <w:p>
      <w:pPr>
        <w:spacing w:after="0" w:line="194" w:lineRule="exact"/>
        <w:rPr>
          <w:sz w:val="20"/>
          <w:szCs w:val="20"/>
          <w:color w:val="auto"/>
        </w:rPr>
      </w:pPr>
    </w:p>
    <w:p>
      <w:pPr>
        <w:ind w:left="950" w:right="1839" w:hanging="950"/>
        <w:spacing w:after="0" w:line="254" w:lineRule="auto"/>
        <w:tabs>
          <w:tab w:leader="none" w:pos="95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means a Person that directly or indirectly through one or more intermediaries, controls, or is controlled by, or is under common control with, the person specified.</w:t>
      </w:r>
    </w:p>
    <w:p>
      <w:pPr>
        <w:spacing w:after="0" w:line="194" w:lineRule="exact"/>
        <w:rPr>
          <w:rFonts w:ascii="Courier New" w:cs="Courier New" w:eastAsia="Courier New" w:hAnsi="Courier New"/>
          <w:sz w:val="17"/>
          <w:szCs w:val="17"/>
          <w:color w:val="auto"/>
        </w:rPr>
      </w:pPr>
    </w:p>
    <w:p>
      <w:pPr>
        <w:ind w:left="950" w:right="1939" w:hanging="950"/>
        <w:spacing w:after="0" w:line="251" w:lineRule="auto"/>
        <w:tabs>
          <w:tab w:leader="none" w:pos="95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ind w:left="950" w:right="2039" w:hanging="7"/>
        <w:spacing w:after="0" w:line="251" w:lineRule="auto"/>
        <w:tabs>
          <w:tab w:leader="none" w:pos="1369"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trust or fund in which such person has a substantial beneficial interest or as to which such person serves as trustee or in a similar fiduciary capacity, (3) any relative or spouse of such person, or any relative of such spouse, or</w:t>
      </w:r>
    </w:p>
    <w:p>
      <w:pPr>
        <w:ind w:left="950" w:right="2559" w:hanging="7"/>
        <w:spacing w:after="0" w:line="257" w:lineRule="auto"/>
        <w:tabs>
          <w:tab w:leader="none" w:pos="1369"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investment company for which such person or any Affiliate of such person serves as investment advisor.</w:t>
      </w:r>
    </w:p>
    <w:p>
      <w:pPr>
        <w:spacing w:after="0" w:line="191" w:lineRule="exact"/>
        <w:rPr>
          <w:rFonts w:ascii="Courier New" w:cs="Courier New" w:eastAsia="Courier New" w:hAnsi="Courier New"/>
          <w:sz w:val="17"/>
          <w:szCs w:val="17"/>
          <w:color w:val="auto"/>
        </w:rPr>
      </w:pPr>
    </w:p>
    <w:p>
      <w:pPr>
        <w:ind w:left="950" w:right="1939" w:hanging="950"/>
        <w:spacing w:after="0" w:line="252" w:lineRule="auto"/>
        <w:tabs>
          <w:tab w:leader="none" w:pos="95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"Hanson Family Member" means John K. Hanson (deceased)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96" w:lineRule="exact"/>
        <w:rPr>
          <w:rFonts w:ascii="Courier New" w:cs="Courier New" w:eastAsia="Courier New" w:hAnsi="Courier New"/>
          <w:sz w:val="17"/>
          <w:szCs w:val="17"/>
          <w:color w:val="auto"/>
        </w:rPr>
      </w:pPr>
    </w:p>
    <w:p>
      <w:pPr>
        <w:ind w:left="950" w:right="1839" w:hanging="950"/>
        <w:spacing w:after="0" w:line="253" w:lineRule="auto"/>
        <w:tabs>
          <w:tab w:leader="none" w:pos="95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means an individual, corporation, limited liability company, partnership, association, joint stock company, trust, unincorporated organization or government or political subdivision thereof.</w:t>
      </w:r>
    </w:p>
    <w:p>
      <w:pPr>
        <w:spacing w:after="0" w:line="195" w:lineRule="exact"/>
        <w:rPr>
          <w:sz w:val="20"/>
          <w:szCs w:val="20"/>
          <w:color w:val="auto"/>
        </w:rPr>
      </w:pPr>
    </w:p>
    <w:p>
      <w:pPr>
        <w:ind w:left="-950" w:right="1839" w:firstLine="950"/>
        <w:spacing w:after="0" w:line="253" w:lineRule="auto"/>
        <w:tabs>
          <w:tab w:leader="none" w:pos="307"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BENEFITS EFFECTIVE IMMEDIATELY UPON A CHANGE OF CONTROL. If a Change of Control shall have occurred while the Executive is still an employee of the Company, then the Executive shall immediately be entitled to the following benefits:</w:t>
      </w:r>
    </w:p>
    <w:p>
      <w:pPr>
        <w:spacing w:after="0" w:line="195" w:lineRule="exact"/>
        <w:rPr>
          <w:rFonts w:ascii="Courier New" w:cs="Courier New" w:eastAsia="Courier New" w:hAnsi="Courier New"/>
          <w:sz w:val="17"/>
          <w:szCs w:val="17"/>
          <w:color w:val="auto"/>
        </w:rPr>
      </w:pPr>
    </w:p>
    <w:p>
      <w:pPr>
        <w:ind w:left="-950" w:right="1839" w:firstLine="1893"/>
        <w:spacing w:after="0" w:line="252" w:lineRule="auto"/>
        <w:tabs>
          <w:tab w:leader="none" w:pos="1354"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 VESTING OF ALL STOCK OPTIONS AND RIGHTS. All options and rights granted to the Executive by the Company pursuant to the Company's Stock Option Plan effective as of August 14, 1997, or any successor or supplemental stock plan shall become immediately exercisable upon a Change of Control.</w:t>
      </w:r>
    </w:p>
    <w:p>
      <w:pPr>
        <w:spacing w:after="0" w:line="197" w:lineRule="exact"/>
        <w:rPr>
          <w:rFonts w:ascii="Courier New" w:cs="Courier New" w:eastAsia="Courier New" w:hAnsi="Courier New"/>
          <w:sz w:val="17"/>
          <w:szCs w:val="17"/>
          <w:color w:val="auto"/>
        </w:rPr>
      </w:pPr>
    </w:p>
    <w:p>
      <w:pPr>
        <w:ind w:left="-950" w:right="2139" w:firstLine="1893"/>
        <w:spacing w:after="0" w:line="252" w:lineRule="auto"/>
        <w:tabs>
          <w:tab w:leader="none" w:pos="1354"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If the Executive is a participant under the Company's Executive Split Dollar Life Insurance Program at the time of a Change of Control and the Company has paid any portion of the premium on the policy or policies issued in connection therewith during the twelve months preceding the occurrence of the</w:t>
      </w:r>
    </w:p>
    <w:p>
      <w:pPr>
        <w:spacing w:after="0" w:line="399"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269"/>
          </w:cols>
          <w:pgMar w:left="1190" w:top="142" w:right="1440" w:bottom="1440" w:gutter="0" w:footer="0" w:header="0"/>
        </w:sectPr>
      </w:pPr>
    </w:p>
    <w:bookmarkStart w:id="43" w:name="page44"/>
    <w:bookmarkEnd w:id="43"/>
    <w:p>
      <w:pPr>
        <w:jc w:val="both"/>
        <w:ind w:right="1939" w:firstLine="1885"/>
        <w:spacing w:after="0" w:line="254" w:lineRule="auto"/>
        <w:rPr>
          <w:sz w:val="20"/>
          <w:szCs w:val="20"/>
          <w:color w:val="auto"/>
        </w:rPr>
      </w:pPr>
      <w:r>
        <w:rPr>
          <w:rFonts w:ascii="Courier New" w:cs="Courier New" w:eastAsia="Courier New" w:hAnsi="Courier New"/>
          <w:sz w:val="17"/>
          <w:szCs w:val="17"/>
          <w:color w:val="auto"/>
        </w:rPr>
        <w:t>Change of Control, then the Company shall continue to pay all premiums on such policies so long as the Executive remains in the employ of the Company.</w:t>
      </w:r>
    </w:p>
    <w:p>
      <w:pPr>
        <w:spacing w:after="0" w:line="194" w:lineRule="exact"/>
        <w:rPr>
          <w:sz w:val="20"/>
          <w:szCs w:val="20"/>
          <w:color w:val="auto"/>
        </w:rPr>
      </w:pPr>
    </w:p>
    <w:p>
      <w:pPr>
        <w:ind w:right="2139" w:firstLine="1893"/>
        <w:spacing w:after="0" w:line="252" w:lineRule="auto"/>
        <w:tabs>
          <w:tab w:leader="none" w:pos="2304" w:val="left"/>
        </w:tabs>
        <w:numPr>
          <w:ilvl w:val="2"/>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HEALTH INSURANCE. Any plans or policies of the Company providing for medical, dental, vision or similar benefits for retired employees existing as of the time of a Change of Control shall, as to the Executive, not be rescinded or modified in any manner which is adverse to the Executive following a Change of Control.</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All nonregistered stock of the Company owned by the Executive, which is subject to restrictions on sale or other transfer, shall, at the option of the Executive (exercisable at any time by the delivery of written notice to the Company) be purchased by the Company at its fair market value. The purchase shall be completed by the Company within thirty</w:t>
      </w:r>
    </w:p>
    <w:p>
      <w:pPr>
        <w:ind w:right="2259" w:firstLine="7"/>
        <w:spacing w:after="0" w:line="252" w:lineRule="auto"/>
        <w:tabs>
          <w:tab w:leader="none" w:pos="524"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after the Company receives the written notice of exercise from the Executive. So long as the Company's stock is traded on the New York Stock Exchange (the "NYSE"), the "fair market value" shall be the mean between the highest and lowest reported selling prices as reported by the NYSE on the business day immediately preceding the day of sale.</w:t>
      </w:r>
    </w:p>
    <w:p>
      <w:pPr>
        <w:spacing w:after="0" w:line="197"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BENEFITS EFFECTIVE IMMEDIATELY UPON A CHANGE OF CONTROL PURSUANT TO PLAN DOCUMENTS. It is acknowledged that there presently exist other plans and agreements of the Company which may provide benefits to the Executive and which contain specific provisions dealing with the occurrence of a change of control of the Company (as defined in such plan or agreement). Following a Change of Control, no such plan or agreement shall be rescinded or modified in any manner which is adverse to the Executive. Such other plans and agreements of the Company shall mean: (a) the Executive Share Option Program; (b) the Officers Long-Term Incentive Plan; (c) the Deferred Compensation and Deferred Bonus Plans; and (d) the Officers Incentive Compensation Plan. Nothing herein shall be construed to affect the Company's right and ability to terminate or amend any such plan or agreement (subject to the terms thereof) prior to a Change of Control.</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FOLLOWING A CHANGE OF CONTROL. If a Change of Control shall have occurred while the Executive is still an employee of the Company, and if the Executive's employment with the Company is terminated, within three years following such Change of Control, then the Executive shall be entitled to the compensation and benefits provided in Sections 6 and 7, unless such termination is a result of: (a) the Executive's death; (b) the Executive's Disability (as defined in Section 5(a) below); (c) the Executive's Retirement (as defined in Section 5(b) below); (d) the Executive's termination by the Company for Cause (as defined in Section 5(c) below); or (e) the Executive's decision to terminate employment other than for Good Reason (as defined in Section 5(d) below).</w:t>
      </w:r>
    </w:p>
    <w:p>
      <w:pPr>
        <w:spacing w:after="0" w:line="201"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If, as a result of the Executive's incapacity due to physical or mental illness, the Executive shall have 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96" w:lineRule="exact"/>
        <w:rPr>
          <w:rFonts w:ascii="Courier New" w:cs="Courier New" w:eastAsia="Courier New" w:hAnsi="Courier New"/>
          <w:sz w:val="17"/>
          <w:szCs w:val="17"/>
          <w:color w:val="auto"/>
        </w:rPr>
      </w:pPr>
    </w:p>
    <w:p>
      <w:pPr>
        <w:ind w:right="1939" w:firstLine="1893"/>
        <w:spacing w:after="0" w:line="252" w:lineRule="auto"/>
        <w:tabs>
          <w:tab w:leader="none" w:pos="2304" w:val="left"/>
        </w:tabs>
        <w:numPr>
          <w:ilvl w:val="2"/>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The term "Retirement" as used in this Agreement shall mean termination by the Company or the Executive of the Executive's employment based on the Executive having attained the age of 65 or such other age as shall have been fixed in any arrangement established with the Executive's consent with respect to the Executive.</w:t>
      </w:r>
    </w:p>
    <w:p>
      <w:pPr>
        <w:spacing w:after="0" w:line="197"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may terminate the Executive's employment for Cause. For purposes of this Agreement only, the Company shall have "Cause" to terminate the Executive's employment hereunder only on the basis of (i) fraud, misappropriation or embezzlement on the part of the Executive; or (ii) intentional misconduct or gross negligence on</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21" w:right="1440" w:bottom="1440" w:gutter="0" w:footer="0" w:header="0"/>
        </w:sectPr>
      </w:pPr>
    </w:p>
    <w:bookmarkStart w:id="44" w:name="page45"/>
    <w:bookmarkEnd w:id="44"/>
    <w:p>
      <w:pPr>
        <w:ind w:right="1939"/>
        <w:spacing w:after="0" w:line="251" w:lineRule="auto"/>
        <w:rPr>
          <w:sz w:val="20"/>
          <w:szCs w:val="20"/>
          <w:color w:val="auto"/>
        </w:rPr>
      </w:pPr>
      <w:r>
        <w:rPr>
          <w:rFonts w:ascii="Courier New" w:cs="Courier New" w:eastAsia="Courier New" w:hAnsi="Courier New"/>
          <w:sz w:val="17"/>
          <w:szCs w:val="17"/>
          <w:color w:val="auto"/>
        </w:rPr>
        <w:t>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5(c) and specifying the particulars thereof in detail. Nothing herein shall limit the right of the Executive or his beneficiaries to contest the validity or propriety of any such determination.</w:t>
      </w:r>
    </w:p>
    <w:p>
      <w:pPr>
        <w:spacing w:after="0" w:line="200" w:lineRule="exact"/>
        <w:rPr>
          <w:sz w:val="20"/>
          <w:szCs w:val="20"/>
          <w:color w:val="auto"/>
        </w:rPr>
      </w:pPr>
    </w:p>
    <w:p>
      <w:pPr>
        <w:spacing w:after="0" w:line="203" w:lineRule="exact"/>
        <w:rPr>
          <w:sz w:val="20"/>
          <w:szCs w:val="20"/>
          <w:color w:val="auto"/>
        </w:rPr>
      </w:pPr>
    </w:p>
    <w:p>
      <w:pPr>
        <w:ind w:right="2039" w:firstLine="1893"/>
        <w:spacing w:after="0" w:line="253" w:lineRule="auto"/>
        <w:tabs>
          <w:tab w:leader="none" w:pos="2304"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REASON. The Executive may terminate the Executive's employment for Good Reason at any time during the term of this Agreement. For purposes of this Agreement "Good Reason" shall mean any of the following (without the Executive's express written consent):</w:t>
      </w:r>
    </w:p>
    <w:p>
      <w:pPr>
        <w:spacing w:after="0" w:line="195" w:lineRule="exact"/>
        <w:rPr>
          <w:sz w:val="20"/>
          <w:szCs w:val="20"/>
          <w:color w:val="auto"/>
        </w:rPr>
      </w:pPr>
    </w:p>
    <w:p>
      <w:pPr>
        <w:ind w:left="960" w:right="1839" w:firstLine="933"/>
        <w:spacing w:after="0" w:line="251" w:lineRule="auto"/>
        <w:tabs>
          <w:tab w:leader="none" w:pos="2322"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201" w:lineRule="exact"/>
        <w:rPr>
          <w:rFonts w:ascii="Courier New" w:cs="Courier New" w:eastAsia="Courier New" w:hAnsi="Courier New"/>
          <w:sz w:val="17"/>
          <w:szCs w:val="17"/>
          <w:color w:val="auto"/>
        </w:rPr>
      </w:pPr>
    </w:p>
    <w:p>
      <w:pPr>
        <w:ind w:left="960" w:right="1839" w:firstLine="933"/>
        <w:spacing w:after="0" w:line="251" w:lineRule="auto"/>
        <w:tabs>
          <w:tab w:leader="none" w:pos="2426"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201" w:lineRule="exact"/>
        <w:rPr>
          <w:rFonts w:ascii="Courier New" w:cs="Courier New" w:eastAsia="Courier New" w:hAnsi="Courier New"/>
          <w:sz w:val="17"/>
          <w:szCs w:val="17"/>
          <w:color w:val="auto"/>
        </w:rPr>
      </w:pPr>
    </w:p>
    <w:p>
      <w:pPr>
        <w:ind w:left="960" w:right="1839" w:firstLine="933"/>
        <w:spacing w:after="0" w:line="251" w:lineRule="auto"/>
        <w:tabs>
          <w:tab w:leader="none" w:pos="2531"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201" w:lineRule="exact"/>
        <w:rPr>
          <w:rFonts w:ascii="Courier New" w:cs="Courier New" w:eastAsia="Courier New" w:hAnsi="Courier New"/>
          <w:sz w:val="17"/>
          <w:szCs w:val="17"/>
          <w:color w:val="auto"/>
        </w:rPr>
      </w:pPr>
    </w:p>
    <w:p>
      <w:pPr>
        <w:ind w:left="960" w:right="1839" w:firstLine="933"/>
        <w:spacing w:after="0" w:line="251" w:lineRule="auto"/>
        <w:tabs>
          <w:tab w:leader="none" w:pos="2426"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reduce the Executive's benefits under any such Incentive Plan, expressed as a percentage of his base salary, by more than 10 percentage points in any fiscal year as compared to the immediately preceding fiscal year;</w:t>
      </w:r>
    </w:p>
    <w:p>
      <w:pPr>
        <w:spacing w:after="0" w:line="201" w:lineRule="exact"/>
        <w:rPr>
          <w:rFonts w:ascii="Courier New" w:cs="Courier New" w:eastAsia="Courier New" w:hAnsi="Courier New"/>
          <w:sz w:val="17"/>
          <w:szCs w:val="17"/>
          <w:color w:val="auto"/>
        </w:rPr>
      </w:pPr>
    </w:p>
    <w:p>
      <w:pPr>
        <w:ind w:left="960" w:right="1839" w:firstLine="933"/>
        <w:spacing w:after="0" w:line="253" w:lineRule="auto"/>
        <w:tabs>
          <w:tab w:leader="none" w:pos="2322"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21" w:right="1440" w:bottom="659" w:gutter="0" w:footer="0" w:header="0"/>
        </w:sectPr>
      </w:pPr>
    </w:p>
    <w:bookmarkStart w:id="45" w:name="page46"/>
    <w:bookmarkEnd w:id="45"/>
    <w:p>
      <w:pPr>
        <w:ind w:left="10" w:right="2139"/>
        <w:spacing w:after="0" w:line="253" w:lineRule="auto"/>
        <w:rPr>
          <w:sz w:val="20"/>
          <w:szCs w:val="20"/>
          <w:color w:val="auto"/>
        </w:rPr>
      </w:pPr>
      <w:r>
        <w:rPr>
          <w:rFonts w:ascii="Courier New" w:cs="Courier New" w:eastAsia="Courier New" w:hAnsi="Courier New"/>
          <w:sz w:val="17"/>
          <w:szCs w:val="17"/>
          <w:color w:val="auto"/>
        </w:rPr>
        <w:t>(hereinafter referred to as "Securities Plans") or the taking of any action by the Company which would adversely affect the Executive's participation in or materially reduce the Executive's benefits under any such Securities Plan;</w:t>
      </w:r>
    </w:p>
    <w:p>
      <w:pPr>
        <w:spacing w:after="0" w:line="195" w:lineRule="exact"/>
        <w:rPr>
          <w:sz w:val="20"/>
          <w:szCs w:val="20"/>
          <w:color w:val="auto"/>
        </w:rPr>
      </w:pPr>
    </w:p>
    <w:p>
      <w:pPr>
        <w:ind w:left="10" w:right="1839" w:firstLine="933"/>
        <w:spacing w:after="0" w:line="251" w:lineRule="auto"/>
        <w:tabs>
          <w:tab w:leader="none" w:pos="1476"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01" w:lineRule="exact"/>
        <w:rPr>
          <w:rFonts w:ascii="Courier New" w:cs="Courier New" w:eastAsia="Courier New" w:hAnsi="Courier New"/>
          <w:sz w:val="17"/>
          <w:szCs w:val="17"/>
          <w:color w:val="auto"/>
        </w:rPr>
      </w:pPr>
    </w:p>
    <w:p>
      <w:pPr>
        <w:ind w:left="10" w:right="1839" w:firstLine="933"/>
        <w:spacing w:after="0" w:line="254" w:lineRule="auto"/>
        <w:tabs>
          <w:tab w:leader="none" w:pos="1581"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provide the Executive with the number of paid vacation days to which the Executive is entitled at the time of a Change in Control of the Company;</w:t>
      </w:r>
    </w:p>
    <w:p>
      <w:pPr>
        <w:spacing w:after="0" w:line="194" w:lineRule="exact"/>
        <w:rPr>
          <w:rFonts w:ascii="Courier New" w:cs="Courier New" w:eastAsia="Courier New" w:hAnsi="Courier New"/>
          <w:sz w:val="17"/>
          <w:szCs w:val="17"/>
          <w:color w:val="auto"/>
        </w:rPr>
      </w:pPr>
    </w:p>
    <w:p>
      <w:pPr>
        <w:ind w:left="1670" w:hanging="727"/>
        <w:spacing w:after="0"/>
        <w:tabs>
          <w:tab w:leader="none" w:pos="167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breach by the Company of any provision of</w:t>
      </w:r>
    </w:p>
    <w:p>
      <w:pPr>
        <w:spacing w:after="0" w:line="8" w:lineRule="exact"/>
        <w:rPr>
          <w:rFonts w:ascii="Courier New" w:cs="Courier New" w:eastAsia="Courier New" w:hAnsi="Courier New"/>
          <w:sz w:val="17"/>
          <w:szCs w:val="17"/>
          <w:color w:val="auto"/>
        </w:rPr>
      </w:pPr>
    </w:p>
    <w:p>
      <w:pPr>
        <w:ind w:left="1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w:t>
      </w:r>
    </w:p>
    <w:p>
      <w:pPr>
        <w:spacing w:after="0" w:line="210" w:lineRule="exact"/>
        <w:rPr>
          <w:rFonts w:ascii="Courier New" w:cs="Courier New" w:eastAsia="Courier New" w:hAnsi="Courier New"/>
          <w:sz w:val="17"/>
          <w:szCs w:val="17"/>
          <w:color w:val="auto"/>
        </w:rPr>
      </w:pPr>
    </w:p>
    <w:p>
      <w:pPr>
        <w:ind w:left="10" w:right="2139" w:firstLine="933"/>
        <w:spacing w:after="0" w:line="257" w:lineRule="auto"/>
        <w:tabs>
          <w:tab w:leader="none" w:pos="1476"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obtain the assumption of this Agreement by any successor or assign of the Company; or</w:t>
      </w:r>
    </w:p>
    <w:p>
      <w:pPr>
        <w:spacing w:after="0" w:line="191" w:lineRule="exact"/>
        <w:rPr>
          <w:rFonts w:ascii="Courier New" w:cs="Courier New" w:eastAsia="Courier New" w:hAnsi="Courier New"/>
          <w:sz w:val="17"/>
          <w:szCs w:val="17"/>
          <w:color w:val="auto"/>
        </w:rPr>
      </w:pPr>
    </w:p>
    <w:p>
      <w:pPr>
        <w:jc w:val="both"/>
        <w:ind w:left="10" w:right="2039" w:firstLine="933"/>
        <w:spacing w:after="0" w:line="253" w:lineRule="auto"/>
        <w:tabs>
          <w:tab w:leader="none" w:pos="1372"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purported termination of the Executive's employment which is not effected pursuant to a Notice of Termination satisfying the requirements of Section 3(f), and for purposes of this Agreement, no such purported termination shall be effective.</w:t>
      </w:r>
    </w:p>
    <w:p>
      <w:pPr>
        <w:spacing w:after="0" w:line="195" w:lineRule="exact"/>
        <w:rPr>
          <w:sz w:val="20"/>
          <w:szCs w:val="20"/>
          <w:color w:val="auto"/>
        </w:rPr>
      </w:pPr>
    </w:p>
    <w:p>
      <w:pPr>
        <w:ind w:left="-950" w:right="1839" w:firstLine="1893"/>
        <w:spacing w:after="0" w:line="251" w:lineRule="auto"/>
        <w:tabs>
          <w:tab w:leader="none" w:pos="1354"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TERMINATION. Any termination by the Company pursuant to Section 5(a), (b) or (c) shall be 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01" w:lineRule="exact"/>
        <w:rPr>
          <w:rFonts w:ascii="Courier New" w:cs="Courier New" w:eastAsia="Courier New" w:hAnsi="Courier New"/>
          <w:sz w:val="17"/>
          <w:szCs w:val="17"/>
          <w:color w:val="auto"/>
        </w:rPr>
      </w:pPr>
    </w:p>
    <w:p>
      <w:pPr>
        <w:ind w:left="-950" w:right="1839" w:firstLine="1893"/>
        <w:spacing w:after="0" w:line="251" w:lineRule="auto"/>
        <w:tabs>
          <w:tab w:leader="none" w:pos="1354"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OF TERMINATION. "Date of Termination" shall mean (a) if this Agreement is terminated by the Company for 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PROVIDED that if within 30 days after any Notice of Termination is given to the Executive by the Company the Executive notifies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01" w:lineRule="exact"/>
        <w:rPr>
          <w:rFonts w:ascii="Courier New" w:cs="Courier New" w:eastAsia="Courier New" w:hAnsi="Courier New"/>
          <w:sz w:val="17"/>
          <w:szCs w:val="17"/>
          <w:color w:val="auto"/>
        </w:rPr>
      </w:pPr>
    </w:p>
    <w:p>
      <w:pPr>
        <w:ind w:left="-950" w:right="1839" w:firstLine="950"/>
        <w:spacing w:after="0" w:line="251" w:lineRule="auto"/>
        <w:tabs>
          <w:tab w:leader="none" w:pos="307"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COMPENSATION UPON TERMINATION OF EMPLOYMENT. If the Company shall terminate the Executive's employment other 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200" w:lineRule="exact"/>
        <w:rPr>
          <w:sz w:val="20"/>
          <w:szCs w:val="20"/>
          <w:color w:val="auto"/>
        </w:rPr>
      </w:pPr>
    </w:p>
    <w:p>
      <w:pPr>
        <w:spacing w:after="0" w:line="203"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269"/>
          </w:cols>
          <w:pgMar w:left="1190" w:top="921" w:right="1440" w:bottom="1440" w:gutter="0" w:footer="0" w:header="0"/>
        </w:sectPr>
      </w:pPr>
    </w:p>
    <w:bookmarkStart w:id="46" w:name="page47"/>
    <w:bookmarkEnd w:id="46"/>
    <w:p>
      <w:pPr>
        <w:ind w:right="2039" w:firstLine="950"/>
        <w:spacing w:after="0" w:line="252" w:lineRule="auto"/>
        <w:tabs>
          <w:tab w:leader="none" w:pos="1257"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BENEFITS UPON TERMINATION. If within three years following a Change of Control, the Company shall terminate the Executive's employment other than pursuant to Section 5(a), (b) or (c) or if the Executive shall terminate his employment for Good Reason, then the Company shall further provide to the Executive the following benefits:</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LIFE, DENTAL, VISION, HEALTH AND LONG-TERM DISABILITY COVERAGE. The Executive's participation in, and entitlement to, benefits under:</w:t>
      </w:r>
    </w:p>
    <w:p>
      <w:pPr>
        <w:ind w:right="1839" w:firstLine="7"/>
        <w:spacing w:after="0" w:line="251" w:lineRule="auto"/>
        <w:tabs>
          <w:tab w:leader="none" w:pos="419"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life insurance plans of the Company; (ii) all health insurance plans of the Company, including but not limited to those providing major medical and hospitalization benefits, dental benefits and vision benefits; and (iii) the Company's long-term disability plan or plans; as all such plans existed immediately prior to the Change of Control shall continue as though the Executive remained employed by the Corporation for an additional period of three</w:t>
      </w: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years or until the obtainment of such coverages by the Executive through another employer, whichever is earlier; provided, however, that in the case of all health insurance plans of the Company (including but not limited to those providing major medical and hospitalization benefits, dental benefits and vision benefits), such three-(3) year period shall be extended to the time that the Executive attains age 65 (and provided further that the Executive may then be entitled to certain retiree health insurance under Section 3(c) hereof). To the extent such participation or entitlement is not possible for any reason whatsoever, equivalent benefits shall be provided by the Company to the Executive.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AUTOMOBILE BENEFIT. If the Executive is entitled to the use of a Company-owned automobile at the time of a Change of Control, then title to such automobile shall be transferred to the Executive (upon termination of employment as described in Section 7 above) free and clear of all liens and encumbrances (or, if the Company does not own such automobile at the time of termination, then the Company shall arrange for the purchase, for the benefit of the Executive, of a similar make, model and year of automobile).</w:t>
      </w:r>
    </w:p>
    <w:p>
      <w:pPr>
        <w:spacing w:after="0" w:line="195"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Provided that the Company is obligated, pursuant to Section 3(b) hereof, to pay premiums on a policy or policies issued in favor of the Executive following a Change of Control, then the Company shall, in the same manner, continue making such premium payments until the later of (i) the Executive attains the age of 55; or</w:t>
      </w:r>
    </w:p>
    <w:p>
      <w:pPr>
        <w:ind w:right="2259" w:firstLine="7"/>
        <w:spacing w:after="0" w:line="254" w:lineRule="auto"/>
        <w:tabs>
          <w:tab w:leader="none" w:pos="524"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three (3) years following the Executive's termination of employment (provided, however, that the Company shall not be obligated to make any such payments after the Executive attains age 65).</w:t>
      </w:r>
    </w:p>
    <w:p>
      <w:pPr>
        <w:spacing w:after="0" w:line="194" w:lineRule="exact"/>
        <w:rPr>
          <w:rFonts w:ascii="Courier New" w:cs="Courier New" w:eastAsia="Courier New" w:hAnsi="Courier New"/>
          <w:sz w:val="17"/>
          <w:szCs w:val="17"/>
          <w:color w:val="auto"/>
        </w:rPr>
      </w:pPr>
    </w:p>
    <w:p>
      <w:pPr>
        <w:ind w:right="2039" w:firstLine="1893"/>
        <w:spacing w:after="0" w:line="252" w:lineRule="auto"/>
        <w:tabs>
          <w:tab w:leader="none" w:pos="2304" w:val="left"/>
        </w:tabs>
        <w:numPr>
          <w:ilvl w:val="2"/>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COMPENSATION PLANS. Any vesting requirement imposed under the provisions of, or rules relating to, the Company's Deferred Compensation and Deferred Bonus Plans, (including, but not limited to, vesting conditions requiring that the Executive attain the age of 55 and/or complete five years of service following a deferral) shall be waived and the Executive shall be fully vested in all deferrals made under such plans.</w:t>
      </w:r>
    </w:p>
    <w:p>
      <w:pPr>
        <w:spacing w:after="0" w:line="196" w:lineRule="exact"/>
        <w:rPr>
          <w:rFonts w:ascii="Courier New" w:cs="Courier New" w:eastAsia="Courier New" w:hAnsi="Courier New"/>
          <w:sz w:val="17"/>
          <w:szCs w:val="17"/>
          <w:color w:val="auto"/>
        </w:rPr>
      </w:pPr>
    </w:p>
    <w:p>
      <w:pPr>
        <w:ind w:left="1260" w:hanging="310"/>
        <w:spacing w:after="0"/>
        <w:tabs>
          <w:tab w:leader="none" w:pos="126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EXCISE TAX-ADDITIONAL PAYMENT.</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2"/>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21" w:right="1440" w:bottom="1440" w:gutter="0" w:footer="0" w:header="0"/>
        </w:sectPr>
      </w:pPr>
    </w:p>
    <w:bookmarkStart w:id="47" w:name="page48"/>
    <w:bookmarkEnd w:id="47"/>
    <w:p>
      <w:pPr>
        <w:ind w:right="2139"/>
        <w:spacing w:after="0" w:line="257" w:lineRule="auto"/>
        <w:rPr>
          <w:sz w:val="20"/>
          <w:szCs w:val="20"/>
          <w:color w:val="auto"/>
        </w:rPr>
      </w:pPr>
      <w:r>
        <w:rPr>
          <w:rFonts w:ascii="Courier New" w:cs="Courier New" w:eastAsia="Courier New" w:hAnsi="Courier New"/>
          <w:sz w:val="17"/>
          <w:szCs w:val="17"/>
          <w:color w:val="auto"/>
        </w:rPr>
        <w:t>Payment, the Executive retains an amount of the Gross-Up Payment equal to the Excise Tax imposed upon such Payment.</w:t>
      </w:r>
    </w:p>
    <w:p>
      <w:pPr>
        <w:spacing w:after="0" w:line="192" w:lineRule="exact"/>
        <w:rPr>
          <w:sz w:val="20"/>
          <w:szCs w:val="20"/>
          <w:color w:val="auto"/>
        </w:rPr>
      </w:pPr>
    </w:p>
    <w:p>
      <w:pPr>
        <w:ind w:right="1839" w:firstLine="1893"/>
        <w:spacing w:after="0" w:line="251" w:lineRule="auto"/>
        <w:tabs>
          <w:tab w:leader="none" w:pos="2304"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determinations and computations required to be made under this Section 8, including whether a Gross-Up Payment is required under clause (ii) of paragraph 8(a)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8 shall be paid by the Company to the Executive within five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8(c) and the Executive thereafter shall become obligated to make a payment of any Excise Tax, and if the amount thereof shall exceed the amount, if any, of any Excise Tax computed by the Accounting Firm pursuant to this paragraph 8(b)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8 shall be paid by the Company.</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01" w:lineRule="exact"/>
        <w:rPr>
          <w:sz w:val="20"/>
          <w:szCs w:val="20"/>
          <w:color w:val="auto"/>
        </w:rPr>
      </w:pPr>
    </w:p>
    <w:p>
      <w:pPr>
        <w:ind w:left="960" w:right="2359" w:firstLine="933"/>
        <w:spacing w:after="0" w:line="257" w:lineRule="auto"/>
        <w:tabs>
          <w:tab w:leader="none" w:pos="2322"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 the Company any information reasonably requested relating to such claim,</w:t>
      </w:r>
    </w:p>
    <w:p>
      <w:pPr>
        <w:spacing w:after="0" w:line="191" w:lineRule="exact"/>
        <w:rPr>
          <w:rFonts w:ascii="Courier New" w:cs="Courier New" w:eastAsia="Courier New" w:hAnsi="Courier New"/>
          <w:sz w:val="17"/>
          <w:szCs w:val="17"/>
          <w:color w:val="auto"/>
        </w:rPr>
      </w:pPr>
    </w:p>
    <w:p>
      <w:pPr>
        <w:ind w:left="960" w:right="1839" w:firstLine="933"/>
        <w:spacing w:after="0" w:line="253" w:lineRule="auto"/>
        <w:tabs>
          <w:tab w:leader="none" w:pos="2426"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396" w:lineRule="exact"/>
        <w:rPr>
          <w:rFonts w:ascii="Courier New" w:cs="Courier New" w:eastAsia="Courier New" w:hAnsi="Courier New"/>
          <w:sz w:val="17"/>
          <w:szCs w:val="17"/>
          <w:color w:val="auto"/>
        </w:rPr>
      </w:pPr>
    </w:p>
    <w:p>
      <w:pPr>
        <w:ind w:left="960" w:right="2559" w:firstLine="933"/>
        <w:spacing w:after="0" w:line="257" w:lineRule="auto"/>
        <w:tabs>
          <w:tab w:leader="none" w:pos="2531"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with the Company in good faith in order effectively to contest such claim, and</w:t>
      </w:r>
    </w:p>
    <w:p>
      <w:pPr>
        <w:spacing w:after="0" w:line="191" w:lineRule="exact"/>
        <w:rPr>
          <w:rFonts w:ascii="Courier New" w:cs="Courier New" w:eastAsia="Courier New" w:hAnsi="Courier New"/>
          <w:sz w:val="17"/>
          <w:szCs w:val="17"/>
          <w:color w:val="auto"/>
        </w:rPr>
      </w:pPr>
    </w:p>
    <w:p>
      <w:pPr>
        <w:ind w:left="960" w:right="2359" w:firstLine="933"/>
        <w:spacing w:after="0" w:line="257" w:lineRule="auto"/>
        <w:tabs>
          <w:tab w:leader="none" w:pos="2426"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 the Company to participate in any proceedings relating to such claim;</w:t>
      </w:r>
    </w:p>
    <w:p>
      <w:pPr>
        <w:spacing w:after="0" w:line="192"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8(c), the Company shall control all proceedings taken in connection with such contest and, at its sole option, may pursue or forgo any and all administrative appeals, proceedings, hearings and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21" w:right="1440" w:bottom="1440" w:gutter="0" w:footer="0" w:header="0"/>
        </w:sectPr>
      </w:pPr>
    </w:p>
    <w:bookmarkStart w:id="48" w:name="page49"/>
    <w:bookmarkEnd w:id="48"/>
    <w:p>
      <w:pPr>
        <w:ind w:right="1839"/>
        <w:spacing w:after="0" w:line="251" w:lineRule="auto"/>
        <w:rPr>
          <w:sz w:val="20"/>
          <w:szCs w:val="20"/>
          <w:color w:val="auto"/>
        </w:rPr>
      </w:pPr>
      <w:r>
        <w:rPr>
          <w:rFonts w:ascii="Courier New" w:cs="Courier New" w:eastAsia="Courier New" w:hAnsi="Courier New"/>
          <w:sz w:val="17"/>
          <w:szCs w:val="17"/>
          <w:color w:val="auto"/>
        </w:rPr>
        <w:t>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PROVIDED, HOWEVER,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03" w:lineRule="exact"/>
        <w:rPr>
          <w:sz w:val="20"/>
          <w:szCs w:val="20"/>
          <w:color w:val="auto"/>
        </w:rPr>
      </w:pPr>
    </w:p>
    <w:p>
      <w:pPr>
        <w:ind w:right="1839" w:firstLine="1893"/>
        <w:spacing w:after="0" w:line="251" w:lineRule="auto"/>
        <w:tabs>
          <w:tab w:leader="none" w:pos="2304"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the receipt by the Executive of an amount advanced by the Company or the subsidiary pursuant to paragraph 8(c), the Executive becomes entitled to receive any refund with respect to such claim, the Executive shall (subject to compliance with the requirements of Section 8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8(c),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201" w:lineRule="exact"/>
        <w:rPr>
          <w:rFonts w:ascii="Courier New" w:cs="Courier New" w:eastAsia="Courier New" w:hAnsi="Courier New"/>
          <w:sz w:val="17"/>
          <w:szCs w:val="17"/>
          <w:color w:val="auto"/>
        </w:rPr>
      </w:pPr>
    </w:p>
    <w:p>
      <w:pPr>
        <w:ind w:left="1260" w:hanging="310"/>
        <w:spacing w:after="0"/>
        <w:tabs>
          <w:tab w:leader="none" w:pos="126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OBLIGATION TO MITIGATE DAMAGES; NO EFFECT ON OTHER CONTRACTUAL</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RIGHTS.</w:t>
      </w:r>
    </w:p>
    <w:p>
      <w:pPr>
        <w:spacing w:after="0" w:line="210"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6"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97"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SUCCESSOR TO THE COMPANY.</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21" w:right="1440" w:bottom="1440" w:gutter="0" w:footer="0" w:header="0"/>
        </w:sectPr>
      </w:pPr>
    </w:p>
    <w:bookmarkStart w:id="49" w:name="page50"/>
    <w:bookmarkEnd w:id="49"/>
    <w:p>
      <w:pPr>
        <w:ind w:right="2039"/>
        <w:spacing w:after="0" w:line="252" w:lineRule="auto"/>
        <w:rPr>
          <w:sz w:val="20"/>
          <w:szCs w:val="20"/>
          <w:color w:val="auto"/>
        </w:rPr>
      </w:pPr>
      <w:r>
        <w:rPr>
          <w:rFonts w:ascii="Courier New" w:cs="Courier New" w:eastAsia="Courier New" w:hAnsi="Courier New"/>
          <w:sz w:val="17"/>
          <w:szCs w:val="17"/>
          <w:color w:val="auto"/>
        </w:rPr>
        <w:t>Reason. As used in this Agreement, "Company" shall mean the Company as hereinbefore defined and any successor or assign to its business and/or assets as aforesaid which executes and delivers the agreement provided for in this Section 10 or which otherwise becomes bound by all the terms and provisions of this Agreement by operation of law.</w:t>
      </w:r>
    </w:p>
    <w:p>
      <w:pPr>
        <w:spacing w:after="0" w:line="197" w:lineRule="exact"/>
        <w:rPr>
          <w:sz w:val="20"/>
          <w:szCs w:val="20"/>
          <w:color w:val="auto"/>
        </w:rPr>
      </w:pPr>
    </w:p>
    <w:p>
      <w:pPr>
        <w:ind w:right="1839" w:firstLine="1893"/>
        <w:spacing w:after="0" w:line="252" w:lineRule="auto"/>
        <w:tabs>
          <w:tab w:leader="none" w:pos="2304"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5" w:lineRule="exact"/>
        <w:rPr>
          <w:rFonts w:ascii="Courier New" w:cs="Courier New" w:eastAsia="Courier New" w:hAnsi="Courier New"/>
          <w:sz w:val="17"/>
          <w:szCs w:val="17"/>
          <w:color w:val="auto"/>
        </w:rPr>
      </w:pPr>
    </w:p>
    <w:p>
      <w:pPr>
        <w:ind w:right="2039" w:firstLine="950"/>
        <w:spacing w:after="0" w:line="252" w:lineRule="auto"/>
        <w:tabs>
          <w:tab w:leader="none" w:pos="136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GUARANTY OF EMPLOYMENT. Nothing in this Agreement shall be deemed to entitle the Executive to continued employment with the Company prior to a Change of Control, and the rights of the Company to terminate the employment of the Executive, prior to a Change of Control, shall continue as fully as if this Agreement were not in effect.</w:t>
      </w:r>
    </w:p>
    <w:p>
      <w:pPr>
        <w:spacing w:after="0" w:line="197" w:lineRule="exact"/>
        <w:rPr>
          <w:rFonts w:ascii="Courier New" w:cs="Courier New" w:eastAsia="Courier New" w:hAnsi="Courier New"/>
          <w:sz w:val="17"/>
          <w:szCs w:val="17"/>
          <w:color w:val="auto"/>
        </w:rPr>
      </w:pPr>
    </w:p>
    <w:p>
      <w:pPr>
        <w:ind w:right="2139" w:firstLine="950"/>
        <w:spacing w:after="0" w:line="253" w:lineRule="auto"/>
        <w:tabs>
          <w:tab w:leader="none" w:pos="136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For purposes of this Agreement, notices and all other communications provided for in the Agreement shall be in writing and shall be deemed to have been duly given when delivered or mailed by United States registered mail, return receipt registered, postage prepaid, as follows: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Company:</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Attn: General Counsel</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605 W. Crystal Lake Road</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P.O. Box 152</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Forest City, IA 50436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Executive:</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Edwin F. Barker</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2680 Taft Avenue</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Garner, IA 50438</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or such other address as either party may have furnished to the other in writing in accordance herewith, except that notices of change of address shall be effective only upon receipt.</w:t>
      </w:r>
    </w:p>
    <w:p>
      <w:pPr>
        <w:spacing w:after="0" w:line="194" w:lineRule="exact"/>
        <w:rPr>
          <w:sz w:val="20"/>
          <w:szCs w:val="20"/>
          <w:color w:val="auto"/>
        </w:rPr>
      </w:pPr>
    </w:p>
    <w:p>
      <w:pPr>
        <w:ind w:right="1839" w:firstLine="950"/>
        <w:spacing w:after="0" w:line="251" w:lineRule="auto"/>
        <w:tabs>
          <w:tab w:leader="none" w:pos="1362"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No provisions of this Agreement may be modified, waived or discharged unless such waiver, 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01"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VALIDITY. The invalidity or unenforceability of any provisions of this Agreement shall not affect the validity or enforceability of any other provision of this Agreement, which shall remain in full force and effect.</w:t>
      </w:r>
    </w:p>
    <w:p>
      <w:pPr>
        <w:spacing w:after="0" w:line="194"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one or more counterparts, each of which shall be deemed to be an original but all of which together will constitute one and the same instrument.</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21" w:right="1440" w:bottom="1440" w:gutter="0" w:footer="0" w:header="0"/>
        </w:sectPr>
      </w:pPr>
    </w:p>
    <w:bookmarkStart w:id="50" w:name="page51"/>
    <w:bookmarkEnd w:id="50"/>
    <w:p>
      <w:pPr>
        <w:jc w:val="both"/>
        <w:ind w:right="2039" w:firstLine="950"/>
        <w:spacing w:after="0" w:line="253" w:lineRule="auto"/>
        <w:tabs>
          <w:tab w:leader="none" w:pos="1362"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LEGAL FEES AND EXPENSES. The Company shall pay all legal fees and expenses which the Executive may incur as a result of the Company's contesting the validity, enforceability or the Executive's interpretation of, or determinations under, this Agreement.</w:t>
      </w:r>
    </w:p>
    <w:p>
      <w:pPr>
        <w:spacing w:after="0" w:line="195" w:lineRule="exact"/>
        <w:rPr>
          <w:rFonts w:ascii="Courier New" w:cs="Courier New" w:eastAsia="Courier New" w:hAnsi="Courier New"/>
          <w:sz w:val="17"/>
          <w:szCs w:val="17"/>
          <w:color w:val="auto"/>
        </w:rPr>
      </w:pPr>
    </w:p>
    <w:p>
      <w:pPr>
        <w:jc w:val="both"/>
        <w:ind w:right="2039" w:firstLine="950"/>
        <w:spacing w:after="0" w:line="254" w:lineRule="auto"/>
        <w:tabs>
          <w:tab w:leader="none" w:pos="1362"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 The Executive shall retain in confidence any and all confidential information known to the Executive concerning the Company and its business so long as such information is not otherwise publicly disclosed.</w:t>
      </w:r>
    </w:p>
    <w:p>
      <w:pPr>
        <w:spacing w:after="0" w:line="194" w:lineRule="exact"/>
        <w:rPr>
          <w:sz w:val="20"/>
          <w:szCs w:val="20"/>
          <w:color w:val="auto"/>
        </w:rPr>
      </w:pPr>
    </w:p>
    <w:p>
      <w:pPr>
        <w:ind w:right="2259" w:firstLine="943"/>
        <w:spacing w:after="0" w:line="257" w:lineRule="auto"/>
        <w:rPr>
          <w:sz w:val="20"/>
          <w:szCs w:val="20"/>
          <w:color w:val="auto"/>
        </w:rPr>
      </w:pPr>
      <w:r>
        <w:rPr>
          <w:rFonts w:ascii="Courier New" w:cs="Courier New" w:eastAsia="Courier New" w:hAnsi="Courier New"/>
          <w:sz w:val="17"/>
          <w:szCs w:val="17"/>
          <w:color w:val="auto"/>
        </w:rPr>
        <w:t>IN WITNESS WHEREOF, the parties have executed this agreement on the date set out above.</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Bruce D. Hertzke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Chairman of the Board, Chief Executive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Officer and President</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EXECUTIVE:</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Edwin F. Barker</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21" w:right="1440" w:bottom="1440" w:gutter="0" w:footer="0" w:header="0"/>
        </w:sectPr>
      </w:pPr>
    </w:p>
    <w:bookmarkStart w:id="51" w:name="page52"/>
    <w:bookmarkEnd w:id="51"/>
    <w:p>
      <w:pPr>
        <w:jc w:val="center"/>
        <w:ind w:right="1839"/>
        <w:spacing w:after="0"/>
        <w:rPr>
          <w:sz w:val="20"/>
          <w:szCs w:val="20"/>
          <w:color w:val="auto"/>
        </w:rPr>
      </w:pPr>
      <w:r>
        <w:rPr>
          <w:rFonts w:ascii="Courier New" w:cs="Courier New" w:eastAsia="Courier New" w:hAnsi="Courier New"/>
          <w:sz w:val="17"/>
          <w:szCs w:val="17"/>
          <w:color w:val="auto"/>
        </w:rPr>
        <w:t>EXHIBIT 10p.</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EXECUTIVE CHANGE OF CONTROL AGREEMENT</w:t>
      </w:r>
    </w:p>
    <w:p>
      <w:pPr>
        <w:spacing w:after="0" w:line="210"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This EXECUTIVE CHANGE OF CONTROL AGREEMENT is made as of January 17, 2001, by and between WINNEBAGO INDUSTRIES, INC., an lowa corporation (the "Company"), and Raymond M. Beebe (the "Executive").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WHEREAS, the Executive is a senior executive and officer of the Company and has made and is expected to continue to make major contributions to the profitability, growth and financial strength of the Company;</w:t>
      </w:r>
    </w:p>
    <w:p>
      <w:pPr>
        <w:spacing w:after="0" w:line="194" w:lineRule="exact"/>
        <w:rPr>
          <w:sz w:val="20"/>
          <w:szCs w:val="20"/>
          <w:color w:val="auto"/>
        </w:rPr>
      </w:pPr>
    </w:p>
    <w:p>
      <w:pPr>
        <w:ind w:right="1939" w:firstLine="943"/>
        <w:spacing w:after="0" w:line="254" w:lineRule="auto"/>
        <w:rPr>
          <w:sz w:val="20"/>
          <w:szCs w:val="20"/>
          <w:color w:val="auto"/>
        </w:rPr>
      </w:pPr>
      <w:r>
        <w:rPr>
          <w:rFonts w:ascii="Courier New" w:cs="Courier New" w:eastAsia="Courier New" w:hAnsi="Courier New"/>
          <w:sz w:val="17"/>
          <w:szCs w:val="17"/>
          <w:color w:val="auto"/>
        </w:rPr>
        <w:t>WHEREAS, the Company recognizes that, as is the case for most publicly held companies, the possibility of a Change of Control (as hereafter defined) exists;</w:t>
      </w:r>
    </w:p>
    <w:p>
      <w:pPr>
        <w:spacing w:after="0" w:line="194"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WHEREAS, it is in the best interests of the Company, considering the past and future services of the Executive, to improve the security and climate for objective decision making by providing for the personal security of the Executive upon a Change of Control.</w:t>
      </w:r>
    </w:p>
    <w:p>
      <w:pPr>
        <w:spacing w:after="0" w:line="195"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NOW, THEREFORE, in consideration of the foregoing premises and the past and future services rendered and to be rendered by the Executive to the Company and of the mutual covenants and agreements hereinafter set forth, the parties agree as follows: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AGREEMENT</w:t>
      </w:r>
    </w:p>
    <w:p>
      <w:pPr>
        <w:spacing w:after="0" w:line="210" w:lineRule="exact"/>
        <w:rPr>
          <w:sz w:val="20"/>
          <w:szCs w:val="20"/>
          <w:color w:val="auto"/>
        </w:rPr>
      </w:pPr>
    </w:p>
    <w:p>
      <w:pPr>
        <w:ind w:right="1939" w:firstLine="950"/>
        <w:spacing w:after="0" w:line="251" w:lineRule="auto"/>
        <w:tabs>
          <w:tab w:leader="none" w:pos="1257"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SERVICE BY EXECUTIVE. In the event a person or entity, in order to effect a Change of Control, commences a 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01" w:lineRule="exact"/>
        <w:rPr>
          <w:rFonts w:ascii="Courier New" w:cs="Courier New" w:eastAsia="Courier New" w:hAnsi="Courier New"/>
          <w:sz w:val="17"/>
          <w:szCs w:val="17"/>
          <w:color w:val="auto"/>
        </w:rPr>
      </w:pPr>
    </w:p>
    <w:p>
      <w:pPr>
        <w:ind w:right="1939" w:firstLine="950"/>
        <w:spacing w:after="0" w:line="251" w:lineRule="auto"/>
        <w:tabs>
          <w:tab w:leader="none" w:pos="1257"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For purposes of this Agreement, the term "Change of Control" means the time when (i) any Person becomes an Acquiring Person, or</w:t>
      </w:r>
    </w:p>
    <w:p>
      <w:pPr>
        <w:ind w:right="1939" w:firstLine="7"/>
        <w:spacing w:after="0" w:line="251" w:lineRule="auto"/>
        <w:tabs>
          <w:tab w:leader="none" w:pos="524"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individuals who shall qualify as Continuing Directors of the Company shall have ceased for any reason to constitute at least a majority of the Board of Directors of the Company; PROVIDED HOWEVER, that in the case of either clause</w:t>
      </w:r>
    </w:p>
    <w:p>
      <w:pPr>
        <w:ind w:left="420" w:hanging="413"/>
        <w:spacing w:after="0"/>
        <w:tabs>
          <w:tab w:leader="none" w:pos="42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(ii) a Change of Control shall not be deemed to have occurred if the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1"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For the purpose of the foregoing definition of "Change of Control," the capitalized terms shall have the following meanings:</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00" w:right="1839" w:hanging="950"/>
        <w:spacing w:after="0" w:line="251" w:lineRule="auto"/>
        <w:tabs>
          <w:tab w:leader="none" w:pos="190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1" w:lineRule="exact"/>
        <w:rPr>
          <w:rFonts w:ascii="Courier New" w:cs="Courier New" w:eastAsia="Courier New" w:hAnsi="Courier New"/>
          <w:sz w:val="17"/>
          <w:szCs w:val="17"/>
          <w:color w:val="auto"/>
        </w:rPr>
      </w:pPr>
    </w:p>
    <w:p>
      <w:pPr>
        <w:ind w:left="1900" w:right="1839" w:hanging="950"/>
        <w:spacing w:after="0" w:line="252" w:lineRule="auto"/>
        <w:tabs>
          <w:tab w:leader="none" w:pos="190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January 17, 2001, except</w:t>
      </w:r>
    </w:p>
    <w:p>
      <w:pPr>
        <w:sectPr>
          <w:pgSz w:w="11900" w:h="16838" w:orient="portrait"/>
          <w:cols w:equalWidth="0" w:num="1">
            <w:col w:w="10219"/>
          </w:cols>
          <w:pgMar w:left="240" w:top="142" w:right="1440" w:bottom="0" w:gutter="0" w:footer="0" w:header="0"/>
        </w:sectPr>
      </w:pPr>
    </w:p>
    <w:bookmarkStart w:id="52" w:name="page53"/>
    <w:bookmarkEnd w:id="52"/>
    <w:p>
      <w:pPr>
        <w:ind w:left="950" w:right="1939"/>
        <w:spacing w:after="0" w:line="254" w:lineRule="auto"/>
        <w:rPr>
          <w:sz w:val="20"/>
          <w:szCs w:val="20"/>
          <w:color w:val="auto"/>
        </w:rPr>
      </w:pPr>
      <w:r>
        <w:rPr>
          <w:rFonts w:ascii="Courier New" w:cs="Courier New" w:eastAsia="Courier New" w:hAnsi="Courier New"/>
          <w:sz w:val="17"/>
          <w:szCs w:val="17"/>
          <w:color w:val="auto"/>
        </w:rPr>
        <w:t>that the term "Acquiring Person" shall not include a Hanson Family Member or an Affiliate or Associate of a Hanson Family Member.</w:t>
      </w:r>
    </w:p>
    <w:p>
      <w:pPr>
        <w:spacing w:after="0" w:line="194" w:lineRule="exact"/>
        <w:rPr>
          <w:sz w:val="20"/>
          <w:szCs w:val="20"/>
          <w:color w:val="auto"/>
        </w:rPr>
      </w:pPr>
    </w:p>
    <w:p>
      <w:pPr>
        <w:ind w:left="950" w:right="1839" w:hanging="950"/>
        <w:spacing w:after="0" w:line="254" w:lineRule="auto"/>
        <w:tabs>
          <w:tab w:leader="none" w:pos="95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means a Person that directly or indirectly through one or more intermediaries, controls, or is controlled by, or is under common control with, the person specified.</w:t>
      </w:r>
    </w:p>
    <w:p>
      <w:pPr>
        <w:spacing w:after="0" w:line="194" w:lineRule="exact"/>
        <w:rPr>
          <w:rFonts w:ascii="Courier New" w:cs="Courier New" w:eastAsia="Courier New" w:hAnsi="Courier New"/>
          <w:sz w:val="17"/>
          <w:szCs w:val="17"/>
          <w:color w:val="auto"/>
        </w:rPr>
      </w:pPr>
    </w:p>
    <w:p>
      <w:pPr>
        <w:ind w:left="950" w:right="1939" w:hanging="950"/>
        <w:spacing w:after="0" w:line="251" w:lineRule="auto"/>
        <w:tabs>
          <w:tab w:leader="none" w:pos="95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ind w:left="950" w:right="2039" w:hanging="7"/>
        <w:spacing w:after="0" w:line="251" w:lineRule="auto"/>
        <w:tabs>
          <w:tab w:leader="none" w:pos="1369"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trust or fund in which such person has a substantial beneficial interest or as to which such person serves as trustee or in a similar fiduciary capacity, (3) any relative or spouse of such person, or any relative of such spouse, or</w:t>
      </w:r>
    </w:p>
    <w:p>
      <w:pPr>
        <w:ind w:left="950" w:right="2559" w:hanging="7"/>
        <w:spacing w:after="0" w:line="257" w:lineRule="auto"/>
        <w:tabs>
          <w:tab w:leader="none" w:pos="1369"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investment company for which such person or any Affiliate of such person serves as investment advisor.</w:t>
      </w:r>
    </w:p>
    <w:p>
      <w:pPr>
        <w:spacing w:after="0" w:line="191" w:lineRule="exact"/>
        <w:rPr>
          <w:rFonts w:ascii="Courier New" w:cs="Courier New" w:eastAsia="Courier New" w:hAnsi="Courier New"/>
          <w:sz w:val="17"/>
          <w:szCs w:val="17"/>
          <w:color w:val="auto"/>
        </w:rPr>
      </w:pPr>
    </w:p>
    <w:p>
      <w:pPr>
        <w:ind w:left="950" w:right="1939" w:hanging="950"/>
        <w:spacing w:after="0" w:line="252" w:lineRule="auto"/>
        <w:tabs>
          <w:tab w:leader="none" w:pos="95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"Hanson Family Member" means John K. Hanson (deceased)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96" w:lineRule="exact"/>
        <w:rPr>
          <w:rFonts w:ascii="Courier New" w:cs="Courier New" w:eastAsia="Courier New" w:hAnsi="Courier New"/>
          <w:sz w:val="17"/>
          <w:szCs w:val="17"/>
          <w:color w:val="auto"/>
        </w:rPr>
      </w:pPr>
    </w:p>
    <w:p>
      <w:pPr>
        <w:ind w:left="950" w:right="1839" w:hanging="950"/>
        <w:spacing w:after="0" w:line="253" w:lineRule="auto"/>
        <w:tabs>
          <w:tab w:leader="none" w:pos="95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means an individual, corporation, limited liability company, partnership, association, joint stock company, trust, unincorporated organization or government or political subdivision thereof.</w:t>
      </w:r>
    </w:p>
    <w:p>
      <w:pPr>
        <w:spacing w:after="0" w:line="195" w:lineRule="exact"/>
        <w:rPr>
          <w:sz w:val="20"/>
          <w:szCs w:val="20"/>
          <w:color w:val="auto"/>
        </w:rPr>
      </w:pPr>
    </w:p>
    <w:p>
      <w:pPr>
        <w:ind w:left="-950" w:right="1839" w:firstLine="950"/>
        <w:spacing w:after="0" w:line="253" w:lineRule="auto"/>
        <w:tabs>
          <w:tab w:leader="none" w:pos="307"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BENEFITS EFFECTIVE IMMEDIATELY UPON A CHANGE OF CONTROL. If a Change of Control shall have occurred while the Executive is still an employee of the Company, then the Executive shall immediately be entitled to the following benefits:</w:t>
      </w:r>
    </w:p>
    <w:p>
      <w:pPr>
        <w:spacing w:after="0" w:line="195" w:lineRule="exact"/>
        <w:rPr>
          <w:rFonts w:ascii="Courier New" w:cs="Courier New" w:eastAsia="Courier New" w:hAnsi="Courier New"/>
          <w:sz w:val="17"/>
          <w:szCs w:val="17"/>
          <w:color w:val="auto"/>
        </w:rPr>
      </w:pPr>
    </w:p>
    <w:p>
      <w:pPr>
        <w:ind w:left="-950" w:right="1839" w:firstLine="1893"/>
        <w:spacing w:after="0" w:line="252" w:lineRule="auto"/>
        <w:tabs>
          <w:tab w:leader="none" w:pos="1354"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 VESTING OF ALL STOCK OPTIONS AND RIGHTS. All options and rights granted to the Executive by the Company pursuant to the Company's Stock Option Plan effective as of August 14, 1997, or any successor or supplemental stock plan shall become immediately exercisable upon a Change of Control.</w:t>
      </w:r>
    </w:p>
    <w:p>
      <w:pPr>
        <w:spacing w:after="0" w:line="197" w:lineRule="exact"/>
        <w:rPr>
          <w:rFonts w:ascii="Courier New" w:cs="Courier New" w:eastAsia="Courier New" w:hAnsi="Courier New"/>
          <w:sz w:val="17"/>
          <w:szCs w:val="17"/>
          <w:color w:val="auto"/>
        </w:rPr>
      </w:pPr>
    </w:p>
    <w:p>
      <w:pPr>
        <w:ind w:left="-950" w:right="2139" w:firstLine="1893"/>
        <w:spacing w:after="0" w:line="252" w:lineRule="auto"/>
        <w:tabs>
          <w:tab w:leader="none" w:pos="1354"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If the Executive is a participant under the Company's Executive Split Dollar Life Insurance Program at the time of a Change of Control and the Company has paid any portion of the premium on the policy or policies issued in connection therewith during the twelve months preceding the occurrence of the</w:t>
      </w:r>
    </w:p>
    <w:p>
      <w:pPr>
        <w:spacing w:after="0" w:line="399"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269"/>
          </w:cols>
          <w:pgMar w:left="1190" w:top="142" w:right="1440" w:bottom="1440" w:gutter="0" w:footer="0" w:header="0"/>
        </w:sectPr>
      </w:pPr>
    </w:p>
    <w:bookmarkStart w:id="53" w:name="page54"/>
    <w:bookmarkEnd w:id="53"/>
    <w:p>
      <w:pPr>
        <w:ind w:right="2039"/>
        <w:spacing w:after="0" w:line="257" w:lineRule="auto"/>
        <w:rPr>
          <w:sz w:val="20"/>
          <w:szCs w:val="20"/>
          <w:color w:val="auto"/>
        </w:rPr>
      </w:pPr>
      <w:r>
        <w:rPr>
          <w:rFonts w:ascii="Courier New" w:cs="Courier New" w:eastAsia="Courier New" w:hAnsi="Courier New"/>
          <w:sz w:val="17"/>
          <w:szCs w:val="17"/>
          <w:color w:val="auto"/>
        </w:rPr>
        <w:t>Change of Control, then the Company shall continue to pay all premiums on such policies so long as the Executive remains in the employ of the Company.</w:t>
      </w:r>
    </w:p>
    <w:p>
      <w:pPr>
        <w:spacing w:after="0" w:line="192" w:lineRule="exact"/>
        <w:rPr>
          <w:sz w:val="20"/>
          <w:szCs w:val="20"/>
          <w:color w:val="auto"/>
        </w:rPr>
      </w:pPr>
    </w:p>
    <w:p>
      <w:pPr>
        <w:ind w:right="2139" w:firstLine="1893"/>
        <w:spacing w:after="0" w:line="252" w:lineRule="auto"/>
        <w:tabs>
          <w:tab w:leader="none" w:pos="2304" w:val="left"/>
        </w:tabs>
        <w:numPr>
          <w:ilvl w:val="2"/>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HEALTH INSURANCE. Any plans or policies of the Company providing for medical, dental, vision or similar benefits for retired employees existing as of the time of a Change of Control shall, as to the Executive, not be rescinded or modified in any manner which is adverse to the Executive following a Change of Control.</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All nonregistered stock of the Company owned by the Executive, which is subject to restrictions on sale or other transfer, shall, at the option of the Executive (exercisable at any time by the delivery of written notice to the Company) be purchased by the Company at its fair market value. The purchase shall be completed by the Company within thirty</w:t>
      </w:r>
    </w:p>
    <w:p>
      <w:pPr>
        <w:ind w:right="2259" w:firstLine="7"/>
        <w:spacing w:after="0" w:line="252" w:lineRule="auto"/>
        <w:tabs>
          <w:tab w:leader="none" w:pos="524"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after the Company receives the written notice of exercise from the Executive. So long as the Company's stock is traded on the New York Stock Exchange (the "NYSE"), the "fair market value" shall be the mean between the highest and lowest reported selling prices as reported by the NYSE on the business day immediately preceding the day of sale.</w:t>
      </w:r>
    </w:p>
    <w:p>
      <w:pPr>
        <w:spacing w:after="0" w:line="197"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BENEFITS EFFECTIVE IMMEDIATELY UPON A CHANGE OF CONTROL PURSUANT TO PLAN DOCUMENTS. It is acknowledged that there presently exist other plans and agreements of the Company which may provide benefits to the Executive and which contain specific provisions dealing with the occurrence of a change of control of the Company (as defined in such plan or agreement). Following a Change of Control, no such plan or agreement shall be rescinded or modified in any manner which is adverse to the Executive. Such other plans and agreements of the Company shall mean: (a) the Executive Share Option Program; (b) the Officers' Long-Term Incentive Plan; (c) the Deferred Compensation and Deferred Bonus Plans; and (d) the Officers' Incentive Compensation Plan. Nothing herein shall be construed to affect the Company's right and ability to terminate or amend any such plan or agreement (subject to the terms thereof) prior to a Change of Control.</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FOLLOWING A CHANGE OF CONTROL. If a Change of Control shall have occurred while the Executive is still an employee of the Company, and if the Executive's employment with the Company is terminated, within three years following such Change of Control, then the Executive shall be entitled to the compensation and benefits provided in Sections 6 and 7, unless such termination is a result of: (a) the Executive's death; (b) the Executive's disability [as defined in Section 5(a) below]; (c) the Executive's retirement [as defined in Section 5(b) below]; (d) the Executive's termination by the Company for Cause [as defined in Section 5(c) below]; or (e) the Executive's decision to terminate employment other than for Good Reason [as defined in Section 5(d) below].</w:t>
      </w:r>
    </w:p>
    <w:p>
      <w:pPr>
        <w:spacing w:after="0" w:line="201"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If, as a result of the Executive's incapacity due to physical or mental illness, the Executive shall have 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96" w:lineRule="exact"/>
        <w:rPr>
          <w:rFonts w:ascii="Courier New" w:cs="Courier New" w:eastAsia="Courier New" w:hAnsi="Courier New"/>
          <w:sz w:val="17"/>
          <w:szCs w:val="17"/>
          <w:color w:val="auto"/>
        </w:rPr>
      </w:pPr>
    </w:p>
    <w:p>
      <w:pPr>
        <w:ind w:right="1939" w:firstLine="1893"/>
        <w:spacing w:after="0" w:line="252" w:lineRule="auto"/>
        <w:tabs>
          <w:tab w:leader="none" w:pos="2304" w:val="left"/>
        </w:tabs>
        <w:numPr>
          <w:ilvl w:val="2"/>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The term "Retirement" as used in this Agreement shall mean termination by the Company or the Executive of the Executive's employment based on the Executive having attained the age of 65 or such other age as shall have been fixed in any arrangement established with the Executive's consent with respect to the Executive.</w:t>
      </w:r>
    </w:p>
    <w:p>
      <w:pPr>
        <w:spacing w:after="0" w:line="197"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may terminate the Executive's employment for Cause. For purposes of this Agreement only, the Company shall have "Cause" to terminate the Executive's employment hereunder only on the basis of (i) fraud, misappropriation or embezzlement on the part of the Executive; or (ii) intentional misconduct or gross negligence on</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21" w:right="1440" w:bottom="1440" w:gutter="0" w:footer="0" w:header="0"/>
        </w:sectPr>
      </w:pPr>
    </w:p>
    <w:bookmarkStart w:id="54" w:name="page55"/>
    <w:bookmarkEnd w:id="54"/>
    <w:p>
      <w:pPr>
        <w:ind w:right="1939"/>
        <w:spacing w:after="0" w:line="251" w:lineRule="auto"/>
        <w:rPr>
          <w:sz w:val="20"/>
          <w:szCs w:val="20"/>
          <w:color w:val="auto"/>
        </w:rPr>
      </w:pPr>
      <w:r>
        <w:rPr>
          <w:rFonts w:ascii="Courier New" w:cs="Courier New" w:eastAsia="Courier New" w:hAnsi="Courier New"/>
          <w:sz w:val="17"/>
          <w:szCs w:val="17"/>
          <w:color w:val="auto"/>
        </w:rPr>
        <w:t>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5(c) and specifying the particulars thereof in detail. Nothing herein shall limit the right of the Executive or his beneficiaries to contest the validity or propriety of any such determination.</w:t>
      </w:r>
    </w:p>
    <w:p>
      <w:pPr>
        <w:spacing w:after="0" w:line="200" w:lineRule="exact"/>
        <w:rPr>
          <w:sz w:val="20"/>
          <w:szCs w:val="20"/>
          <w:color w:val="auto"/>
        </w:rPr>
      </w:pPr>
    </w:p>
    <w:p>
      <w:pPr>
        <w:spacing w:after="0" w:line="203" w:lineRule="exact"/>
        <w:rPr>
          <w:sz w:val="20"/>
          <w:szCs w:val="20"/>
          <w:color w:val="auto"/>
        </w:rPr>
      </w:pPr>
    </w:p>
    <w:p>
      <w:pPr>
        <w:ind w:right="2039" w:firstLine="1893"/>
        <w:spacing w:after="0" w:line="253" w:lineRule="auto"/>
        <w:tabs>
          <w:tab w:leader="none" w:pos="2304"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REASON. The Executive may terminate the Executive's employment for Good Reason at any time during the term of this Agreement. For purposes of this Agreement "Good Reason" shall mean any of the following (without the Executive's express written consent):</w:t>
      </w:r>
    </w:p>
    <w:p>
      <w:pPr>
        <w:spacing w:after="0" w:line="195" w:lineRule="exact"/>
        <w:rPr>
          <w:sz w:val="20"/>
          <w:szCs w:val="20"/>
          <w:color w:val="auto"/>
        </w:rPr>
      </w:pPr>
    </w:p>
    <w:p>
      <w:pPr>
        <w:ind w:left="960" w:right="1839" w:firstLine="933"/>
        <w:spacing w:after="0" w:line="251" w:lineRule="auto"/>
        <w:tabs>
          <w:tab w:leader="none" w:pos="2322"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201" w:lineRule="exact"/>
        <w:rPr>
          <w:rFonts w:ascii="Courier New" w:cs="Courier New" w:eastAsia="Courier New" w:hAnsi="Courier New"/>
          <w:sz w:val="17"/>
          <w:szCs w:val="17"/>
          <w:color w:val="auto"/>
        </w:rPr>
      </w:pPr>
    </w:p>
    <w:p>
      <w:pPr>
        <w:ind w:left="960" w:right="1839" w:firstLine="933"/>
        <w:spacing w:after="0" w:line="251" w:lineRule="auto"/>
        <w:tabs>
          <w:tab w:leader="none" w:pos="2426"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201" w:lineRule="exact"/>
        <w:rPr>
          <w:rFonts w:ascii="Courier New" w:cs="Courier New" w:eastAsia="Courier New" w:hAnsi="Courier New"/>
          <w:sz w:val="17"/>
          <w:szCs w:val="17"/>
          <w:color w:val="auto"/>
        </w:rPr>
      </w:pPr>
    </w:p>
    <w:p>
      <w:pPr>
        <w:ind w:left="960" w:right="1839" w:firstLine="933"/>
        <w:spacing w:after="0" w:line="251" w:lineRule="auto"/>
        <w:tabs>
          <w:tab w:leader="none" w:pos="2531"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201" w:lineRule="exact"/>
        <w:rPr>
          <w:rFonts w:ascii="Courier New" w:cs="Courier New" w:eastAsia="Courier New" w:hAnsi="Courier New"/>
          <w:sz w:val="17"/>
          <w:szCs w:val="17"/>
          <w:color w:val="auto"/>
        </w:rPr>
      </w:pPr>
    </w:p>
    <w:p>
      <w:pPr>
        <w:ind w:left="960" w:right="1839" w:firstLine="933"/>
        <w:spacing w:after="0" w:line="251" w:lineRule="auto"/>
        <w:tabs>
          <w:tab w:leader="none" w:pos="2426"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reduce the Executive's benefits under any such Incentive Plan, expressed as a percentage of his base salary, by more than 10 percentage points in any fiscal year as compared to the immediately preceding fiscal year;</w:t>
      </w:r>
    </w:p>
    <w:p>
      <w:pPr>
        <w:spacing w:after="0" w:line="201" w:lineRule="exact"/>
        <w:rPr>
          <w:rFonts w:ascii="Courier New" w:cs="Courier New" w:eastAsia="Courier New" w:hAnsi="Courier New"/>
          <w:sz w:val="17"/>
          <w:szCs w:val="17"/>
          <w:color w:val="auto"/>
        </w:rPr>
      </w:pPr>
    </w:p>
    <w:p>
      <w:pPr>
        <w:ind w:left="960" w:right="1839" w:firstLine="933"/>
        <w:spacing w:after="0" w:line="253" w:lineRule="auto"/>
        <w:tabs>
          <w:tab w:leader="none" w:pos="2322"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21" w:right="1440" w:bottom="659" w:gutter="0" w:footer="0" w:header="0"/>
        </w:sectPr>
      </w:pPr>
    </w:p>
    <w:bookmarkStart w:id="55" w:name="page56"/>
    <w:bookmarkEnd w:id="55"/>
    <w:p>
      <w:pPr>
        <w:ind w:left="10" w:right="2139"/>
        <w:spacing w:after="0" w:line="253" w:lineRule="auto"/>
        <w:rPr>
          <w:sz w:val="20"/>
          <w:szCs w:val="20"/>
          <w:color w:val="auto"/>
        </w:rPr>
      </w:pPr>
      <w:r>
        <w:rPr>
          <w:rFonts w:ascii="Courier New" w:cs="Courier New" w:eastAsia="Courier New" w:hAnsi="Courier New"/>
          <w:sz w:val="17"/>
          <w:szCs w:val="17"/>
          <w:color w:val="auto"/>
        </w:rPr>
        <w:t>(hereinafter referred to as "Securities Plans") or the taking of any action by the Company which would adversely affect the Executive's participation in or materially reduce the Executive's benefits under any such Securities Plan;</w:t>
      </w:r>
    </w:p>
    <w:p>
      <w:pPr>
        <w:spacing w:after="0" w:line="195" w:lineRule="exact"/>
        <w:rPr>
          <w:sz w:val="20"/>
          <w:szCs w:val="20"/>
          <w:color w:val="auto"/>
        </w:rPr>
      </w:pPr>
    </w:p>
    <w:p>
      <w:pPr>
        <w:ind w:left="10" w:right="1839" w:firstLine="933"/>
        <w:spacing w:after="0" w:line="251" w:lineRule="auto"/>
        <w:tabs>
          <w:tab w:leader="none" w:pos="1476"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01" w:lineRule="exact"/>
        <w:rPr>
          <w:rFonts w:ascii="Courier New" w:cs="Courier New" w:eastAsia="Courier New" w:hAnsi="Courier New"/>
          <w:sz w:val="17"/>
          <w:szCs w:val="17"/>
          <w:color w:val="auto"/>
        </w:rPr>
      </w:pPr>
    </w:p>
    <w:p>
      <w:pPr>
        <w:ind w:left="10" w:right="1839" w:firstLine="933"/>
        <w:spacing w:after="0" w:line="254" w:lineRule="auto"/>
        <w:tabs>
          <w:tab w:leader="none" w:pos="1581"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provide the Executive with the number of paid vacation days to which the Executive is entitled at the time of a Change in Control of the Company;</w:t>
      </w:r>
    </w:p>
    <w:p>
      <w:pPr>
        <w:spacing w:after="0" w:line="194" w:lineRule="exact"/>
        <w:rPr>
          <w:rFonts w:ascii="Courier New" w:cs="Courier New" w:eastAsia="Courier New" w:hAnsi="Courier New"/>
          <w:sz w:val="17"/>
          <w:szCs w:val="17"/>
          <w:color w:val="auto"/>
        </w:rPr>
      </w:pPr>
    </w:p>
    <w:p>
      <w:pPr>
        <w:ind w:left="1670" w:hanging="727"/>
        <w:spacing w:after="0"/>
        <w:tabs>
          <w:tab w:leader="none" w:pos="167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breach by the Company of any provision of</w:t>
      </w:r>
    </w:p>
    <w:p>
      <w:pPr>
        <w:spacing w:after="0" w:line="8" w:lineRule="exact"/>
        <w:rPr>
          <w:rFonts w:ascii="Courier New" w:cs="Courier New" w:eastAsia="Courier New" w:hAnsi="Courier New"/>
          <w:sz w:val="17"/>
          <w:szCs w:val="17"/>
          <w:color w:val="auto"/>
        </w:rPr>
      </w:pPr>
    </w:p>
    <w:p>
      <w:pPr>
        <w:ind w:left="1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w:t>
      </w:r>
    </w:p>
    <w:p>
      <w:pPr>
        <w:spacing w:after="0" w:line="210" w:lineRule="exact"/>
        <w:rPr>
          <w:rFonts w:ascii="Courier New" w:cs="Courier New" w:eastAsia="Courier New" w:hAnsi="Courier New"/>
          <w:sz w:val="17"/>
          <w:szCs w:val="17"/>
          <w:color w:val="auto"/>
        </w:rPr>
      </w:pPr>
    </w:p>
    <w:p>
      <w:pPr>
        <w:ind w:left="10" w:right="2139" w:firstLine="933"/>
        <w:spacing w:after="0" w:line="257" w:lineRule="auto"/>
        <w:tabs>
          <w:tab w:leader="none" w:pos="1476"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obtain the assumption of this Agreement by any successor or assign of the Company; or</w:t>
      </w:r>
    </w:p>
    <w:p>
      <w:pPr>
        <w:spacing w:after="0" w:line="191" w:lineRule="exact"/>
        <w:rPr>
          <w:rFonts w:ascii="Courier New" w:cs="Courier New" w:eastAsia="Courier New" w:hAnsi="Courier New"/>
          <w:sz w:val="17"/>
          <w:szCs w:val="17"/>
          <w:color w:val="auto"/>
        </w:rPr>
      </w:pPr>
    </w:p>
    <w:p>
      <w:pPr>
        <w:jc w:val="both"/>
        <w:ind w:left="10" w:right="2039" w:firstLine="933"/>
        <w:spacing w:after="0" w:line="253" w:lineRule="auto"/>
        <w:tabs>
          <w:tab w:leader="none" w:pos="1372"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purported termination of the Executive's employment which is not effected pursuant to a Notice of Termination satisfying the requirements of Section 3(f), and for purposes of this Agreement, no such purported termination shall be effective.</w:t>
      </w:r>
    </w:p>
    <w:p>
      <w:pPr>
        <w:spacing w:after="0" w:line="195" w:lineRule="exact"/>
        <w:rPr>
          <w:sz w:val="20"/>
          <w:szCs w:val="20"/>
          <w:color w:val="auto"/>
        </w:rPr>
      </w:pPr>
    </w:p>
    <w:p>
      <w:pPr>
        <w:ind w:left="-950" w:right="1839" w:firstLine="1893"/>
        <w:spacing w:after="0" w:line="251" w:lineRule="auto"/>
        <w:tabs>
          <w:tab w:leader="none" w:pos="1354" w:val="left"/>
        </w:tabs>
        <w:numPr>
          <w:ilvl w:val="1"/>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TERMINATION. Any termination by the Company pursuant to Section 5(a), (b) or (c) shall be 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01" w:lineRule="exact"/>
        <w:rPr>
          <w:rFonts w:ascii="Courier New" w:cs="Courier New" w:eastAsia="Courier New" w:hAnsi="Courier New"/>
          <w:sz w:val="17"/>
          <w:szCs w:val="17"/>
          <w:color w:val="auto"/>
        </w:rPr>
      </w:pPr>
    </w:p>
    <w:p>
      <w:pPr>
        <w:ind w:left="-950" w:right="1839" w:firstLine="1893"/>
        <w:spacing w:after="0" w:line="251" w:lineRule="auto"/>
        <w:tabs>
          <w:tab w:leader="none" w:pos="1354" w:val="left"/>
        </w:tabs>
        <w:numPr>
          <w:ilvl w:val="1"/>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OF TERMINATION. "Date of Termination" shall mean (a) if this Agreement is terminated by the Company for Disability, 30 days after Notice of Termination is given to the Executive (provided that the Executive shall not have returned to the performance of the Executive duties on a full-time basis during such 30-day period) or (b) if the Executive's employment is terminated by the Company for any other reason, the date on which a Notice of Termination is given; PROVIDED that if within 30 days after any Notice of Termination is given to the Executive by the Company the Executive notifies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950" w:right="1839" w:firstLine="950"/>
        <w:spacing w:after="0" w:line="251" w:lineRule="auto"/>
        <w:tabs>
          <w:tab w:leader="none" w:pos="307"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COMPENSATION UPON TERMINATION OF EMPLOYMENT. If the Company shall terminate the Executive's employment other 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200" w:lineRule="exact"/>
        <w:rPr>
          <w:sz w:val="20"/>
          <w:szCs w:val="20"/>
          <w:color w:val="auto"/>
        </w:rPr>
      </w:pPr>
    </w:p>
    <w:p>
      <w:pPr>
        <w:spacing w:after="0" w:line="203"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269"/>
          </w:cols>
          <w:pgMar w:left="1190" w:top="921" w:right="1440" w:bottom="1440" w:gutter="0" w:footer="0" w:header="0"/>
        </w:sectPr>
      </w:pPr>
    </w:p>
    <w:bookmarkStart w:id="56" w:name="page57"/>
    <w:bookmarkEnd w:id="56"/>
    <w:p>
      <w:pPr>
        <w:ind w:right="2039" w:firstLine="950"/>
        <w:spacing w:after="0" w:line="252" w:lineRule="auto"/>
        <w:tabs>
          <w:tab w:leader="none" w:pos="1257" w:val="left"/>
        </w:tabs>
        <w:numPr>
          <w:ilvl w:val="1"/>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BENEFITS UPON TERMINATION. If within three years following a Change of Control, the Company shall terminate the Executive's employment other than pursuant to Section 5(a), (b) or (c) or if the Executive shall terminate his employment for Good Reason, then the Company shall further provide to the Executive the following benefits:</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LIFE, DENTAL, VISION, HEALTH AND LONG-TERM DISABILITY COVERAGE. The Executive's participation in, and entitlement to, benefits under:</w:t>
      </w:r>
    </w:p>
    <w:p>
      <w:pPr>
        <w:ind w:right="1839" w:firstLine="7"/>
        <w:spacing w:after="0" w:line="251" w:lineRule="auto"/>
        <w:tabs>
          <w:tab w:leader="none" w:pos="419"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life insurance plans of the Company; (ii) all health insurance plans of the Company, including, but not limited to, those providing major medical and hospitalization benefits, dental benefits and vision benefits; and (iii) the Company's long-term disability plan or plans; as all such plans existed immediately prior to the Change of Control shall continue as though the Executive remained employed by the Corporation for an additional period of three</w:t>
      </w: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years or until the obtainment of such coverages by the Executive through another employer, whichever is earlier; provided, however, that in the case of all health insurance plans of the Company (including, but not limited to, those providing major medical and hospitalization benefits, dental benefits and vision benefits), such three-(3) year period shall be extended to the time that the Executive attains age 65 [and provided further that the Executive may then be entitled to certain retiree health insurance under Section 3(c) hereof]. To the extent such participation or entitlement is not possible for any reason whatsoever, equivalent benefits shall be provided by the Company to the Executive.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AUTOMOBILE BENEFIT. If the Executive is entitled to the use of a Company-owned automobile at the time of a Change of Control, then title to such automobile shall be transferred to the Executive (upon termination of employment as described in Section 7 above) free and clear of all liens and encumbrances (or, if the Company does not own such automobile at the time of termination, then the Company shall arrange for the purchase, for the benefit of the Executive, of a similar make, model and year of automobile).</w:t>
      </w:r>
    </w:p>
    <w:p>
      <w:pPr>
        <w:spacing w:after="0" w:line="195"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Provided that the Company is obligated, pursuant to Section 3(b) hereof, to pay premiums on a policy or policies issued in favor of the Executive following a Change of Control, then the Company shall, in the same manner, continue making such premium payments until the later of (i) the Executive attains the age of 55; or</w:t>
      </w:r>
    </w:p>
    <w:p>
      <w:pPr>
        <w:ind w:right="2259" w:firstLine="7"/>
        <w:spacing w:after="0" w:line="254" w:lineRule="auto"/>
        <w:tabs>
          <w:tab w:leader="none" w:pos="524"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three (3) years following the Executive's termination of employment (provided, however, that the Company shall not be obligated to make any such payments after the Executive attains age 65).</w:t>
      </w:r>
    </w:p>
    <w:p>
      <w:pPr>
        <w:spacing w:after="0" w:line="194" w:lineRule="exact"/>
        <w:rPr>
          <w:rFonts w:ascii="Courier New" w:cs="Courier New" w:eastAsia="Courier New" w:hAnsi="Courier New"/>
          <w:sz w:val="17"/>
          <w:szCs w:val="17"/>
          <w:color w:val="auto"/>
        </w:rPr>
      </w:pPr>
    </w:p>
    <w:p>
      <w:pPr>
        <w:ind w:right="2039" w:firstLine="1893"/>
        <w:spacing w:after="0" w:line="252" w:lineRule="auto"/>
        <w:tabs>
          <w:tab w:leader="none" w:pos="2304" w:val="left"/>
        </w:tabs>
        <w:numPr>
          <w:ilvl w:val="2"/>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COMPENSATION PLANS. Any vesting requirement imposed under the provisions of, or rules relating to, the Company's Deferred Compensation and Deferred Bonus Plans, (including, but not limited to, vesting conditions requiring that the Executive attain the age of 55 and/or complete five years of service following a deferral) shall be waived and the Executive shall be fully vested in all deferrals made under such plans.</w:t>
      </w:r>
    </w:p>
    <w:p>
      <w:pPr>
        <w:spacing w:after="0" w:line="196" w:lineRule="exact"/>
        <w:rPr>
          <w:rFonts w:ascii="Courier New" w:cs="Courier New" w:eastAsia="Courier New" w:hAnsi="Courier New"/>
          <w:sz w:val="17"/>
          <w:szCs w:val="17"/>
          <w:color w:val="auto"/>
        </w:rPr>
      </w:pPr>
    </w:p>
    <w:p>
      <w:pPr>
        <w:ind w:left="1260" w:hanging="310"/>
        <w:spacing w:after="0"/>
        <w:tabs>
          <w:tab w:leader="none" w:pos="1260" w:val="left"/>
        </w:tabs>
        <w:numPr>
          <w:ilvl w:val="1"/>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EXCISE TAX-ADDITIONAL PAYMENT.</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2"/>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21" w:right="1440" w:bottom="1440" w:gutter="0" w:footer="0" w:header="0"/>
        </w:sectPr>
      </w:pPr>
    </w:p>
    <w:bookmarkStart w:id="57" w:name="page58"/>
    <w:bookmarkEnd w:id="57"/>
    <w:p>
      <w:pPr>
        <w:ind w:right="2139"/>
        <w:spacing w:after="0" w:line="257" w:lineRule="auto"/>
        <w:rPr>
          <w:sz w:val="20"/>
          <w:szCs w:val="20"/>
          <w:color w:val="auto"/>
        </w:rPr>
      </w:pPr>
      <w:r>
        <w:rPr>
          <w:rFonts w:ascii="Courier New" w:cs="Courier New" w:eastAsia="Courier New" w:hAnsi="Courier New"/>
          <w:sz w:val="17"/>
          <w:szCs w:val="17"/>
          <w:color w:val="auto"/>
        </w:rPr>
        <w:t>Payment, the Executive retains an amount of the Gross-Up Payment equal to the Excise Tax imposed upon such Payment.</w:t>
      </w:r>
    </w:p>
    <w:p>
      <w:pPr>
        <w:spacing w:after="0" w:line="192" w:lineRule="exact"/>
        <w:rPr>
          <w:sz w:val="20"/>
          <w:szCs w:val="20"/>
          <w:color w:val="auto"/>
        </w:rPr>
      </w:pPr>
    </w:p>
    <w:p>
      <w:pPr>
        <w:ind w:right="1839" w:firstLine="1893"/>
        <w:spacing w:after="0" w:line="251" w:lineRule="auto"/>
        <w:tabs>
          <w:tab w:leader="none" w:pos="2304"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determinations and computations required to be made under this Section 8, including whether a Gross-Up Payment is required under clause (ii) of paragraph 8(a)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8 shall be paid by the Company to the Executive within five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8(c) and the Executive thereafter shall become obligated to make a payment of any Excise Tax, and if the amount thereof shall exceed the amount, if any, of any Excise Tax computed by the Accounting Firm pursuant to this paragraph 8(b)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8 shall be paid by the Company.</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01" w:lineRule="exact"/>
        <w:rPr>
          <w:sz w:val="20"/>
          <w:szCs w:val="20"/>
          <w:color w:val="auto"/>
        </w:rPr>
      </w:pPr>
    </w:p>
    <w:p>
      <w:pPr>
        <w:ind w:left="960" w:right="2359" w:firstLine="933"/>
        <w:spacing w:after="0" w:line="257" w:lineRule="auto"/>
        <w:tabs>
          <w:tab w:leader="none" w:pos="2322"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 the Company any information reasonably requested relating to such claim,</w:t>
      </w:r>
    </w:p>
    <w:p>
      <w:pPr>
        <w:spacing w:after="0" w:line="191" w:lineRule="exact"/>
        <w:rPr>
          <w:rFonts w:ascii="Courier New" w:cs="Courier New" w:eastAsia="Courier New" w:hAnsi="Courier New"/>
          <w:sz w:val="17"/>
          <w:szCs w:val="17"/>
          <w:color w:val="auto"/>
        </w:rPr>
      </w:pPr>
    </w:p>
    <w:p>
      <w:pPr>
        <w:ind w:left="960" w:right="1839" w:firstLine="933"/>
        <w:spacing w:after="0" w:line="253" w:lineRule="auto"/>
        <w:tabs>
          <w:tab w:leader="none" w:pos="2426"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396" w:lineRule="exact"/>
        <w:rPr>
          <w:rFonts w:ascii="Courier New" w:cs="Courier New" w:eastAsia="Courier New" w:hAnsi="Courier New"/>
          <w:sz w:val="17"/>
          <w:szCs w:val="17"/>
          <w:color w:val="auto"/>
        </w:rPr>
      </w:pPr>
    </w:p>
    <w:p>
      <w:pPr>
        <w:ind w:left="960" w:right="2559" w:firstLine="933"/>
        <w:spacing w:after="0" w:line="257" w:lineRule="auto"/>
        <w:tabs>
          <w:tab w:leader="none" w:pos="2531"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with the Company in good faith in order effectively to contest such claim, and</w:t>
      </w:r>
    </w:p>
    <w:p>
      <w:pPr>
        <w:spacing w:after="0" w:line="191" w:lineRule="exact"/>
        <w:rPr>
          <w:rFonts w:ascii="Courier New" w:cs="Courier New" w:eastAsia="Courier New" w:hAnsi="Courier New"/>
          <w:sz w:val="17"/>
          <w:szCs w:val="17"/>
          <w:color w:val="auto"/>
        </w:rPr>
      </w:pPr>
    </w:p>
    <w:p>
      <w:pPr>
        <w:ind w:left="960" w:right="2359" w:firstLine="933"/>
        <w:spacing w:after="0" w:line="257" w:lineRule="auto"/>
        <w:tabs>
          <w:tab w:leader="none" w:pos="2426"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 the Company to participate in any proceedings relating to such claim;</w:t>
      </w:r>
    </w:p>
    <w:p>
      <w:pPr>
        <w:spacing w:after="0" w:line="192"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8(c), the Company shall control all proceedings taken in connection with such contest and, at its sole option, may pursue or forgo any and all administrative appeals, proceedings, hearings and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21" w:right="1440" w:bottom="1440" w:gutter="0" w:footer="0" w:header="0"/>
        </w:sectPr>
      </w:pPr>
    </w:p>
    <w:bookmarkStart w:id="58" w:name="page59"/>
    <w:bookmarkEnd w:id="58"/>
    <w:p>
      <w:pPr>
        <w:ind w:right="1839"/>
        <w:spacing w:after="0" w:line="251" w:lineRule="auto"/>
        <w:rPr>
          <w:sz w:val="20"/>
          <w:szCs w:val="20"/>
          <w:color w:val="auto"/>
        </w:rPr>
      </w:pPr>
      <w:r>
        <w:rPr>
          <w:rFonts w:ascii="Courier New" w:cs="Courier New" w:eastAsia="Courier New" w:hAnsi="Courier New"/>
          <w:sz w:val="17"/>
          <w:szCs w:val="17"/>
          <w:color w:val="auto"/>
        </w:rPr>
        <w:t>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PROVIDED, HOWEVER,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03" w:lineRule="exact"/>
        <w:rPr>
          <w:sz w:val="20"/>
          <w:szCs w:val="20"/>
          <w:color w:val="auto"/>
        </w:rPr>
      </w:pPr>
    </w:p>
    <w:p>
      <w:pPr>
        <w:ind w:right="1839" w:firstLine="1893"/>
        <w:spacing w:after="0" w:line="251" w:lineRule="auto"/>
        <w:tabs>
          <w:tab w:leader="none" w:pos="2304"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the receipt by the Executive of an amount advanced by the Company or the subsidiary pursuant to paragraph 8(c), the Executive becomes entitled to receive any refund with respect to such claim, the Executive shall (subject to compliance with the requirements of Section 8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8(c),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201" w:lineRule="exact"/>
        <w:rPr>
          <w:rFonts w:ascii="Courier New" w:cs="Courier New" w:eastAsia="Courier New" w:hAnsi="Courier New"/>
          <w:sz w:val="17"/>
          <w:szCs w:val="17"/>
          <w:color w:val="auto"/>
        </w:rPr>
      </w:pPr>
    </w:p>
    <w:p>
      <w:pPr>
        <w:ind w:left="1260" w:hanging="310"/>
        <w:spacing w:after="0"/>
        <w:tabs>
          <w:tab w:leader="none" w:pos="126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OBLIGATION TO MITIGATE DAMAGES; NO EFFECT ON OTHER CONTRACTUAL</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RIGHTS.</w:t>
      </w:r>
    </w:p>
    <w:p>
      <w:pPr>
        <w:spacing w:after="0" w:line="210"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6"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97"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SUCCESSOR TO THE COMPANY.</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21" w:right="1440" w:bottom="1440" w:gutter="0" w:footer="0" w:header="0"/>
        </w:sectPr>
      </w:pPr>
    </w:p>
    <w:bookmarkStart w:id="59" w:name="page60"/>
    <w:bookmarkEnd w:id="59"/>
    <w:p>
      <w:pPr>
        <w:ind w:right="2039"/>
        <w:spacing w:after="0" w:line="252" w:lineRule="auto"/>
        <w:rPr>
          <w:sz w:val="20"/>
          <w:szCs w:val="20"/>
          <w:color w:val="auto"/>
        </w:rPr>
      </w:pPr>
      <w:r>
        <w:rPr>
          <w:rFonts w:ascii="Courier New" w:cs="Courier New" w:eastAsia="Courier New" w:hAnsi="Courier New"/>
          <w:sz w:val="17"/>
          <w:szCs w:val="17"/>
          <w:color w:val="auto"/>
        </w:rPr>
        <w:t>Reason. As used in this Agreement, "Company" shall mean the Company as hereinbefore defined and any successor or assign to its business and/or assets as aforesaid which executes and delivers the agreement provided for in this Section 10 or which otherwise becomes bound by all the terms and provisions of this Agreement by operation of law.</w:t>
      </w:r>
    </w:p>
    <w:p>
      <w:pPr>
        <w:spacing w:after="0" w:line="197" w:lineRule="exact"/>
        <w:rPr>
          <w:sz w:val="20"/>
          <w:szCs w:val="20"/>
          <w:color w:val="auto"/>
        </w:rPr>
      </w:pPr>
    </w:p>
    <w:p>
      <w:pPr>
        <w:ind w:right="1839" w:firstLine="1893"/>
        <w:spacing w:after="0" w:line="252" w:lineRule="auto"/>
        <w:tabs>
          <w:tab w:leader="none" w:pos="2304" w:val="left"/>
        </w:tabs>
        <w:numPr>
          <w:ilvl w:val="1"/>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5" w:lineRule="exact"/>
        <w:rPr>
          <w:rFonts w:ascii="Courier New" w:cs="Courier New" w:eastAsia="Courier New" w:hAnsi="Courier New"/>
          <w:sz w:val="17"/>
          <w:szCs w:val="17"/>
          <w:color w:val="auto"/>
        </w:rPr>
      </w:pPr>
    </w:p>
    <w:p>
      <w:pPr>
        <w:ind w:right="2039" w:firstLine="950"/>
        <w:spacing w:after="0" w:line="252" w:lineRule="auto"/>
        <w:tabs>
          <w:tab w:leader="none" w:pos="1362"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GUARANTY OF EMPLOYMENT. Nothing in this Agreement shall be deemed to entitle the Executive to continued employment with the Company prior to a Change of Control, and the rights of the Company to terminate the employment of the Executive, prior to a Change of Control, shall continue as fully as if this Agreement were not in effect.</w:t>
      </w:r>
    </w:p>
    <w:p>
      <w:pPr>
        <w:spacing w:after="0" w:line="197" w:lineRule="exact"/>
        <w:rPr>
          <w:rFonts w:ascii="Courier New" w:cs="Courier New" w:eastAsia="Courier New" w:hAnsi="Courier New"/>
          <w:sz w:val="17"/>
          <w:szCs w:val="17"/>
          <w:color w:val="auto"/>
        </w:rPr>
      </w:pPr>
    </w:p>
    <w:p>
      <w:pPr>
        <w:ind w:right="2139" w:firstLine="950"/>
        <w:spacing w:after="0" w:line="253" w:lineRule="auto"/>
        <w:tabs>
          <w:tab w:leader="none" w:pos="1362"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For purposes of this Agreement, notices and all other communications provided for in the Agreement shall be in writing and shall be deemed to have been duly given when delivered or mailed by United States registered mail, return receipt registered, postage prepaid, as follows: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Company:</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Attn: General Counsel</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605 W. Crystal Lake Road</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P.O. Box 152</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Forest City, IA 50436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Executive:</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Raymond M. Beebe</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17121 - 350th Street</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Forest City, IA 50436</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or such other address as either party may have furnished to the other in writing in accordance herewith, except that notices of change of address shall be effective only upon receipt.</w:t>
      </w:r>
    </w:p>
    <w:p>
      <w:pPr>
        <w:spacing w:after="0" w:line="194" w:lineRule="exact"/>
        <w:rPr>
          <w:sz w:val="20"/>
          <w:szCs w:val="20"/>
          <w:color w:val="auto"/>
        </w:rPr>
      </w:pPr>
    </w:p>
    <w:p>
      <w:pPr>
        <w:ind w:right="1839" w:firstLine="950"/>
        <w:spacing w:after="0" w:line="251" w:lineRule="auto"/>
        <w:tabs>
          <w:tab w:leader="none" w:pos="1362"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No provisions of this Agreement may be modified, waived or discharged unless such waiver, 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01"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VALIDITY. The invalidity or unenforceability of any provisions of this Agreement shall not affect the validity or enforceability of any other provision of this Agreement, which shall remain in full force and effect.</w:t>
      </w:r>
    </w:p>
    <w:p>
      <w:pPr>
        <w:spacing w:after="0" w:line="194"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one or more counterparts, each of which shall be deemed to be an original but all of which together will constitute one and the same instrument.</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21" w:right="1440" w:bottom="1440" w:gutter="0" w:footer="0" w:header="0"/>
        </w:sectPr>
      </w:pPr>
    </w:p>
    <w:bookmarkStart w:id="60" w:name="page61"/>
    <w:bookmarkEnd w:id="60"/>
    <w:p>
      <w:pPr>
        <w:jc w:val="both"/>
        <w:ind w:right="2039" w:firstLine="950"/>
        <w:spacing w:after="0" w:line="253" w:lineRule="auto"/>
        <w:tabs>
          <w:tab w:leader="none" w:pos="1362"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LEGAL FEES AND EXPENSES. The Company shall pay all legal fees and expenses which the Executive may incur as a result of the Company's contesting the validity, enforceability or the Executive's interpretation of, or determinations under, this Agreement.</w:t>
      </w:r>
    </w:p>
    <w:p>
      <w:pPr>
        <w:spacing w:after="0" w:line="195" w:lineRule="exact"/>
        <w:rPr>
          <w:rFonts w:ascii="Courier New" w:cs="Courier New" w:eastAsia="Courier New" w:hAnsi="Courier New"/>
          <w:sz w:val="17"/>
          <w:szCs w:val="17"/>
          <w:color w:val="auto"/>
        </w:rPr>
      </w:pPr>
    </w:p>
    <w:p>
      <w:pPr>
        <w:jc w:val="both"/>
        <w:ind w:right="2039" w:firstLine="950"/>
        <w:spacing w:after="0" w:line="254" w:lineRule="auto"/>
        <w:tabs>
          <w:tab w:leader="none" w:pos="1362"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 The Executive shall retain in confidence any and all confidential information known to the Executive concerning the Company and its business so long as such information is not otherwise publicly disclosed.</w:t>
      </w:r>
    </w:p>
    <w:p>
      <w:pPr>
        <w:spacing w:after="0" w:line="194" w:lineRule="exact"/>
        <w:rPr>
          <w:sz w:val="20"/>
          <w:szCs w:val="20"/>
          <w:color w:val="auto"/>
        </w:rPr>
      </w:pPr>
    </w:p>
    <w:p>
      <w:pPr>
        <w:ind w:right="2259" w:firstLine="943"/>
        <w:spacing w:after="0" w:line="257" w:lineRule="auto"/>
        <w:rPr>
          <w:sz w:val="20"/>
          <w:szCs w:val="20"/>
          <w:color w:val="auto"/>
        </w:rPr>
      </w:pPr>
      <w:r>
        <w:rPr>
          <w:rFonts w:ascii="Courier New" w:cs="Courier New" w:eastAsia="Courier New" w:hAnsi="Courier New"/>
          <w:sz w:val="17"/>
          <w:szCs w:val="17"/>
          <w:color w:val="auto"/>
        </w:rPr>
        <w:t>IN WITNESS WHEREOF, the parties have executed this agreement on the date set out above.</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Bruce D. Hertzke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Chairman of the Board, Chief Executive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Officer and President</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EXECUTIVE:</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Raymond M. Beebe</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21" w:right="1440" w:bottom="1440" w:gutter="0" w:footer="0" w:header="0"/>
        </w:sectPr>
      </w:pPr>
    </w:p>
    <w:bookmarkStart w:id="61" w:name="page62"/>
    <w:bookmarkEnd w:id="61"/>
    <w:p>
      <w:pPr>
        <w:jc w:val="center"/>
        <w:ind w:right="1839"/>
        <w:spacing w:after="0"/>
        <w:rPr>
          <w:sz w:val="20"/>
          <w:szCs w:val="20"/>
          <w:color w:val="auto"/>
        </w:rPr>
      </w:pPr>
      <w:r>
        <w:rPr>
          <w:rFonts w:ascii="Courier New" w:cs="Courier New" w:eastAsia="Courier New" w:hAnsi="Courier New"/>
          <w:sz w:val="17"/>
          <w:szCs w:val="17"/>
          <w:color w:val="auto"/>
        </w:rPr>
        <w:t>EXHIBIT 10q.</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EXECUTIVE CHANGE OF CONTROL AGREEMENT</w:t>
      </w:r>
    </w:p>
    <w:p>
      <w:pPr>
        <w:spacing w:after="0" w:line="210"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This EXECUTIVE CHANGE OF CONTROL AGREEMENT is made as of January 17, 2001, by and between WINNEBAGO INDUSTRIES, INC., an Iowa corporation (the "Company"), and Robert L. Gossett (the "Executive").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WHEREAS, the Executive is a senior executive and officer of the Company and has made and is expected to continue to make major contributions to the profitability, growth and financial strength of the Company;</w:t>
      </w:r>
    </w:p>
    <w:p>
      <w:pPr>
        <w:spacing w:after="0" w:line="194" w:lineRule="exact"/>
        <w:rPr>
          <w:sz w:val="20"/>
          <w:szCs w:val="20"/>
          <w:color w:val="auto"/>
        </w:rPr>
      </w:pPr>
    </w:p>
    <w:p>
      <w:pPr>
        <w:ind w:right="1939" w:firstLine="943"/>
        <w:spacing w:after="0" w:line="254" w:lineRule="auto"/>
        <w:rPr>
          <w:sz w:val="20"/>
          <w:szCs w:val="20"/>
          <w:color w:val="auto"/>
        </w:rPr>
      </w:pPr>
      <w:r>
        <w:rPr>
          <w:rFonts w:ascii="Courier New" w:cs="Courier New" w:eastAsia="Courier New" w:hAnsi="Courier New"/>
          <w:sz w:val="17"/>
          <w:szCs w:val="17"/>
          <w:color w:val="auto"/>
        </w:rPr>
        <w:t>WHEREAS, the Company recognizes that, as is the case for most publicly held companies, the possibility of a Change of Control (as hereafter defined) exists;</w:t>
      </w:r>
    </w:p>
    <w:p>
      <w:pPr>
        <w:spacing w:after="0" w:line="194"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WHEREAS, it is in the best interests of the Company, considering the past and future services of the Executive, to improve the security and climate for objective decision making by providing for the personal security of the Executive upon a Change of Control.</w:t>
      </w:r>
    </w:p>
    <w:p>
      <w:pPr>
        <w:spacing w:after="0" w:line="195"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NOW, THEREFORE, in consideration of the foregoing premises and the past and future services rendered and to be rendered by the Executive to the Company and of the mutual covenants and agreements hereinafter set forth, the parties agree as follows: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AGREEMENT</w:t>
      </w:r>
    </w:p>
    <w:p>
      <w:pPr>
        <w:spacing w:after="0" w:line="210" w:lineRule="exact"/>
        <w:rPr>
          <w:sz w:val="20"/>
          <w:szCs w:val="20"/>
          <w:color w:val="auto"/>
        </w:rPr>
      </w:pPr>
    </w:p>
    <w:p>
      <w:pPr>
        <w:ind w:right="1939" w:firstLine="950"/>
        <w:spacing w:after="0" w:line="251" w:lineRule="auto"/>
        <w:tabs>
          <w:tab w:leader="none" w:pos="1257"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SERVICE BY EXECUTIVE. In the event a person or entity, in order to effect a Change of Control, commences a 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01" w:lineRule="exact"/>
        <w:rPr>
          <w:rFonts w:ascii="Courier New" w:cs="Courier New" w:eastAsia="Courier New" w:hAnsi="Courier New"/>
          <w:sz w:val="17"/>
          <w:szCs w:val="17"/>
          <w:color w:val="auto"/>
        </w:rPr>
      </w:pPr>
    </w:p>
    <w:p>
      <w:pPr>
        <w:ind w:right="1939" w:firstLine="950"/>
        <w:spacing w:after="0" w:line="251" w:lineRule="auto"/>
        <w:tabs>
          <w:tab w:leader="none" w:pos="1257"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For purposes of this Agreement, the term "Change of Control" means the time when (i) any Person becomes an Acquiring Person, or</w:t>
      </w:r>
    </w:p>
    <w:p>
      <w:pPr>
        <w:ind w:right="1939" w:firstLine="7"/>
        <w:spacing w:after="0" w:line="251" w:lineRule="auto"/>
        <w:tabs>
          <w:tab w:leader="none" w:pos="524"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individuals who shall qualify as Continuing Directors of the Company shall have ceased for any reason to constitute at least a majority of the Board of Directors of the Company; PROVIDED HOWEVER, that in the case of either clause</w:t>
      </w:r>
    </w:p>
    <w:p>
      <w:pPr>
        <w:ind w:left="420" w:hanging="413"/>
        <w:spacing w:after="0"/>
        <w:tabs>
          <w:tab w:leader="none" w:pos="42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(ii) a Change of Control shall not be deemed to have occurred if the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1"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For the purpose of the foregoing definition of "Change of Control," the capitalized terms shall have the following meanings:</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00" w:right="1839" w:hanging="950"/>
        <w:spacing w:after="0" w:line="251" w:lineRule="auto"/>
        <w:tabs>
          <w:tab w:leader="none" w:pos="19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1" w:lineRule="exact"/>
        <w:rPr>
          <w:rFonts w:ascii="Courier New" w:cs="Courier New" w:eastAsia="Courier New" w:hAnsi="Courier New"/>
          <w:sz w:val="17"/>
          <w:szCs w:val="17"/>
          <w:color w:val="auto"/>
        </w:rPr>
      </w:pPr>
    </w:p>
    <w:p>
      <w:pPr>
        <w:ind w:left="1900" w:right="1839" w:hanging="950"/>
        <w:spacing w:after="0" w:line="252" w:lineRule="auto"/>
        <w:tabs>
          <w:tab w:leader="none" w:pos="190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January 17, 2001, except</w:t>
      </w:r>
    </w:p>
    <w:p>
      <w:pPr>
        <w:sectPr>
          <w:pgSz w:w="11900" w:h="16838" w:orient="portrait"/>
          <w:cols w:equalWidth="0" w:num="1">
            <w:col w:w="10219"/>
          </w:cols>
          <w:pgMar w:left="240" w:top="142" w:right="1440" w:bottom="0" w:gutter="0" w:footer="0" w:header="0"/>
        </w:sectPr>
      </w:pPr>
    </w:p>
    <w:bookmarkStart w:id="62" w:name="page63"/>
    <w:bookmarkEnd w:id="62"/>
    <w:p>
      <w:pPr>
        <w:ind w:left="950" w:right="1939"/>
        <w:spacing w:after="0" w:line="254" w:lineRule="auto"/>
        <w:rPr>
          <w:sz w:val="20"/>
          <w:szCs w:val="20"/>
          <w:color w:val="auto"/>
        </w:rPr>
      </w:pPr>
      <w:r>
        <w:rPr>
          <w:rFonts w:ascii="Courier New" w:cs="Courier New" w:eastAsia="Courier New" w:hAnsi="Courier New"/>
          <w:sz w:val="17"/>
          <w:szCs w:val="17"/>
          <w:color w:val="auto"/>
        </w:rPr>
        <w:t>that the term "Acquiring Person" shall not include a Hanson Family Member or an Affiliate or Associate of a Hanson Family Member.</w:t>
      </w:r>
    </w:p>
    <w:p>
      <w:pPr>
        <w:spacing w:after="0" w:line="194" w:lineRule="exact"/>
        <w:rPr>
          <w:sz w:val="20"/>
          <w:szCs w:val="20"/>
          <w:color w:val="auto"/>
        </w:rPr>
      </w:pPr>
    </w:p>
    <w:p>
      <w:pPr>
        <w:ind w:left="950" w:right="1839" w:hanging="950"/>
        <w:spacing w:after="0" w:line="254" w:lineRule="auto"/>
        <w:tabs>
          <w:tab w:leader="none" w:pos="95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means a Person that directly or indirectly through one or more intermediaries, controls, or is controlled by, or is under common control with, the person specified.</w:t>
      </w:r>
    </w:p>
    <w:p>
      <w:pPr>
        <w:spacing w:after="0" w:line="194" w:lineRule="exact"/>
        <w:rPr>
          <w:rFonts w:ascii="Courier New" w:cs="Courier New" w:eastAsia="Courier New" w:hAnsi="Courier New"/>
          <w:sz w:val="17"/>
          <w:szCs w:val="17"/>
          <w:color w:val="auto"/>
        </w:rPr>
      </w:pPr>
    </w:p>
    <w:p>
      <w:pPr>
        <w:ind w:left="950" w:right="1939" w:hanging="950"/>
        <w:spacing w:after="0" w:line="251" w:lineRule="auto"/>
        <w:tabs>
          <w:tab w:leader="none" w:pos="95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ind w:left="950" w:right="2039" w:hanging="7"/>
        <w:spacing w:after="0" w:line="251" w:lineRule="auto"/>
        <w:tabs>
          <w:tab w:leader="none" w:pos="1369" w:val="left"/>
        </w:tabs>
        <w:numPr>
          <w:ilvl w:val="1"/>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trust or fund in which such person has a substantial beneficial interest or as to which such person serves as trustee or in a similar fiduciary capacity, (3) any relative or spouse of such person, or any relative of such spouse, or</w:t>
      </w:r>
    </w:p>
    <w:p>
      <w:pPr>
        <w:ind w:left="950" w:right="2559" w:hanging="7"/>
        <w:spacing w:after="0" w:line="257" w:lineRule="auto"/>
        <w:tabs>
          <w:tab w:leader="none" w:pos="1369" w:val="left"/>
        </w:tabs>
        <w:numPr>
          <w:ilvl w:val="1"/>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investment company for which such person or any Affiliate of such person serves as investment advisor.</w:t>
      </w:r>
    </w:p>
    <w:p>
      <w:pPr>
        <w:spacing w:after="0" w:line="191" w:lineRule="exact"/>
        <w:rPr>
          <w:rFonts w:ascii="Courier New" w:cs="Courier New" w:eastAsia="Courier New" w:hAnsi="Courier New"/>
          <w:sz w:val="17"/>
          <w:szCs w:val="17"/>
          <w:color w:val="auto"/>
        </w:rPr>
      </w:pPr>
    </w:p>
    <w:p>
      <w:pPr>
        <w:ind w:left="950" w:right="1939" w:hanging="950"/>
        <w:spacing w:after="0" w:line="252" w:lineRule="auto"/>
        <w:tabs>
          <w:tab w:leader="none" w:pos="95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"Hanson Family Member" means John K. Hanson (deceased)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96" w:lineRule="exact"/>
        <w:rPr>
          <w:rFonts w:ascii="Courier New" w:cs="Courier New" w:eastAsia="Courier New" w:hAnsi="Courier New"/>
          <w:sz w:val="17"/>
          <w:szCs w:val="17"/>
          <w:color w:val="auto"/>
        </w:rPr>
      </w:pPr>
    </w:p>
    <w:p>
      <w:pPr>
        <w:ind w:left="950" w:right="1839" w:hanging="950"/>
        <w:spacing w:after="0" w:line="253" w:lineRule="auto"/>
        <w:tabs>
          <w:tab w:leader="none" w:pos="95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means an individual, corporation, limited liability company, partnership, association, joint stock company, trust, unincorporated organization or government or political subdivision thereof.</w:t>
      </w:r>
    </w:p>
    <w:p>
      <w:pPr>
        <w:spacing w:after="0" w:line="195" w:lineRule="exact"/>
        <w:rPr>
          <w:sz w:val="20"/>
          <w:szCs w:val="20"/>
          <w:color w:val="auto"/>
        </w:rPr>
      </w:pPr>
    </w:p>
    <w:p>
      <w:pPr>
        <w:ind w:left="-950" w:right="1839" w:firstLine="950"/>
        <w:spacing w:after="0" w:line="253" w:lineRule="auto"/>
        <w:tabs>
          <w:tab w:leader="none" w:pos="307"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BENEFITS EFFECTIVE IMMEDIATELY UPON A CHANGE OF CONTROL. If a Change of Control shall have occurred while the Executive is still an employee of the Company, then the Executive shall immediately be entitled to the following benefits:</w:t>
      </w:r>
    </w:p>
    <w:p>
      <w:pPr>
        <w:spacing w:after="0" w:line="195" w:lineRule="exact"/>
        <w:rPr>
          <w:rFonts w:ascii="Courier New" w:cs="Courier New" w:eastAsia="Courier New" w:hAnsi="Courier New"/>
          <w:sz w:val="17"/>
          <w:szCs w:val="17"/>
          <w:color w:val="auto"/>
        </w:rPr>
      </w:pPr>
    </w:p>
    <w:p>
      <w:pPr>
        <w:ind w:left="-950" w:right="1839" w:firstLine="1893"/>
        <w:spacing w:after="0" w:line="252" w:lineRule="auto"/>
        <w:tabs>
          <w:tab w:leader="none" w:pos="1354"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 VESTING OF ALL STOCK OPTIONS AND RIGHTS. All options and rights granted to the Executive by the Company pursuant to the Company's Stock Option Plan effective as of August 14, 1997, or any successor or supplemental stock plan shall become immediately exercisable upon a Change of Control.</w:t>
      </w:r>
    </w:p>
    <w:p>
      <w:pPr>
        <w:spacing w:after="0" w:line="197" w:lineRule="exact"/>
        <w:rPr>
          <w:rFonts w:ascii="Courier New" w:cs="Courier New" w:eastAsia="Courier New" w:hAnsi="Courier New"/>
          <w:sz w:val="17"/>
          <w:szCs w:val="17"/>
          <w:color w:val="auto"/>
        </w:rPr>
      </w:pPr>
    </w:p>
    <w:p>
      <w:pPr>
        <w:ind w:left="-950" w:right="2139" w:firstLine="1893"/>
        <w:spacing w:after="0" w:line="252" w:lineRule="auto"/>
        <w:tabs>
          <w:tab w:leader="none" w:pos="1354"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If the Executive is a participant under the Company's Executive Split Dollar Life Insurance Program at the time of a Change of Control and the Company has paid any portion of the premium on the policy or policies issued in connection therewith during the twelve months preceding the occurrence of the</w:t>
      </w:r>
    </w:p>
    <w:p>
      <w:pPr>
        <w:spacing w:after="0" w:line="399"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269"/>
          </w:cols>
          <w:pgMar w:left="1190" w:top="142" w:right="1440" w:bottom="1440" w:gutter="0" w:footer="0" w:header="0"/>
        </w:sectPr>
      </w:pPr>
    </w:p>
    <w:bookmarkStart w:id="63" w:name="page64"/>
    <w:bookmarkEnd w:id="63"/>
    <w:p>
      <w:pPr>
        <w:ind w:right="2039"/>
        <w:spacing w:after="0" w:line="257" w:lineRule="auto"/>
        <w:rPr>
          <w:sz w:val="20"/>
          <w:szCs w:val="20"/>
          <w:color w:val="auto"/>
        </w:rPr>
      </w:pPr>
      <w:r>
        <w:rPr>
          <w:rFonts w:ascii="Courier New" w:cs="Courier New" w:eastAsia="Courier New" w:hAnsi="Courier New"/>
          <w:sz w:val="17"/>
          <w:szCs w:val="17"/>
          <w:color w:val="auto"/>
        </w:rPr>
        <w:t>Change of Control, then the Company shall continue to pay all premiums on such policies so long as the Executive remains in the employ of the Company.</w:t>
      </w:r>
    </w:p>
    <w:p>
      <w:pPr>
        <w:spacing w:after="0" w:line="192" w:lineRule="exact"/>
        <w:rPr>
          <w:sz w:val="20"/>
          <w:szCs w:val="20"/>
          <w:color w:val="auto"/>
        </w:rPr>
      </w:pPr>
    </w:p>
    <w:p>
      <w:pPr>
        <w:ind w:right="2139" w:firstLine="1893"/>
        <w:spacing w:after="0" w:line="252" w:lineRule="auto"/>
        <w:tabs>
          <w:tab w:leader="none" w:pos="2304" w:val="left"/>
        </w:tabs>
        <w:numPr>
          <w:ilvl w:val="2"/>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HEALTH INSURANCE. Any plans or policies of the Company providing for medical, dental, vision or similar benefits for retired employees existing as of the time of a Change of Control shall, as to the Executive, not be rescinded or modified in any manner which is adverse to the Executive following a Change of Control.</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All nonregistered stock of the Company owned by the Executive, which is subject to restrictions on sale or other transfer, shall, at the option of the Executive (exercisable at any time by the delivery of written notice to the Company) be purchased by the Company at its fair market value. The purchase shall be completed by the Company within thirty</w:t>
      </w:r>
    </w:p>
    <w:p>
      <w:pPr>
        <w:ind w:right="2259" w:firstLine="7"/>
        <w:spacing w:after="0" w:line="252" w:lineRule="auto"/>
        <w:tabs>
          <w:tab w:leader="none" w:pos="524"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after the Company receives the written notice of exercise from the Executive. So long as the Company's stock is traded on the New York Stock Exchange (the "NYSE"), the "fair market value" shall be the mean between the highest and lowest reported selling prices as reported by the NYSE on the business day immediately preceding the day of sale.</w:t>
      </w:r>
    </w:p>
    <w:p>
      <w:pPr>
        <w:spacing w:after="0" w:line="197"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BENEFITS EFFECTIVE IMMEDIATELY UPON A CHANGE OF CONTROL PURSUANT TO PLAN DOCUMENTS. It is acknowledged that there presently exist other plans and agreements of the Company which may provide benefits to the Executive and which contain specific provisions dealing with the occurrence of a change of control of the Company (as defined in such plan or agreement). Following a Change of Control, no such plan or agreement shall be rescinded or modified in any manner which is adverse to the Executive. Such other plans and agreements of the Company shall mean: (a) the Executive Share Option Program; (b) the Officers' Long-Term Incentive Plan; (c) the Deferred Compensation and Deferred Bonus Plans; and (d) the Officers' Incentive Compensation Plan. Nothing herein shall be construed to affect the Company's right and ability to terminate or amend any such plan or agreement (subject to the terms thereof) prior to a Change of Control.</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FOLLOWING A CHANGE OF CONTROL. If a Change of Control shall have occurred while the Executive is still an employee of the Company, and if the Executive's employment with the Company is terminated, within three years following such Change of Control, then the Executive shall be entitled to the compensation and benefits provided in Sections 6 and 7, unless such termination is a result of: (a) the Executive's death; (b) the Executive's disability [as defined in Section 5(a) below]; (c) the Executive's retirement [as defined in Section 5(b) below]; (d) the Executive's termination by the Company for Cause [as defined in Section 5(c) below]; or (e) the Executive's decision to terminate employment other than for Good Reason [as defined in Section 5(d) below].</w:t>
      </w:r>
    </w:p>
    <w:p>
      <w:pPr>
        <w:spacing w:after="0" w:line="201"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If, as a result of the Executive's incapacity due to physical or mental illness, the Executive shall have 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96" w:lineRule="exact"/>
        <w:rPr>
          <w:rFonts w:ascii="Courier New" w:cs="Courier New" w:eastAsia="Courier New" w:hAnsi="Courier New"/>
          <w:sz w:val="17"/>
          <w:szCs w:val="17"/>
          <w:color w:val="auto"/>
        </w:rPr>
      </w:pPr>
    </w:p>
    <w:p>
      <w:pPr>
        <w:ind w:right="1939" w:firstLine="1893"/>
        <w:spacing w:after="0" w:line="252" w:lineRule="auto"/>
        <w:tabs>
          <w:tab w:leader="none" w:pos="2304" w:val="left"/>
        </w:tabs>
        <w:numPr>
          <w:ilvl w:val="2"/>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The term "Retirement" as used in this Agreement shall mean termination by the Company or the Executive of the Executive's employment based on the Executive having attained the age of 65 or such other age as shall have been fixed in any arrangement established with the Executive's consent with respect to the Executive.</w:t>
      </w:r>
    </w:p>
    <w:p>
      <w:pPr>
        <w:spacing w:after="0" w:line="197"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may terminate the Executive's employment for Cause. For purposes of this Agreement only, the Company shall have "Cause" to terminate the Executive's employment hereunder only on the basis of (i) fraud, misappropriation or embezzlement on the part of the Executive; or (ii) intentional misconduct or gross negligence on</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21" w:right="1440" w:bottom="1440" w:gutter="0" w:footer="0" w:header="0"/>
        </w:sectPr>
      </w:pPr>
    </w:p>
    <w:bookmarkStart w:id="64" w:name="page65"/>
    <w:bookmarkEnd w:id="64"/>
    <w:p>
      <w:pPr>
        <w:ind w:right="1939"/>
        <w:spacing w:after="0" w:line="251" w:lineRule="auto"/>
        <w:rPr>
          <w:sz w:val="20"/>
          <w:szCs w:val="20"/>
          <w:color w:val="auto"/>
        </w:rPr>
      </w:pPr>
      <w:r>
        <w:rPr>
          <w:rFonts w:ascii="Courier New" w:cs="Courier New" w:eastAsia="Courier New" w:hAnsi="Courier New"/>
          <w:sz w:val="17"/>
          <w:szCs w:val="17"/>
          <w:color w:val="auto"/>
        </w:rPr>
        <w:t>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5(c) and specifying the particulars thereof in detail. Nothing herein shall limit the right of the Executive or his beneficiaries to contest the validity or propriety of any such determination.</w:t>
      </w:r>
    </w:p>
    <w:p>
      <w:pPr>
        <w:spacing w:after="0" w:line="200" w:lineRule="exact"/>
        <w:rPr>
          <w:sz w:val="20"/>
          <w:szCs w:val="20"/>
          <w:color w:val="auto"/>
        </w:rPr>
      </w:pPr>
    </w:p>
    <w:p>
      <w:pPr>
        <w:spacing w:after="0" w:line="203" w:lineRule="exact"/>
        <w:rPr>
          <w:sz w:val="20"/>
          <w:szCs w:val="20"/>
          <w:color w:val="auto"/>
        </w:rPr>
      </w:pPr>
    </w:p>
    <w:p>
      <w:pPr>
        <w:ind w:right="2039" w:firstLine="1893"/>
        <w:spacing w:after="0" w:line="253" w:lineRule="auto"/>
        <w:tabs>
          <w:tab w:leader="none" w:pos="2304"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REASON. The Executive may terminate the Executive's employment for Good Reason at any time during the term of this Agreement. For purposes of this Agreement "Good Reason" shall mean any of the following (without the Executive's express written consent):</w:t>
      </w:r>
    </w:p>
    <w:p>
      <w:pPr>
        <w:spacing w:after="0" w:line="195" w:lineRule="exact"/>
        <w:rPr>
          <w:sz w:val="20"/>
          <w:szCs w:val="20"/>
          <w:color w:val="auto"/>
        </w:rPr>
      </w:pPr>
    </w:p>
    <w:p>
      <w:pPr>
        <w:ind w:right="1839" w:firstLine="1893"/>
        <w:spacing w:after="0" w:line="251" w:lineRule="auto"/>
        <w:tabs>
          <w:tab w:leader="none" w:pos="2304"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1893"/>
        <w:spacing w:after="0" w:line="252" w:lineRule="auto"/>
        <w:tabs>
          <w:tab w:leader="none" w:pos="2409"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95" w:lineRule="exact"/>
        <w:rPr>
          <w:rFonts w:ascii="Courier New" w:cs="Courier New" w:eastAsia="Courier New" w:hAnsi="Courier New"/>
          <w:sz w:val="17"/>
          <w:szCs w:val="17"/>
          <w:color w:val="auto"/>
        </w:rPr>
      </w:pPr>
    </w:p>
    <w:p>
      <w:pPr>
        <w:ind w:right="1839" w:firstLine="1893"/>
        <w:spacing w:after="0" w:line="251" w:lineRule="auto"/>
        <w:tabs>
          <w:tab w:leader="none" w:pos="2514"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409"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reduce the Executive's benefits under any such Incentive Plan, expressed as a percentage of his base salary, by more than 10 percentage points in any fiscal year as compared to the immediately preceding fiscal year;</w:t>
      </w:r>
    </w:p>
    <w:p>
      <w:pPr>
        <w:spacing w:after="0" w:line="201" w:lineRule="exact"/>
        <w:rPr>
          <w:rFonts w:ascii="Courier New" w:cs="Courier New" w:eastAsia="Courier New" w:hAnsi="Courier New"/>
          <w:sz w:val="17"/>
          <w:szCs w:val="17"/>
          <w:color w:val="auto"/>
        </w:rPr>
      </w:pPr>
    </w:p>
    <w:p>
      <w:pPr>
        <w:ind w:right="1939" w:firstLine="1893"/>
        <w:spacing w:after="0" w:line="253" w:lineRule="auto"/>
        <w:tabs>
          <w:tab w:leader="none" w:pos="2304"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21" w:right="1440" w:bottom="1440" w:gutter="0" w:footer="0" w:header="0"/>
        </w:sectPr>
      </w:pPr>
    </w:p>
    <w:bookmarkStart w:id="65" w:name="page66"/>
    <w:bookmarkEnd w:id="65"/>
    <w:p>
      <w:pPr>
        <w:ind w:right="2039"/>
        <w:spacing w:after="0" w:line="254" w:lineRule="auto"/>
        <w:rPr>
          <w:sz w:val="20"/>
          <w:szCs w:val="20"/>
          <w:color w:val="auto"/>
        </w:rPr>
      </w:pPr>
      <w:r>
        <w:rPr>
          <w:rFonts w:ascii="Courier New" w:cs="Courier New" w:eastAsia="Courier New" w:hAnsi="Courier New"/>
          <w:sz w:val="17"/>
          <w:szCs w:val="17"/>
          <w:color w:val="auto"/>
        </w:rPr>
        <w:t>(hereinafter referred to as "Securities Plans") or the taking of any action by the Company which would adversely affect the Executive's participation in or materially reduce the Executive's benefits under any such Securities Plan;</w:t>
      </w:r>
    </w:p>
    <w:p>
      <w:pPr>
        <w:spacing w:after="0" w:line="194" w:lineRule="exact"/>
        <w:rPr>
          <w:sz w:val="20"/>
          <w:szCs w:val="20"/>
          <w:color w:val="auto"/>
        </w:rPr>
      </w:pPr>
    </w:p>
    <w:p>
      <w:pPr>
        <w:ind w:right="1839" w:firstLine="1893"/>
        <w:spacing w:after="0" w:line="252" w:lineRule="auto"/>
        <w:tabs>
          <w:tab w:leader="none" w:pos="2409"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95" w:lineRule="exact"/>
        <w:rPr>
          <w:rFonts w:ascii="Courier New" w:cs="Courier New" w:eastAsia="Courier New" w:hAnsi="Courier New"/>
          <w:sz w:val="17"/>
          <w:szCs w:val="17"/>
          <w:color w:val="auto"/>
        </w:rPr>
      </w:pPr>
    </w:p>
    <w:p>
      <w:pPr>
        <w:ind w:right="1839" w:firstLine="1893"/>
        <w:spacing w:after="0" w:line="254" w:lineRule="auto"/>
        <w:tabs>
          <w:tab w:leader="none" w:pos="2514"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provide the Executive with the number of paid vacation days to which the Executive is entitled at the time of a Change in Control of the Company;</w:t>
      </w:r>
    </w:p>
    <w:p>
      <w:pPr>
        <w:spacing w:after="0" w:line="194" w:lineRule="exact"/>
        <w:rPr>
          <w:rFonts w:ascii="Courier New" w:cs="Courier New" w:eastAsia="Courier New" w:hAnsi="Courier New"/>
          <w:sz w:val="17"/>
          <w:szCs w:val="17"/>
          <w:color w:val="auto"/>
        </w:rPr>
      </w:pPr>
    </w:p>
    <w:p>
      <w:pPr>
        <w:ind w:left="2620" w:hanging="727"/>
        <w:spacing w:after="0"/>
        <w:tabs>
          <w:tab w:leader="none" w:pos="262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breach by the Company of any provision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w:t>
      </w:r>
    </w:p>
    <w:p>
      <w:pPr>
        <w:spacing w:after="0" w:line="210" w:lineRule="exact"/>
        <w:rPr>
          <w:rFonts w:ascii="Courier New" w:cs="Courier New" w:eastAsia="Courier New" w:hAnsi="Courier New"/>
          <w:sz w:val="17"/>
          <w:szCs w:val="17"/>
          <w:color w:val="auto"/>
        </w:rPr>
      </w:pPr>
    </w:p>
    <w:p>
      <w:pPr>
        <w:ind w:left="2420" w:hanging="527"/>
        <w:spacing w:after="0"/>
        <w:tabs>
          <w:tab w:leader="none" w:pos="242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obtain the assumption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by any successor or assign of the Company; or</w:t>
      </w:r>
    </w:p>
    <w:p>
      <w:pPr>
        <w:spacing w:after="0" w:line="210" w:lineRule="exact"/>
        <w:rPr>
          <w:rFonts w:ascii="Courier New" w:cs="Courier New" w:eastAsia="Courier New" w:hAnsi="Courier New"/>
          <w:sz w:val="17"/>
          <w:szCs w:val="17"/>
          <w:color w:val="auto"/>
        </w:rPr>
      </w:pPr>
    </w:p>
    <w:p>
      <w:pPr>
        <w:ind w:right="2139" w:firstLine="1893"/>
        <w:spacing w:after="0" w:line="253" w:lineRule="auto"/>
        <w:tabs>
          <w:tab w:leader="none" w:pos="2304"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purported termination of the Executive's employment which is not effected pursuant to a Notice of Termination satisfying the requirements of Section 3(f), and for purposes of this Agreement, no such purported termination shall be effective.</w:t>
      </w:r>
    </w:p>
    <w:p>
      <w:pPr>
        <w:spacing w:after="0" w:line="195" w:lineRule="exact"/>
        <w:rPr>
          <w:sz w:val="20"/>
          <w:szCs w:val="20"/>
          <w:color w:val="auto"/>
        </w:rPr>
      </w:pPr>
    </w:p>
    <w:p>
      <w:pPr>
        <w:ind w:right="1839" w:firstLine="1893"/>
        <w:spacing w:after="0" w:line="251" w:lineRule="auto"/>
        <w:tabs>
          <w:tab w:leader="none" w:pos="2304"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TERMINATION. Any termination by the Company pursuant to Section 5(a), (b) or (c) shall be 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OF TERMINATION. "Date of Termination" shall mean (a) if this Agreement is terminated by the Company for 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PROVIDED that if within 30 days after any Notice of Termination is given to the Executive by the Company the Executive notifies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01"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COMPENSATION UPON TERMINATION OF EMPLOYMENT. If the Company shall terminate the Executive's employment other 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21" w:right="1440" w:bottom="1440" w:gutter="0" w:footer="0" w:header="0"/>
        </w:sectPr>
      </w:pPr>
    </w:p>
    <w:bookmarkStart w:id="66" w:name="page67"/>
    <w:bookmarkEnd w:id="66"/>
    <w:p>
      <w:pPr>
        <w:ind w:right="2039" w:firstLine="950"/>
        <w:spacing w:after="0" w:line="252" w:lineRule="auto"/>
        <w:tabs>
          <w:tab w:leader="none" w:pos="1257"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BENEFITS UPON TERMINATION. If within three years following a Change of Control, the Company shall terminate the Executive's employment other than pursuant to Section 5(a), (b) or (c) or if the Executive shall terminate his employment for Good Reason, then the Company shall further provide to the Executive the following benefits:</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LIFE, DENTAL, VISION, HEALTH AND LONG-TERM DISABILITY COVERAGE. The Executive's participation in, and entitlement to, benefits under:</w:t>
      </w:r>
    </w:p>
    <w:p>
      <w:pPr>
        <w:ind w:right="1839" w:firstLine="7"/>
        <w:spacing w:after="0" w:line="251" w:lineRule="auto"/>
        <w:tabs>
          <w:tab w:leader="none" w:pos="419"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life insurance plans of the Company; (ii) all health insurance plans of the Company, including, but not limited to, those providing major medical and hospitalization benefits, dental benefits and vision benefits; and (iii) the Company's long-term disability plan or plans; as all such plans existed immediately prior to the Change of Control shall continue as though the Executive remained employed by the Corporation for an additional period of three</w:t>
      </w: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years or until the obtainment of such coverages by the Executive through another employer, whichever is earlier; provided, however, that in the case of all health insurance plans of the Company (including, but not limited to, those providing major medical and hospitalization benefits, dental benefits and vision benefits), such three-(3) year period shall be extended to the time that the Executive attains age 65 (and provided further that the Executive may then be entitled to certain retiree health insurance under Section 3(c) hereof). To the extent such participation or entitlement is not possible for any reason whatsoever, equivalent benefits shall be provided by the Company to the Executive.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AUTOMOBILE BENEFIT. If the Executive is entitled to the use of a Company-owned automobile at the time of a Change of Control, then title to such automobile shall be transferred to the Executive (upon termination of employment as described in Section 7 above) free and clear of all liens and encumbrances (or, if the Company does not own such automobile at the time of termination, then the Company shall arrange for the purchase, for the benefit of the Executive, of a similar make, model and year of automobile).</w:t>
      </w:r>
    </w:p>
    <w:p>
      <w:pPr>
        <w:spacing w:after="0" w:line="195"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Provided that the Company is obligated, pursuant to Section 3(b) hereof, to pay premiums on a policy or policies issued in favor of the Executive following a Change of Control, then the Company shall, in the same manner, continue making such premium payments until the later of (i) the Executive attains the age of 55; or</w:t>
      </w:r>
    </w:p>
    <w:p>
      <w:pPr>
        <w:ind w:right="2259" w:firstLine="7"/>
        <w:spacing w:after="0" w:line="254" w:lineRule="auto"/>
        <w:tabs>
          <w:tab w:leader="none" w:pos="524"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three (3) years following the Executive's termination of employment (provided, however, that the Company shall not be obligated to make any such payments after the Executive attains age 65).</w:t>
      </w:r>
    </w:p>
    <w:p>
      <w:pPr>
        <w:spacing w:after="0" w:line="194" w:lineRule="exact"/>
        <w:rPr>
          <w:rFonts w:ascii="Courier New" w:cs="Courier New" w:eastAsia="Courier New" w:hAnsi="Courier New"/>
          <w:sz w:val="17"/>
          <w:szCs w:val="17"/>
          <w:color w:val="auto"/>
        </w:rPr>
      </w:pPr>
    </w:p>
    <w:p>
      <w:pPr>
        <w:ind w:right="2039" w:firstLine="1893"/>
        <w:spacing w:after="0" w:line="252" w:lineRule="auto"/>
        <w:tabs>
          <w:tab w:leader="none" w:pos="2304" w:val="left"/>
        </w:tabs>
        <w:numPr>
          <w:ilvl w:val="2"/>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COMPENSATION PLANS. Any vesting requirement imposed under the provisions of, or rules relating to, the Company's Deferred Compensation and Deferred Bonus Plans, (including, but not limited to, vesting conditions requiring that the Executive attain the age of 55 and/or complete five years of service following a deferral) shall be waived and the Executive shall be fully vested in all deferrals made under such plans.</w:t>
      </w:r>
    </w:p>
    <w:p>
      <w:pPr>
        <w:spacing w:after="0" w:line="196" w:lineRule="exact"/>
        <w:rPr>
          <w:rFonts w:ascii="Courier New" w:cs="Courier New" w:eastAsia="Courier New" w:hAnsi="Courier New"/>
          <w:sz w:val="17"/>
          <w:szCs w:val="17"/>
          <w:color w:val="auto"/>
        </w:rPr>
      </w:pPr>
    </w:p>
    <w:p>
      <w:pPr>
        <w:ind w:left="1260" w:hanging="310"/>
        <w:spacing w:after="0"/>
        <w:tabs>
          <w:tab w:leader="none" w:pos="1260"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EXCISE TAX-ADDITIONAL PAYMENT.</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2"/>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21" w:right="1440" w:bottom="1440" w:gutter="0" w:footer="0" w:header="0"/>
        </w:sectPr>
      </w:pPr>
    </w:p>
    <w:bookmarkStart w:id="67" w:name="page68"/>
    <w:bookmarkEnd w:id="67"/>
    <w:p>
      <w:pPr>
        <w:ind w:right="2139"/>
        <w:spacing w:after="0" w:line="257" w:lineRule="auto"/>
        <w:rPr>
          <w:sz w:val="20"/>
          <w:szCs w:val="20"/>
          <w:color w:val="auto"/>
        </w:rPr>
      </w:pPr>
      <w:r>
        <w:rPr>
          <w:rFonts w:ascii="Courier New" w:cs="Courier New" w:eastAsia="Courier New" w:hAnsi="Courier New"/>
          <w:sz w:val="17"/>
          <w:szCs w:val="17"/>
          <w:color w:val="auto"/>
        </w:rPr>
        <w:t>Payment, the Executive retains an amount of the Gross-Up Payment equal to the Excise Tax imposed upon such Payment.</w:t>
      </w:r>
    </w:p>
    <w:p>
      <w:pPr>
        <w:spacing w:after="0" w:line="192" w:lineRule="exact"/>
        <w:rPr>
          <w:sz w:val="20"/>
          <w:szCs w:val="20"/>
          <w:color w:val="auto"/>
        </w:rPr>
      </w:pPr>
    </w:p>
    <w:p>
      <w:pPr>
        <w:ind w:right="1839" w:firstLine="1893"/>
        <w:spacing w:after="0" w:line="251" w:lineRule="auto"/>
        <w:tabs>
          <w:tab w:leader="none" w:pos="2304"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determinations and computations required to be made under this Section 8, including whether a Gross-Up Payment is required under clause (ii) of paragraph 8(a)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8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8(c) and the Executive thereafter shall become obligated to make a payment of any Excise Tax, and if the amount thereof shall exceed the amount, if any, of any Excise Tax computed by the Accounting Firm pursuant to this paragraph 8(b)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8 shall be paid by the Company.</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01" w:lineRule="exact"/>
        <w:rPr>
          <w:sz w:val="20"/>
          <w:szCs w:val="20"/>
          <w:color w:val="auto"/>
        </w:rPr>
      </w:pPr>
    </w:p>
    <w:p>
      <w:pPr>
        <w:ind w:right="2359" w:firstLine="1893"/>
        <w:spacing w:after="0" w:line="257" w:lineRule="auto"/>
        <w:tabs>
          <w:tab w:leader="none" w:pos="2304"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 the Company any information reasonably requested relating to such claim;</w:t>
      </w:r>
    </w:p>
    <w:p>
      <w:pPr>
        <w:spacing w:after="0" w:line="191" w:lineRule="exact"/>
        <w:rPr>
          <w:rFonts w:ascii="Courier New" w:cs="Courier New" w:eastAsia="Courier New" w:hAnsi="Courier New"/>
          <w:sz w:val="17"/>
          <w:szCs w:val="17"/>
          <w:color w:val="auto"/>
        </w:rPr>
      </w:pPr>
    </w:p>
    <w:p>
      <w:pPr>
        <w:jc w:val="both"/>
        <w:ind w:right="1839" w:firstLine="1893"/>
        <w:spacing w:after="0" w:line="253" w:lineRule="auto"/>
        <w:tabs>
          <w:tab w:leader="none" w:pos="2409"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95" w:lineRule="exact"/>
        <w:rPr>
          <w:rFonts w:ascii="Courier New" w:cs="Courier New" w:eastAsia="Courier New" w:hAnsi="Courier New"/>
          <w:sz w:val="17"/>
          <w:szCs w:val="17"/>
          <w:color w:val="auto"/>
        </w:rPr>
      </w:pPr>
    </w:p>
    <w:p>
      <w:pPr>
        <w:ind w:right="2559" w:firstLine="1893"/>
        <w:spacing w:after="0" w:line="257" w:lineRule="auto"/>
        <w:tabs>
          <w:tab w:leader="none" w:pos="2514"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with the Company in good faith in order effectively to contest such claim; and</w:t>
      </w:r>
    </w:p>
    <w:p>
      <w:pPr>
        <w:spacing w:after="0" w:line="191" w:lineRule="exact"/>
        <w:rPr>
          <w:rFonts w:ascii="Courier New" w:cs="Courier New" w:eastAsia="Courier New" w:hAnsi="Courier New"/>
          <w:sz w:val="17"/>
          <w:szCs w:val="17"/>
          <w:color w:val="auto"/>
        </w:rPr>
      </w:pPr>
    </w:p>
    <w:p>
      <w:pPr>
        <w:ind w:left="2420" w:hanging="527"/>
        <w:spacing w:after="0"/>
        <w:tabs>
          <w:tab w:leader="none" w:pos="242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 the Company to participate in any proceedings</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relating to such claim;</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8(c), the Company shall control all proceedings taken in connection with such contest and, at its sole option, may pursue or forgo any and all administrative appeals, proceedings, hearings and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21" w:right="1440" w:bottom="1440" w:gutter="0" w:footer="0" w:header="0"/>
        </w:sectPr>
      </w:pPr>
    </w:p>
    <w:bookmarkStart w:id="68" w:name="page69"/>
    <w:bookmarkEnd w:id="68"/>
    <w:p>
      <w:pPr>
        <w:ind w:right="1839"/>
        <w:spacing w:after="0" w:line="251" w:lineRule="auto"/>
        <w:rPr>
          <w:sz w:val="20"/>
          <w:szCs w:val="20"/>
          <w:color w:val="auto"/>
        </w:rPr>
      </w:pPr>
      <w:r>
        <w:rPr>
          <w:rFonts w:ascii="Courier New" w:cs="Courier New" w:eastAsia="Courier New" w:hAnsi="Courier New"/>
          <w:sz w:val="17"/>
          <w:szCs w:val="17"/>
          <w:color w:val="auto"/>
        </w:rPr>
        <w:t>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PROVIDED, HOWEVER,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03" w:lineRule="exact"/>
        <w:rPr>
          <w:sz w:val="20"/>
          <w:szCs w:val="20"/>
          <w:color w:val="auto"/>
        </w:rPr>
      </w:pPr>
    </w:p>
    <w:p>
      <w:pPr>
        <w:ind w:right="1839" w:firstLine="1893"/>
        <w:spacing w:after="0" w:line="251" w:lineRule="auto"/>
        <w:tabs>
          <w:tab w:leader="none" w:pos="2304" w:val="left"/>
        </w:tabs>
        <w:numPr>
          <w:ilvl w:val="1"/>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the receipt by the Executive of an amount advanced by the Company or the subsidiary pursuant to paragraph 8(c), the Executive becomes entitled to receive any refund with respect to such claim, the Executive shall (subject to compliance with the requirements of Section 8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8(c),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201" w:lineRule="exact"/>
        <w:rPr>
          <w:rFonts w:ascii="Courier New" w:cs="Courier New" w:eastAsia="Courier New" w:hAnsi="Courier New"/>
          <w:sz w:val="17"/>
          <w:szCs w:val="17"/>
          <w:color w:val="auto"/>
        </w:rPr>
      </w:pPr>
    </w:p>
    <w:p>
      <w:pPr>
        <w:ind w:left="1260" w:hanging="310"/>
        <w:spacing w:after="0"/>
        <w:tabs>
          <w:tab w:leader="none" w:pos="126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OBLIGATION TO MITIGATE DAMAGES; NO EFFECT ON OTHER CONTRACTUAL</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RIGHTS.</w:t>
      </w:r>
    </w:p>
    <w:p>
      <w:pPr>
        <w:spacing w:after="0" w:line="210"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6"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97"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SUCCESSOR TO THE COMPANY.</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1"/>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21" w:right="1440" w:bottom="1440" w:gutter="0" w:footer="0" w:header="0"/>
        </w:sectPr>
      </w:pPr>
    </w:p>
    <w:bookmarkStart w:id="69" w:name="page70"/>
    <w:bookmarkEnd w:id="69"/>
    <w:p>
      <w:pPr>
        <w:ind w:right="2039"/>
        <w:spacing w:after="0" w:line="252" w:lineRule="auto"/>
        <w:rPr>
          <w:sz w:val="20"/>
          <w:szCs w:val="20"/>
          <w:color w:val="auto"/>
        </w:rPr>
      </w:pPr>
      <w:r>
        <w:rPr>
          <w:rFonts w:ascii="Courier New" w:cs="Courier New" w:eastAsia="Courier New" w:hAnsi="Courier New"/>
          <w:sz w:val="17"/>
          <w:szCs w:val="17"/>
          <w:color w:val="auto"/>
        </w:rPr>
        <w:t>Reason. As used in this Agreement, "Company" shall mean the Company as hereinbefore defined and any successor or assign to its business and/or assets as aforesaid which executes and delivers the agreement provided for in this Section 10 or which otherwise becomes bound by all the terms and provisions of this Agreement by operation of law.</w:t>
      </w:r>
    </w:p>
    <w:p>
      <w:pPr>
        <w:spacing w:after="0" w:line="197" w:lineRule="exact"/>
        <w:rPr>
          <w:sz w:val="20"/>
          <w:szCs w:val="20"/>
          <w:color w:val="auto"/>
        </w:rPr>
      </w:pPr>
    </w:p>
    <w:p>
      <w:pPr>
        <w:ind w:right="1839" w:firstLine="1893"/>
        <w:spacing w:after="0" w:line="252" w:lineRule="auto"/>
        <w:tabs>
          <w:tab w:leader="none" w:pos="2304" w:val="left"/>
        </w:tabs>
        <w:numPr>
          <w:ilvl w:val="1"/>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5" w:lineRule="exact"/>
        <w:rPr>
          <w:rFonts w:ascii="Courier New" w:cs="Courier New" w:eastAsia="Courier New" w:hAnsi="Courier New"/>
          <w:sz w:val="17"/>
          <w:szCs w:val="17"/>
          <w:color w:val="auto"/>
        </w:rPr>
      </w:pPr>
    </w:p>
    <w:p>
      <w:pPr>
        <w:ind w:right="2039" w:firstLine="950"/>
        <w:spacing w:after="0" w:line="252" w:lineRule="auto"/>
        <w:tabs>
          <w:tab w:leader="none" w:pos="1362"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GUARANTY OF EMPLOYMENT. Nothing in this Agreement shall be deemed to entitle the Executive to continued employment with the Company prior to a Change of Control, and the rights of the Company to terminate the employment of the Executive, prior to a Change of Control, shall continue as fully as if this Agreement were not in effect.</w:t>
      </w:r>
    </w:p>
    <w:p>
      <w:pPr>
        <w:spacing w:after="0" w:line="197" w:lineRule="exact"/>
        <w:rPr>
          <w:rFonts w:ascii="Courier New" w:cs="Courier New" w:eastAsia="Courier New" w:hAnsi="Courier New"/>
          <w:sz w:val="17"/>
          <w:szCs w:val="17"/>
          <w:color w:val="auto"/>
        </w:rPr>
      </w:pPr>
    </w:p>
    <w:p>
      <w:pPr>
        <w:ind w:right="2139" w:firstLine="950"/>
        <w:spacing w:after="0" w:line="253" w:lineRule="auto"/>
        <w:tabs>
          <w:tab w:leader="none" w:pos="1362"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For purposes of this Agreement, notices and all other communications provided for in the Agreement shall be in writing and shall be deemed to have been duly given when delivered or mailed by United States registered mail, return receipt registered, postage prepaid, as follows: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Company:</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Attn: General Counsel</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605 W. Crystal Lake Road</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P.O. Box 152</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Forest City, IA 50436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Executive:</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Robert L. Gossett</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2713 Campus Lane</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Albert Lea, MN 56007</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or such other address as either party may have furnished to the other in writing in accordance herewith, except that notices of change of address shall be effective only upon receipt.</w:t>
      </w:r>
    </w:p>
    <w:p>
      <w:pPr>
        <w:spacing w:after="0" w:line="194" w:lineRule="exact"/>
        <w:rPr>
          <w:sz w:val="20"/>
          <w:szCs w:val="20"/>
          <w:color w:val="auto"/>
        </w:rPr>
      </w:pPr>
    </w:p>
    <w:p>
      <w:pPr>
        <w:ind w:right="1839" w:firstLine="950"/>
        <w:spacing w:after="0" w:line="251" w:lineRule="auto"/>
        <w:tabs>
          <w:tab w:leader="none" w:pos="1362"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No provisions of this Agreement may be modified, waived or discharged unless such waiver, 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01"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VALIDITY. The invalidity or unenforceability of any provisions of this Agreement shall not affect the validity or enforceability of any other provision of this Agreement, which shall remain in full force and effect.</w:t>
      </w:r>
    </w:p>
    <w:p>
      <w:pPr>
        <w:spacing w:after="0" w:line="194"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one or more counterparts, each of which shall be deemed to be an original but all of which together will constitute one and the same instrument.</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21" w:right="1440" w:bottom="1440" w:gutter="0" w:footer="0" w:header="0"/>
        </w:sectPr>
      </w:pPr>
    </w:p>
    <w:bookmarkStart w:id="70" w:name="page71"/>
    <w:bookmarkEnd w:id="70"/>
    <w:p>
      <w:pPr>
        <w:jc w:val="both"/>
        <w:ind w:right="2039" w:firstLine="950"/>
        <w:spacing w:after="0" w:line="253" w:lineRule="auto"/>
        <w:tabs>
          <w:tab w:leader="none" w:pos="1362"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LEGAL FEES AND EXPENSES. The Company shall pay all legal fees and expenses which the Executive may incur as a result of the Company's contesting the validity, enforceability or the Executive's interpretation of, or determinations under, this Agreement.</w:t>
      </w:r>
    </w:p>
    <w:p>
      <w:pPr>
        <w:spacing w:after="0" w:line="195" w:lineRule="exact"/>
        <w:rPr>
          <w:rFonts w:ascii="Courier New" w:cs="Courier New" w:eastAsia="Courier New" w:hAnsi="Courier New"/>
          <w:sz w:val="17"/>
          <w:szCs w:val="17"/>
          <w:color w:val="auto"/>
        </w:rPr>
      </w:pPr>
    </w:p>
    <w:p>
      <w:pPr>
        <w:jc w:val="both"/>
        <w:ind w:right="2039" w:firstLine="950"/>
        <w:spacing w:after="0" w:line="254" w:lineRule="auto"/>
        <w:tabs>
          <w:tab w:leader="none" w:pos="1362"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 The Executive shall retain in confidence any and all confidential information known to the Executive concerning the Company and its business so long as such information is not otherwise publicly disclosed.</w:t>
      </w:r>
    </w:p>
    <w:p>
      <w:pPr>
        <w:spacing w:after="0" w:line="194" w:lineRule="exact"/>
        <w:rPr>
          <w:sz w:val="20"/>
          <w:szCs w:val="20"/>
          <w:color w:val="auto"/>
        </w:rPr>
      </w:pPr>
    </w:p>
    <w:p>
      <w:pPr>
        <w:ind w:right="2259" w:firstLine="943"/>
        <w:spacing w:after="0" w:line="257" w:lineRule="auto"/>
        <w:rPr>
          <w:sz w:val="20"/>
          <w:szCs w:val="20"/>
          <w:color w:val="auto"/>
        </w:rPr>
      </w:pPr>
      <w:r>
        <w:rPr>
          <w:rFonts w:ascii="Courier New" w:cs="Courier New" w:eastAsia="Courier New" w:hAnsi="Courier New"/>
          <w:sz w:val="17"/>
          <w:szCs w:val="17"/>
          <w:color w:val="auto"/>
        </w:rPr>
        <w:t>IN WITNESS WHEREOF, the parties have executed this agreement on the date set out above.</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Bruce D. Hertzke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Chairman of the Board, Chief Executive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Officer and President</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EXECUTIVE:</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Robert L. Gossett</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21" w:right="1440" w:bottom="1440" w:gutter="0" w:footer="0" w:header="0"/>
        </w:sectPr>
      </w:pPr>
    </w:p>
    <w:bookmarkStart w:id="71" w:name="page72"/>
    <w:bookmarkEnd w:id="71"/>
    <w:p>
      <w:pPr>
        <w:jc w:val="center"/>
        <w:ind w:right="1839"/>
        <w:spacing w:after="0"/>
        <w:rPr>
          <w:sz w:val="20"/>
          <w:szCs w:val="20"/>
          <w:color w:val="auto"/>
        </w:rPr>
      </w:pPr>
      <w:r>
        <w:rPr>
          <w:rFonts w:ascii="Courier New" w:cs="Courier New" w:eastAsia="Courier New" w:hAnsi="Courier New"/>
          <w:sz w:val="17"/>
          <w:szCs w:val="17"/>
          <w:color w:val="auto"/>
        </w:rPr>
        <w:t>EXHIBIT 10r.</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EXECUTIVE CHANGE OF CONTROL AGREEMENT</w:t>
      </w:r>
    </w:p>
    <w:p>
      <w:pPr>
        <w:spacing w:after="0" w:line="210"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This EXECUTIVE CHANGE OF CONTROL AGREEMENT is made as of January 17, 2001, by and between WINNEBAGO INDUSTRIES, INC., an Iowa corporation (the "Company"), and James P. Jaskoviak (the "Executive").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WHEREAS, the Executive is a senior executive and officer of the Company and has made and is expected to continue to make major contributions to the profitability, growth and financial strength of the Company;</w:t>
      </w:r>
    </w:p>
    <w:p>
      <w:pPr>
        <w:spacing w:after="0" w:line="194" w:lineRule="exact"/>
        <w:rPr>
          <w:sz w:val="20"/>
          <w:szCs w:val="20"/>
          <w:color w:val="auto"/>
        </w:rPr>
      </w:pPr>
    </w:p>
    <w:p>
      <w:pPr>
        <w:ind w:right="1939" w:firstLine="943"/>
        <w:spacing w:after="0" w:line="254" w:lineRule="auto"/>
        <w:rPr>
          <w:sz w:val="20"/>
          <w:szCs w:val="20"/>
          <w:color w:val="auto"/>
        </w:rPr>
      </w:pPr>
      <w:r>
        <w:rPr>
          <w:rFonts w:ascii="Courier New" w:cs="Courier New" w:eastAsia="Courier New" w:hAnsi="Courier New"/>
          <w:sz w:val="17"/>
          <w:szCs w:val="17"/>
          <w:color w:val="auto"/>
        </w:rPr>
        <w:t>WHEREAS, the Company recognizes that, as is the case for most publicly held companies, the possibility of a Change of Control (as hereafter defined) exists;</w:t>
      </w:r>
    </w:p>
    <w:p>
      <w:pPr>
        <w:spacing w:after="0" w:line="194"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WHEREAS, it is in the best interests of the Company, considering the past and future services of the Executive, to improve the security and climate for objective decision making by providing for the personal security of the Executive upon a Change of Control.</w:t>
      </w:r>
    </w:p>
    <w:p>
      <w:pPr>
        <w:spacing w:after="0" w:line="195"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NOW, THEREFORE, in consideration of the foregoing premises and the past and future services rendered and to be rendered by the Executive to the Company and of the mutual covenants and agreements hereinafter set forth, the parties agree as follows: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AGREEMENT</w:t>
      </w:r>
    </w:p>
    <w:p>
      <w:pPr>
        <w:spacing w:after="0" w:line="210" w:lineRule="exact"/>
        <w:rPr>
          <w:sz w:val="20"/>
          <w:szCs w:val="20"/>
          <w:color w:val="auto"/>
        </w:rPr>
      </w:pPr>
    </w:p>
    <w:p>
      <w:pPr>
        <w:ind w:right="1939" w:firstLine="950"/>
        <w:spacing w:after="0" w:line="251" w:lineRule="auto"/>
        <w:tabs>
          <w:tab w:leader="none" w:pos="1257" w:val="left"/>
        </w:tabs>
        <w:numPr>
          <w:ilvl w:val="1"/>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SERVICE BY EXECUTIVE. In the event a person or entity, in order to effect a Change of Control, commences a 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01" w:lineRule="exact"/>
        <w:rPr>
          <w:rFonts w:ascii="Courier New" w:cs="Courier New" w:eastAsia="Courier New" w:hAnsi="Courier New"/>
          <w:sz w:val="17"/>
          <w:szCs w:val="17"/>
          <w:color w:val="auto"/>
        </w:rPr>
      </w:pPr>
    </w:p>
    <w:p>
      <w:pPr>
        <w:ind w:right="1939" w:firstLine="950"/>
        <w:spacing w:after="0" w:line="251" w:lineRule="auto"/>
        <w:tabs>
          <w:tab w:leader="none" w:pos="1257" w:val="left"/>
        </w:tabs>
        <w:numPr>
          <w:ilvl w:val="1"/>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For purposes of this Agreement, the term "Change of Control" means the time when (i) any Person becomes an Acquiring Person, or</w:t>
      </w:r>
    </w:p>
    <w:p>
      <w:pPr>
        <w:ind w:right="1939" w:firstLine="7"/>
        <w:spacing w:after="0" w:line="251" w:lineRule="auto"/>
        <w:tabs>
          <w:tab w:leader="none" w:pos="524"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individuals who shall qualify as Continuing Directors of the Company shall have ceased for any reason to constitute at least a majority of the Board of Directors of the Company; PROVIDED HOWEVER, that in the case of either clause</w:t>
      </w:r>
    </w:p>
    <w:p>
      <w:pPr>
        <w:ind w:left="420" w:hanging="413"/>
        <w:spacing w:after="0"/>
        <w:tabs>
          <w:tab w:leader="none" w:pos="42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(ii) a Change of Control shall not be deemed to have occurred if the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1"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For the purpose of the foregoing definition of "Change of Control," the capitalized terms shall have the following meanings:</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00" w:right="1839" w:hanging="950"/>
        <w:spacing w:after="0" w:line="251" w:lineRule="auto"/>
        <w:tabs>
          <w:tab w:leader="none" w:pos="19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1" w:lineRule="exact"/>
        <w:rPr>
          <w:rFonts w:ascii="Courier New" w:cs="Courier New" w:eastAsia="Courier New" w:hAnsi="Courier New"/>
          <w:sz w:val="17"/>
          <w:szCs w:val="17"/>
          <w:color w:val="auto"/>
        </w:rPr>
      </w:pPr>
    </w:p>
    <w:p>
      <w:pPr>
        <w:ind w:left="1900" w:right="1839" w:hanging="950"/>
        <w:spacing w:after="0" w:line="252" w:lineRule="auto"/>
        <w:tabs>
          <w:tab w:leader="none" w:pos="19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January 17, 2001, except</w:t>
      </w:r>
    </w:p>
    <w:p>
      <w:pPr>
        <w:sectPr>
          <w:pgSz w:w="11900" w:h="16838" w:orient="portrait"/>
          <w:cols w:equalWidth="0" w:num="1">
            <w:col w:w="10219"/>
          </w:cols>
          <w:pgMar w:left="240" w:top="142" w:right="1440" w:bottom="0" w:gutter="0" w:footer="0" w:header="0"/>
        </w:sectPr>
      </w:pPr>
    </w:p>
    <w:bookmarkStart w:id="72" w:name="page73"/>
    <w:bookmarkEnd w:id="72"/>
    <w:p>
      <w:pPr>
        <w:ind w:left="950" w:right="1939"/>
        <w:spacing w:after="0" w:line="254" w:lineRule="auto"/>
        <w:rPr>
          <w:sz w:val="20"/>
          <w:szCs w:val="20"/>
          <w:color w:val="auto"/>
        </w:rPr>
      </w:pPr>
      <w:r>
        <w:rPr>
          <w:rFonts w:ascii="Courier New" w:cs="Courier New" w:eastAsia="Courier New" w:hAnsi="Courier New"/>
          <w:sz w:val="17"/>
          <w:szCs w:val="17"/>
          <w:color w:val="auto"/>
        </w:rPr>
        <w:t>that the term "Acquiring Person" shall not include a Hanson Family Member or an Affiliate or Associate of a Hanson Family Member.</w:t>
      </w:r>
    </w:p>
    <w:p>
      <w:pPr>
        <w:spacing w:after="0" w:line="194" w:lineRule="exact"/>
        <w:rPr>
          <w:sz w:val="20"/>
          <w:szCs w:val="20"/>
          <w:color w:val="auto"/>
        </w:rPr>
      </w:pPr>
    </w:p>
    <w:p>
      <w:pPr>
        <w:ind w:left="950" w:right="1839" w:hanging="950"/>
        <w:spacing w:after="0" w:line="254" w:lineRule="auto"/>
        <w:tabs>
          <w:tab w:leader="none" w:pos="950"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means a Person that directly or indirectly through one or more intermediaries, controls, or is controlled by, or is under common control with, the person specified.</w:t>
      </w:r>
    </w:p>
    <w:p>
      <w:pPr>
        <w:spacing w:after="0" w:line="194" w:lineRule="exact"/>
        <w:rPr>
          <w:rFonts w:ascii="Courier New" w:cs="Courier New" w:eastAsia="Courier New" w:hAnsi="Courier New"/>
          <w:sz w:val="17"/>
          <w:szCs w:val="17"/>
          <w:color w:val="auto"/>
        </w:rPr>
      </w:pPr>
    </w:p>
    <w:p>
      <w:pPr>
        <w:ind w:left="950" w:right="1939" w:hanging="950"/>
        <w:spacing w:after="0" w:line="251" w:lineRule="auto"/>
        <w:tabs>
          <w:tab w:leader="none" w:pos="950"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ind w:left="950" w:right="2039" w:hanging="7"/>
        <w:spacing w:after="0" w:line="251" w:lineRule="auto"/>
        <w:tabs>
          <w:tab w:leader="none" w:pos="1369" w:val="left"/>
        </w:tabs>
        <w:numPr>
          <w:ilvl w:val="1"/>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trust or fund in which such person has a substantial beneficial interest or as to which such person serves as trustee or in a similar fiduciary capacity, (3) any relative or spouse of such person, or any relative of such spouse, or</w:t>
      </w:r>
    </w:p>
    <w:p>
      <w:pPr>
        <w:ind w:left="950" w:right="2559" w:hanging="7"/>
        <w:spacing w:after="0" w:line="257" w:lineRule="auto"/>
        <w:tabs>
          <w:tab w:leader="none" w:pos="1369" w:val="left"/>
        </w:tabs>
        <w:numPr>
          <w:ilvl w:val="1"/>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investment company for which such person or any Affiliate of such person serves as investment advisor.</w:t>
      </w:r>
    </w:p>
    <w:p>
      <w:pPr>
        <w:spacing w:after="0" w:line="191" w:lineRule="exact"/>
        <w:rPr>
          <w:rFonts w:ascii="Courier New" w:cs="Courier New" w:eastAsia="Courier New" w:hAnsi="Courier New"/>
          <w:sz w:val="17"/>
          <w:szCs w:val="17"/>
          <w:color w:val="auto"/>
        </w:rPr>
      </w:pPr>
    </w:p>
    <w:p>
      <w:pPr>
        <w:ind w:left="950" w:right="1939" w:hanging="950"/>
        <w:spacing w:after="0" w:line="252" w:lineRule="auto"/>
        <w:tabs>
          <w:tab w:leader="none" w:pos="95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"Hanson Family Member" means John K. Hanson (deceased)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96" w:lineRule="exact"/>
        <w:rPr>
          <w:rFonts w:ascii="Courier New" w:cs="Courier New" w:eastAsia="Courier New" w:hAnsi="Courier New"/>
          <w:sz w:val="17"/>
          <w:szCs w:val="17"/>
          <w:color w:val="auto"/>
        </w:rPr>
      </w:pPr>
    </w:p>
    <w:p>
      <w:pPr>
        <w:ind w:left="950" w:right="1839" w:hanging="950"/>
        <w:spacing w:after="0" w:line="253" w:lineRule="auto"/>
        <w:tabs>
          <w:tab w:leader="none" w:pos="95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means an individual, corporation, limited liability company, partnership, association, joint stock company, trust, unincorporated organization or government or political subdivision thereof.</w:t>
      </w:r>
    </w:p>
    <w:p>
      <w:pPr>
        <w:spacing w:after="0" w:line="195" w:lineRule="exact"/>
        <w:rPr>
          <w:sz w:val="20"/>
          <w:szCs w:val="20"/>
          <w:color w:val="auto"/>
        </w:rPr>
      </w:pPr>
    </w:p>
    <w:p>
      <w:pPr>
        <w:ind w:left="-950" w:right="1839" w:firstLine="950"/>
        <w:spacing w:after="0" w:line="253" w:lineRule="auto"/>
        <w:tabs>
          <w:tab w:leader="none" w:pos="307"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BENEFITS EFFECTIVE IMMEDIATELY UPON A CHANGE OF CONTROL. If a Change of Control shall have occurred while the Executive is still an employee of the Company, then the Executive shall immediately be entitled to the following benefits:</w:t>
      </w:r>
    </w:p>
    <w:p>
      <w:pPr>
        <w:spacing w:after="0" w:line="195" w:lineRule="exact"/>
        <w:rPr>
          <w:rFonts w:ascii="Courier New" w:cs="Courier New" w:eastAsia="Courier New" w:hAnsi="Courier New"/>
          <w:sz w:val="17"/>
          <w:szCs w:val="17"/>
          <w:color w:val="auto"/>
        </w:rPr>
      </w:pPr>
    </w:p>
    <w:p>
      <w:pPr>
        <w:ind w:left="-950" w:right="1839" w:firstLine="1893"/>
        <w:spacing w:after="0" w:line="252" w:lineRule="auto"/>
        <w:tabs>
          <w:tab w:leader="none" w:pos="1354"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 VESTING OF ALL STOCK OPTIONS AND RIGHTS. All options and rights granted to the Executive by the Company pursuant to the Company's Stock Option Plan effective as of August 14, 1997, or any successor or supplemental stock plan shall become immediately exercisable upon a Change of Control.</w:t>
      </w:r>
    </w:p>
    <w:p>
      <w:pPr>
        <w:spacing w:after="0" w:line="197" w:lineRule="exact"/>
        <w:rPr>
          <w:rFonts w:ascii="Courier New" w:cs="Courier New" w:eastAsia="Courier New" w:hAnsi="Courier New"/>
          <w:sz w:val="17"/>
          <w:szCs w:val="17"/>
          <w:color w:val="auto"/>
        </w:rPr>
      </w:pPr>
    </w:p>
    <w:p>
      <w:pPr>
        <w:ind w:left="-950" w:right="2139" w:firstLine="1893"/>
        <w:spacing w:after="0" w:line="252" w:lineRule="auto"/>
        <w:tabs>
          <w:tab w:leader="none" w:pos="1354"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If the Executive is a participant under the Company's Executive Split Dollar Life Insurance Program at the time of a Change of Control and the Company has paid any portion of the premium on the policy or policies issued in connection therewith during the twelve months preceding the occurrence of the</w:t>
      </w:r>
    </w:p>
    <w:p>
      <w:pPr>
        <w:spacing w:after="0" w:line="399"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269"/>
          </w:cols>
          <w:pgMar w:left="1190" w:top="142" w:right="1440" w:bottom="1440" w:gutter="0" w:footer="0" w:header="0"/>
        </w:sectPr>
      </w:pPr>
    </w:p>
    <w:bookmarkStart w:id="73" w:name="page74"/>
    <w:bookmarkEnd w:id="73"/>
    <w:p>
      <w:pPr>
        <w:ind w:right="2039"/>
        <w:spacing w:after="0" w:line="257" w:lineRule="auto"/>
        <w:rPr>
          <w:sz w:val="20"/>
          <w:szCs w:val="20"/>
          <w:color w:val="auto"/>
        </w:rPr>
      </w:pPr>
      <w:r>
        <w:rPr>
          <w:rFonts w:ascii="Courier New" w:cs="Courier New" w:eastAsia="Courier New" w:hAnsi="Courier New"/>
          <w:sz w:val="17"/>
          <w:szCs w:val="17"/>
          <w:color w:val="auto"/>
        </w:rPr>
        <w:t>Change of Control, then the Company shall continue to pay all premiums on such policies so long as the Executive remains in the employ of the Company.</w:t>
      </w:r>
    </w:p>
    <w:p>
      <w:pPr>
        <w:spacing w:after="0" w:line="192" w:lineRule="exact"/>
        <w:rPr>
          <w:sz w:val="20"/>
          <w:szCs w:val="20"/>
          <w:color w:val="auto"/>
        </w:rPr>
      </w:pPr>
    </w:p>
    <w:p>
      <w:pPr>
        <w:ind w:right="2139" w:firstLine="1893"/>
        <w:spacing w:after="0" w:line="252" w:lineRule="auto"/>
        <w:tabs>
          <w:tab w:leader="none" w:pos="2304" w:val="left"/>
        </w:tabs>
        <w:numPr>
          <w:ilvl w:val="2"/>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HEALTH INSURANCE. Any plans or policies of the Company providing for medical, dental, vision or similar benefits for retired employees existing as of the time of a Change of Control shall, as to the Executive, not be rescinded or modified in any manner which is adverse to the Executive following a Change of Control.</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All nonregistered stock of the Company owned by the Executive, which is subject to restrictions on sale or other transfer, shall, at the option of the Executive (exercisable at any time by the delivery of written notice to the Company) be purchased by the Company at its fair market value. The purchase shall be completed by the Company within thirty</w:t>
      </w:r>
    </w:p>
    <w:p>
      <w:pPr>
        <w:ind w:right="2259" w:firstLine="7"/>
        <w:spacing w:after="0" w:line="252" w:lineRule="auto"/>
        <w:tabs>
          <w:tab w:leader="none" w:pos="524"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after the Company receives the written notice of exercise from the Executive. So long as the Company's stock is traded on the New York Stock Exchange (the "NYSE"), the "fair market value" shall be the mean between the highest and lowest reported selling prices as reported by the NYSE on the business day immediately preceding the day of sale.</w:t>
      </w:r>
    </w:p>
    <w:p>
      <w:pPr>
        <w:spacing w:after="0" w:line="197"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BENEFITS EFFECTIVE IMMEDIATELY UPON A CHANGE OF CONTROL PURSUANT TO PLAN DOCUMENTS. It is acknowledged that there presently exist other plans and agreements of the Company which may provide benefits to the Executive and which contain specific provisions dealing with the occurrence of a change of control of the Company (as defined in such plan or agreement). Following a Change of Control, no such plan or agreement shall be rescinded or modified in any manner which is adverse to the Executive. Such other plans and agreements of the Company shall mean: (a) the Executive Share Option Program; (b) the Officers' Long-Term Incentive Plan; (c) the Deferred Compensation and Deferred Bonus Plans; and (d) the Officers' Incentive Compensation Plan. Nothing herein shall be construed to affect the Company's right and ability to terminate or amend any such plan or agreement (subject to the terms thereof) prior to a Change of Control.</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FOLLOWING A CHANGE OF CONTROL. If a Change of Control shall have occurred while the Executive is still an employee of the Company, and if the Executive's employment with the Company is terminated, within three years following such Change of Control, then the Executive shall be entitled to the compensation and benefits provided in Sections 6 and 7, unless such termination is a result of: (a) the Executive's death; (b) the Executive's disability [as defined in Section 5(a) below]; (c) the Executive's retirement [as defined in Section 5(b) below]; (d) the Executive's termination by the Company for Cause [as defined in Section 5(c) below]; or (e) the Executive's decision to terminate employment other than for Good Reason [as defined in Section 5(d) below].</w:t>
      </w:r>
    </w:p>
    <w:p>
      <w:pPr>
        <w:spacing w:after="0" w:line="201"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If, as a result of the Executive's incapacity due to physical or mental illness, the Executive shall have 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96" w:lineRule="exact"/>
        <w:rPr>
          <w:rFonts w:ascii="Courier New" w:cs="Courier New" w:eastAsia="Courier New" w:hAnsi="Courier New"/>
          <w:sz w:val="17"/>
          <w:szCs w:val="17"/>
          <w:color w:val="auto"/>
        </w:rPr>
      </w:pPr>
    </w:p>
    <w:p>
      <w:pPr>
        <w:ind w:right="1939" w:firstLine="1893"/>
        <w:spacing w:after="0" w:line="252" w:lineRule="auto"/>
        <w:tabs>
          <w:tab w:leader="none" w:pos="2304" w:val="left"/>
        </w:tabs>
        <w:numPr>
          <w:ilvl w:val="2"/>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The term "Retirement" as used in this Agreement shall mean termination by the Company or the Executive of the Executive's employment based on the Executive having attained the age of 65 or such other age as shall have been fixed in any arrangement established with the Executive's consent with respect to the Executive.</w:t>
      </w:r>
    </w:p>
    <w:p>
      <w:pPr>
        <w:spacing w:after="0" w:line="197"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may terminate the Executive's employment for Cause. For purposes of this Agreement only, the Company shall have "Cause" to terminate the Executive's employment hereunder only on the basis of (i) fraud, misappropriation or embezzlement on the part of the Executive; or (ii) intentional misconduct or gross negligence on</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21" w:right="1440" w:bottom="1440" w:gutter="0" w:footer="0" w:header="0"/>
        </w:sectPr>
      </w:pPr>
    </w:p>
    <w:bookmarkStart w:id="74" w:name="page75"/>
    <w:bookmarkEnd w:id="74"/>
    <w:p>
      <w:pPr>
        <w:ind w:right="1939"/>
        <w:spacing w:after="0" w:line="251" w:lineRule="auto"/>
        <w:rPr>
          <w:sz w:val="20"/>
          <w:szCs w:val="20"/>
          <w:color w:val="auto"/>
        </w:rPr>
      </w:pPr>
      <w:r>
        <w:rPr>
          <w:rFonts w:ascii="Courier New" w:cs="Courier New" w:eastAsia="Courier New" w:hAnsi="Courier New"/>
          <w:sz w:val="17"/>
          <w:szCs w:val="17"/>
          <w:color w:val="auto"/>
        </w:rPr>
        <w:t>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5(c) and specifying the particulars thereof in detail. Nothing herein shall limit the right of the Executive or his beneficiaries to contest the validity or propriety of any such determination.</w:t>
      </w:r>
    </w:p>
    <w:p>
      <w:pPr>
        <w:spacing w:after="0" w:line="200" w:lineRule="exact"/>
        <w:rPr>
          <w:sz w:val="20"/>
          <w:szCs w:val="20"/>
          <w:color w:val="auto"/>
        </w:rPr>
      </w:pPr>
    </w:p>
    <w:p>
      <w:pPr>
        <w:spacing w:after="0" w:line="203" w:lineRule="exact"/>
        <w:rPr>
          <w:sz w:val="20"/>
          <w:szCs w:val="20"/>
          <w:color w:val="auto"/>
        </w:rPr>
      </w:pPr>
    </w:p>
    <w:p>
      <w:pPr>
        <w:ind w:right="2039" w:firstLine="1893"/>
        <w:spacing w:after="0" w:line="253" w:lineRule="auto"/>
        <w:tabs>
          <w:tab w:leader="none" w:pos="2304"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REASON. The Executive may terminate the Executive's employment for Good Reason at any time during the term of this Agreement. For purposes of this Agreement "Good Reason" shall mean any of the following (without the Executive's express written consent):</w:t>
      </w:r>
    </w:p>
    <w:p>
      <w:pPr>
        <w:spacing w:after="0" w:line="195" w:lineRule="exact"/>
        <w:rPr>
          <w:sz w:val="20"/>
          <w:szCs w:val="20"/>
          <w:color w:val="auto"/>
        </w:rPr>
      </w:pPr>
    </w:p>
    <w:p>
      <w:pPr>
        <w:ind w:right="1839" w:firstLine="1893"/>
        <w:spacing w:after="0" w:line="251" w:lineRule="auto"/>
        <w:tabs>
          <w:tab w:leader="none" w:pos="2304"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1893"/>
        <w:spacing w:after="0" w:line="252" w:lineRule="auto"/>
        <w:tabs>
          <w:tab w:leader="none" w:pos="2409"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95" w:lineRule="exact"/>
        <w:rPr>
          <w:rFonts w:ascii="Courier New" w:cs="Courier New" w:eastAsia="Courier New" w:hAnsi="Courier New"/>
          <w:sz w:val="17"/>
          <w:szCs w:val="17"/>
          <w:color w:val="auto"/>
        </w:rPr>
      </w:pPr>
    </w:p>
    <w:p>
      <w:pPr>
        <w:ind w:right="1839" w:firstLine="1893"/>
        <w:spacing w:after="0" w:line="251" w:lineRule="auto"/>
        <w:tabs>
          <w:tab w:leader="none" w:pos="2514"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409"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reduce the Executive's benefits under any such Incentive Plan, expressed as a percentage of his base salary, by more than 10 percentage points in any fiscal year as compared to the immediately preceding fiscal year;</w:t>
      </w:r>
    </w:p>
    <w:p>
      <w:pPr>
        <w:spacing w:after="0" w:line="201" w:lineRule="exact"/>
        <w:rPr>
          <w:rFonts w:ascii="Courier New" w:cs="Courier New" w:eastAsia="Courier New" w:hAnsi="Courier New"/>
          <w:sz w:val="17"/>
          <w:szCs w:val="17"/>
          <w:color w:val="auto"/>
        </w:rPr>
      </w:pPr>
    </w:p>
    <w:p>
      <w:pPr>
        <w:ind w:right="1939" w:firstLine="1893"/>
        <w:spacing w:after="0" w:line="253" w:lineRule="auto"/>
        <w:tabs>
          <w:tab w:leader="none" w:pos="2304"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21" w:right="1440" w:bottom="1440" w:gutter="0" w:footer="0" w:header="0"/>
        </w:sectPr>
      </w:pPr>
    </w:p>
    <w:bookmarkStart w:id="75" w:name="page76"/>
    <w:bookmarkEnd w:id="75"/>
    <w:p>
      <w:pPr>
        <w:ind w:right="2039"/>
        <w:spacing w:after="0" w:line="254" w:lineRule="auto"/>
        <w:rPr>
          <w:sz w:val="20"/>
          <w:szCs w:val="20"/>
          <w:color w:val="auto"/>
        </w:rPr>
      </w:pPr>
      <w:r>
        <w:rPr>
          <w:rFonts w:ascii="Courier New" w:cs="Courier New" w:eastAsia="Courier New" w:hAnsi="Courier New"/>
          <w:sz w:val="17"/>
          <w:szCs w:val="17"/>
          <w:color w:val="auto"/>
        </w:rPr>
        <w:t>(hereinafter referred to as "Securities Plans") or the taking of any action by the Company which would adversely affect the Executive's participation in or materially reduce the Executive's benefits under any such Securities Plan;</w:t>
      </w:r>
    </w:p>
    <w:p>
      <w:pPr>
        <w:spacing w:after="0" w:line="194" w:lineRule="exact"/>
        <w:rPr>
          <w:sz w:val="20"/>
          <w:szCs w:val="20"/>
          <w:color w:val="auto"/>
        </w:rPr>
      </w:pPr>
    </w:p>
    <w:p>
      <w:pPr>
        <w:ind w:right="1839" w:firstLine="1893"/>
        <w:spacing w:after="0" w:line="252" w:lineRule="auto"/>
        <w:tabs>
          <w:tab w:leader="none" w:pos="2409"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95" w:lineRule="exact"/>
        <w:rPr>
          <w:rFonts w:ascii="Courier New" w:cs="Courier New" w:eastAsia="Courier New" w:hAnsi="Courier New"/>
          <w:sz w:val="17"/>
          <w:szCs w:val="17"/>
          <w:color w:val="auto"/>
        </w:rPr>
      </w:pPr>
    </w:p>
    <w:p>
      <w:pPr>
        <w:ind w:right="1839" w:firstLine="1893"/>
        <w:spacing w:after="0" w:line="254" w:lineRule="auto"/>
        <w:tabs>
          <w:tab w:leader="none" w:pos="2514"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provide the Executive with the number of paid vacation days to which the Executive is entitled at the time of a Change in Control of the Company;</w:t>
      </w:r>
    </w:p>
    <w:p>
      <w:pPr>
        <w:spacing w:after="0" w:line="194" w:lineRule="exact"/>
        <w:rPr>
          <w:rFonts w:ascii="Courier New" w:cs="Courier New" w:eastAsia="Courier New" w:hAnsi="Courier New"/>
          <w:sz w:val="17"/>
          <w:szCs w:val="17"/>
          <w:color w:val="auto"/>
        </w:rPr>
      </w:pPr>
    </w:p>
    <w:p>
      <w:pPr>
        <w:ind w:left="2620" w:hanging="727"/>
        <w:spacing w:after="0"/>
        <w:tabs>
          <w:tab w:leader="none" w:pos="262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breach by the Company of any provision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w:t>
      </w:r>
    </w:p>
    <w:p>
      <w:pPr>
        <w:spacing w:after="0" w:line="210" w:lineRule="exact"/>
        <w:rPr>
          <w:rFonts w:ascii="Courier New" w:cs="Courier New" w:eastAsia="Courier New" w:hAnsi="Courier New"/>
          <w:sz w:val="17"/>
          <w:szCs w:val="17"/>
          <w:color w:val="auto"/>
        </w:rPr>
      </w:pPr>
    </w:p>
    <w:p>
      <w:pPr>
        <w:ind w:left="2420" w:hanging="527"/>
        <w:spacing w:after="0"/>
        <w:tabs>
          <w:tab w:leader="none" w:pos="242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obtain the assumption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by any successor or assign of the Company; or</w:t>
      </w:r>
    </w:p>
    <w:p>
      <w:pPr>
        <w:spacing w:after="0" w:line="210" w:lineRule="exact"/>
        <w:rPr>
          <w:rFonts w:ascii="Courier New" w:cs="Courier New" w:eastAsia="Courier New" w:hAnsi="Courier New"/>
          <w:sz w:val="17"/>
          <w:szCs w:val="17"/>
          <w:color w:val="auto"/>
        </w:rPr>
      </w:pPr>
    </w:p>
    <w:p>
      <w:pPr>
        <w:ind w:right="2139" w:firstLine="1893"/>
        <w:spacing w:after="0" w:line="253" w:lineRule="auto"/>
        <w:tabs>
          <w:tab w:leader="none" w:pos="2304"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purported termination of the Executive's employment which is not effected pursuant to a Notice of Termination satisfying the requirements of Section 3(f), and for purposes of this Agreement, no such purported termination shall be effective.</w:t>
      </w:r>
    </w:p>
    <w:p>
      <w:pPr>
        <w:spacing w:after="0" w:line="195" w:lineRule="exact"/>
        <w:rPr>
          <w:sz w:val="20"/>
          <w:szCs w:val="20"/>
          <w:color w:val="auto"/>
        </w:rPr>
      </w:pPr>
    </w:p>
    <w:p>
      <w:pPr>
        <w:ind w:right="1839" w:firstLine="1893"/>
        <w:spacing w:after="0" w:line="251" w:lineRule="auto"/>
        <w:tabs>
          <w:tab w:leader="none" w:pos="2304" w:val="left"/>
        </w:tabs>
        <w:numPr>
          <w:ilvl w:val="1"/>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TERMINATION. Any termination by the Company pursuant to Section 5(a), (b) or (c) shall be 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1"/>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OF TERMINATION. "Date of Termination" shall mean (a) if this Agreement is terminated by the Company for 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PROVIDED that if within 30 days after any Notice of Termination is given to the Executive by the Company the Executive notifies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01"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COMPENSATION UPON TERMINATION OF EMPLOYMENT. If the Company shall terminate the Executive's employment other 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21" w:right="1440" w:bottom="1440" w:gutter="0" w:footer="0" w:header="0"/>
        </w:sectPr>
      </w:pPr>
    </w:p>
    <w:bookmarkStart w:id="76" w:name="page77"/>
    <w:bookmarkEnd w:id="76"/>
    <w:p>
      <w:pPr>
        <w:ind w:right="2039" w:firstLine="950"/>
        <w:spacing w:after="0" w:line="252" w:lineRule="auto"/>
        <w:tabs>
          <w:tab w:leader="none" w:pos="1257" w:val="left"/>
        </w:tabs>
        <w:numPr>
          <w:ilvl w:val="1"/>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BENEFITS UPON TERMINATION. If within three years following a Change of Control, the Company shall terminate the Executive's employment other than pursuant to Section 5(a), (b) or (c) or if the Executive shall terminate his employment for Good Reason, then the Company shall further provide to the Executive the following benefits:</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LIFE, DENTAL, VISION, HEALTH AND LONG-TERM DISABILITY COVERAGE. The Executive's participation in, and entitlement to, benefits under:</w:t>
      </w:r>
    </w:p>
    <w:p>
      <w:pPr>
        <w:ind w:right="1839" w:firstLine="7"/>
        <w:spacing w:after="0" w:line="251" w:lineRule="auto"/>
        <w:tabs>
          <w:tab w:leader="none" w:pos="419"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life insurance plans of the Company; (ii) all health insurance plans of the Company, including, but not limited to, those providing major medical and hospitalization benefits, dental benefits and vision benefits; and (iii) the Company's long-term disability plan or plans; as all such plans existed immediately prior to the Change of Control shall continue as though the Executive remained employed by the Corporation for an additional period of three</w:t>
      </w: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years or until the obtainment of such coverages by the Executive through another employer, whichever is earlier; provided, however, that in the case of all health insurance plans of the Company (including, but not limited to, those providing major medical and hospitalization benefits, dental benefits and vision benefits), such three-(3) year period shall be extended to the time that the Executive attains age 65 (and provided further that the Executive may then be entitled to certain retiree health insurance under Section 3(c) hereof). To the extent such participation or entitlement is not possible for any reason whatsoever, equivalent benefits shall be provided by the Company to the Executive.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AUTOMOBILE BENEFIT. If the Executive is entitled to the use of a Company-owned automobile at the time of a Change of Control, then title to such automobile shall be transferred to the Executive (upon termination of employment as described in Section 7 above) free and clear of all liens and encumbrances (or, if the Company does not own such automobile at the time of termination, then the Company shall arrange for the purchase, for the benefit of the Executive, of a similar make, model and year of automobile).</w:t>
      </w:r>
    </w:p>
    <w:p>
      <w:pPr>
        <w:spacing w:after="0" w:line="195"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Provided that the Company is obligated, pursuant to Section 3(b) hereof, to pay premiums on a policy or policies issued in favor of the Executive following a Change of Control, then the Company shall, in the same manner, continue making such premium payments until the later of (i) the Executive attains the age of 55; or</w:t>
      </w:r>
    </w:p>
    <w:p>
      <w:pPr>
        <w:ind w:right="2259" w:firstLine="7"/>
        <w:spacing w:after="0" w:line="254" w:lineRule="auto"/>
        <w:tabs>
          <w:tab w:leader="none" w:pos="524"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three (3) years following the Executive's termination of employment (provided, however, that the Company shall not be obligated to make any such payments after the Executive attains age 65).</w:t>
      </w:r>
    </w:p>
    <w:p>
      <w:pPr>
        <w:spacing w:after="0" w:line="194" w:lineRule="exact"/>
        <w:rPr>
          <w:rFonts w:ascii="Courier New" w:cs="Courier New" w:eastAsia="Courier New" w:hAnsi="Courier New"/>
          <w:sz w:val="17"/>
          <w:szCs w:val="17"/>
          <w:color w:val="auto"/>
        </w:rPr>
      </w:pPr>
    </w:p>
    <w:p>
      <w:pPr>
        <w:ind w:right="2039" w:firstLine="1893"/>
        <w:spacing w:after="0" w:line="252" w:lineRule="auto"/>
        <w:tabs>
          <w:tab w:leader="none" w:pos="2304" w:val="left"/>
        </w:tabs>
        <w:numPr>
          <w:ilvl w:val="2"/>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COMPENSATION PLANS. Any vesting requirement imposed under the provisions of, or rules relating to, the Company's Deferred Compensation and Deferred Bonus Plans, (including, but not limited to, vesting conditions requiring that the Executive attain the age of 55 and/or complete five years of service following a deferral) shall be waived and the Executive shall be fully vested in all deferrals made under such plans.</w:t>
      </w:r>
    </w:p>
    <w:p>
      <w:pPr>
        <w:spacing w:after="0" w:line="196" w:lineRule="exact"/>
        <w:rPr>
          <w:rFonts w:ascii="Courier New" w:cs="Courier New" w:eastAsia="Courier New" w:hAnsi="Courier New"/>
          <w:sz w:val="17"/>
          <w:szCs w:val="17"/>
          <w:color w:val="auto"/>
        </w:rPr>
      </w:pPr>
    </w:p>
    <w:p>
      <w:pPr>
        <w:ind w:left="1260" w:hanging="310"/>
        <w:spacing w:after="0"/>
        <w:tabs>
          <w:tab w:leader="none" w:pos="1260"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EXCISE TAX-ADDITIONAL PAYMENT.</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2"/>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20" w:right="1440" w:bottom="1440" w:gutter="0" w:footer="0" w:header="0"/>
        </w:sectPr>
      </w:pPr>
    </w:p>
    <w:bookmarkStart w:id="77" w:name="page78"/>
    <w:bookmarkEnd w:id="77"/>
    <w:p>
      <w:pPr>
        <w:ind w:right="2139"/>
        <w:spacing w:after="0" w:line="257" w:lineRule="auto"/>
        <w:rPr>
          <w:sz w:val="20"/>
          <w:szCs w:val="20"/>
          <w:color w:val="auto"/>
        </w:rPr>
      </w:pPr>
      <w:r>
        <w:rPr>
          <w:rFonts w:ascii="Courier New" w:cs="Courier New" w:eastAsia="Courier New" w:hAnsi="Courier New"/>
          <w:sz w:val="17"/>
          <w:szCs w:val="17"/>
          <w:color w:val="auto"/>
        </w:rPr>
        <w:t>Payment, the Executive retains an amount of the Gross-Up Payment equal to the Excise Tax imposed upon such Payment.</w:t>
      </w:r>
    </w:p>
    <w:p>
      <w:pPr>
        <w:spacing w:after="0" w:line="192" w:lineRule="exact"/>
        <w:rPr>
          <w:sz w:val="20"/>
          <w:szCs w:val="20"/>
          <w:color w:val="auto"/>
        </w:rPr>
      </w:pPr>
    </w:p>
    <w:p>
      <w:pPr>
        <w:ind w:right="1839" w:firstLine="1893"/>
        <w:spacing w:after="0" w:line="251" w:lineRule="auto"/>
        <w:tabs>
          <w:tab w:leader="none" w:pos="2304"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determinations and computations required to be made under this Section 8, including whether a Gross-Up Payment is required under clause (ii) of paragraph 8(a)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8 shall be paid by the Company to the Executive within five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8(c) and the Executive thereafter shall become obligated to make a payment of any Excise Tax, and if the amount thereof shall exceed the amount, if any, of any Excise Tax computed by the Accounting Firm pursuant to this paragraph 8(b)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8 shall be paid by the Company.</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01" w:lineRule="exact"/>
        <w:rPr>
          <w:sz w:val="20"/>
          <w:szCs w:val="20"/>
          <w:color w:val="auto"/>
        </w:rPr>
      </w:pPr>
    </w:p>
    <w:p>
      <w:pPr>
        <w:ind w:left="960" w:right="2359" w:firstLine="933"/>
        <w:spacing w:after="0" w:line="257" w:lineRule="auto"/>
        <w:tabs>
          <w:tab w:leader="none" w:pos="2322"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 the Company any information reasonably requested relating to such claim,</w:t>
      </w:r>
    </w:p>
    <w:p>
      <w:pPr>
        <w:spacing w:after="0" w:line="191" w:lineRule="exact"/>
        <w:rPr>
          <w:rFonts w:ascii="Courier New" w:cs="Courier New" w:eastAsia="Courier New" w:hAnsi="Courier New"/>
          <w:sz w:val="17"/>
          <w:szCs w:val="17"/>
          <w:color w:val="auto"/>
        </w:rPr>
      </w:pPr>
    </w:p>
    <w:p>
      <w:pPr>
        <w:ind w:left="960" w:right="1839" w:firstLine="933"/>
        <w:spacing w:after="0" w:line="253" w:lineRule="auto"/>
        <w:tabs>
          <w:tab w:leader="none" w:pos="2426"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396" w:lineRule="exact"/>
        <w:rPr>
          <w:rFonts w:ascii="Courier New" w:cs="Courier New" w:eastAsia="Courier New" w:hAnsi="Courier New"/>
          <w:sz w:val="17"/>
          <w:szCs w:val="17"/>
          <w:color w:val="auto"/>
        </w:rPr>
      </w:pPr>
    </w:p>
    <w:p>
      <w:pPr>
        <w:ind w:left="960" w:right="2559" w:firstLine="933"/>
        <w:spacing w:after="0" w:line="257" w:lineRule="auto"/>
        <w:tabs>
          <w:tab w:leader="none" w:pos="2531"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with the Company in good faith in order effectively to contest such claim, and</w:t>
      </w:r>
    </w:p>
    <w:p>
      <w:pPr>
        <w:spacing w:after="0" w:line="191" w:lineRule="exact"/>
        <w:rPr>
          <w:rFonts w:ascii="Courier New" w:cs="Courier New" w:eastAsia="Courier New" w:hAnsi="Courier New"/>
          <w:sz w:val="17"/>
          <w:szCs w:val="17"/>
          <w:color w:val="auto"/>
        </w:rPr>
      </w:pPr>
    </w:p>
    <w:p>
      <w:pPr>
        <w:ind w:left="960" w:right="2359" w:firstLine="933"/>
        <w:spacing w:after="0" w:line="257" w:lineRule="auto"/>
        <w:tabs>
          <w:tab w:leader="none" w:pos="2426"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 the Company to participate in any proceedings relating to such claim;</w:t>
      </w:r>
    </w:p>
    <w:p>
      <w:pPr>
        <w:spacing w:after="0" w:line="192"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8(c), the Company shall control all proceedings taken in connection with such contest and, at its sole option, may pursue or forgo any and all administrative appeals, proceedings, hearings and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21" w:right="1440" w:bottom="1440" w:gutter="0" w:footer="0" w:header="0"/>
        </w:sectPr>
      </w:pPr>
    </w:p>
    <w:bookmarkStart w:id="78" w:name="page79"/>
    <w:bookmarkEnd w:id="78"/>
    <w:p>
      <w:pPr>
        <w:ind w:right="1839"/>
        <w:spacing w:after="0" w:line="251" w:lineRule="auto"/>
        <w:rPr>
          <w:sz w:val="20"/>
          <w:szCs w:val="20"/>
          <w:color w:val="auto"/>
        </w:rPr>
      </w:pPr>
      <w:r>
        <w:rPr>
          <w:rFonts w:ascii="Courier New" w:cs="Courier New" w:eastAsia="Courier New" w:hAnsi="Courier New"/>
          <w:sz w:val="17"/>
          <w:szCs w:val="17"/>
          <w:color w:val="auto"/>
        </w:rPr>
        <w:t>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PROVIDED, HOWEVER,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03" w:lineRule="exact"/>
        <w:rPr>
          <w:sz w:val="20"/>
          <w:szCs w:val="20"/>
          <w:color w:val="auto"/>
        </w:rPr>
      </w:pPr>
    </w:p>
    <w:p>
      <w:pPr>
        <w:ind w:right="1839" w:firstLine="1893"/>
        <w:spacing w:after="0" w:line="251" w:lineRule="auto"/>
        <w:tabs>
          <w:tab w:leader="none" w:pos="2304"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the receipt by the Executive of an amount advanced by the Company or the subsidiary pursuant to paragraph 8(c), the Executive becomes entitled to receive any refund with respect to such claim, the Executive shall (subject to compliance with the requirements of Section 8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8(c),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201" w:lineRule="exact"/>
        <w:rPr>
          <w:rFonts w:ascii="Courier New" w:cs="Courier New" w:eastAsia="Courier New" w:hAnsi="Courier New"/>
          <w:sz w:val="17"/>
          <w:szCs w:val="17"/>
          <w:color w:val="auto"/>
        </w:rPr>
      </w:pPr>
    </w:p>
    <w:p>
      <w:pPr>
        <w:ind w:left="1260" w:hanging="310"/>
        <w:spacing w:after="0"/>
        <w:tabs>
          <w:tab w:leader="none" w:pos="126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OBLIGATION TO MITIGATE DAMAGES; NO EFFECT ON OTHER CONTRACTUAL</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RIGHTS.</w:t>
      </w:r>
    </w:p>
    <w:p>
      <w:pPr>
        <w:spacing w:after="0" w:line="210"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 be required to mitigate damages or the amount of any payment provided for under this Agreement by seeking other employment or other vise, nor shall the amount of any payment provided for under this Agreement be reduced by any compensation earned by the Executive as the result of employment by another employer after the Date of Termination, or otherwise.</w:t>
      </w:r>
    </w:p>
    <w:p>
      <w:pPr>
        <w:spacing w:after="0" w:line="196"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97"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SUCCESSOR TO THE COMPANY.</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20" w:right="1440" w:bottom="1440" w:gutter="0" w:footer="0" w:header="0"/>
        </w:sectPr>
      </w:pPr>
    </w:p>
    <w:bookmarkStart w:id="79" w:name="page80"/>
    <w:bookmarkEnd w:id="79"/>
    <w:p>
      <w:pPr>
        <w:ind w:right="2039"/>
        <w:spacing w:after="0" w:line="252" w:lineRule="auto"/>
        <w:rPr>
          <w:sz w:val="20"/>
          <w:szCs w:val="20"/>
          <w:color w:val="auto"/>
        </w:rPr>
      </w:pPr>
      <w:r>
        <w:rPr>
          <w:rFonts w:ascii="Courier New" w:cs="Courier New" w:eastAsia="Courier New" w:hAnsi="Courier New"/>
          <w:sz w:val="17"/>
          <w:szCs w:val="17"/>
          <w:color w:val="auto"/>
        </w:rPr>
        <w:t>Reason. As used in this Agreement, "Company" shall mean the Company as hereinbefore defined and any successor or assign to its business and/or assets as aforesaid which executes and delivers the agreement provided for in this Section 10 or which otherwise becomes bound by all the terms and provisions of this Agreement by operation of law.</w:t>
      </w:r>
    </w:p>
    <w:p>
      <w:pPr>
        <w:spacing w:after="0" w:line="197" w:lineRule="exact"/>
        <w:rPr>
          <w:sz w:val="20"/>
          <w:szCs w:val="20"/>
          <w:color w:val="auto"/>
        </w:rPr>
      </w:pPr>
    </w:p>
    <w:p>
      <w:pPr>
        <w:ind w:right="1839" w:firstLine="1893"/>
        <w:spacing w:after="0" w:line="252" w:lineRule="auto"/>
        <w:tabs>
          <w:tab w:leader="none" w:pos="2304" w:val="left"/>
        </w:tabs>
        <w:numPr>
          <w:ilvl w:val="1"/>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5" w:lineRule="exact"/>
        <w:rPr>
          <w:rFonts w:ascii="Courier New" w:cs="Courier New" w:eastAsia="Courier New" w:hAnsi="Courier New"/>
          <w:sz w:val="17"/>
          <w:szCs w:val="17"/>
          <w:color w:val="auto"/>
        </w:rPr>
      </w:pPr>
    </w:p>
    <w:p>
      <w:pPr>
        <w:ind w:right="2039" w:firstLine="950"/>
        <w:spacing w:after="0" w:line="252" w:lineRule="auto"/>
        <w:tabs>
          <w:tab w:leader="none" w:pos="1362"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GUARANTY OF EMPLOYMENT. Nothing in this Agreement shall be deemed to entitle the Executive to continued employment with the Company prior to a Change of Control, and the rights of the Company to terminate the employment of the Executive, prior to a Change of Control, shall continue as fully as if this Agreement were not in effect.</w:t>
      </w:r>
    </w:p>
    <w:p>
      <w:pPr>
        <w:spacing w:after="0" w:line="197" w:lineRule="exact"/>
        <w:rPr>
          <w:rFonts w:ascii="Courier New" w:cs="Courier New" w:eastAsia="Courier New" w:hAnsi="Courier New"/>
          <w:sz w:val="17"/>
          <w:szCs w:val="17"/>
          <w:color w:val="auto"/>
        </w:rPr>
      </w:pPr>
    </w:p>
    <w:p>
      <w:pPr>
        <w:ind w:right="2139" w:firstLine="950"/>
        <w:spacing w:after="0" w:line="253" w:lineRule="auto"/>
        <w:tabs>
          <w:tab w:leader="none" w:pos="1362"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For purposes of this Agreement, notices and all other communications provided for in the Agreement shall be in writing and shall be deemed to have been duly given when delivered or mailed by United States registered mail, return receipt registered, postage prepaid, as follows: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Company:</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Attn: General Counsel</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605 W. Crystal Lake Road</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P.O. Box 152</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Forest City, IA 50436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Executive:</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James P. Jaskoviak</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606 S. 6th Street</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Forest City, IA 50436</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or such other address as either party may have furnished to the other in writing in accordance herewith, except that notices of change of address shall be effective only upon receipt.</w:t>
      </w:r>
    </w:p>
    <w:p>
      <w:pPr>
        <w:spacing w:after="0" w:line="194" w:lineRule="exact"/>
        <w:rPr>
          <w:sz w:val="20"/>
          <w:szCs w:val="20"/>
          <w:color w:val="auto"/>
        </w:rPr>
      </w:pPr>
    </w:p>
    <w:p>
      <w:pPr>
        <w:ind w:right="1839" w:firstLine="950"/>
        <w:spacing w:after="0" w:line="251" w:lineRule="auto"/>
        <w:tabs>
          <w:tab w:leader="none" w:pos="1362"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No provisions of this Agreement may be modified, waived or discharged unless such waiver, 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01"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VALIDITY. The invalidity or unenforceability of any provisions of this Agreement shall not affect the validity or enforceability of any other provision of this Agreement, which shall remain in full force and effect.</w:t>
      </w:r>
    </w:p>
    <w:p>
      <w:pPr>
        <w:spacing w:after="0" w:line="194"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one or more counterparts, each of which shall be deemed to be an original but all of which together will constitute one and the same instrument.</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21" w:right="1440" w:bottom="1440" w:gutter="0" w:footer="0" w:header="0"/>
        </w:sectPr>
      </w:pPr>
    </w:p>
    <w:bookmarkStart w:id="80" w:name="page81"/>
    <w:bookmarkEnd w:id="80"/>
    <w:p>
      <w:pPr>
        <w:jc w:val="both"/>
        <w:ind w:right="2039" w:firstLine="950"/>
        <w:spacing w:after="0" w:line="253" w:lineRule="auto"/>
        <w:tabs>
          <w:tab w:leader="none" w:pos="1362"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LEGAL FEES AND EXPENSES. The Company shall pay all legal fees and expenses which the Executive may incur as a result of the Company's contesting the validity, enforceability or the Executive's interpretation of, or determinations under, this Agreement.</w:t>
      </w:r>
    </w:p>
    <w:p>
      <w:pPr>
        <w:spacing w:after="0" w:line="195" w:lineRule="exact"/>
        <w:rPr>
          <w:rFonts w:ascii="Courier New" w:cs="Courier New" w:eastAsia="Courier New" w:hAnsi="Courier New"/>
          <w:sz w:val="17"/>
          <w:szCs w:val="17"/>
          <w:color w:val="auto"/>
        </w:rPr>
      </w:pPr>
    </w:p>
    <w:p>
      <w:pPr>
        <w:jc w:val="both"/>
        <w:ind w:right="2039" w:firstLine="950"/>
        <w:spacing w:after="0" w:line="254" w:lineRule="auto"/>
        <w:tabs>
          <w:tab w:leader="none" w:pos="1362"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 The Executive shall retain in confidence any and all confidential information known to the Executive concerning the Company and its business so long as such information is not otherwise publicly disclosed.</w:t>
      </w:r>
    </w:p>
    <w:p>
      <w:pPr>
        <w:spacing w:after="0" w:line="194" w:lineRule="exact"/>
        <w:rPr>
          <w:sz w:val="20"/>
          <w:szCs w:val="20"/>
          <w:color w:val="auto"/>
        </w:rPr>
      </w:pPr>
    </w:p>
    <w:p>
      <w:pPr>
        <w:ind w:right="2259" w:firstLine="943"/>
        <w:spacing w:after="0" w:line="257" w:lineRule="auto"/>
        <w:rPr>
          <w:sz w:val="20"/>
          <w:szCs w:val="20"/>
          <w:color w:val="auto"/>
        </w:rPr>
      </w:pPr>
      <w:r>
        <w:rPr>
          <w:rFonts w:ascii="Courier New" w:cs="Courier New" w:eastAsia="Courier New" w:hAnsi="Courier New"/>
          <w:sz w:val="17"/>
          <w:szCs w:val="17"/>
          <w:color w:val="auto"/>
        </w:rPr>
        <w:t>IN WITNESS WHEREOF, the parties have executed this agreement on the date set out above.</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Bruce D. Hertzke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Chairman of the Board, Chief Executive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Officer and President</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EXECUTIVE:</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7"/>
          <w:szCs w:val="17"/>
          <w:color w:val="auto"/>
        </w:rPr>
        <w:t>James P. Jaskoviak</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921" w:right="1440" w:bottom="1440" w:gutter="0" w:footer="0" w:header="0"/>
        </w:sectPr>
      </w:pPr>
    </w:p>
    <w:bookmarkStart w:id="81" w:name="page82"/>
    <w:bookmarkEnd w:id="81"/>
    <w:p>
      <w:pPr>
        <w:jc w:val="center"/>
        <w:ind w:right="1839"/>
        <w:spacing w:after="0"/>
        <w:rPr>
          <w:sz w:val="20"/>
          <w:szCs w:val="20"/>
          <w:color w:val="auto"/>
        </w:rPr>
      </w:pPr>
      <w:r>
        <w:rPr>
          <w:rFonts w:ascii="Courier New" w:cs="Courier New" w:eastAsia="Courier New" w:hAnsi="Courier New"/>
          <w:sz w:val="17"/>
          <w:szCs w:val="17"/>
          <w:color w:val="auto"/>
        </w:rPr>
        <w:t>EXHIBIT 10s.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EXECUTIVE CHANGE OF CONTROL AGREEMENT</w:t>
      </w:r>
    </w:p>
    <w:p>
      <w:pPr>
        <w:spacing w:after="0" w:line="210"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This EXECUTIVE CHANGE OF CONTROL AGREEMENT is made as of January 17, 2001, by and between WINNEBAGO INDUSTRIES, INC., an Iowa corporation (the "Company"), and Robert J. Olson (the "Executive").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WHEREAS, the Executive is a senior executive and officer of the Company and has made and is expected to continue to make major contributions to the profitability, growth and financial strength of the Company;</w:t>
      </w:r>
    </w:p>
    <w:p>
      <w:pPr>
        <w:spacing w:after="0" w:line="194" w:lineRule="exact"/>
        <w:rPr>
          <w:sz w:val="20"/>
          <w:szCs w:val="20"/>
          <w:color w:val="auto"/>
        </w:rPr>
      </w:pPr>
    </w:p>
    <w:p>
      <w:pPr>
        <w:ind w:right="1939" w:firstLine="943"/>
        <w:spacing w:after="0" w:line="254" w:lineRule="auto"/>
        <w:rPr>
          <w:sz w:val="20"/>
          <w:szCs w:val="20"/>
          <w:color w:val="auto"/>
        </w:rPr>
      </w:pPr>
      <w:r>
        <w:rPr>
          <w:rFonts w:ascii="Courier New" w:cs="Courier New" w:eastAsia="Courier New" w:hAnsi="Courier New"/>
          <w:sz w:val="17"/>
          <w:szCs w:val="17"/>
          <w:color w:val="auto"/>
        </w:rPr>
        <w:t>WHEREAS, the Company recognizes that, as is the case for most publicly held companies, the possibility of a Change of Control (as hereafter defined) exists;</w:t>
      </w:r>
    </w:p>
    <w:p>
      <w:pPr>
        <w:spacing w:after="0" w:line="194"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WHEREAS, it is in the best interests of the Company, considering the past and future services of the Executive, to improve the security and climate for objective decision making by providing for the personal security of the Executive upon a Change of Control.</w:t>
      </w:r>
    </w:p>
    <w:p>
      <w:pPr>
        <w:spacing w:after="0" w:line="195"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NOW, THEREFORE, in consideration of the foregoing premises and the past and future services rendered and to be rendered by the Executive to the Company and of the mutual covenants and agreements hereinafter set forth, the parties agree as follows: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AGREEMENT</w:t>
      </w:r>
    </w:p>
    <w:p>
      <w:pPr>
        <w:spacing w:after="0" w:line="210" w:lineRule="exact"/>
        <w:rPr>
          <w:sz w:val="20"/>
          <w:szCs w:val="20"/>
          <w:color w:val="auto"/>
        </w:rPr>
      </w:pPr>
    </w:p>
    <w:p>
      <w:pPr>
        <w:ind w:right="1939" w:firstLine="950"/>
        <w:spacing w:after="0" w:line="251" w:lineRule="auto"/>
        <w:tabs>
          <w:tab w:leader="none" w:pos="1257" w:val="left"/>
        </w:tabs>
        <w:numPr>
          <w:ilvl w:val="1"/>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SERVICE BY EXECUTIVE. In the event a person or entity, in order to effect a Change of Control, commences a 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201" w:lineRule="exact"/>
        <w:rPr>
          <w:rFonts w:ascii="Courier New" w:cs="Courier New" w:eastAsia="Courier New" w:hAnsi="Courier New"/>
          <w:sz w:val="17"/>
          <w:szCs w:val="17"/>
          <w:color w:val="auto"/>
        </w:rPr>
      </w:pPr>
    </w:p>
    <w:p>
      <w:pPr>
        <w:ind w:right="1939" w:firstLine="950"/>
        <w:spacing w:after="0" w:line="251" w:lineRule="auto"/>
        <w:tabs>
          <w:tab w:leader="none" w:pos="1257" w:val="left"/>
        </w:tabs>
        <w:numPr>
          <w:ilvl w:val="1"/>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For purposes of this Agreement, the term "Change of Control" means the time when (i) any Person becomes an Acquiring Person, or</w:t>
      </w:r>
    </w:p>
    <w:p>
      <w:pPr>
        <w:ind w:right="1939" w:firstLine="7"/>
        <w:spacing w:after="0" w:line="251" w:lineRule="auto"/>
        <w:tabs>
          <w:tab w:leader="none" w:pos="524"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individuals who shall qualify as Continuing Directors of the Company shall have ceased for any reason to constitute at least a majority of the Board of Directors of the Company; PROVIDED HOWEVER, that in the case of either clause</w:t>
      </w:r>
    </w:p>
    <w:p>
      <w:pPr>
        <w:ind w:left="420" w:hanging="413"/>
        <w:spacing w:after="0"/>
        <w:tabs>
          <w:tab w:leader="none" w:pos="420"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(ii) a Change of Control shall not be deemed to have occurred if the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1"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For the purpose of the foregoing definition of "Change of Control," the capitalized terms shall have the following meanings:</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00" w:right="1839" w:hanging="950"/>
        <w:spacing w:after="0" w:line="251" w:lineRule="auto"/>
        <w:tabs>
          <w:tab w:leader="none" w:pos="19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1" w:lineRule="exact"/>
        <w:rPr>
          <w:rFonts w:ascii="Courier New" w:cs="Courier New" w:eastAsia="Courier New" w:hAnsi="Courier New"/>
          <w:sz w:val="17"/>
          <w:szCs w:val="17"/>
          <w:color w:val="auto"/>
        </w:rPr>
      </w:pPr>
    </w:p>
    <w:p>
      <w:pPr>
        <w:ind w:left="1900" w:right="1839" w:hanging="950"/>
        <w:spacing w:after="0" w:line="252" w:lineRule="auto"/>
        <w:tabs>
          <w:tab w:leader="none" w:pos="19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January 17, 2001, except</w:t>
      </w:r>
    </w:p>
    <w:p>
      <w:pPr>
        <w:sectPr>
          <w:pgSz w:w="11900" w:h="16838" w:orient="portrait"/>
          <w:cols w:equalWidth="0" w:num="1">
            <w:col w:w="10219"/>
          </w:cols>
          <w:pgMar w:left="240" w:top="142" w:right="1440" w:bottom="0" w:gutter="0" w:footer="0" w:header="0"/>
        </w:sectPr>
      </w:pPr>
    </w:p>
    <w:bookmarkStart w:id="82" w:name="page83"/>
    <w:bookmarkEnd w:id="82"/>
    <w:p>
      <w:pPr>
        <w:ind w:left="950" w:right="1939"/>
        <w:spacing w:after="0" w:line="254" w:lineRule="auto"/>
        <w:rPr>
          <w:sz w:val="20"/>
          <w:szCs w:val="20"/>
          <w:color w:val="auto"/>
        </w:rPr>
      </w:pPr>
      <w:r>
        <w:rPr>
          <w:rFonts w:ascii="Courier New" w:cs="Courier New" w:eastAsia="Courier New" w:hAnsi="Courier New"/>
          <w:sz w:val="17"/>
          <w:szCs w:val="17"/>
          <w:color w:val="auto"/>
        </w:rPr>
        <w:t>that the term "Acquiring Person" shall not include a Hanson Family Member or an Affiliate or Associate of a Hanson Family Member.</w:t>
      </w:r>
    </w:p>
    <w:p>
      <w:pPr>
        <w:spacing w:after="0" w:line="194" w:lineRule="exact"/>
        <w:rPr>
          <w:sz w:val="20"/>
          <w:szCs w:val="20"/>
          <w:color w:val="auto"/>
        </w:rPr>
      </w:pPr>
    </w:p>
    <w:p>
      <w:pPr>
        <w:ind w:left="950" w:right="1839" w:hanging="950"/>
        <w:spacing w:after="0" w:line="254" w:lineRule="auto"/>
        <w:tabs>
          <w:tab w:leader="none" w:pos="95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means a Person that directly or indirectly through one or more intermediaries, controls, or is controlled by, or is under common control with, the person specified.</w:t>
      </w:r>
    </w:p>
    <w:p>
      <w:pPr>
        <w:spacing w:after="0" w:line="194" w:lineRule="exact"/>
        <w:rPr>
          <w:rFonts w:ascii="Courier New" w:cs="Courier New" w:eastAsia="Courier New" w:hAnsi="Courier New"/>
          <w:sz w:val="17"/>
          <w:szCs w:val="17"/>
          <w:color w:val="auto"/>
        </w:rPr>
      </w:pPr>
    </w:p>
    <w:p>
      <w:pPr>
        <w:ind w:left="950" w:right="1939" w:hanging="950"/>
        <w:spacing w:after="0" w:line="251" w:lineRule="auto"/>
        <w:tabs>
          <w:tab w:leader="none" w:pos="950"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ind w:left="950" w:right="2039" w:hanging="7"/>
        <w:spacing w:after="0" w:line="251" w:lineRule="auto"/>
        <w:tabs>
          <w:tab w:leader="none" w:pos="1369"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trust or fund in which such person has a substantial beneficial interest or as to which such person serves as trustee or in a similar fiduciary capacity, (3) any relative or spouse of such person, or any relative of such spouse, or</w:t>
      </w:r>
    </w:p>
    <w:p>
      <w:pPr>
        <w:ind w:left="950" w:right="2559" w:hanging="7"/>
        <w:spacing w:after="0" w:line="257" w:lineRule="auto"/>
        <w:tabs>
          <w:tab w:leader="none" w:pos="1369" w:val="left"/>
        </w:tabs>
        <w:numPr>
          <w:ilvl w:val="1"/>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investment company for which such person or any Affiliate of such person serves as investment advisor.</w:t>
      </w:r>
    </w:p>
    <w:p>
      <w:pPr>
        <w:spacing w:after="0" w:line="191" w:lineRule="exact"/>
        <w:rPr>
          <w:rFonts w:ascii="Courier New" w:cs="Courier New" w:eastAsia="Courier New" w:hAnsi="Courier New"/>
          <w:sz w:val="17"/>
          <w:szCs w:val="17"/>
          <w:color w:val="auto"/>
        </w:rPr>
      </w:pPr>
    </w:p>
    <w:p>
      <w:pPr>
        <w:ind w:left="950" w:right="1939" w:hanging="950"/>
        <w:spacing w:after="0" w:line="252" w:lineRule="auto"/>
        <w:tabs>
          <w:tab w:leader="none" w:pos="95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"Hanson Family Member" means John K. Hanson (deceased)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96" w:lineRule="exact"/>
        <w:rPr>
          <w:rFonts w:ascii="Courier New" w:cs="Courier New" w:eastAsia="Courier New" w:hAnsi="Courier New"/>
          <w:sz w:val="17"/>
          <w:szCs w:val="17"/>
          <w:color w:val="auto"/>
        </w:rPr>
      </w:pPr>
    </w:p>
    <w:p>
      <w:pPr>
        <w:ind w:left="950" w:right="1839" w:hanging="950"/>
        <w:spacing w:after="0" w:line="253" w:lineRule="auto"/>
        <w:tabs>
          <w:tab w:leader="none" w:pos="950"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means an individual, corporation, limited liability company, partnership, association, joint stock company, trust, unincorporated organization or government or political subdivision thereof.</w:t>
      </w:r>
    </w:p>
    <w:p>
      <w:pPr>
        <w:spacing w:after="0" w:line="195" w:lineRule="exact"/>
        <w:rPr>
          <w:sz w:val="20"/>
          <w:szCs w:val="20"/>
          <w:color w:val="auto"/>
        </w:rPr>
      </w:pPr>
    </w:p>
    <w:p>
      <w:pPr>
        <w:ind w:left="-950" w:right="1839" w:firstLine="950"/>
        <w:spacing w:after="0" w:line="253" w:lineRule="auto"/>
        <w:tabs>
          <w:tab w:leader="none" w:pos="307"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BENEFITS EFFECTIVE IMMEDIATELY UPON A CHANGE OF CONTROL. If a Change of Control shall have occurred while the Executive is still an employee of the Company, then the Executive shall immediately be entitled to the following benefits:</w:t>
      </w:r>
    </w:p>
    <w:p>
      <w:pPr>
        <w:spacing w:after="0" w:line="195" w:lineRule="exact"/>
        <w:rPr>
          <w:rFonts w:ascii="Courier New" w:cs="Courier New" w:eastAsia="Courier New" w:hAnsi="Courier New"/>
          <w:sz w:val="17"/>
          <w:szCs w:val="17"/>
          <w:color w:val="auto"/>
        </w:rPr>
      </w:pPr>
    </w:p>
    <w:p>
      <w:pPr>
        <w:ind w:left="-950" w:right="1839" w:firstLine="1893"/>
        <w:spacing w:after="0" w:line="252" w:lineRule="auto"/>
        <w:tabs>
          <w:tab w:leader="none" w:pos="1354" w:val="left"/>
        </w:tabs>
        <w:numPr>
          <w:ilvl w:val="1"/>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 VESTING OF ALL STOCK OPTIONS AND RIGHTS. All options and rights granted to the Executive by the Company pursuant to the Company's Stock Option Plan effective as of August 14, 1997, or any successor or supplemental stock plan shall become immediately exercisable upon a Change of Control.</w:t>
      </w:r>
    </w:p>
    <w:p>
      <w:pPr>
        <w:spacing w:after="0" w:line="197" w:lineRule="exact"/>
        <w:rPr>
          <w:rFonts w:ascii="Courier New" w:cs="Courier New" w:eastAsia="Courier New" w:hAnsi="Courier New"/>
          <w:sz w:val="17"/>
          <w:szCs w:val="17"/>
          <w:color w:val="auto"/>
        </w:rPr>
      </w:pPr>
    </w:p>
    <w:p>
      <w:pPr>
        <w:ind w:left="-950" w:right="2139" w:firstLine="1893"/>
        <w:spacing w:after="0" w:line="252" w:lineRule="auto"/>
        <w:tabs>
          <w:tab w:leader="none" w:pos="1354" w:val="left"/>
        </w:tabs>
        <w:numPr>
          <w:ilvl w:val="1"/>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If the Executive is a participant under the Company's Executive Split Dollar Life Insurance Program at the time of a Change of Control and the Company has paid any portion of the premium on the policy or policies issued in connection therewith during the twelve months preceding the occurrence of the</w:t>
      </w:r>
    </w:p>
    <w:p>
      <w:pPr>
        <w:spacing w:after="0" w:line="399" w:lineRule="exact"/>
        <w:rPr>
          <w:sz w:val="20"/>
          <w:szCs w:val="20"/>
          <w:color w:val="auto"/>
        </w:rPr>
      </w:pPr>
    </w:p>
    <w:p>
      <w:pPr>
        <w:ind w:left="315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269"/>
          </w:cols>
          <w:pgMar w:left="1190" w:top="142" w:right="1440" w:bottom="1440" w:gutter="0" w:footer="0" w:header="0"/>
        </w:sectPr>
      </w:pPr>
    </w:p>
    <w:bookmarkStart w:id="83" w:name="page84"/>
    <w:bookmarkEnd w:id="83"/>
    <w:p>
      <w:pPr>
        <w:ind w:right="2039"/>
        <w:spacing w:after="0" w:line="257" w:lineRule="auto"/>
        <w:rPr>
          <w:sz w:val="20"/>
          <w:szCs w:val="20"/>
          <w:color w:val="auto"/>
        </w:rPr>
      </w:pPr>
      <w:r>
        <w:rPr>
          <w:rFonts w:ascii="Courier New" w:cs="Courier New" w:eastAsia="Courier New" w:hAnsi="Courier New"/>
          <w:sz w:val="17"/>
          <w:szCs w:val="17"/>
          <w:color w:val="auto"/>
        </w:rPr>
        <w:t>Change of Control, then the Company shall continue to pay all premiums on such policies so long as the Executive remains in the employ of the Company.</w:t>
      </w:r>
    </w:p>
    <w:p>
      <w:pPr>
        <w:spacing w:after="0" w:line="192" w:lineRule="exact"/>
        <w:rPr>
          <w:sz w:val="20"/>
          <w:szCs w:val="20"/>
          <w:color w:val="auto"/>
        </w:rPr>
      </w:pPr>
    </w:p>
    <w:p>
      <w:pPr>
        <w:ind w:right="2139" w:firstLine="1893"/>
        <w:spacing w:after="0" w:line="252" w:lineRule="auto"/>
        <w:tabs>
          <w:tab w:leader="none" w:pos="2304" w:val="left"/>
        </w:tabs>
        <w:numPr>
          <w:ilvl w:val="2"/>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HEALTH INSURANCE. Any plans or policies of the Company providing for medical, dental, vision or similar benefits for retired employees existing as of the time of a Change of Control shall, as to the Executive, not be rescinded or modified in any manner which is adverse to the Executive following a Change of Control.</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All nonregistered stock of the Company owned by the Executive, which is subject to restrictions on sale or other transfer, shall, at the option of the Executive (exercisable at any time by the delivery of written notice to the Company) be purchased by the Company at its fair market value. The purchase shall be completed by the Company within thirty</w:t>
      </w:r>
    </w:p>
    <w:p>
      <w:pPr>
        <w:ind w:right="2259" w:firstLine="7"/>
        <w:spacing w:after="0" w:line="252" w:lineRule="auto"/>
        <w:tabs>
          <w:tab w:leader="none" w:pos="524"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after the Company receives the written notice of exercise from the Executive. So long as the Company's stock is traded on the New York Stock Exchange (the "NYSE"), the "fair market value" shall be the mean between the highest and lowest reported selling prices as reported by the NYSE on the business day immediately preceding the day of sale.</w:t>
      </w:r>
    </w:p>
    <w:p>
      <w:pPr>
        <w:spacing w:after="0" w:line="197"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BENEFITS EFFECTIVE IMMEDIATELY UPON A CHANGE OF CONTROL PURSUANT TO PLAN DOCUMENTS. It is acknowledged that there presently exist other plans and agreements of the Company which may provide benefits to the Executive and which contain specific provisions dealing with the occurrence of a change of control of the Company (as defined in such plan or agreement). Following a Change of Control, no such plan or agreement shall be rescinded or modified in any manner which is adverse to the Executive. Such other plans and agreements of the Company shall mean: (a) the Executive Share Option Program; (b) the Officers' Long-Term Incentive Plan; (c) the Deferred Compensation and Deferred Bonus Plans; and (d) the Officers' Incentive Compensation Plan. Nothing herein shall be construed to affect the Company's right and ability to terminate or amend any such plan or agreement (subject to the terms thereof) prior to a Change of Control.</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1"/>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FOLLOWING A CHANGE OF CONTROL. If a Change of Control shall have occurred while the Executive is still an employee of the Company, and if the Executive's employment with the Company is terminated, within three years following such Change of Control, then the Executive shall be entitled to the compensation and benefits provided in Sections 6 and 7, unless such termination is a result of: (a) the Executive's death; (b) the Executive's Disability [as defined in Section 5(a) below]; (c) the Executive's Retirement [as defined in Section 5(b) below]; (d) the Executive's termination by the Company for Cause [as defined in Section 5(c) below]; or (e) the Executive's decision to terminate employment other than for Good Reason [as defined in Section 5(d) below].</w:t>
      </w:r>
    </w:p>
    <w:p>
      <w:pPr>
        <w:spacing w:after="0" w:line="201"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If, as a result of the Executive's incapacity due to physical or mental illness, the Executive shall have 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96" w:lineRule="exact"/>
        <w:rPr>
          <w:rFonts w:ascii="Courier New" w:cs="Courier New" w:eastAsia="Courier New" w:hAnsi="Courier New"/>
          <w:sz w:val="17"/>
          <w:szCs w:val="17"/>
          <w:color w:val="auto"/>
        </w:rPr>
      </w:pPr>
    </w:p>
    <w:p>
      <w:pPr>
        <w:ind w:right="1939" w:firstLine="1893"/>
        <w:spacing w:after="0" w:line="252" w:lineRule="auto"/>
        <w:tabs>
          <w:tab w:leader="none" w:pos="2304" w:val="left"/>
        </w:tabs>
        <w:numPr>
          <w:ilvl w:val="2"/>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RETIREMENT. The term "Retirement" as used in this Agreement shall mean termination by the Company or the Executive of the Executive's employment based on the Executive having attained the age of 65 or such other age as shall have been fixed in any arrangement established with the Executive's consent with respect to the Executive.</w:t>
      </w:r>
    </w:p>
    <w:p>
      <w:pPr>
        <w:spacing w:after="0" w:line="197"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may terminate the Executive's employment for Cause. For purposes of this Agreement only, the Company shall have "Cause" to terminate the Executive's employment hereunder only on the basis of (i) fraud, misappropriation or embezzlement on the part of the Executive; or (ii) intentional misconduct or gross negligence on</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921" w:right="1440" w:bottom="1440" w:gutter="0" w:footer="0" w:header="0"/>
        </w:sectPr>
      </w:pPr>
    </w:p>
    <w:bookmarkStart w:id="84" w:name="page85"/>
    <w:bookmarkEnd w:id="84"/>
    <w:p>
      <w:pPr>
        <w:ind w:right="1939"/>
        <w:spacing w:after="0" w:line="251" w:lineRule="auto"/>
        <w:rPr>
          <w:sz w:val="20"/>
          <w:szCs w:val="20"/>
          <w:color w:val="auto"/>
        </w:rPr>
      </w:pPr>
      <w:r>
        <w:rPr>
          <w:rFonts w:ascii="Courier New" w:cs="Courier New" w:eastAsia="Courier New" w:hAnsi="Courier New"/>
          <w:sz w:val="17"/>
          <w:szCs w:val="17"/>
          <w:color w:val="auto"/>
        </w:rPr>
        <w:t>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5(c) and specifying the particulars thereof in detail. Nothing herein shall limit the right of the Executive or his beneficiaries to contest the validity or propriety of any such determination.</w:t>
      </w:r>
    </w:p>
    <w:p>
      <w:pPr>
        <w:spacing w:after="0" w:line="200" w:lineRule="exact"/>
        <w:rPr>
          <w:sz w:val="20"/>
          <w:szCs w:val="20"/>
          <w:color w:val="auto"/>
        </w:rPr>
      </w:pPr>
    </w:p>
    <w:p>
      <w:pPr>
        <w:spacing w:after="0" w:line="203" w:lineRule="exact"/>
        <w:rPr>
          <w:sz w:val="20"/>
          <w:szCs w:val="20"/>
          <w:color w:val="auto"/>
        </w:rPr>
      </w:pPr>
    </w:p>
    <w:p>
      <w:pPr>
        <w:ind w:right="2039" w:firstLine="1893"/>
        <w:spacing w:after="0" w:line="253" w:lineRule="auto"/>
        <w:tabs>
          <w:tab w:leader="none" w:pos="2304"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REASON. The Executive may terminate the Executive's employment for Good Reason at any time during the term of this Agreement. For purposes of this Agreement "Good Reason" shall mean any of the following (without the Executive's express written consent):</w:t>
      </w:r>
    </w:p>
    <w:p>
      <w:pPr>
        <w:spacing w:after="0" w:line="195" w:lineRule="exact"/>
        <w:rPr>
          <w:sz w:val="20"/>
          <w:szCs w:val="20"/>
          <w:color w:val="auto"/>
        </w:rPr>
      </w:pPr>
    </w:p>
    <w:p>
      <w:pPr>
        <w:ind w:right="1839" w:firstLine="1893"/>
        <w:spacing w:after="0" w:line="251" w:lineRule="auto"/>
        <w:tabs>
          <w:tab w:leader="none" w:pos="2304"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1893"/>
        <w:spacing w:after="0" w:line="252" w:lineRule="auto"/>
        <w:tabs>
          <w:tab w:leader="none" w:pos="2409"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 officers of the Company effected in the preceding 12 months;</w:t>
      </w:r>
    </w:p>
    <w:p>
      <w:pPr>
        <w:spacing w:after="0" w:line="397" w:lineRule="exact"/>
        <w:rPr>
          <w:rFonts w:ascii="Courier New" w:cs="Courier New" w:eastAsia="Courier New" w:hAnsi="Courier New"/>
          <w:sz w:val="17"/>
          <w:szCs w:val="17"/>
          <w:color w:val="auto"/>
        </w:rPr>
      </w:pPr>
    </w:p>
    <w:p>
      <w:pPr>
        <w:ind w:right="1839" w:firstLine="1893"/>
        <w:spacing w:after="0" w:line="251" w:lineRule="auto"/>
        <w:tabs>
          <w:tab w:leader="none" w:pos="2514"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409"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reduce the Executive's benefits under any such Incentive Plan, expressed as a percentage of his base salary, by more than 10 percentage points in any fiscal year as compared to the immediately preceding fiscal year;</w:t>
      </w:r>
    </w:p>
    <w:p>
      <w:pPr>
        <w:spacing w:after="0" w:line="201" w:lineRule="exact"/>
        <w:rPr>
          <w:rFonts w:ascii="Courier New" w:cs="Courier New" w:eastAsia="Courier New" w:hAnsi="Courier New"/>
          <w:sz w:val="17"/>
          <w:szCs w:val="17"/>
          <w:color w:val="auto"/>
        </w:rPr>
      </w:pPr>
    </w:p>
    <w:p>
      <w:pPr>
        <w:ind w:right="1939" w:firstLine="1893"/>
        <w:spacing w:after="0" w:line="253" w:lineRule="auto"/>
        <w:tabs>
          <w:tab w:leader="none" w:pos="2304"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920" w:right="1440" w:bottom="1440" w:gutter="0" w:footer="0" w:header="0"/>
        </w:sectPr>
      </w:pPr>
    </w:p>
    <w:bookmarkStart w:id="85" w:name="page86"/>
    <w:bookmarkEnd w:id="85"/>
    <w:p>
      <w:pPr>
        <w:ind w:right="2039"/>
        <w:spacing w:after="0" w:line="254" w:lineRule="auto"/>
        <w:rPr>
          <w:sz w:val="20"/>
          <w:szCs w:val="20"/>
          <w:color w:val="auto"/>
        </w:rPr>
      </w:pPr>
      <w:r>
        <w:rPr>
          <w:rFonts w:ascii="Courier New" w:cs="Courier New" w:eastAsia="Courier New" w:hAnsi="Courier New"/>
          <w:sz w:val="17"/>
          <w:szCs w:val="17"/>
          <w:color w:val="auto"/>
        </w:rPr>
        <w:t>(hereinafter referred to as "Securities Plans") or the taking of any action by the Company which would adversely affect the Executive's participation in or materially reduce the Executive's benefits under any such Securities Plan;</w:t>
      </w:r>
    </w:p>
    <w:p>
      <w:pPr>
        <w:spacing w:after="0" w:line="194" w:lineRule="exact"/>
        <w:rPr>
          <w:sz w:val="20"/>
          <w:szCs w:val="20"/>
          <w:color w:val="auto"/>
        </w:rPr>
      </w:pPr>
    </w:p>
    <w:p>
      <w:pPr>
        <w:ind w:right="1839" w:firstLine="1893"/>
        <w:spacing w:after="0" w:line="252" w:lineRule="auto"/>
        <w:tabs>
          <w:tab w:leader="none" w:pos="2409"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95" w:lineRule="exact"/>
        <w:rPr>
          <w:rFonts w:ascii="Courier New" w:cs="Courier New" w:eastAsia="Courier New" w:hAnsi="Courier New"/>
          <w:sz w:val="17"/>
          <w:szCs w:val="17"/>
          <w:color w:val="auto"/>
        </w:rPr>
      </w:pPr>
    </w:p>
    <w:p>
      <w:pPr>
        <w:ind w:right="1839" w:firstLine="1893"/>
        <w:spacing w:after="0" w:line="254" w:lineRule="auto"/>
        <w:tabs>
          <w:tab w:leader="none" w:pos="2514"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provide the Executive with the number of paid vacation days to which the Executive is entitled at the time of a Change in Control of the Company;</w:t>
      </w:r>
    </w:p>
    <w:p>
      <w:pPr>
        <w:spacing w:after="0" w:line="194" w:lineRule="exact"/>
        <w:rPr>
          <w:rFonts w:ascii="Courier New" w:cs="Courier New" w:eastAsia="Courier New" w:hAnsi="Courier New"/>
          <w:sz w:val="17"/>
          <w:szCs w:val="17"/>
          <w:color w:val="auto"/>
        </w:rPr>
      </w:pPr>
    </w:p>
    <w:p>
      <w:pPr>
        <w:ind w:left="2620" w:hanging="727"/>
        <w:spacing w:after="0"/>
        <w:tabs>
          <w:tab w:leader="none" w:pos="262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breach by the Company of any provision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w:t>
      </w:r>
    </w:p>
    <w:p>
      <w:pPr>
        <w:spacing w:after="0" w:line="210" w:lineRule="exact"/>
        <w:rPr>
          <w:rFonts w:ascii="Courier New" w:cs="Courier New" w:eastAsia="Courier New" w:hAnsi="Courier New"/>
          <w:sz w:val="17"/>
          <w:szCs w:val="17"/>
          <w:color w:val="auto"/>
        </w:rPr>
      </w:pPr>
    </w:p>
    <w:p>
      <w:pPr>
        <w:ind w:left="2420" w:hanging="527"/>
        <w:spacing w:after="0"/>
        <w:tabs>
          <w:tab w:leader="none" w:pos="242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the Company to obtain the assumption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by any successor or assign of the Company; or</w:t>
      </w:r>
    </w:p>
    <w:p>
      <w:pPr>
        <w:spacing w:after="0" w:line="210" w:lineRule="exact"/>
        <w:rPr>
          <w:rFonts w:ascii="Courier New" w:cs="Courier New" w:eastAsia="Courier New" w:hAnsi="Courier New"/>
          <w:sz w:val="17"/>
          <w:szCs w:val="17"/>
          <w:color w:val="auto"/>
        </w:rPr>
      </w:pPr>
    </w:p>
    <w:p>
      <w:pPr>
        <w:ind w:right="2139" w:firstLine="1893"/>
        <w:spacing w:after="0" w:line="253" w:lineRule="auto"/>
        <w:tabs>
          <w:tab w:leader="none" w:pos="2304"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purported termination of the Executive's employment which is not effected pursuant to a Notice of Termination satisfying the requirements of Section 3(f), and for purposes of this Agreement, no such purported termination shall be effective.</w:t>
      </w:r>
    </w:p>
    <w:p>
      <w:pPr>
        <w:spacing w:after="0" w:line="195" w:lineRule="exact"/>
        <w:rPr>
          <w:sz w:val="20"/>
          <w:szCs w:val="20"/>
          <w:color w:val="auto"/>
        </w:rPr>
      </w:pPr>
    </w:p>
    <w:p>
      <w:pPr>
        <w:ind w:right="1839" w:firstLine="1893"/>
        <w:spacing w:after="0" w:line="251" w:lineRule="auto"/>
        <w:tabs>
          <w:tab w:leader="none" w:pos="2304" w:val="left"/>
        </w:tabs>
        <w:numPr>
          <w:ilvl w:val="1"/>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TERMINATION. Any termination by the Company pursuant to Section 5(a), (b) or (c) shall be 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1"/>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OF TERMINATION. "Date of Termination" shall mean (a) if this Agreement is terminated by the Company for Disability, 30 days 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PROVIDED that if within 30 days after any Notice of Termination is given to the Executive by the Company the Executive notifies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01" w:lineRule="exact"/>
        <w:rPr>
          <w:rFonts w:ascii="Courier New" w:cs="Courier New" w:eastAsia="Courier New" w:hAnsi="Courier New"/>
          <w:sz w:val="17"/>
          <w:szCs w:val="17"/>
          <w:color w:val="auto"/>
        </w:rPr>
      </w:pPr>
    </w:p>
    <w:p>
      <w:pPr>
        <w:ind w:right="1839" w:firstLine="950"/>
        <w:spacing w:after="0" w:line="251" w:lineRule="auto"/>
        <w:tabs>
          <w:tab w:leader="none" w:pos="1257"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COMPENSATION UPON TERMINATION OF EMPLOYMENT. If the Company shall terminate the Executive's employment other 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921" w:right="1440" w:bottom="1440" w:gutter="0" w:footer="0" w:header="0"/>
        </w:sectPr>
      </w:pPr>
    </w:p>
    <w:bookmarkStart w:id="86" w:name="page87"/>
    <w:bookmarkEnd w:id="86"/>
    <w:p>
      <w:pPr>
        <w:ind w:right="2039" w:firstLine="950"/>
        <w:spacing w:after="0" w:line="252" w:lineRule="auto"/>
        <w:tabs>
          <w:tab w:leader="none" w:pos="1257"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BENEFITS UPON TERMINATION. If within three years following a Change of Control, the Company shall terminate the Executive's employment other than pursuant to Section 5(a), (b) or (c) or if the Executive shall terminate his employment for Good Reason, then the Company shall further provide to the Executive the following benefits:</w:t>
      </w:r>
    </w:p>
    <w:p>
      <w:pPr>
        <w:spacing w:after="0" w:line="197"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LIFE, DENTAL, VISION, HEALTH AND LONG-TERM DISABILITY COVERAGE. The Executive's participation in, and entitlement to, benefits under:</w:t>
      </w:r>
    </w:p>
    <w:p>
      <w:pPr>
        <w:ind w:right="1839" w:firstLine="7"/>
        <w:spacing w:after="0" w:line="251" w:lineRule="auto"/>
        <w:tabs>
          <w:tab w:leader="none" w:pos="419"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life insurance plans of the Company; (ii) all health insurance plans of the Company, including, but not limited to, those providing major medical and hospitalization benefits, dental benefits and vision benefits; and (iii) the Company's long-term disability plan or plans; as all such plans existed immediately prior to the Change of Control shall continue as though the Executive remained employed by the Corporation for an additional period of three</w:t>
      </w: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years or until the obtainment of such coverages by the Executive through another employer, whichever is earlier; provided, however, that in the case of all health insurance plans of the Company (including, but not limited to, those providing major medical and hospitalization benefits, dental benefits and vision benefits), such three-(3) year period shall be extended to the time that the Executive attains age 65 (and provided further that the Executive may then be entitled to certain retiree health insurance under Section 3(c) hereof). To the extent such participation or entitlement is not possible for any reason whatsoever, equivalent benefits shall be provided by the Company to the Executive.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2"/>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AUTOMOBILE BENEFIT. If the Executive is entitled to the use of a Company-owned automobile at the time of a Change of Control, then title to such automobile shall be transferred to the Executive (upon termination of employment as described in Section 7 above) free and clear of all liens and encumbrances (or, if the Company does not own such automobile at the time of termination, then the Company shall arrange for the purchase, for the benefit of the Executive, of a similar make, model and year of automobile).</w:t>
      </w:r>
    </w:p>
    <w:p>
      <w:pPr>
        <w:spacing w:after="0" w:line="195" w:lineRule="exact"/>
        <w:rPr>
          <w:rFonts w:ascii="Courier New" w:cs="Courier New" w:eastAsia="Courier New" w:hAnsi="Courier New"/>
          <w:sz w:val="17"/>
          <w:szCs w:val="17"/>
          <w:color w:val="auto"/>
        </w:rPr>
      </w:pPr>
    </w:p>
    <w:p>
      <w:pPr>
        <w:ind w:right="1939" w:firstLine="1893"/>
        <w:spacing w:after="0" w:line="251" w:lineRule="auto"/>
        <w:tabs>
          <w:tab w:leader="none" w:pos="2304" w:val="left"/>
        </w:tabs>
        <w:numPr>
          <w:ilvl w:val="2"/>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SPLIT DOLLAR LIFE INSURANCE PROGRAM. Provided that the Company is obligated, pursuant to Section 3(b) hereof, to pay premiums on a policy or policies issued in favor of the Executive following a Change of Control, then the Company shall, in the same manner, continue making such premium payments until the later of (i) the Executive attains the age of 55; or</w:t>
      </w:r>
    </w:p>
    <w:p>
      <w:pPr>
        <w:ind w:right="2259" w:firstLine="7"/>
        <w:spacing w:after="0" w:line="254" w:lineRule="auto"/>
        <w:tabs>
          <w:tab w:leader="none" w:pos="524"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three (3) years following the Executive's termination of employment (provided, however, that the Company shall not be obligated to make any such payments after the Executive attains age 65).</w:t>
      </w:r>
    </w:p>
    <w:p>
      <w:pPr>
        <w:spacing w:after="0" w:line="194" w:lineRule="exact"/>
        <w:rPr>
          <w:rFonts w:ascii="Courier New" w:cs="Courier New" w:eastAsia="Courier New" w:hAnsi="Courier New"/>
          <w:sz w:val="17"/>
          <w:szCs w:val="17"/>
          <w:color w:val="auto"/>
        </w:rPr>
      </w:pPr>
    </w:p>
    <w:p>
      <w:pPr>
        <w:ind w:right="2039" w:firstLine="1893"/>
        <w:spacing w:after="0" w:line="252" w:lineRule="auto"/>
        <w:tabs>
          <w:tab w:leader="none" w:pos="2304" w:val="left"/>
        </w:tabs>
        <w:numPr>
          <w:ilvl w:val="2"/>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COMPENSATION PLANS. Any vesting requirement imposed under the provisions of, or rules relating to, the Company's Deferred Compensation and Deferred Bonus Plans, (including, but not limited to, vesting conditions requiring that the Executive attain the age of 55 and/or complete five years of service following a deferral) shall be waived and the Executive shall be fully vested in all deferrals made under such plans.</w:t>
      </w:r>
    </w:p>
    <w:p>
      <w:pPr>
        <w:spacing w:after="0" w:line="196" w:lineRule="exact"/>
        <w:rPr>
          <w:rFonts w:ascii="Courier New" w:cs="Courier New" w:eastAsia="Courier New" w:hAnsi="Courier New"/>
          <w:sz w:val="17"/>
          <w:szCs w:val="17"/>
          <w:color w:val="auto"/>
        </w:rPr>
      </w:pPr>
    </w:p>
    <w:p>
      <w:pPr>
        <w:ind w:left="1260" w:hanging="310"/>
        <w:spacing w:after="0"/>
        <w:tabs>
          <w:tab w:leader="none" w:pos="1260" w:val="left"/>
        </w:tabs>
        <w:numPr>
          <w:ilvl w:val="1"/>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EXCISE TAX-ADDITIONAL PAYMENT.</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2"/>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920" w:right="1440" w:bottom="1440" w:gutter="0" w:footer="0" w:header="0"/>
        </w:sectPr>
      </w:pPr>
    </w:p>
    <w:bookmarkStart w:id="87" w:name="page88"/>
    <w:bookmarkEnd w:id="87"/>
    <w:p>
      <w:pPr>
        <w:ind w:right="2139"/>
        <w:spacing w:after="0" w:line="257" w:lineRule="auto"/>
        <w:rPr>
          <w:sz w:val="20"/>
          <w:szCs w:val="20"/>
          <w:color w:val="auto"/>
        </w:rPr>
      </w:pPr>
      <w:r>
        <w:rPr>
          <w:rFonts w:ascii="Courier New" w:cs="Courier New" w:eastAsia="Courier New" w:hAnsi="Courier New"/>
          <w:sz w:val="17"/>
          <w:szCs w:val="17"/>
          <w:color w:val="auto"/>
        </w:rPr>
        <w:t>Payment, the Executive retains an amount of the Gross-Up Payment equal to the Excise Tax imposed upon such Payment.</w:t>
      </w:r>
    </w:p>
    <w:p>
      <w:pPr>
        <w:spacing w:after="0" w:line="192" w:lineRule="exact"/>
        <w:rPr>
          <w:sz w:val="20"/>
          <w:szCs w:val="20"/>
          <w:color w:val="auto"/>
        </w:rPr>
      </w:pPr>
    </w:p>
    <w:p>
      <w:pPr>
        <w:ind w:right="1839" w:firstLine="1893"/>
        <w:spacing w:after="0" w:line="251" w:lineRule="auto"/>
        <w:tabs>
          <w:tab w:leader="none" w:pos="2304"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determinations and computations required to be made under this Section 8, including whether a Gross-Up Payment is required under clause (ii) of paragraph 8(a)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8 shall be paid by the Company to the Executive within five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8(c) and the Executive thereafter shall become obligated to make a payment of any Excise Tax, and if the amount thereof shall exceed the amount, if any, of any Excise Tax computed by the Accounting Firm pursuant to this paragraph 8(b)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8 shall be paid by the Company.</w:t>
      </w:r>
    </w:p>
    <w:p>
      <w:pPr>
        <w:spacing w:after="0" w:line="201"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30-day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201" w:lineRule="exact"/>
        <w:rPr>
          <w:sz w:val="20"/>
          <w:szCs w:val="20"/>
          <w:color w:val="auto"/>
        </w:rPr>
      </w:pPr>
    </w:p>
    <w:p>
      <w:pPr>
        <w:ind w:right="2359" w:firstLine="1893"/>
        <w:spacing w:after="0" w:line="257" w:lineRule="auto"/>
        <w:tabs>
          <w:tab w:leader="none" w:pos="2304"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 the Company any information reasonably requested relating to such claim,</w:t>
      </w:r>
    </w:p>
    <w:p>
      <w:pPr>
        <w:spacing w:after="0" w:line="191" w:lineRule="exact"/>
        <w:rPr>
          <w:rFonts w:ascii="Courier New" w:cs="Courier New" w:eastAsia="Courier New" w:hAnsi="Courier New"/>
          <w:sz w:val="17"/>
          <w:szCs w:val="17"/>
          <w:color w:val="auto"/>
        </w:rPr>
      </w:pPr>
    </w:p>
    <w:p>
      <w:pPr>
        <w:jc w:val="both"/>
        <w:ind w:right="1839" w:firstLine="1893"/>
        <w:spacing w:after="0" w:line="253" w:lineRule="auto"/>
        <w:tabs>
          <w:tab w:leader="none" w:pos="2409"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95" w:lineRule="exact"/>
        <w:rPr>
          <w:rFonts w:ascii="Courier New" w:cs="Courier New" w:eastAsia="Courier New" w:hAnsi="Courier New"/>
          <w:sz w:val="17"/>
          <w:szCs w:val="17"/>
          <w:color w:val="auto"/>
        </w:rPr>
      </w:pPr>
    </w:p>
    <w:p>
      <w:pPr>
        <w:ind w:right="2559" w:firstLine="1893"/>
        <w:spacing w:after="0" w:line="257" w:lineRule="auto"/>
        <w:tabs>
          <w:tab w:leader="none" w:pos="2514"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with the Company in good faith in order effectively to contest such claim, and</w:t>
      </w:r>
    </w:p>
    <w:p>
      <w:pPr>
        <w:spacing w:after="0" w:line="191" w:lineRule="exact"/>
        <w:rPr>
          <w:rFonts w:ascii="Courier New" w:cs="Courier New" w:eastAsia="Courier New" w:hAnsi="Courier New"/>
          <w:sz w:val="17"/>
          <w:szCs w:val="17"/>
          <w:color w:val="auto"/>
        </w:rPr>
      </w:pPr>
    </w:p>
    <w:p>
      <w:pPr>
        <w:ind w:left="2420" w:hanging="527"/>
        <w:spacing w:after="0"/>
        <w:tabs>
          <w:tab w:leader="none" w:pos="242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 the Company to participate in any proceedings</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relating to such claim;</w:t>
      </w:r>
    </w:p>
    <w:p>
      <w:pPr>
        <w:spacing w:after="0" w:line="210"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8(c), the Company shall control all proceedings taken in connection with such contest and, at its sole option, may pursue or forgo any and all administrative appeals, proceedings, hearings and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20" w:right="1440" w:bottom="1440" w:gutter="0" w:footer="0" w:header="0"/>
        </w:sectPr>
      </w:pPr>
    </w:p>
    <w:bookmarkStart w:id="88" w:name="page89"/>
    <w:bookmarkEnd w:id="88"/>
    <w:p>
      <w:pPr>
        <w:ind w:right="1839"/>
        <w:spacing w:after="0" w:line="251" w:lineRule="auto"/>
        <w:rPr>
          <w:sz w:val="20"/>
          <w:szCs w:val="20"/>
          <w:color w:val="auto"/>
        </w:rPr>
      </w:pPr>
      <w:r>
        <w:rPr>
          <w:rFonts w:ascii="Courier New" w:cs="Courier New" w:eastAsia="Courier New" w:hAnsi="Courier New"/>
          <w:sz w:val="17"/>
          <w:szCs w:val="17"/>
          <w:color w:val="auto"/>
        </w:rPr>
        <w:t>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PROVIDED, HOWEVER,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03" w:lineRule="exact"/>
        <w:rPr>
          <w:sz w:val="20"/>
          <w:szCs w:val="20"/>
          <w:color w:val="auto"/>
        </w:rPr>
      </w:pPr>
    </w:p>
    <w:p>
      <w:pPr>
        <w:ind w:right="1839" w:firstLine="1893"/>
        <w:spacing w:after="0" w:line="251" w:lineRule="auto"/>
        <w:tabs>
          <w:tab w:leader="none" w:pos="2304" w:val="left"/>
        </w:tabs>
        <w:numPr>
          <w:ilvl w:val="1"/>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the receipt by the Executive of an amount advanced by the Company or the subsidiary pursuant to paragraph 8(c), the Executive becomes entitled to receive any refund with respect to such claim, the Executive shall (subject to compliance with the requirements of Section 8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8(c),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201" w:lineRule="exact"/>
        <w:rPr>
          <w:rFonts w:ascii="Courier New" w:cs="Courier New" w:eastAsia="Courier New" w:hAnsi="Courier New"/>
          <w:sz w:val="17"/>
          <w:szCs w:val="17"/>
          <w:color w:val="auto"/>
        </w:rPr>
      </w:pPr>
    </w:p>
    <w:p>
      <w:pPr>
        <w:ind w:left="1260" w:hanging="310"/>
        <w:spacing w:after="0"/>
        <w:tabs>
          <w:tab w:leader="none" w:pos="126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OBLIGATION TO MITIGATE DAMAGES; NO EFFECT ON OTHER CONTRACTUAL</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RIGHTS.</w:t>
      </w:r>
    </w:p>
    <w:p>
      <w:pPr>
        <w:spacing w:after="0" w:line="210"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6" w:lineRule="exact"/>
        <w:rPr>
          <w:rFonts w:ascii="Courier New" w:cs="Courier New" w:eastAsia="Courier New" w:hAnsi="Courier New"/>
          <w:sz w:val="17"/>
          <w:szCs w:val="17"/>
          <w:color w:val="auto"/>
        </w:rPr>
      </w:pPr>
    </w:p>
    <w:p>
      <w:pPr>
        <w:ind w:right="1839" w:firstLine="1893"/>
        <w:spacing w:after="0" w:line="252" w:lineRule="auto"/>
        <w:tabs>
          <w:tab w:leader="none" w:pos="2304" w:val="left"/>
        </w:tabs>
        <w:numPr>
          <w:ilvl w:val="1"/>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97" w:lineRule="exact"/>
        <w:rPr>
          <w:rFonts w:ascii="Courier New" w:cs="Courier New" w:eastAsia="Courier New" w:hAnsi="Courier New"/>
          <w:sz w:val="17"/>
          <w:szCs w:val="17"/>
          <w:color w:val="auto"/>
        </w:rPr>
      </w:pPr>
    </w:p>
    <w:p>
      <w:pPr>
        <w:ind w:left="1360" w:hanging="410"/>
        <w:spacing w:after="0"/>
        <w:tabs>
          <w:tab w:leader="none" w:pos="136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SUCCESSOR TO THE COMPANY.</w:t>
      </w:r>
    </w:p>
    <w:p>
      <w:pPr>
        <w:spacing w:after="0" w:line="210" w:lineRule="exact"/>
        <w:rPr>
          <w:rFonts w:ascii="Courier New" w:cs="Courier New" w:eastAsia="Courier New" w:hAnsi="Courier New"/>
          <w:sz w:val="17"/>
          <w:szCs w:val="17"/>
          <w:color w:val="auto"/>
        </w:rPr>
      </w:pPr>
    </w:p>
    <w:p>
      <w:pPr>
        <w:ind w:right="1839" w:firstLine="1893"/>
        <w:spacing w:after="0" w:line="251" w:lineRule="auto"/>
        <w:tabs>
          <w:tab w:leader="none" w:pos="2304" w:val="left"/>
        </w:tabs>
        <w:numPr>
          <w:ilvl w:val="1"/>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21" w:right="1440" w:bottom="1440" w:gutter="0" w:footer="0" w:header="0"/>
        </w:sectPr>
      </w:pPr>
    </w:p>
    <w:bookmarkStart w:id="89" w:name="page90"/>
    <w:bookmarkEnd w:id="89"/>
    <w:p>
      <w:pPr>
        <w:ind w:right="2039"/>
        <w:spacing w:after="0" w:line="252" w:lineRule="auto"/>
        <w:rPr>
          <w:sz w:val="20"/>
          <w:szCs w:val="20"/>
          <w:color w:val="auto"/>
        </w:rPr>
      </w:pPr>
      <w:r>
        <w:rPr>
          <w:rFonts w:ascii="Courier New" w:cs="Courier New" w:eastAsia="Courier New" w:hAnsi="Courier New"/>
          <w:sz w:val="17"/>
          <w:szCs w:val="17"/>
          <w:color w:val="auto"/>
        </w:rPr>
        <w:t>Reason. As used in this Agreement, "Company" shall mean the Company as hereinbefore defined and any successor or assign to its business and/or assets as aforesaid which executes and delivers the agreement provided for in this Section 10 or which otherwise becomes bound by all the terms and provisions of this Agreement by operation of law.</w:t>
      </w:r>
    </w:p>
    <w:p>
      <w:pPr>
        <w:spacing w:after="0" w:line="197" w:lineRule="exact"/>
        <w:rPr>
          <w:sz w:val="20"/>
          <w:szCs w:val="20"/>
          <w:color w:val="auto"/>
        </w:rPr>
      </w:pPr>
    </w:p>
    <w:p>
      <w:pPr>
        <w:ind w:right="1839" w:firstLine="1893"/>
        <w:spacing w:after="0" w:line="252" w:lineRule="auto"/>
        <w:tabs>
          <w:tab w:leader="none" w:pos="2304" w:val="left"/>
        </w:tabs>
        <w:numPr>
          <w:ilvl w:val="1"/>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5" w:lineRule="exact"/>
        <w:rPr>
          <w:rFonts w:ascii="Courier New" w:cs="Courier New" w:eastAsia="Courier New" w:hAnsi="Courier New"/>
          <w:sz w:val="17"/>
          <w:szCs w:val="17"/>
          <w:color w:val="auto"/>
        </w:rPr>
      </w:pPr>
    </w:p>
    <w:p>
      <w:pPr>
        <w:ind w:right="2039" w:firstLine="950"/>
        <w:spacing w:after="0" w:line="252" w:lineRule="auto"/>
        <w:tabs>
          <w:tab w:leader="none" w:pos="1362"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GUARANTY OF EMPLOYMENT. Nothing in this Agreement shall be deemed to entitle the Executive to continued employment with the Company prior to a Change of Control, and the rights of the Company to terminate the employment of the Executive, prior to a Change of Control, shall continue as fully as if this Agreement were not in effect.</w:t>
      </w:r>
    </w:p>
    <w:p>
      <w:pPr>
        <w:spacing w:after="0" w:line="197" w:lineRule="exact"/>
        <w:rPr>
          <w:rFonts w:ascii="Courier New" w:cs="Courier New" w:eastAsia="Courier New" w:hAnsi="Courier New"/>
          <w:sz w:val="17"/>
          <w:szCs w:val="17"/>
          <w:color w:val="auto"/>
        </w:rPr>
      </w:pPr>
    </w:p>
    <w:p>
      <w:pPr>
        <w:ind w:right="2139" w:firstLine="950"/>
        <w:spacing w:after="0" w:line="253" w:lineRule="auto"/>
        <w:tabs>
          <w:tab w:leader="none" w:pos="1362"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For purposes of this Agreement, notices and all other communications provided for in the Agreement shall be in writing and shall be deemed to have been duly given when delivered or mailed by United States registered mail, return receipt registered, postage prepaid, as follows: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Company:</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Attn: General Counsel</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605 W. Crystal Lake Road</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P.O. Box 152</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Forest City, IA 50436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Executive:</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Robert J. Olson</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36778 Holtan Lane</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Forest City, IA 50436</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or such other address as either party may have furnished to the other in writing in accordance herewith, except that notices of change of address shall be effective only upon receipt.</w:t>
      </w:r>
    </w:p>
    <w:p>
      <w:pPr>
        <w:spacing w:after="0" w:line="194" w:lineRule="exact"/>
        <w:rPr>
          <w:sz w:val="20"/>
          <w:szCs w:val="20"/>
          <w:color w:val="auto"/>
        </w:rPr>
      </w:pPr>
    </w:p>
    <w:p>
      <w:pPr>
        <w:ind w:right="1839" w:firstLine="950"/>
        <w:spacing w:after="0" w:line="251" w:lineRule="auto"/>
        <w:tabs>
          <w:tab w:leader="none" w:pos="1362"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No provisions of this Agreement may be modified, waived or discharged unless such waiver, 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01"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VALIDITY. The invalidity or unenforceability of any provisions of this Agreement shall not affect the validity or enforceability of any other provision of this Agreement, which shall remain in full force and effect.</w:t>
      </w:r>
    </w:p>
    <w:p>
      <w:pPr>
        <w:spacing w:after="0" w:line="194" w:lineRule="exact"/>
        <w:rPr>
          <w:rFonts w:ascii="Courier New" w:cs="Courier New" w:eastAsia="Courier New" w:hAnsi="Courier New"/>
          <w:sz w:val="17"/>
          <w:szCs w:val="17"/>
          <w:color w:val="auto"/>
        </w:rPr>
      </w:pPr>
    </w:p>
    <w:p>
      <w:pPr>
        <w:ind w:right="2039" w:firstLine="950"/>
        <w:spacing w:after="0" w:line="254" w:lineRule="auto"/>
        <w:tabs>
          <w:tab w:leader="none" w:pos="1362"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one or more counterparts, each of which shall be deemed to be an original but all of which together will constitute one and the same instrument.</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921" w:right="1440" w:bottom="1440" w:gutter="0" w:footer="0" w:header="0"/>
        </w:sectPr>
      </w:pPr>
    </w:p>
    <w:bookmarkStart w:id="90" w:name="page91"/>
    <w:bookmarkEnd w:id="90"/>
    <w:p>
      <w:pPr>
        <w:jc w:val="both"/>
        <w:ind w:right="2039" w:firstLine="950"/>
        <w:spacing w:after="0" w:line="253" w:lineRule="auto"/>
        <w:tabs>
          <w:tab w:leader="none" w:pos="1362"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LEGAL FEES AND EXPENSES. The Company shall pay all legal fees and expenses which the Executive may incur as a result of the Company's contesting the validity, enforceability or the Executive's interpretation of, or determinations under, this Agreement.</w:t>
      </w:r>
    </w:p>
    <w:p>
      <w:pPr>
        <w:spacing w:after="0" w:line="195" w:lineRule="exact"/>
        <w:rPr>
          <w:rFonts w:ascii="Courier New" w:cs="Courier New" w:eastAsia="Courier New" w:hAnsi="Courier New"/>
          <w:sz w:val="17"/>
          <w:szCs w:val="17"/>
          <w:color w:val="auto"/>
        </w:rPr>
      </w:pPr>
    </w:p>
    <w:p>
      <w:pPr>
        <w:jc w:val="both"/>
        <w:ind w:right="2039" w:firstLine="950"/>
        <w:spacing w:after="0" w:line="254" w:lineRule="auto"/>
        <w:tabs>
          <w:tab w:leader="none" w:pos="1362"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 The Executive shall retain in confidence any and all confidential information known to the Executive concerning the Company and its business so long as such information is not otherwise publicly disclosed.</w:t>
      </w:r>
    </w:p>
    <w:p>
      <w:pPr>
        <w:spacing w:after="0" w:line="194" w:lineRule="exact"/>
        <w:rPr>
          <w:sz w:val="20"/>
          <w:szCs w:val="20"/>
          <w:color w:val="auto"/>
        </w:rPr>
      </w:pPr>
    </w:p>
    <w:p>
      <w:pPr>
        <w:ind w:right="2259" w:firstLine="943"/>
        <w:spacing w:after="0" w:line="257" w:lineRule="auto"/>
        <w:rPr>
          <w:sz w:val="20"/>
          <w:szCs w:val="20"/>
          <w:color w:val="auto"/>
        </w:rPr>
      </w:pPr>
      <w:r>
        <w:rPr>
          <w:rFonts w:ascii="Courier New" w:cs="Courier New" w:eastAsia="Courier New" w:hAnsi="Courier New"/>
          <w:sz w:val="17"/>
          <w:szCs w:val="17"/>
          <w:color w:val="auto"/>
        </w:rPr>
        <w:t>IN WITNESS WHEREOF, the parties have executed this agreement on the date set out above.</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COMPANY:</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WINNEBAGO INDUSTRIES, INC.</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Bruce D. Hertzke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Chairman of the Board, Chief Executive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Officer and President</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EXECUTIVE:</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Robert J. Olson</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sectPr>
      <w:pgSz w:w="11900" w:h="16838" w:orient="portrait"/>
      <w:cols w:equalWidth="0" w:num="1">
        <w:col w:w="10219"/>
      </w:cols>
      <w:pgMar w:left="240" w:top="9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F18422"/>
    <w:multiLevelType w:val="hybridMultilevel"/>
    <w:lvl w:ilvl="0">
      <w:lvlJc w:val="left"/>
      <w:lvlText w:val="[%1]"/>
      <w:numFmt w:val="upperLetter"/>
      <w:start w:val="24"/>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1)"/>
      <w:numFmt w:val="lowerLetter"/>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1)"/>
      <w:numFmt w:val="lowerLetter"/>
      <w:start w:val="1"/>
    </w:lvl>
  </w:abstractNum>
  <w:abstractNum w:abstractNumId="6">
    <w:nsid w:val="5FB8370B"/>
    <w:multiLevelType w:val="hybridMultilevel"/>
    <w:lvl w:ilvl="0">
      <w:lvlJc w:val="left"/>
      <w:lvlText w:val="%1."/>
      <w:numFmt w:val="decimal"/>
      <w:start w:val="1"/>
    </w:lvl>
  </w:abstractNum>
  <w:abstractNum w:abstractNumId="7">
    <w:nsid w:val="50801EE1"/>
    <w:multiLevelType w:val="hybridMultilevel"/>
    <w:lvl w:ilvl="0">
      <w:lvlJc w:val="left"/>
      <w:lvlText w:val="(%1)"/>
      <w:numFmt w:val="lowerLetter"/>
      <w:start w:val="1"/>
    </w:lvl>
  </w:abstractNum>
  <w:abstractNum w:abstractNumId="8">
    <w:nsid w:val="488AC1A"/>
    <w:multiLevelType w:val="hybridMultilevel"/>
    <w:lvl w:ilvl="0">
      <w:lvlJc w:val="left"/>
      <w:lvlText w:val="(%1)"/>
      <w:numFmt w:val="lowerRoman"/>
      <w:start w:val="1"/>
    </w:lvl>
  </w:abstractNum>
  <w:abstractNum w:abstractNumId="9">
    <w:nsid w:val="5FB8011C"/>
    <w:multiLevelType w:val="hybridMultilevel"/>
    <w:lvl w:ilvl="0">
      <w:lvlJc w:val="left"/>
      <w:lvlText w:val="(%1)"/>
      <w:numFmt w:val="lowerLetter"/>
      <w:start w:val="1"/>
    </w:lvl>
  </w:abstractNum>
  <w:abstractNum w:abstractNumId="10">
    <w:nsid w:val="6AA78F7F"/>
    <w:multiLevelType w:val="hybridMultilevel"/>
    <w:lvl w:ilvl="0">
      <w:lvlJc w:val="left"/>
      <w:lvlText w:val="(%1)"/>
      <w:numFmt w:val="lowerLetter"/>
      <w:start w:val="2"/>
    </w:lvl>
  </w:abstractNum>
  <w:abstractNum w:abstractNumId="11">
    <w:nsid w:val="7672BD23"/>
    <w:multiLevelType w:val="hybridMultilevel"/>
    <w:lvl w:ilvl="0">
      <w:lvlJc w:val="left"/>
      <w:lvlText w:val="(%1)"/>
      <w:numFmt w:val="lowerLetter"/>
      <w:start w:val="3"/>
    </w:lvl>
  </w:abstractNum>
  <w:abstractNum w:abstractNumId="12">
    <w:nsid w:val="6FC75AF8"/>
    <w:multiLevelType w:val="hybridMultilevel"/>
    <w:lvl w:ilvl="0">
      <w:lvlJc w:val="left"/>
      <w:lvlText w:val="(%1)"/>
      <w:numFmt w:val="lowerLetter"/>
      <w:start w:val="5"/>
    </w:lvl>
  </w:abstractNum>
  <w:abstractNum w:abstractNumId="13">
    <w:nsid w:val="6A5F7029"/>
    <w:multiLevelType w:val="hybridMultilevel"/>
    <w:lvl w:ilvl="0">
      <w:lvlJc w:val="left"/>
      <w:lvlText w:val="(%1)"/>
      <w:numFmt w:val="lowerLetter"/>
      <w:start w:val="1"/>
    </w:lvl>
  </w:abstractNum>
  <w:abstractNum w:abstractNumId="14">
    <w:nsid w:val="7D5E18F8"/>
    <w:multiLevelType w:val="hybridMultilevel"/>
    <w:lvl w:ilvl="0">
      <w:lvlJc w:val="left"/>
      <w:lvlText w:val="(%1)"/>
      <w:numFmt w:val="lowerLetter"/>
      <w:start w:val="1"/>
    </w:lvl>
  </w:abstractNum>
  <w:abstractNum w:abstractNumId="15">
    <w:nsid w:val="5F3534A4"/>
    <w:multiLevelType w:val="hybridMultilevel"/>
    <w:lvl w:ilvl="0">
      <w:lvlJc w:val="left"/>
      <w:lvlText w:val="(%1)"/>
      <w:numFmt w:val="lowerLetter"/>
      <w:start w:val="2"/>
    </w:lvl>
  </w:abstractNum>
  <w:abstractNum w:abstractNumId="16">
    <w:nsid w:val="73A1821B"/>
    <w:multiLevelType w:val="hybridMultilevel"/>
    <w:lvl w:ilvl="0">
      <w:lvlJc w:val="left"/>
      <w:lvlText w:val="(%1)"/>
      <w:numFmt w:val="lowerLetter"/>
      <w:start w:val="1"/>
    </w:lvl>
  </w:abstractNum>
  <w:abstractNum w:abstractNumId="17">
    <w:nsid w:val="7DE67713"/>
    <w:multiLevelType w:val="hybridMultilevel"/>
    <w:lvl w:ilvl="0">
      <w:lvlJc w:val="left"/>
      <w:lvlText w:val="(%1)"/>
      <w:numFmt w:val="lowerLetter"/>
      <w:start w:val="1"/>
    </w:lvl>
  </w:abstractNum>
  <w:abstractNum w:abstractNumId="18">
    <w:nsid w:val="555C55B5"/>
    <w:multiLevelType w:val="hybridMultilevel"/>
    <w:lvl w:ilvl="0">
      <w:lvlJc w:val="left"/>
      <w:lvlText w:val="(%1)"/>
      <w:numFmt w:val="lowerLetter"/>
      <w:start w:val="1"/>
    </w:lvl>
  </w:abstractNum>
  <w:abstractNum w:abstractNumId="19">
    <w:nsid w:val="3FA62ACA"/>
    <w:multiLevelType w:val="hybridMultilevel"/>
    <w:lvl w:ilvl="0">
      <w:lvlJc w:val="left"/>
      <w:lvlText w:val="(%1)"/>
      <w:numFmt w:val="lowerLetter"/>
      <w:start w:val="1"/>
    </w:lvl>
  </w:abstractNum>
  <w:abstractNum w:abstractNumId="20">
    <w:nsid w:val="14FCE74E"/>
    <w:multiLevelType w:val="hybridMultilevel"/>
    <w:lvl w:ilvl="0">
      <w:lvlJc w:val="left"/>
      <w:lvlText w:val="(%1)"/>
      <w:numFmt w:val="lowerLetter"/>
      <w:start w:val="1"/>
    </w:lvl>
  </w:abstractNum>
  <w:abstractNum w:abstractNumId="21">
    <w:nsid w:val="6A3DD3E8"/>
    <w:multiLevelType w:val="hybridMultilevel"/>
    <w:lvl w:ilvl="0">
      <w:lvlJc w:val="left"/>
      <w:lvlText w:val="(%1)"/>
      <w:numFmt w:val="lowerLetter"/>
      <w:start w:val="1"/>
    </w:lvl>
  </w:abstractNum>
  <w:abstractNum w:abstractNumId="22">
    <w:nsid w:val="71C91298"/>
    <w:multiLevelType w:val="hybridMultilevel"/>
    <w:lvl w:ilvl="0">
      <w:lvlJc w:val="left"/>
      <w:lvlText w:val="(%1)"/>
      <w:numFmt w:val="lowerLetter"/>
      <w:start w:val="1"/>
    </w:lvl>
  </w:abstractNum>
  <w:abstractNum w:abstractNumId="23">
    <w:nsid w:val="9DAF632"/>
    <w:multiLevelType w:val="hybridMultilevel"/>
    <w:lvl w:ilvl="0">
      <w:lvlJc w:val="left"/>
      <w:lvlText w:val="(%1)"/>
      <w:numFmt w:val="lowerLetter"/>
      <w:start w:val="2"/>
    </w:lvl>
  </w:abstractNum>
  <w:abstractNum w:abstractNumId="24">
    <w:nsid w:val="53299938"/>
    <w:multiLevelType w:val="hybridMultilevel"/>
    <w:lvl w:ilvl="0">
      <w:lvlJc w:val="left"/>
      <w:lvlText w:val="%1"/>
      <w:numFmt w:val="lowerRoman"/>
      <w:start w:val="1"/>
    </w:lvl>
    <w:lvl w:ilvl="1">
      <w:lvlJc w:val="left"/>
      <w:lvlText w:val="%2."/>
      <w:numFmt w:val="decimal"/>
      <w:start w:val="1"/>
    </w:lvl>
  </w:abstractNum>
  <w:abstractNum w:abstractNumId="25">
    <w:nsid w:val="1FBFE8E0"/>
    <w:multiLevelType w:val="hybridMultilevel"/>
    <w:lvl w:ilvl="0">
      <w:lvlJc w:val="left"/>
      <w:lvlText w:val="(%1)"/>
      <w:numFmt w:val="lowerRoman"/>
      <w:start w:val="2"/>
    </w:lvl>
    <w:lvl w:ilvl="1">
      <w:lvlJc w:val="left"/>
      <w:lvlText w:val="%2"/>
      <w:numFmt w:val="decimal"/>
      <w:start w:val="1"/>
    </w:lvl>
  </w:abstractNum>
  <w:abstractNum w:abstractNumId="26">
    <w:nsid w:val="5092CA79"/>
    <w:multiLevelType w:val="hybridMultilevel"/>
    <w:lvl w:ilvl="0">
      <w:lvlJc w:val="left"/>
      <w:lvlText w:val="(%1)"/>
      <w:numFmt w:val="lowerRoman"/>
      <w:start w:val="1"/>
    </w:lvl>
    <w:lvl w:ilvl="1">
      <w:lvlJc w:val="left"/>
      <w:lvlText w:val="%2"/>
      <w:numFmt w:val="decimal"/>
      <w:start w:val="1"/>
    </w:lvl>
  </w:abstractNum>
  <w:abstractNum w:abstractNumId="27">
    <w:nsid w:val="1D545C4D"/>
    <w:multiLevelType w:val="hybridMultilevel"/>
    <w:lvl w:ilvl="0">
      <w:lvlJc w:val="left"/>
      <w:lvlText w:val="(%1)"/>
      <w:numFmt w:val="lowerLetter"/>
      <w:start w:val="1"/>
    </w:lvl>
  </w:abstractNum>
  <w:abstractNum w:abstractNumId="28">
    <w:nsid w:val="59ADEA3D"/>
    <w:multiLevelType w:val="hybridMultilevel"/>
    <w:lvl w:ilvl="0">
      <w:lvlJc w:val="left"/>
      <w:lvlText w:val="(%1)"/>
      <w:numFmt w:val="lowerLetter"/>
      <w:start w:val="3"/>
    </w:lvl>
    <w:lvl w:ilvl="1">
      <w:lvlJc w:val="left"/>
      <w:lvlText w:val="(%2)"/>
      <w:numFmt w:val="decimal"/>
      <w:start w:val="2"/>
    </w:lvl>
  </w:abstractNum>
  <w:abstractNum w:abstractNumId="29">
    <w:nsid w:val="288F1A34"/>
    <w:multiLevelType w:val="hybridMultilevel"/>
    <w:lvl w:ilvl="0">
      <w:lvlJc w:val="left"/>
      <w:lvlText w:val="%1"/>
      <w:numFmt w:val="lowerLetter"/>
      <w:start w:val="1"/>
    </w:lvl>
    <w:lvl w:ilvl="1">
      <w:lvlJc w:val="left"/>
      <w:lvlText w:val="(%2)"/>
      <w:numFmt w:val="decimal"/>
      <w:start w:val="4"/>
    </w:lvl>
  </w:abstractNum>
  <w:abstractNum w:abstractNumId="30">
    <w:nsid w:val="2A155DBC"/>
    <w:multiLevelType w:val="hybridMultilevel"/>
    <w:lvl w:ilvl="0">
      <w:lvlJc w:val="left"/>
      <w:lvlText w:val="(%1)"/>
      <w:numFmt w:val="lowerLetter"/>
      <w:start w:val="5"/>
    </w:lvl>
    <w:lvl w:ilvl="1">
      <w:lvlJc w:val="left"/>
      <w:lvlText w:val="%2"/>
      <w:numFmt w:val="decimal"/>
      <w:start w:val="1"/>
    </w:lvl>
  </w:abstractNum>
  <w:abstractNum w:abstractNumId="31">
    <w:nsid w:val="1D9F6E5F"/>
    <w:multiLevelType w:val="hybridMultilevel"/>
    <w:lvl w:ilvl="0">
      <w:lvlJc w:val="left"/>
      <w:lvlText w:val="%1."/>
      <w:numFmt w:val="decimal"/>
      <w:start w:val="3"/>
    </w:lvl>
    <w:lvl w:ilvl="1">
      <w:lvlJc w:val="left"/>
      <w:lvlText w:val="(%2)"/>
      <w:numFmt w:val="lowerLetter"/>
      <w:start w:val="1"/>
    </w:lvl>
  </w:abstractNum>
  <w:abstractNum w:abstractNumId="32">
    <w:nsid w:val="97E1B4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3">
    <w:nsid w:val="51088277"/>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abstractNum>
  <w:abstractNum w:abstractNumId="34">
    <w:nsid w:val="1CA0C5FA"/>
    <w:multiLevelType w:val="hybridMultilevel"/>
    <w:lvl w:ilvl="0">
      <w:lvlJc w:val="left"/>
      <w:lvlText w:val="(%1)"/>
      <w:numFmt w:val="lowerLetter"/>
      <w:start w:val="4"/>
    </w:lvl>
  </w:abstractNum>
  <w:abstractNum w:abstractNumId="35">
    <w:nsid w:val="53584BCB"/>
    <w:multiLevelType w:val="hybridMultilevel"/>
    <w:lvl w:ilvl="0">
      <w:lvlJc w:val="left"/>
      <w:lvlText w:val="(%1)"/>
      <w:numFmt w:val="lowerRoman"/>
      <w:start w:val="1"/>
    </w:lvl>
  </w:abstractNum>
  <w:abstractNum w:abstractNumId="36">
    <w:nsid w:val="415E286C"/>
    <w:multiLevelType w:val="hybridMultilevel"/>
    <w:lvl w:ilvl="0">
      <w:lvlJc w:val="left"/>
      <w:lvlText w:val="(%1)"/>
      <w:numFmt w:val="lowerRoman"/>
      <w:start w:val="6"/>
    </w:lvl>
  </w:abstractNum>
  <w:abstractNum w:abstractNumId="37">
    <w:nsid w:val="7C58FD05"/>
    <w:multiLevelType w:val="hybridMultilevel"/>
    <w:lvl w:ilvl="0">
      <w:lvlJc w:val="left"/>
      <w:lvlText w:val="%1"/>
      <w:numFmt w:val="decimal"/>
      <w:start w:val="1"/>
    </w:lvl>
    <w:lvl w:ilvl="1">
      <w:lvlJc w:val="left"/>
      <w:lvlText w:val="(%2)"/>
      <w:numFmt w:val="lowerLetter"/>
      <w:start w:val="5"/>
    </w:lvl>
  </w:abstractNum>
  <w:abstractNum w:abstractNumId="38">
    <w:nsid w:val="23D86AAC"/>
    <w:multiLevelType w:val="hybridMultilevel"/>
    <w:lvl w:ilvl="0">
      <w:lvlJc w:val="left"/>
      <w:lvlText w:val="%1."/>
      <w:numFmt w:val="decimal"/>
      <w:start w:val="6"/>
    </w:lvl>
    <w:lvl w:ilvl="1">
      <w:lvlJc w:val="left"/>
      <w:lvlText w:val="%2"/>
      <w:numFmt w:val="lowerLetter"/>
      <w:start w:val="1"/>
    </w:lvl>
  </w:abstractNum>
  <w:abstractNum w:abstractNumId="39">
    <w:nsid w:val="45E6D486"/>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40">
    <w:nsid w:val="5C10FE2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41">
    <w:nsid w:val="E7FFA2B"/>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4"/>
    </w:lvl>
  </w:abstractNum>
  <w:abstractNum w:abstractNumId="42">
    <w:nsid w:val="3C5991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3">
    <w:nsid w:val="4BD8591A"/>
    <w:multiLevelType w:val="hybridMultilevel"/>
    <w:lvl w:ilvl="0">
      <w:lvlJc w:val="left"/>
      <w:lvlText w:val="(%1)"/>
      <w:numFmt w:val="lowerLetter"/>
      <w:start w:val="2"/>
    </w:lvl>
  </w:abstractNum>
  <w:abstractNum w:abstractNumId="44">
    <w:nsid w:val="78DF6A55"/>
    <w:multiLevelType w:val="hybridMultilevel"/>
    <w:lvl w:ilvl="0">
      <w:lvlJc w:val="left"/>
      <w:lvlText w:val="(%1)"/>
      <w:numFmt w:val="lowerRoman"/>
      <w:start w:val="1"/>
    </w:lvl>
  </w:abstractNum>
  <w:abstractNum w:abstractNumId="45">
    <w:nsid w:val="39B7AAA2"/>
    <w:multiLevelType w:val="hybridMultilevel"/>
    <w:lvl w:ilvl="0">
      <w:lvlJc w:val="left"/>
      <w:lvlText w:val="%1"/>
      <w:numFmt w:val="decimal"/>
      <w:start w:val="1"/>
    </w:lvl>
    <w:lvl w:ilvl="1">
      <w:lvlJc w:val="left"/>
      <w:lvlText w:val="(%2)"/>
      <w:numFmt w:val="lowerLetter"/>
      <w:start w:val="4"/>
    </w:lvl>
  </w:abstractNum>
  <w:abstractNum w:abstractNumId="46">
    <w:nsid w:val="2B0D8DBE"/>
    <w:multiLevelType w:val="hybridMultilevel"/>
    <w:lvl w:ilvl="0">
      <w:lvlJc w:val="left"/>
      <w:lvlText w:val="%1."/>
      <w:numFmt w:val="decimal"/>
      <w:start w:val="9"/>
    </w:lvl>
    <w:lvl w:ilvl="1">
      <w:lvlJc w:val="left"/>
      <w:lvlText w:val="(%2)"/>
      <w:numFmt w:val="lowerLetter"/>
      <w:start w:val="1"/>
    </w:lvl>
  </w:abstractNum>
  <w:abstractNum w:abstractNumId="47">
    <w:nsid w:val="6C80EC70"/>
    <w:multiLevelType w:val="hybridMultilevel"/>
    <w:lvl w:ilvl="0">
      <w:lvlJc w:val="left"/>
      <w:lvlText w:val="%1"/>
      <w:numFmt w:val="decimal"/>
      <w:start w:val="1"/>
    </w:lvl>
    <w:lvl w:ilvl="1">
      <w:lvlJc w:val="left"/>
      <w:lvlText w:val="(%2)"/>
      <w:numFmt w:val="lowerLetter"/>
      <w:start w:val="2"/>
    </w:lvl>
  </w:abstractNum>
  <w:abstractNum w:abstractNumId="48">
    <w:nsid w:val="379E21B5"/>
    <w:multiLevelType w:val="hybridMultilevel"/>
    <w:lvl w:ilvl="0">
      <w:lvlJc w:val="left"/>
      <w:lvlText w:val="%1."/>
      <w:numFmt w:val="decimal"/>
      <w:start w:val="11"/>
    </w:lvl>
    <w:lvl w:ilvl="1">
      <w:lvlJc w:val="left"/>
      <w:lvlText w:val="%2"/>
      <w:numFmt w:val="lowerLetter"/>
      <w:start w:val="1"/>
    </w:lvl>
  </w:abstractNum>
  <w:abstractNum w:abstractNumId="49">
    <w:nsid w:val="69E373"/>
    <w:multiLevelType w:val="hybridMultilevel"/>
    <w:lvl w:ilvl="0">
      <w:lvlJc w:val="left"/>
      <w:lvlText w:val="%1."/>
      <w:numFmt w:val="decimal"/>
      <w:start w:val="13"/>
    </w:lvl>
  </w:abstractNum>
  <w:abstractNum w:abstractNumId="50">
    <w:nsid w:val="2C27173B"/>
    <w:multiLevelType w:val="hybridMultilevel"/>
    <w:lvl w:ilvl="0">
      <w:lvlJc w:val="left"/>
      <w:lvlText w:val="%1."/>
      <w:numFmt w:val="decimal"/>
      <w:start w:val="16"/>
    </w:lvl>
  </w:abstractNum>
  <w:abstractNum w:abstractNumId="51">
    <w:nsid w:val="4C9B0904"/>
    <w:multiLevelType w:val="hybridMultilevel"/>
    <w:lvl w:ilvl="0">
      <w:lvlJc w:val="left"/>
      <w:lvlText w:val="%1"/>
      <w:numFmt w:val="lowerRoman"/>
      <w:start w:val="1"/>
    </w:lvl>
    <w:lvl w:ilvl="1">
      <w:lvlJc w:val="left"/>
      <w:lvlText w:val="%2."/>
      <w:numFmt w:val="decimal"/>
      <w:start w:val="1"/>
    </w:lvl>
  </w:abstractNum>
  <w:abstractNum w:abstractNumId="52">
    <w:nsid w:val="6AA7B75C"/>
    <w:multiLevelType w:val="hybridMultilevel"/>
    <w:lvl w:ilvl="0">
      <w:lvlJc w:val="left"/>
      <w:lvlText w:val="(%1)"/>
      <w:numFmt w:val="lowerRoman"/>
      <w:start w:val="2"/>
    </w:lvl>
    <w:lvl w:ilvl="1">
      <w:lvlJc w:val="left"/>
      <w:lvlText w:val="%2"/>
      <w:numFmt w:val="decimal"/>
      <w:start w:val="1"/>
    </w:lvl>
  </w:abstractNum>
  <w:abstractNum w:abstractNumId="53">
    <w:nsid w:val="1DF029D3"/>
    <w:multiLevelType w:val="hybridMultilevel"/>
    <w:lvl w:ilvl="0">
      <w:lvlJc w:val="left"/>
      <w:lvlText w:val="(%1)"/>
      <w:numFmt w:val="lowerRoman"/>
      <w:start w:val="1"/>
    </w:lvl>
    <w:lvl w:ilvl="1">
      <w:lvlJc w:val="left"/>
      <w:lvlText w:val="%2"/>
      <w:numFmt w:val="decimal"/>
      <w:start w:val="1"/>
    </w:lvl>
  </w:abstractNum>
  <w:abstractNum w:abstractNumId="54">
    <w:nsid w:val="5675FF36"/>
    <w:multiLevelType w:val="hybridMultilevel"/>
    <w:lvl w:ilvl="0">
      <w:lvlJc w:val="left"/>
      <w:lvlText w:val="(%1)"/>
      <w:numFmt w:val="lowerLetter"/>
      <w:start w:val="1"/>
    </w:lvl>
  </w:abstractNum>
  <w:abstractNum w:abstractNumId="55">
    <w:nsid w:val="3DD15094"/>
    <w:multiLevelType w:val="hybridMultilevel"/>
    <w:lvl w:ilvl="0">
      <w:lvlJc w:val="left"/>
      <w:lvlText w:val="(%1)"/>
      <w:numFmt w:val="lowerLetter"/>
      <w:start w:val="3"/>
    </w:lvl>
    <w:lvl w:ilvl="1">
      <w:lvlJc w:val="left"/>
      <w:lvlText w:val="(%2)"/>
      <w:numFmt w:val="decimal"/>
      <w:start w:val="2"/>
    </w:lvl>
  </w:abstractNum>
  <w:abstractNum w:abstractNumId="56">
    <w:nsid w:val="3DB012B3"/>
    <w:multiLevelType w:val="hybridMultilevel"/>
    <w:lvl w:ilvl="0">
      <w:lvlJc w:val="left"/>
      <w:lvlText w:val="%1"/>
      <w:numFmt w:val="lowerLetter"/>
      <w:start w:val="1"/>
    </w:lvl>
    <w:lvl w:ilvl="1">
      <w:lvlJc w:val="left"/>
      <w:lvlText w:val="(%2)"/>
      <w:numFmt w:val="decimal"/>
      <w:start w:val="4"/>
    </w:lvl>
  </w:abstractNum>
  <w:abstractNum w:abstractNumId="57">
    <w:nsid w:val="2708C9AF"/>
    <w:multiLevelType w:val="hybridMultilevel"/>
    <w:lvl w:ilvl="0">
      <w:lvlJc w:val="left"/>
      <w:lvlText w:val="(%1)"/>
      <w:numFmt w:val="lowerLetter"/>
      <w:start w:val="5"/>
    </w:lvl>
    <w:lvl w:ilvl="1">
      <w:lvlJc w:val="left"/>
      <w:lvlText w:val="%2"/>
      <w:numFmt w:val="decimal"/>
      <w:start w:val="1"/>
    </w:lvl>
  </w:abstractNum>
  <w:abstractNum w:abstractNumId="58">
    <w:nsid w:val="5B25ACE2"/>
    <w:multiLevelType w:val="hybridMultilevel"/>
    <w:lvl w:ilvl="0">
      <w:lvlJc w:val="left"/>
      <w:lvlText w:val="%1."/>
      <w:numFmt w:val="decimal"/>
      <w:start w:val="3"/>
    </w:lvl>
    <w:lvl w:ilvl="1">
      <w:lvlJc w:val="left"/>
      <w:lvlText w:val="(%2)"/>
      <w:numFmt w:val="lowerLetter"/>
      <w:start w:val="1"/>
    </w:lvl>
  </w:abstractNum>
  <w:abstractNum w:abstractNumId="59">
    <w:nsid w:val="175DFCF0"/>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60">
    <w:nsid w:val="4F97E3E4"/>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abstractNum>
  <w:abstractNum w:abstractNumId="61">
    <w:nsid w:val="53B0A9E"/>
    <w:multiLevelType w:val="hybridMultilevel"/>
    <w:lvl w:ilvl="0">
      <w:lvlJc w:val="left"/>
      <w:lvlText w:val="(%1)"/>
      <w:numFmt w:val="lowerLetter"/>
      <w:start w:val="4"/>
    </w:lvl>
  </w:abstractNum>
  <w:abstractNum w:abstractNumId="62">
    <w:nsid w:val="34FD6B4F"/>
    <w:multiLevelType w:val="hybridMultilevel"/>
    <w:lvl w:ilvl="0">
      <w:lvlJc w:val="left"/>
      <w:lvlText w:val="(%1)"/>
      <w:numFmt w:val="lowerRoman"/>
      <w:start w:val="1"/>
    </w:lvl>
  </w:abstractNum>
  <w:abstractNum w:abstractNumId="63">
    <w:nsid w:val="5915FF32"/>
    <w:multiLevelType w:val="hybridMultilevel"/>
    <w:lvl w:ilvl="0">
      <w:lvlJc w:val="left"/>
      <w:lvlText w:val="(%1)"/>
      <w:numFmt w:val="lowerRoman"/>
      <w:start w:val="6"/>
    </w:lvl>
  </w:abstractNum>
  <w:abstractNum w:abstractNumId="64">
    <w:nsid w:val="56438D15"/>
    <w:multiLevelType w:val="hybridMultilevel"/>
    <w:lvl w:ilvl="0">
      <w:lvlJc w:val="left"/>
      <w:lvlText w:val="%1"/>
      <w:numFmt w:val="decimal"/>
      <w:start w:val="1"/>
    </w:lvl>
    <w:lvl w:ilvl="1">
      <w:lvlJc w:val="left"/>
      <w:lvlText w:val="(%2)"/>
      <w:numFmt w:val="lowerLetter"/>
      <w:start w:val="5"/>
    </w:lvl>
  </w:abstractNum>
  <w:abstractNum w:abstractNumId="65">
    <w:nsid w:val="519E3149"/>
    <w:multiLevelType w:val="hybridMultilevel"/>
    <w:lvl w:ilvl="0">
      <w:lvlJc w:val="left"/>
      <w:lvlText w:val="%1."/>
      <w:numFmt w:val="decimal"/>
      <w:start w:val="6"/>
    </w:lvl>
    <w:lvl w:ilvl="1">
      <w:lvlJc w:val="left"/>
      <w:lvlText w:val="%2"/>
      <w:numFmt w:val="lowerLetter"/>
      <w:start w:val="1"/>
    </w:lvl>
  </w:abstractNum>
  <w:abstractNum w:abstractNumId="66">
    <w:nsid w:val="2C6E4AFD"/>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7">
    <w:nsid w:val="17A1B58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68">
    <w:nsid w:val="4DF72E4E"/>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4"/>
    </w:lvl>
  </w:abstractNum>
  <w:abstractNum w:abstractNumId="69">
    <w:nsid w:val="5046B5A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0">
    <w:nsid w:val="5D888A08"/>
    <w:multiLevelType w:val="hybridMultilevel"/>
    <w:lvl w:ilvl="0">
      <w:lvlJc w:val="left"/>
      <w:lvlText w:val="(%1)"/>
      <w:numFmt w:val="lowerLetter"/>
      <w:start w:val="2"/>
    </w:lvl>
  </w:abstractNum>
  <w:abstractNum w:abstractNumId="71">
    <w:nsid w:val="2A082C70"/>
    <w:multiLevelType w:val="hybridMultilevel"/>
    <w:lvl w:ilvl="0">
      <w:lvlJc w:val="left"/>
      <w:lvlText w:val="(%1)"/>
      <w:numFmt w:val="lowerRoman"/>
      <w:start w:val="1"/>
    </w:lvl>
  </w:abstractNum>
  <w:abstractNum w:abstractNumId="72">
    <w:nsid w:val="5EC6AFD4"/>
    <w:multiLevelType w:val="hybridMultilevel"/>
    <w:lvl w:ilvl="0">
      <w:lvlJc w:val="left"/>
      <w:lvlText w:val="%1"/>
      <w:numFmt w:val="decimal"/>
      <w:start w:val="1"/>
    </w:lvl>
    <w:lvl w:ilvl="1">
      <w:lvlJc w:val="left"/>
      <w:lvlText w:val="(%2)"/>
      <w:numFmt w:val="lowerLetter"/>
      <w:start w:val="4"/>
    </w:lvl>
  </w:abstractNum>
  <w:abstractNum w:abstractNumId="73">
    <w:nsid w:val="19E21BB2"/>
    <w:multiLevelType w:val="hybridMultilevel"/>
    <w:lvl w:ilvl="0">
      <w:lvlJc w:val="left"/>
      <w:lvlText w:val="%1."/>
      <w:numFmt w:val="decimal"/>
      <w:start w:val="9"/>
    </w:lvl>
    <w:lvl w:ilvl="1">
      <w:lvlJc w:val="left"/>
      <w:lvlText w:val="(%2)"/>
      <w:numFmt w:val="lowerLetter"/>
      <w:start w:val="1"/>
    </w:lvl>
  </w:abstractNum>
  <w:abstractNum w:abstractNumId="74">
    <w:nsid w:val="75E0858A"/>
    <w:multiLevelType w:val="hybridMultilevel"/>
    <w:lvl w:ilvl="0">
      <w:lvlJc w:val="left"/>
      <w:lvlText w:val="%1"/>
      <w:numFmt w:val="decimal"/>
      <w:start w:val="1"/>
    </w:lvl>
    <w:lvl w:ilvl="1">
      <w:lvlJc w:val="left"/>
      <w:lvlText w:val="(%2)"/>
      <w:numFmt w:val="lowerLetter"/>
      <w:start w:val="2"/>
    </w:lvl>
  </w:abstractNum>
  <w:abstractNum w:abstractNumId="75">
    <w:nsid w:val="57A61A29"/>
    <w:multiLevelType w:val="hybridMultilevel"/>
    <w:lvl w:ilvl="0">
      <w:lvlJc w:val="left"/>
      <w:lvlText w:val="%1."/>
      <w:numFmt w:val="decimal"/>
      <w:start w:val="11"/>
    </w:lvl>
    <w:lvl w:ilvl="1">
      <w:lvlJc w:val="left"/>
      <w:lvlText w:val="%2"/>
      <w:numFmt w:val="lowerLetter"/>
      <w:start w:val="1"/>
    </w:lvl>
  </w:abstractNum>
  <w:abstractNum w:abstractNumId="76">
    <w:nsid w:val="5399C654"/>
    <w:multiLevelType w:val="hybridMultilevel"/>
    <w:lvl w:ilvl="0">
      <w:lvlJc w:val="left"/>
      <w:lvlText w:val="%1."/>
      <w:numFmt w:val="decimal"/>
      <w:start w:val="13"/>
    </w:lvl>
  </w:abstractNum>
  <w:abstractNum w:abstractNumId="77">
    <w:nsid w:val="20EE1348"/>
    <w:multiLevelType w:val="hybridMultilevel"/>
    <w:lvl w:ilvl="0">
      <w:lvlJc w:val="left"/>
      <w:lvlText w:val="%1."/>
      <w:numFmt w:val="decimal"/>
      <w:start w:val="16"/>
    </w:lvl>
  </w:abstractNum>
  <w:abstractNum w:abstractNumId="78">
    <w:nsid w:val="4427069A"/>
    <w:multiLevelType w:val="hybridMultilevel"/>
    <w:lvl w:ilvl="0">
      <w:lvlJc w:val="left"/>
      <w:lvlText w:val="%1"/>
      <w:numFmt w:val="lowerRoman"/>
      <w:start w:val="1"/>
    </w:lvl>
    <w:lvl w:ilvl="1">
      <w:lvlJc w:val="left"/>
      <w:lvlText w:val="%2."/>
      <w:numFmt w:val="decimal"/>
      <w:start w:val="1"/>
    </w:lvl>
  </w:abstractNum>
  <w:abstractNum w:abstractNumId="79">
    <w:nsid w:val="B37E80A"/>
    <w:multiLevelType w:val="hybridMultilevel"/>
    <w:lvl w:ilvl="0">
      <w:lvlJc w:val="left"/>
      <w:lvlText w:val="(%1)"/>
      <w:numFmt w:val="lowerRoman"/>
      <w:start w:val="2"/>
    </w:lvl>
    <w:lvl w:ilvl="1">
      <w:lvlJc w:val="left"/>
      <w:lvlText w:val="%2"/>
      <w:numFmt w:val="decimal"/>
      <w:start w:val="1"/>
    </w:lvl>
  </w:abstractNum>
  <w:abstractNum w:abstractNumId="80">
    <w:nsid w:val="2157F6BC"/>
    <w:multiLevelType w:val="hybridMultilevel"/>
    <w:lvl w:ilvl="0">
      <w:lvlJc w:val="left"/>
      <w:lvlText w:val="(%1)"/>
      <w:numFmt w:val="lowerRoman"/>
      <w:start w:val="1"/>
    </w:lvl>
    <w:lvl w:ilvl="1">
      <w:lvlJc w:val="left"/>
      <w:lvlText w:val="%2"/>
      <w:numFmt w:val="decimal"/>
      <w:start w:val="1"/>
    </w:lvl>
  </w:abstractNum>
  <w:abstractNum w:abstractNumId="81">
    <w:nsid w:val="704E1DD5"/>
    <w:multiLevelType w:val="hybridMultilevel"/>
    <w:lvl w:ilvl="0">
      <w:lvlJc w:val="left"/>
      <w:lvlText w:val="(%1)"/>
      <w:numFmt w:val="lowerLetter"/>
      <w:start w:val="1"/>
    </w:lvl>
  </w:abstractNum>
  <w:abstractNum w:abstractNumId="82">
    <w:nsid w:val="57D2F10E"/>
    <w:multiLevelType w:val="hybridMultilevel"/>
    <w:lvl w:ilvl="0">
      <w:lvlJc w:val="left"/>
      <w:lvlText w:val="(%1)"/>
      <w:numFmt w:val="lowerLetter"/>
      <w:start w:val="3"/>
    </w:lvl>
    <w:lvl w:ilvl="1">
      <w:lvlJc w:val="left"/>
      <w:lvlText w:val="(%2)"/>
      <w:numFmt w:val="decimal"/>
      <w:start w:val="2"/>
    </w:lvl>
  </w:abstractNum>
  <w:abstractNum w:abstractNumId="83">
    <w:nsid w:val="BFFAE18"/>
    <w:multiLevelType w:val="hybridMultilevel"/>
    <w:lvl w:ilvl="0">
      <w:lvlJc w:val="left"/>
      <w:lvlText w:val="%1"/>
      <w:numFmt w:val="lowerLetter"/>
      <w:start w:val="1"/>
    </w:lvl>
    <w:lvl w:ilvl="1">
      <w:lvlJc w:val="left"/>
      <w:lvlText w:val="(%2)"/>
      <w:numFmt w:val="decimal"/>
      <w:start w:val="4"/>
    </w:lvl>
  </w:abstractNum>
  <w:abstractNum w:abstractNumId="84">
    <w:nsid w:val="E3E47A8"/>
    <w:multiLevelType w:val="hybridMultilevel"/>
    <w:lvl w:ilvl="0">
      <w:lvlJc w:val="left"/>
      <w:lvlText w:val="(%1)"/>
      <w:numFmt w:val="lowerLetter"/>
      <w:start w:val="5"/>
    </w:lvl>
    <w:lvl w:ilvl="1">
      <w:lvlJc w:val="left"/>
      <w:lvlText w:val="%2"/>
      <w:numFmt w:val="decimal"/>
      <w:start w:val="1"/>
    </w:lvl>
  </w:abstractNum>
  <w:abstractNum w:abstractNumId="85">
    <w:nsid w:val="2E48F044"/>
    <w:multiLevelType w:val="hybridMultilevel"/>
    <w:lvl w:ilvl="0">
      <w:lvlJc w:val="left"/>
      <w:lvlText w:val="%1."/>
      <w:numFmt w:val="decimal"/>
      <w:start w:val="3"/>
    </w:lvl>
    <w:lvl w:ilvl="1">
      <w:lvlJc w:val="left"/>
      <w:lvlText w:val="(%2)"/>
      <w:numFmt w:val="lowerLetter"/>
      <w:start w:val="1"/>
    </w:lvl>
  </w:abstractNum>
  <w:abstractNum w:abstractNumId="86">
    <w:nsid w:val="49D0FE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87">
    <w:nsid w:val="4BEE5A5B"/>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abstractNum>
  <w:abstractNum w:abstractNumId="88">
    <w:nsid w:val="5551B9F3"/>
    <w:multiLevelType w:val="hybridMultilevel"/>
    <w:lvl w:ilvl="0">
      <w:lvlJc w:val="left"/>
      <w:lvlText w:val="(%1)"/>
      <w:numFmt w:val="lowerLetter"/>
      <w:start w:val="4"/>
    </w:lvl>
  </w:abstractNum>
  <w:abstractNum w:abstractNumId="89">
    <w:nsid w:val="24F6AB8E"/>
    <w:multiLevelType w:val="hybridMultilevel"/>
    <w:lvl w:ilvl="0">
      <w:lvlJc w:val="left"/>
      <w:lvlText w:val="(%1)"/>
      <w:numFmt w:val="lowerRoman"/>
      <w:start w:val="1"/>
    </w:lvl>
  </w:abstractNum>
  <w:abstractNum w:abstractNumId="90">
    <w:nsid w:val="634C574C"/>
    <w:multiLevelType w:val="hybridMultilevel"/>
    <w:lvl w:ilvl="0">
      <w:lvlJc w:val="left"/>
      <w:lvlText w:val="(%1)"/>
      <w:numFmt w:val="lowerRoman"/>
      <w:start w:val="6"/>
    </w:lvl>
  </w:abstractNum>
  <w:abstractNum w:abstractNumId="91">
    <w:nsid w:val="24E99DD7"/>
    <w:multiLevelType w:val="hybridMultilevel"/>
    <w:lvl w:ilvl="0">
      <w:lvlJc w:val="left"/>
      <w:lvlText w:val="%1"/>
      <w:numFmt w:val="decimal"/>
      <w:start w:val="1"/>
    </w:lvl>
    <w:lvl w:ilvl="1">
      <w:lvlJc w:val="left"/>
      <w:lvlText w:val="(%2)"/>
      <w:numFmt w:val="lowerLetter"/>
      <w:start w:val="5"/>
    </w:lvl>
  </w:abstractNum>
  <w:abstractNum w:abstractNumId="92">
    <w:nsid w:val="2A31B62D"/>
    <w:multiLevelType w:val="hybridMultilevel"/>
    <w:lvl w:ilvl="0">
      <w:lvlJc w:val="left"/>
      <w:lvlText w:val="%1."/>
      <w:numFmt w:val="decimal"/>
      <w:start w:val="6"/>
    </w:lvl>
    <w:lvl w:ilvl="1">
      <w:lvlJc w:val="left"/>
      <w:lvlText w:val="%2"/>
      <w:numFmt w:val="lowerLetter"/>
      <w:start w:val="1"/>
    </w:lvl>
  </w:abstractNum>
  <w:abstractNum w:abstractNumId="93">
    <w:nsid w:val="1849C29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94">
    <w:nsid w:val="7DFF9D0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95">
    <w:nsid w:val="754342"/>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4"/>
    </w:lvl>
  </w:abstractNum>
  <w:abstractNum w:abstractNumId="96">
    <w:nsid w:val="69E7F3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7">
    <w:nsid w:val="2A6DE806"/>
    <w:multiLevelType w:val="hybridMultilevel"/>
    <w:lvl w:ilvl="0">
      <w:lvlJc w:val="left"/>
      <w:lvlText w:val="(%1)"/>
      <w:numFmt w:val="lowerLetter"/>
      <w:start w:val="2"/>
    </w:lvl>
  </w:abstractNum>
  <w:abstractNum w:abstractNumId="98">
    <w:nsid w:val="1816F8C4"/>
    <w:multiLevelType w:val="hybridMultilevel"/>
    <w:lvl w:ilvl="0">
      <w:lvlJc w:val="left"/>
      <w:lvlText w:val="(%1)"/>
      <w:numFmt w:val="lowerRoman"/>
      <w:start w:val="1"/>
    </w:lvl>
  </w:abstractNum>
  <w:abstractNum w:abstractNumId="99">
    <w:nsid w:val="37DF2233"/>
    <w:multiLevelType w:val="hybridMultilevel"/>
    <w:lvl w:ilvl="0">
      <w:lvlJc w:val="left"/>
      <w:lvlText w:val="%1"/>
      <w:numFmt w:val="decimal"/>
      <w:start w:val="1"/>
    </w:lvl>
    <w:lvl w:ilvl="1">
      <w:lvlJc w:val="left"/>
      <w:lvlText w:val="(%2)"/>
      <w:numFmt w:val="lowerLetter"/>
      <w:start w:val="4"/>
    </w:lvl>
  </w:abstractNum>
  <w:abstractNum w:abstractNumId="100">
    <w:nsid w:val="7AB49DAF"/>
    <w:multiLevelType w:val="hybridMultilevel"/>
    <w:lvl w:ilvl="0">
      <w:lvlJc w:val="left"/>
      <w:lvlText w:val="%1."/>
      <w:numFmt w:val="decimal"/>
      <w:start w:val="9"/>
    </w:lvl>
    <w:lvl w:ilvl="1">
      <w:lvlJc w:val="left"/>
      <w:lvlText w:val="(%2)"/>
      <w:numFmt w:val="lowerLetter"/>
      <w:start w:val="1"/>
    </w:lvl>
  </w:abstractNum>
  <w:abstractNum w:abstractNumId="101">
    <w:nsid w:val="759F82CD"/>
    <w:multiLevelType w:val="hybridMultilevel"/>
    <w:lvl w:ilvl="0">
      <w:lvlJc w:val="left"/>
      <w:lvlText w:val="%1"/>
      <w:numFmt w:val="decimal"/>
      <w:start w:val="1"/>
    </w:lvl>
    <w:lvl w:ilvl="1">
      <w:lvlJc w:val="left"/>
      <w:lvlText w:val="(%2)"/>
      <w:numFmt w:val="lowerLetter"/>
      <w:start w:val="2"/>
    </w:lvl>
  </w:abstractNum>
  <w:abstractNum w:abstractNumId="102">
    <w:nsid w:val="61E74EA3"/>
    <w:multiLevelType w:val="hybridMultilevel"/>
    <w:lvl w:ilvl="0">
      <w:lvlJc w:val="left"/>
      <w:lvlText w:val="%1."/>
      <w:numFmt w:val="decimal"/>
      <w:start w:val="11"/>
    </w:lvl>
    <w:lvl w:ilvl="1">
      <w:lvlJc w:val="left"/>
      <w:lvlText w:val="%2"/>
      <w:numFmt w:val="lowerLetter"/>
      <w:start w:val="1"/>
    </w:lvl>
  </w:abstractNum>
  <w:abstractNum w:abstractNumId="103">
    <w:nsid w:val="597B4D84"/>
    <w:multiLevelType w:val="hybridMultilevel"/>
    <w:lvl w:ilvl="0">
      <w:lvlJc w:val="left"/>
      <w:lvlText w:val="%1."/>
      <w:numFmt w:val="decimal"/>
      <w:start w:val="13"/>
    </w:lvl>
  </w:abstractNum>
  <w:abstractNum w:abstractNumId="104">
    <w:nsid w:val="F819E7F"/>
    <w:multiLevelType w:val="hybridMultilevel"/>
    <w:lvl w:ilvl="0">
      <w:lvlJc w:val="left"/>
      <w:lvlText w:val="%1."/>
      <w:numFmt w:val="decimal"/>
      <w:start w:val="16"/>
    </w:lvl>
  </w:abstractNum>
  <w:abstractNum w:abstractNumId="105">
    <w:nsid w:val="57C7D42D"/>
    <w:multiLevelType w:val="hybridMultilevel"/>
    <w:lvl w:ilvl="0">
      <w:lvlJc w:val="left"/>
      <w:lvlText w:val="%1"/>
      <w:numFmt w:val="lowerRoman"/>
      <w:start w:val="1"/>
    </w:lvl>
    <w:lvl w:ilvl="1">
      <w:lvlJc w:val="left"/>
      <w:lvlText w:val="%2."/>
      <w:numFmt w:val="decimal"/>
      <w:start w:val="1"/>
    </w:lvl>
  </w:abstractNum>
  <w:abstractNum w:abstractNumId="106">
    <w:nsid w:val="312167AD"/>
    <w:multiLevelType w:val="hybridMultilevel"/>
    <w:lvl w:ilvl="0">
      <w:lvlJc w:val="left"/>
      <w:lvlText w:val="(%1)"/>
      <w:numFmt w:val="lowerRoman"/>
      <w:start w:val="2"/>
    </w:lvl>
    <w:lvl w:ilvl="1">
      <w:lvlJc w:val="left"/>
      <w:lvlText w:val="%2"/>
      <w:numFmt w:val="decimal"/>
      <w:start w:val="1"/>
    </w:lvl>
  </w:abstractNum>
  <w:abstractNum w:abstractNumId="107">
    <w:nsid w:val="631B64D4"/>
    <w:multiLevelType w:val="hybridMultilevel"/>
    <w:lvl w:ilvl="0">
      <w:lvlJc w:val="left"/>
      <w:lvlText w:val="(%1)"/>
      <w:numFmt w:val="lowerRoman"/>
      <w:start w:val="1"/>
    </w:lvl>
    <w:lvl w:ilvl="1">
      <w:lvlJc w:val="left"/>
      <w:lvlText w:val="%2"/>
      <w:numFmt w:val="decimal"/>
      <w:start w:val="1"/>
    </w:lvl>
  </w:abstractNum>
  <w:abstractNum w:abstractNumId="108">
    <w:nsid w:val="78B5E776"/>
    <w:multiLevelType w:val="hybridMultilevel"/>
    <w:lvl w:ilvl="0">
      <w:lvlJc w:val="left"/>
      <w:lvlText w:val="(%1)"/>
      <w:numFmt w:val="lowerLetter"/>
      <w:start w:val="1"/>
    </w:lvl>
  </w:abstractNum>
  <w:abstractNum w:abstractNumId="109">
    <w:nsid w:val="75486E47"/>
    <w:multiLevelType w:val="hybridMultilevel"/>
    <w:lvl w:ilvl="0">
      <w:lvlJc w:val="left"/>
      <w:lvlText w:val="(%1)"/>
      <w:numFmt w:val="lowerLetter"/>
      <w:start w:val="3"/>
    </w:lvl>
    <w:lvl w:ilvl="1">
      <w:lvlJc w:val="left"/>
      <w:lvlText w:val="(%2)"/>
      <w:numFmt w:val="decimal"/>
      <w:start w:val="2"/>
    </w:lvl>
  </w:abstractNum>
  <w:abstractNum w:abstractNumId="110">
    <w:nsid w:val="6E534CDE"/>
    <w:multiLevelType w:val="hybridMultilevel"/>
    <w:lvl w:ilvl="0">
      <w:lvlJc w:val="left"/>
      <w:lvlText w:val="%1"/>
      <w:numFmt w:val="lowerLetter"/>
      <w:start w:val="1"/>
    </w:lvl>
    <w:lvl w:ilvl="1">
      <w:lvlJc w:val="left"/>
      <w:lvlText w:val="(%2)"/>
      <w:numFmt w:val="decimal"/>
      <w:start w:val="4"/>
    </w:lvl>
  </w:abstractNum>
  <w:abstractNum w:abstractNumId="111">
    <w:nsid w:val="1A0DDE32"/>
    <w:multiLevelType w:val="hybridMultilevel"/>
    <w:lvl w:ilvl="0">
      <w:lvlJc w:val="left"/>
      <w:lvlText w:val="(%1)"/>
      <w:numFmt w:val="lowerLetter"/>
      <w:start w:val="5"/>
    </w:lvl>
    <w:lvl w:ilvl="1">
      <w:lvlJc w:val="left"/>
      <w:lvlText w:val="%2"/>
      <w:numFmt w:val="decimal"/>
      <w:start w:val="1"/>
    </w:lvl>
  </w:abstractNum>
  <w:abstractNum w:abstractNumId="112">
    <w:nsid w:val="65968C1C"/>
    <w:multiLevelType w:val="hybridMultilevel"/>
    <w:lvl w:ilvl="0">
      <w:lvlJc w:val="left"/>
      <w:lvlText w:val="%1."/>
      <w:numFmt w:val="decimal"/>
      <w:start w:val="3"/>
    </w:lvl>
    <w:lvl w:ilvl="1">
      <w:lvlJc w:val="left"/>
      <w:lvlText w:val="(%2)"/>
      <w:numFmt w:val="lowerLetter"/>
      <w:start w:val="1"/>
    </w:lvl>
  </w:abstractNum>
  <w:abstractNum w:abstractNumId="113">
    <w:nsid w:val="46263D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14">
    <w:nsid w:val="260D8C4A"/>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abstractNum>
  <w:abstractNum w:abstractNumId="115">
    <w:nsid w:val="73D4D3C4"/>
    <w:multiLevelType w:val="hybridMultilevel"/>
    <w:lvl w:ilvl="0">
      <w:lvlJc w:val="left"/>
      <w:lvlText w:val="(%1)"/>
      <w:numFmt w:val="lowerLetter"/>
      <w:start w:val="4"/>
    </w:lvl>
  </w:abstractNum>
  <w:abstractNum w:abstractNumId="116">
    <w:nsid w:val="746F2E30"/>
    <w:multiLevelType w:val="hybridMultilevel"/>
    <w:lvl w:ilvl="0">
      <w:lvlJc w:val="left"/>
      <w:lvlText w:val="(%1)"/>
      <w:numFmt w:val="lowerRoman"/>
      <w:start w:val="1"/>
    </w:lvl>
  </w:abstractNum>
  <w:abstractNum w:abstractNumId="117">
    <w:nsid w:val="6FDE8AF6"/>
    <w:multiLevelType w:val="hybridMultilevel"/>
    <w:lvl w:ilvl="0">
      <w:lvlJc w:val="left"/>
      <w:lvlText w:val="(%1)"/>
      <w:numFmt w:val="lowerRoman"/>
      <w:start w:val="6"/>
    </w:lvl>
  </w:abstractNum>
  <w:abstractNum w:abstractNumId="118">
    <w:nsid w:val="3FC32E20"/>
    <w:multiLevelType w:val="hybridMultilevel"/>
    <w:lvl w:ilvl="0">
      <w:lvlJc w:val="left"/>
      <w:lvlText w:val="%1"/>
      <w:numFmt w:val="decimal"/>
      <w:start w:val="1"/>
    </w:lvl>
    <w:lvl w:ilvl="1">
      <w:lvlJc w:val="left"/>
      <w:lvlText w:val="(%2)"/>
      <w:numFmt w:val="lowerLetter"/>
      <w:start w:val="5"/>
    </w:lvl>
  </w:abstractNum>
  <w:abstractNum w:abstractNumId="119">
    <w:nsid w:val="49C0E823"/>
    <w:multiLevelType w:val="hybridMultilevel"/>
    <w:lvl w:ilvl="0">
      <w:lvlJc w:val="left"/>
      <w:lvlText w:val="%1."/>
      <w:numFmt w:val="decimal"/>
      <w:start w:val="6"/>
    </w:lvl>
    <w:lvl w:ilvl="1">
      <w:lvlJc w:val="left"/>
      <w:lvlText w:val="%2"/>
      <w:numFmt w:val="lowerLetter"/>
      <w:start w:val="1"/>
    </w:lvl>
  </w:abstractNum>
  <w:abstractNum w:abstractNumId="120">
    <w:nsid w:val="14D53685"/>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21">
    <w:nsid w:val="230F856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22">
    <w:nsid w:val="6EAA85FB"/>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4"/>
    </w:lvl>
  </w:abstractNum>
  <w:abstractNum w:abstractNumId="123">
    <w:nsid w:val="3F06EC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4">
    <w:nsid w:val="3B594807"/>
    <w:multiLevelType w:val="hybridMultilevel"/>
    <w:lvl w:ilvl="0">
      <w:lvlJc w:val="left"/>
      <w:lvlText w:val="(%1)"/>
      <w:numFmt w:val="lowerLetter"/>
      <w:start w:val="2"/>
    </w:lvl>
  </w:abstractNum>
  <w:abstractNum w:abstractNumId="125">
    <w:nsid w:val="6CAA2304"/>
    <w:multiLevelType w:val="hybridMultilevel"/>
    <w:lvl w:ilvl="0">
      <w:lvlJc w:val="left"/>
      <w:lvlText w:val="(%1)"/>
      <w:numFmt w:val="lowerRoman"/>
      <w:start w:val="1"/>
    </w:lvl>
  </w:abstractNum>
  <w:abstractNum w:abstractNumId="126">
    <w:nsid w:val="3F7C2FF4"/>
    <w:multiLevelType w:val="hybridMultilevel"/>
    <w:lvl w:ilvl="0">
      <w:lvlJc w:val="left"/>
      <w:lvlText w:val="%1"/>
      <w:numFmt w:val="decimal"/>
      <w:start w:val="1"/>
    </w:lvl>
    <w:lvl w:ilvl="1">
      <w:lvlJc w:val="left"/>
      <w:lvlText w:val="(%2)"/>
      <w:numFmt w:val="lowerLetter"/>
      <w:start w:val="4"/>
    </w:lvl>
  </w:abstractNum>
  <w:abstractNum w:abstractNumId="127">
    <w:nsid w:val="25413BEC"/>
    <w:multiLevelType w:val="hybridMultilevel"/>
    <w:lvl w:ilvl="0">
      <w:lvlJc w:val="left"/>
      <w:lvlText w:val="%1."/>
      <w:numFmt w:val="decimal"/>
      <w:start w:val="9"/>
    </w:lvl>
    <w:lvl w:ilvl="1">
      <w:lvlJc w:val="left"/>
      <w:lvlText w:val="(%2)"/>
      <w:numFmt w:val="lowerLetter"/>
      <w:start w:val="1"/>
    </w:lvl>
  </w:abstractNum>
  <w:abstractNum w:abstractNumId="128">
    <w:nsid w:val="17180B0B"/>
    <w:multiLevelType w:val="hybridMultilevel"/>
    <w:lvl w:ilvl="0">
      <w:lvlJc w:val="left"/>
      <w:lvlText w:val="%1"/>
      <w:numFmt w:val="decimal"/>
      <w:start w:val="1"/>
    </w:lvl>
    <w:lvl w:ilvl="1">
      <w:lvlJc w:val="left"/>
      <w:lvlText w:val="(%2)"/>
      <w:numFmt w:val="lowerLetter"/>
      <w:start w:val="2"/>
    </w:lvl>
  </w:abstractNum>
  <w:abstractNum w:abstractNumId="129">
    <w:nsid w:val="579328B9"/>
    <w:multiLevelType w:val="hybridMultilevel"/>
    <w:lvl w:ilvl="0">
      <w:lvlJc w:val="left"/>
      <w:lvlText w:val="%1."/>
      <w:numFmt w:val="decimal"/>
      <w:start w:val="11"/>
    </w:lvl>
    <w:lvl w:ilvl="1">
      <w:lvlJc w:val="left"/>
      <w:lvlText w:val="%2"/>
      <w:numFmt w:val="lowerLetter"/>
      <w:start w:val="1"/>
    </w:lvl>
  </w:abstractNum>
  <w:abstractNum w:abstractNumId="130">
    <w:nsid w:val="5D205E20"/>
    <w:multiLevelType w:val="hybridMultilevel"/>
    <w:lvl w:ilvl="0">
      <w:lvlJc w:val="left"/>
      <w:lvlText w:val="%1."/>
      <w:numFmt w:val="decimal"/>
      <w:start w:val="13"/>
    </w:lvl>
  </w:abstractNum>
  <w:abstractNum w:abstractNumId="131">
    <w:nsid w:val="11CCA8BA"/>
    <w:multiLevelType w:val="hybridMultilevel"/>
    <w:lvl w:ilvl="0">
      <w:lvlJc w:val="left"/>
      <w:lvlText w:val="%1."/>
      <w:numFmt w:val="decimal"/>
      <w:start w:val="16"/>
    </w:lvl>
  </w:abstractNum>
  <w:abstractNum w:abstractNumId="132">
    <w:nsid w:val="4D32AB86"/>
    <w:multiLevelType w:val="hybridMultilevel"/>
    <w:lvl w:ilvl="0">
      <w:lvlJc w:val="left"/>
      <w:lvlText w:val="%1"/>
      <w:numFmt w:val="lowerRoman"/>
      <w:start w:val="1"/>
    </w:lvl>
    <w:lvl w:ilvl="1">
      <w:lvlJc w:val="left"/>
      <w:lvlText w:val="%2."/>
      <w:numFmt w:val="decimal"/>
      <w:start w:val="1"/>
    </w:lvl>
  </w:abstractNum>
  <w:abstractNum w:abstractNumId="133">
    <w:nsid w:val="3F07ACC3"/>
    <w:multiLevelType w:val="hybridMultilevel"/>
    <w:lvl w:ilvl="0">
      <w:lvlJc w:val="left"/>
      <w:lvlText w:val="(%1)"/>
      <w:numFmt w:val="lowerRoman"/>
      <w:start w:val="2"/>
    </w:lvl>
    <w:lvl w:ilvl="1">
      <w:lvlJc w:val="left"/>
      <w:lvlText w:val="%2"/>
      <w:numFmt w:val="decimal"/>
      <w:start w:val="1"/>
    </w:lvl>
  </w:abstractNum>
  <w:abstractNum w:abstractNumId="134">
    <w:nsid w:val="6B47F63E"/>
    <w:multiLevelType w:val="hybridMultilevel"/>
    <w:lvl w:ilvl="0">
      <w:lvlJc w:val="left"/>
      <w:lvlText w:val="(%1)"/>
      <w:numFmt w:val="lowerRoman"/>
      <w:start w:val="1"/>
    </w:lvl>
    <w:lvl w:ilvl="1">
      <w:lvlJc w:val="left"/>
      <w:lvlText w:val="%2"/>
      <w:numFmt w:val="decimal"/>
      <w:start w:val="1"/>
    </w:lvl>
  </w:abstractNum>
  <w:abstractNum w:abstractNumId="135">
    <w:nsid w:val="5CB44A05"/>
    <w:multiLevelType w:val="hybridMultilevel"/>
    <w:lvl w:ilvl="0">
      <w:lvlJc w:val="left"/>
      <w:lvlText w:val="(%1)"/>
      <w:numFmt w:val="lowerLetter"/>
      <w:start w:val="1"/>
    </w:lvl>
  </w:abstractNum>
  <w:abstractNum w:abstractNumId="136">
    <w:nsid w:val="16CF80F1"/>
    <w:multiLevelType w:val="hybridMultilevel"/>
    <w:lvl w:ilvl="0">
      <w:lvlJc w:val="left"/>
      <w:lvlText w:val="(%1)"/>
      <w:numFmt w:val="lowerLetter"/>
      <w:start w:val="3"/>
    </w:lvl>
    <w:lvl w:ilvl="1">
      <w:lvlJc w:val="left"/>
      <w:lvlText w:val="(%2)"/>
      <w:numFmt w:val="decimal"/>
      <w:start w:val="2"/>
    </w:lvl>
  </w:abstractNum>
  <w:abstractNum w:abstractNumId="137">
    <w:nsid w:val="1C695DEC"/>
    <w:multiLevelType w:val="hybridMultilevel"/>
    <w:lvl w:ilvl="0">
      <w:lvlJc w:val="left"/>
      <w:lvlText w:val="%1"/>
      <w:numFmt w:val="lowerLetter"/>
      <w:start w:val="1"/>
    </w:lvl>
    <w:lvl w:ilvl="1">
      <w:lvlJc w:val="left"/>
      <w:lvlText w:val="(%2)"/>
      <w:numFmt w:val="decimal"/>
      <w:start w:val="4"/>
    </w:lvl>
  </w:abstractNum>
  <w:abstractNum w:abstractNumId="138">
    <w:nsid w:val="3FCFAED9"/>
    <w:multiLevelType w:val="hybridMultilevel"/>
    <w:lvl w:ilvl="0">
      <w:lvlJc w:val="left"/>
      <w:lvlText w:val="(%1)"/>
      <w:numFmt w:val="lowerLetter"/>
      <w:start w:val="5"/>
    </w:lvl>
    <w:lvl w:ilvl="1">
      <w:lvlJc w:val="left"/>
      <w:lvlText w:val="%2"/>
      <w:numFmt w:val="decimal"/>
      <w:start w:val="1"/>
    </w:lvl>
  </w:abstractNum>
  <w:abstractNum w:abstractNumId="139">
    <w:nsid w:val="F856867"/>
    <w:multiLevelType w:val="hybridMultilevel"/>
    <w:lvl w:ilvl="0">
      <w:lvlJc w:val="left"/>
      <w:lvlText w:val="%1."/>
      <w:numFmt w:val="decimal"/>
      <w:start w:val="3"/>
    </w:lvl>
    <w:lvl w:ilvl="1">
      <w:lvlJc w:val="left"/>
      <w:lvlText w:val="(%2)"/>
      <w:numFmt w:val="lowerLetter"/>
      <w:start w:val="1"/>
    </w:lvl>
  </w:abstractNum>
  <w:abstractNum w:abstractNumId="140">
    <w:nsid w:val="11B1CC33"/>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41">
    <w:nsid w:val="2E22FBB7"/>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abstractNum>
  <w:abstractNum w:abstractNumId="142">
    <w:nsid w:val="29934699"/>
    <w:multiLevelType w:val="hybridMultilevel"/>
    <w:lvl w:ilvl="0">
      <w:lvlJc w:val="left"/>
      <w:lvlText w:val="(%1)"/>
      <w:numFmt w:val="lowerLetter"/>
      <w:start w:val="4"/>
    </w:lvl>
  </w:abstractNum>
  <w:abstractNum w:abstractNumId="143">
    <w:nsid w:val="77485850"/>
    <w:multiLevelType w:val="hybridMultilevel"/>
    <w:lvl w:ilvl="0">
      <w:lvlJc w:val="left"/>
      <w:lvlText w:val="(%1)"/>
      <w:numFmt w:val="lowerRoman"/>
      <w:start w:val="1"/>
    </w:lvl>
  </w:abstractNum>
  <w:abstractNum w:abstractNumId="144">
    <w:nsid w:val="744939A3"/>
    <w:multiLevelType w:val="hybridMultilevel"/>
    <w:lvl w:ilvl="0">
      <w:lvlJc w:val="left"/>
      <w:lvlText w:val="(%1)"/>
      <w:numFmt w:val="lowerRoman"/>
      <w:start w:val="6"/>
    </w:lvl>
  </w:abstractNum>
  <w:abstractNum w:abstractNumId="145">
    <w:nsid w:val="4FA0D2E3"/>
    <w:multiLevelType w:val="hybridMultilevel"/>
    <w:lvl w:ilvl="0">
      <w:lvlJc w:val="left"/>
      <w:lvlText w:val="%1"/>
      <w:numFmt w:val="decimal"/>
      <w:start w:val="1"/>
    </w:lvl>
    <w:lvl w:ilvl="1">
      <w:lvlJc w:val="left"/>
      <w:lvlText w:val="(%2)"/>
      <w:numFmt w:val="lowerLetter"/>
      <w:start w:val="5"/>
    </w:lvl>
  </w:abstractNum>
  <w:abstractNum w:abstractNumId="146">
    <w:nsid w:val="6B1D2C14"/>
    <w:multiLevelType w:val="hybridMultilevel"/>
    <w:lvl w:ilvl="0">
      <w:lvlJc w:val="left"/>
      <w:lvlText w:val="%1."/>
      <w:numFmt w:val="decimal"/>
      <w:start w:val="6"/>
    </w:lvl>
    <w:lvl w:ilvl="1">
      <w:lvlJc w:val="left"/>
      <w:lvlText w:val="%2"/>
      <w:numFmt w:val="lowerLetter"/>
      <w:start w:val="1"/>
    </w:lvl>
  </w:abstractNum>
  <w:abstractNum w:abstractNumId="147">
    <w:nsid w:val="68B867D3"/>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48">
    <w:nsid w:val="3F7F5DD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49">
    <w:nsid w:val="2AE05A34"/>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4"/>
    </w:lvl>
  </w:abstractNum>
  <w:abstractNum w:abstractNumId="150">
    <w:nsid w:val="32794FF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1">
    <w:nsid w:val="5454945E"/>
    <w:multiLevelType w:val="hybridMultilevel"/>
    <w:lvl w:ilvl="0">
      <w:lvlJc w:val="left"/>
      <w:lvlText w:val="(%1)"/>
      <w:numFmt w:val="lowerLetter"/>
      <w:start w:val="2"/>
    </w:lvl>
  </w:abstractNum>
  <w:abstractNum w:abstractNumId="152">
    <w:nsid w:val="4DEFDFA0"/>
    <w:multiLevelType w:val="hybridMultilevel"/>
    <w:lvl w:ilvl="0">
      <w:lvlJc w:val="left"/>
      <w:lvlText w:val="(%1)"/>
      <w:numFmt w:val="lowerRoman"/>
      <w:start w:val="1"/>
    </w:lvl>
  </w:abstractNum>
  <w:abstractNum w:abstractNumId="153">
    <w:nsid w:val="2123D5F2"/>
    <w:multiLevelType w:val="hybridMultilevel"/>
    <w:lvl w:ilvl="0">
      <w:lvlJc w:val="left"/>
      <w:lvlText w:val="%1"/>
      <w:numFmt w:val="decimal"/>
      <w:start w:val="1"/>
    </w:lvl>
    <w:lvl w:ilvl="1">
      <w:lvlJc w:val="left"/>
      <w:lvlText w:val="(%2)"/>
      <w:numFmt w:val="lowerLetter"/>
      <w:start w:val="4"/>
    </w:lvl>
  </w:abstractNum>
  <w:abstractNum w:abstractNumId="154">
    <w:nsid w:val="135B8110"/>
    <w:multiLevelType w:val="hybridMultilevel"/>
    <w:lvl w:ilvl="0">
      <w:lvlJc w:val="left"/>
      <w:lvlText w:val="%1."/>
      <w:numFmt w:val="decimal"/>
      <w:start w:val="9"/>
    </w:lvl>
    <w:lvl w:ilvl="1">
      <w:lvlJc w:val="left"/>
      <w:lvlText w:val="(%2)"/>
      <w:numFmt w:val="lowerLetter"/>
      <w:start w:val="1"/>
    </w:lvl>
  </w:abstractNum>
  <w:abstractNum w:abstractNumId="155">
    <w:nsid w:val="94927A8"/>
    <w:multiLevelType w:val="hybridMultilevel"/>
    <w:lvl w:ilvl="0">
      <w:lvlJc w:val="left"/>
      <w:lvlText w:val="%1"/>
      <w:numFmt w:val="decimal"/>
      <w:start w:val="1"/>
    </w:lvl>
    <w:lvl w:ilvl="1">
      <w:lvlJc w:val="left"/>
      <w:lvlText w:val="(%2)"/>
      <w:numFmt w:val="lowerLetter"/>
      <w:start w:val="2"/>
    </w:lvl>
  </w:abstractNum>
  <w:abstractNum w:abstractNumId="156">
    <w:nsid w:val="DCDF8F6"/>
    <w:multiLevelType w:val="hybridMultilevel"/>
    <w:lvl w:ilvl="0">
      <w:lvlJc w:val="left"/>
      <w:lvlText w:val="%1."/>
      <w:numFmt w:val="decimal"/>
      <w:start w:val="11"/>
    </w:lvl>
    <w:lvl w:ilvl="1">
      <w:lvlJc w:val="left"/>
      <w:lvlText w:val="%2"/>
      <w:numFmt w:val="lowerLetter"/>
      <w:start w:val="1"/>
    </w:lvl>
  </w:abstractNum>
  <w:abstractNum w:abstractNumId="157">
    <w:nsid w:val="52D7B105"/>
    <w:multiLevelType w:val="hybridMultilevel"/>
    <w:lvl w:ilvl="0">
      <w:lvlJc w:val="left"/>
      <w:lvlText w:val="%1."/>
      <w:numFmt w:val="decimal"/>
      <w:start w:val="13"/>
    </w:lvl>
  </w:abstractNum>
  <w:abstractNum w:abstractNumId="158">
    <w:nsid w:val="2E8A6394"/>
    <w:multiLevelType w:val="hybridMultilevel"/>
    <w:lvl w:ilvl="0">
      <w:lvlJc w:val="left"/>
      <w:lvlText w:val="%1."/>
      <w:numFmt w:val="decimal"/>
      <w:start w:val="16"/>
    </w:lvl>
  </w:abstractNum>
  <w:abstractNum w:abstractNumId="159">
    <w:nsid w:val="24E60401"/>
    <w:multiLevelType w:val="hybridMultilevel"/>
    <w:lvl w:ilvl="0">
      <w:lvlJc w:val="left"/>
      <w:lvlText w:val="%1"/>
      <w:numFmt w:val="lowerRoman"/>
      <w:start w:val="1"/>
    </w:lvl>
    <w:lvl w:ilvl="1">
      <w:lvlJc w:val="left"/>
      <w:lvlText w:val="%2."/>
      <w:numFmt w:val="decimal"/>
      <w:start w:val="1"/>
    </w:lvl>
  </w:abstractNum>
  <w:abstractNum w:abstractNumId="160">
    <w:nsid w:val="2A6AD9BE"/>
    <w:multiLevelType w:val="hybridMultilevel"/>
    <w:lvl w:ilvl="0">
      <w:lvlJc w:val="left"/>
      <w:lvlText w:val="(%1)"/>
      <w:numFmt w:val="lowerRoman"/>
      <w:start w:val="2"/>
    </w:lvl>
    <w:lvl w:ilvl="1">
      <w:lvlJc w:val="left"/>
      <w:lvlText w:val="%2"/>
      <w:numFmt w:val="decimal"/>
      <w:start w:val="1"/>
    </w:lvl>
  </w:abstractNum>
  <w:abstractNum w:abstractNumId="161">
    <w:nsid w:val="BAAC1B4"/>
    <w:multiLevelType w:val="hybridMultilevel"/>
    <w:lvl w:ilvl="0">
      <w:lvlJc w:val="left"/>
      <w:lvlText w:val="(%1)"/>
      <w:numFmt w:val="lowerRoman"/>
      <w:start w:val="1"/>
    </w:lvl>
    <w:lvl w:ilvl="1">
      <w:lvlJc w:val="left"/>
      <w:lvlText w:val="%2"/>
      <w:numFmt w:val="decimal"/>
      <w:start w:val="1"/>
    </w:lvl>
  </w:abstractNum>
  <w:abstractNum w:abstractNumId="162">
    <w:nsid w:val="36B2ACBC"/>
    <w:multiLevelType w:val="hybridMultilevel"/>
    <w:lvl w:ilvl="0">
      <w:lvlJc w:val="left"/>
      <w:lvlText w:val="(%1)"/>
      <w:numFmt w:val="lowerLetter"/>
      <w:start w:val="1"/>
    </w:lvl>
  </w:abstractNum>
  <w:abstractNum w:abstractNumId="163">
    <w:nsid w:val="779D8544"/>
    <w:multiLevelType w:val="hybridMultilevel"/>
    <w:lvl w:ilvl="0">
      <w:lvlJc w:val="left"/>
      <w:lvlText w:val="(%1)"/>
      <w:numFmt w:val="lowerLetter"/>
      <w:start w:val="3"/>
    </w:lvl>
    <w:lvl w:ilvl="1">
      <w:lvlJc w:val="left"/>
      <w:lvlText w:val="(%2)"/>
      <w:numFmt w:val="decimal"/>
      <w:start w:val="2"/>
    </w:lvl>
  </w:abstractNum>
  <w:abstractNum w:abstractNumId="164">
    <w:nsid w:val="4AB26E78"/>
    <w:multiLevelType w:val="hybridMultilevel"/>
    <w:lvl w:ilvl="0">
      <w:lvlJc w:val="left"/>
      <w:lvlText w:val="%1"/>
      <w:numFmt w:val="lowerLetter"/>
      <w:start w:val="1"/>
    </w:lvl>
    <w:lvl w:ilvl="1">
      <w:lvlJc w:val="left"/>
      <w:lvlText w:val="(%2)"/>
      <w:numFmt w:val="decimal"/>
      <w:start w:val="4"/>
    </w:lvl>
  </w:abstractNum>
  <w:abstractNum w:abstractNumId="165">
    <w:nsid w:val="21FAA2FA"/>
    <w:multiLevelType w:val="hybridMultilevel"/>
    <w:lvl w:ilvl="0">
      <w:lvlJc w:val="left"/>
      <w:lvlText w:val="(%1)"/>
      <w:numFmt w:val="lowerLetter"/>
      <w:start w:val="5"/>
    </w:lvl>
    <w:lvl w:ilvl="1">
      <w:lvlJc w:val="left"/>
      <w:lvlText w:val="%2"/>
      <w:numFmt w:val="decimal"/>
      <w:start w:val="1"/>
    </w:lvl>
  </w:abstractNum>
  <w:abstractNum w:abstractNumId="166">
    <w:nsid w:val="5451CF49"/>
    <w:multiLevelType w:val="hybridMultilevel"/>
    <w:lvl w:ilvl="0">
      <w:lvlJc w:val="left"/>
      <w:lvlText w:val="%1."/>
      <w:numFmt w:val="decimal"/>
      <w:start w:val="3"/>
    </w:lvl>
    <w:lvl w:ilvl="1">
      <w:lvlJc w:val="left"/>
      <w:lvlText w:val="(%2)"/>
      <w:numFmt w:val="lowerLetter"/>
      <w:start w:val="1"/>
    </w:lvl>
  </w:abstractNum>
  <w:abstractNum w:abstractNumId="167">
    <w:nsid w:val="6181EF6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68">
    <w:nsid w:val="3E6400E6"/>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abstractNum>
  <w:abstractNum w:abstractNumId="169">
    <w:nsid w:val="14217E23"/>
    <w:multiLevelType w:val="hybridMultilevel"/>
    <w:lvl w:ilvl="0">
      <w:lvlJc w:val="left"/>
      <w:lvlText w:val="(%1)"/>
      <w:numFmt w:val="lowerLetter"/>
      <w:start w:val="4"/>
    </w:lvl>
  </w:abstractNum>
  <w:abstractNum w:abstractNumId="170">
    <w:nsid w:val="710757D0"/>
    <w:multiLevelType w:val="hybridMultilevel"/>
    <w:lvl w:ilvl="0">
      <w:lvlJc w:val="left"/>
      <w:lvlText w:val="(%1)"/>
      <w:numFmt w:val="lowerRoman"/>
      <w:start w:val="1"/>
    </w:lvl>
  </w:abstractNum>
  <w:abstractNum w:abstractNumId="171">
    <w:nsid w:val="5015CD1A"/>
    <w:multiLevelType w:val="hybridMultilevel"/>
    <w:lvl w:ilvl="0">
      <w:lvlJc w:val="left"/>
      <w:lvlText w:val="(%1)"/>
      <w:numFmt w:val="lowerRoman"/>
      <w:start w:val="6"/>
    </w:lvl>
  </w:abstractNum>
  <w:abstractNum w:abstractNumId="172">
    <w:nsid w:val="424479DA"/>
    <w:multiLevelType w:val="hybridMultilevel"/>
    <w:lvl w:ilvl="0">
      <w:lvlJc w:val="left"/>
      <w:lvlText w:val="%1"/>
      <w:numFmt w:val="decimal"/>
      <w:start w:val="1"/>
    </w:lvl>
    <w:lvl w:ilvl="1">
      <w:lvlJc w:val="left"/>
      <w:lvlText w:val="(%2)"/>
      <w:numFmt w:val="lowerLetter"/>
      <w:start w:val="5"/>
    </w:lvl>
  </w:abstractNum>
  <w:abstractNum w:abstractNumId="173">
    <w:nsid w:val="1A9A9E69"/>
    <w:multiLevelType w:val="hybridMultilevel"/>
    <w:lvl w:ilvl="0">
      <w:lvlJc w:val="left"/>
      <w:lvlText w:val="%1."/>
      <w:numFmt w:val="decimal"/>
      <w:start w:val="6"/>
    </w:lvl>
    <w:lvl w:ilvl="1">
      <w:lvlJc w:val="left"/>
      <w:lvlText w:val="%2"/>
      <w:numFmt w:val="lowerLetter"/>
      <w:start w:val="1"/>
    </w:lvl>
  </w:abstractNum>
  <w:abstractNum w:abstractNumId="174">
    <w:nsid w:val="475E256A"/>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75">
    <w:nsid w:val="368DB37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76">
    <w:nsid w:val="6A3B714C"/>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4"/>
    </w:lvl>
  </w:abstractNum>
  <w:abstractNum w:abstractNumId="177">
    <w:nsid w:val="327B517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8">
    <w:nsid w:val="1F461B51"/>
    <w:multiLevelType w:val="hybridMultilevel"/>
    <w:lvl w:ilvl="0">
      <w:lvlJc w:val="left"/>
      <w:lvlText w:val="(%1)"/>
      <w:numFmt w:val="lowerLetter"/>
      <w:start w:val="2"/>
    </w:lvl>
  </w:abstractNum>
  <w:abstractNum w:abstractNumId="179">
    <w:nsid w:val="29BACF25"/>
    <w:multiLevelType w:val="hybridMultilevel"/>
    <w:lvl w:ilvl="0">
      <w:lvlJc w:val="left"/>
      <w:lvlText w:val="(%1)"/>
      <w:numFmt w:val="lowerRoman"/>
      <w:start w:val="1"/>
    </w:lvl>
  </w:abstractNum>
  <w:abstractNum w:abstractNumId="180">
    <w:nsid w:val="5D5BABB3"/>
    <w:multiLevelType w:val="hybridMultilevel"/>
    <w:lvl w:ilvl="0">
      <w:lvlJc w:val="left"/>
      <w:lvlText w:val="%1"/>
      <w:numFmt w:val="decimal"/>
      <w:start w:val="1"/>
    </w:lvl>
    <w:lvl w:ilvl="1">
      <w:lvlJc w:val="left"/>
      <w:lvlText w:val="(%2)"/>
      <w:numFmt w:val="lowerLetter"/>
      <w:start w:val="4"/>
    </w:lvl>
  </w:abstractNum>
  <w:abstractNum w:abstractNumId="181">
    <w:nsid w:val="51BF6B48"/>
    <w:multiLevelType w:val="hybridMultilevel"/>
    <w:lvl w:ilvl="0">
      <w:lvlJc w:val="left"/>
      <w:lvlText w:val="%1."/>
      <w:numFmt w:val="decimal"/>
      <w:start w:val="9"/>
    </w:lvl>
    <w:lvl w:ilvl="1">
      <w:lvlJc w:val="left"/>
      <w:lvlText w:val="(%2)"/>
      <w:numFmt w:val="lowerLetter"/>
      <w:start w:val="1"/>
    </w:lvl>
  </w:abstractNum>
  <w:abstractNum w:abstractNumId="182">
    <w:nsid w:val="7E0F6384"/>
    <w:multiLevelType w:val="hybridMultilevel"/>
    <w:lvl w:ilvl="0">
      <w:lvlJc w:val="left"/>
      <w:lvlText w:val="%1"/>
      <w:numFmt w:val="decimal"/>
      <w:start w:val="1"/>
    </w:lvl>
    <w:lvl w:ilvl="1">
      <w:lvlJc w:val="left"/>
      <w:lvlText w:val="(%2)"/>
      <w:numFmt w:val="lowerLetter"/>
      <w:start w:val="2"/>
    </w:lvl>
  </w:abstractNum>
  <w:abstractNum w:abstractNumId="183">
    <w:nsid w:val="2B4B8B53"/>
    <w:multiLevelType w:val="hybridMultilevel"/>
    <w:lvl w:ilvl="0">
      <w:lvlJc w:val="left"/>
      <w:lvlText w:val="%1."/>
      <w:numFmt w:val="decimal"/>
      <w:start w:val="11"/>
    </w:lvl>
    <w:lvl w:ilvl="1">
      <w:lvlJc w:val="left"/>
      <w:lvlText w:val="%2"/>
      <w:numFmt w:val="lowerLetter"/>
      <w:start w:val="1"/>
    </w:lvl>
  </w:abstractNum>
  <w:abstractNum w:abstractNumId="184">
    <w:nsid w:val="72E3413A"/>
    <w:multiLevelType w:val="hybridMultilevel"/>
    <w:lvl w:ilvl="0">
      <w:lvlJc w:val="left"/>
      <w:lvlText w:val="%1."/>
      <w:numFmt w:val="decimal"/>
      <w:start w:val="13"/>
    </w:lvl>
  </w:abstractNum>
  <w:abstractNum w:abstractNumId="185">
    <w:nsid w:val="116AE494"/>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2019-12-13T08:34:35Z</dcterms:created>
  <dcterms:modified xsi:type="dcterms:W3CDTF">2019-12-13T08:34:35Z</dcterms:modified>
</cp:coreProperties>
</file>