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WINNEBAGO INDUSTRIES INC</w:t>
      </w:r>
    </w:p>
    <w:p>
      <w:pPr>
        <w:spacing w:after="0" w:line="29"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974637100</w:t>
      </w:r>
    </w:p>
    <w:p>
      <w:pPr>
        <w:spacing w:after="0" w:line="29"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2010</w:t>
      </w:r>
    </w:p>
    <w:p>
      <w:pPr>
        <w:spacing w:after="0" w:line="29"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99"/>
        <w:spacing w:after="0" w:line="347"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18" w:lineRule="exact"/>
        <w:rPr>
          <w:sz w:val="24"/>
          <w:szCs w:val="24"/>
          <w:color w:val="auto"/>
        </w:rPr>
      </w:pPr>
    </w:p>
    <w:p>
      <w:pPr>
        <w:jc w:val="both"/>
        <w:ind w:right="8419" w:firstLine="8"/>
        <w:spacing w:after="0" w:line="344" w:lineRule="auto"/>
        <w:tabs>
          <w:tab w:leader="none" w:pos="421"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4" w:lineRule="exact"/>
        <w:rPr>
          <w:sz w:val="24"/>
          <w:szCs w:val="24"/>
          <w:color w:val="auto"/>
        </w:rPr>
      </w:pPr>
    </w:p>
    <w:p>
      <w:pPr>
        <w:ind w:right="4199"/>
        <w:spacing w:after="0" w:line="27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41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8"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974637100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6" w:lineRule="auto"/>
        <w:tabs>
          <w:tab w:leader="none" w:pos="436"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2675677</w:t>
      </w:r>
    </w:p>
    <w:p>
      <w:pPr>
        <w:spacing w:after="0" w:line="1" w:lineRule="exact"/>
        <w:rPr>
          <w:rFonts w:ascii="Courier New" w:cs="Courier New" w:eastAsia="Courier New" w:hAnsi="Courier New"/>
          <w:sz w:val="18"/>
          <w:szCs w:val="18"/>
          <w:color w:val="auto"/>
        </w:rPr>
      </w:pPr>
    </w:p>
    <w:p>
      <w:pPr>
        <w:ind w:left="540" w:right="7779" w:hanging="532"/>
        <w:spacing w:after="0" w:line="476" w:lineRule="auto"/>
        <w:tabs>
          <w:tab w:leader="none" w:pos="43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None</w:t>
      </w:r>
    </w:p>
    <w:p>
      <w:pPr>
        <w:spacing w:after="0" w:line="1" w:lineRule="exact"/>
        <w:rPr>
          <w:rFonts w:ascii="Courier New" w:cs="Courier New" w:eastAsia="Courier New" w:hAnsi="Courier New"/>
          <w:sz w:val="18"/>
          <w:szCs w:val="18"/>
          <w:color w:val="auto"/>
        </w:rPr>
      </w:pPr>
    </w:p>
    <w:p>
      <w:pPr>
        <w:ind w:left="120" w:right="7479" w:hanging="112"/>
        <w:spacing w:after="0" w:line="585" w:lineRule="auto"/>
        <w:tabs>
          <w:tab w:leader="none" w:pos="436"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2675677</w:t>
      </w:r>
    </w:p>
    <w:p>
      <w:pPr>
        <w:sectPr>
          <w:pgSz w:w="11900" w:h="17011" w:orient="portrait"/>
          <w:cols w:equalWidth="0" w:num="1">
            <w:col w:w="10219"/>
          </w:cols>
          <w:pgMar w:left="240" w:top="218" w:right="1440" w:bottom="0" w:gutter="0" w:footer="0" w:header="0"/>
        </w:sectPr>
      </w:pPr>
    </w:p>
    <w:bookmarkStart w:id="1" w:name="page2"/>
    <w:bookmarkEnd w:id="1"/>
    <w:p>
      <w:pPr>
        <w:ind w:left="540" w:right="7259" w:hanging="532"/>
        <w:spacing w:after="0" w:line="476" w:lineRule="auto"/>
        <w:tabs>
          <w:tab w:leader="none" w:pos="435"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1" w:lineRule="exact"/>
        <w:rPr>
          <w:rFonts w:ascii="Courier New" w:cs="Courier New" w:eastAsia="Courier New" w:hAnsi="Courier New"/>
          <w:sz w:val="18"/>
          <w:szCs w:val="18"/>
          <w:color w:val="auto"/>
        </w:rPr>
      </w:pPr>
    </w:p>
    <w:p>
      <w:pPr>
        <w:ind w:left="120" w:right="3479" w:hanging="112"/>
        <w:spacing w:after="0" w:line="476" w:lineRule="auto"/>
        <w:tabs>
          <w:tab w:leader="none" w:pos="436"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2675677</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9.19%</w:t>
      </w:r>
    </w:p>
    <w:p>
      <w:pPr>
        <w:spacing w:after="0" w:line="201" w:lineRule="exact"/>
        <w:rPr>
          <w:sz w:val="20"/>
          <w:szCs w:val="20"/>
          <w:color w:val="auto"/>
        </w:rPr>
      </w:pP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WINNEBAGO INDUSTRIES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 Box 152</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Forest City IA 50436</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31" w:lineRule="exact"/>
        <w:rPr>
          <w:sz w:val="20"/>
          <w:szCs w:val="20"/>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BlackRock Inc.</w:t>
      </w:r>
    </w:p>
    <w:p>
      <w:pPr>
        <w:ind w:right="8219"/>
        <w:spacing w:after="0" w:line="37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40 East 52nd Street New York, NY 10022</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ind w:left="220" w:hanging="212"/>
        <w:spacing w:after="0"/>
        <w:tabs>
          <w:tab w:leader="none" w:pos="2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ind w:left="220" w:hanging="212"/>
        <w:spacing w:after="0"/>
        <w:tabs>
          <w:tab w:leader="none" w:pos="2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169"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Common Stock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41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319" w:firstLine="8"/>
        <w:spacing w:after="0" w:line="238" w:lineRule="auto"/>
        <w:tabs>
          <w:tab w:leader="none" w:pos="211"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line="238" w:lineRule="auto"/>
        <w:tabs>
          <w:tab w:leader="none" w:pos="2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ind w:left="220" w:hanging="212"/>
        <w:spacing w:after="0"/>
        <w:tabs>
          <w:tab w:leader="none" w:pos="2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w:t>
      </w:r>
    </w:p>
    <w:p>
      <w:pPr>
        <w:sectPr>
          <w:pgSz w:w="11900" w:h="16838" w:orient="portrait"/>
          <w:cols w:equalWidth="0" w:num="1">
            <w:col w:w="10219"/>
          </w:cols>
          <w:pgMar w:left="240" w:top="110" w:right="1440" w:bottom="0" w:gutter="0" w:footer="0" w:header="0"/>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Rule 13d-1(b)(1)(ii)(F);</w:t>
      </w:r>
    </w:p>
    <w:p>
      <w:pPr>
        <w:spacing w:after="0" w:line="31" w:lineRule="exact"/>
        <w:rPr>
          <w:sz w:val="20"/>
          <w:szCs w:val="20"/>
          <w:color w:val="auto"/>
        </w:rPr>
      </w:pPr>
    </w:p>
    <w:p>
      <w:pPr>
        <w:ind w:left="1280" w:right="3359" w:hanging="1272"/>
        <w:spacing w:after="0" w:line="238" w:lineRule="auto"/>
        <w:tabs>
          <w:tab w:leader="none" w:pos="437"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303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7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rPr>
          <w:sz w:val="20"/>
          <w:szCs w:val="20"/>
          <w:color w:val="auto"/>
        </w:rPr>
      </w:pPr>
      <w:r>
        <w:rPr>
          <w:rFonts w:ascii="Courier New" w:cs="Courier New" w:eastAsia="Courier New" w:hAnsi="Courier New"/>
          <w:sz w:val="18"/>
          <w:szCs w:val="18"/>
          <w:color w:val="auto"/>
        </w:rPr>
        <w:t>[ ] A non-U.S. institution in accordance with</w:t>
      </w:r>
    </w:p>
    <w:p>
      <w:pPr>
        <w:ind w:left="1280"/>
        <w:spacing w:after="0" w:line="238" w:lineRule="auto"/>
        <w:rPr>
          <w:sz w:val="20"/>
          <w:szCs w:val="20"/>
          <w:color w:val="auto"/>
        </w:rPr>
      </w:pPr>
      <w:r>
        <w:rPr>
          <w:rFonts w:ascii="Courier New" w:cs="Courier New" w:eastAsia="Courier New" w:hAnsi="Courier New"/>
          <w:sz w:val="18"/>
          <w:szCs w:val="18"/>
          <w:color w:val="auto"/>
        </w:rPr>
        <w:t>Rule 240.13d-1(b)(1)(ii)(J);</w:t>
      </w:r>
    </w:p>
    <w:p>
      <w:pPr>
        <w:ind w:left="1280" w:right="3039" w:hanging="1272"/>
        <w:spacing w:after="0" w:line="238" w:lineRule="auto"/>
        <w:tabs>
          <w:tab w:leader="none" w:pos="227"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15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2675677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9.19%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2675677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2675677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61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right="24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4" w:lineRule="exact"/>
        <w:rPr>
          <w:sz w:val="20"/>
          <w:szCs w:val="20"/>
          <w:color w:val="auto"/>
        </w:rPr>
      </w:pPr>
    </w:p>
    <w:p>
      <w:pPr>
        <w:ind w:right="3479"/>
        <w:spacing w:after="0" w:line="247"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 WINNEBAGO INDUSTRIES INC. No one person's interest in the common stock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WINNEBAGO INDUSTRIES INC</w:t>
      </w:r>
    </w:p>
    <w:p>
      <w:pPr>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ectPr>
          <w:pgSz w:w="11900" w:h="16838" w:orient="portrait"/>
          <w:cols w:equalWidth="0" w:num="1">
            <w:col w:w="10219"/>
          </w:cols>
          <w:pgMar w:left="240" w:top="110" w:right="1440" w:bottom="0" w:gutter="0" w:footer="0" w:header="0"/>
        </w:sectPr>
      </w:pPr>
    </w:p>
    <w:bookmarkStart w:id="3" w:name="page4"/>
    <w:bookmarkEnd w:id="3"/>
    <w:p>
      <w:pPr>
        <w:ind w:right="335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rPr>
                <w:sz w:val="20"/>
                <w:szCs w:val="20"/>
                <w:color w:val="auto"/>
              </w:rPr>
            </w:pPr>
            <w:r>
              <w:rPr>
                <w:rFonts w:ascii="Courier New" w:cs="Courier New" w:eastAsia="Courier New" w:hAnsi="Courier New"/>
                <w:sz w:val="18"/>
                <w:szCs w:val="18"/>
                <w:color w:val="auto"/>
              </w:rPr>
              <w:t>of 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93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62"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25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9"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January 21, 2011</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Matthew J. Fitzgerald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20" w:hanging="212"/>
        <w:spacing w:after="0"/>
        <w:tabs>
          <w:tab w:leader="none" w:pos="22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159"/>
        <w:spacing w:after="0" w:line="277"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3039"/>
        <w:spacing w:after="0" w:line="347"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718" w:right="1440" w:bottom="564"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Subsidiary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Japan Co. Ltd.</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Institutional Trust Company, N.A.</w:t>
      </w:r>
    </w:p>
    <w:p>
      <w:pPr>
        <w:spacing w:after="0" w:line="238" w:lineRule="auto"/>
        <w:rPr>
          <w:sz w:val="20"/>
          <w:szCs w:val="20"/>
          <w:color w:val="auto"/>
        </w:rPr>
      </w:pPr>
      <w:r>
        <w:rPr>
          <w:rFonts w:ascii="Courier New" w:cs="Courier New" w:eastAsia="Courier New" w:hAnsi="Courier New"/>
          <w:sz w:val="18"/>
          <w:szCs w:val="18"/>
          <w:color w:val="auto"/>
        </w:rPr>
        <w:t>BlackRock Fund Advisors</w:t>
      </w:r>
    </w:p>
    <w:p>
      <w:pPr>
        <w:spacing w:after="0"/>
        <w:rPr>
          <w:sz w:val="20"/>
          <w:szCs w:val="20"/>
          <w:color w:val="auto"/>
        </w:rPr>
      </w:pPr>
      <w:r>
        <w:rPr>
          <w:rFonts w:ascii="Courier New" w:cs="Courier New" w:eastAsia="Courier New" w:hAnsi="Courier New"/>
          <w:sz w:val="18"/>
          <w:szCs w:val="18"/>
          <w:color w:val="auto"/>
        </w:rPr>
        <w:t>BlackRock Advisors, LLC</w:t>
      </w:r>
    </w:p>
    <w:p>
      <w:pPr>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spacing w:after="0"/>
        <w:rPr>
          <w:sz w:val="20"/>
          <w:szCs w:val="20"/>
          <w:color w:val="auto"/>
        </w:rPr>
      </w:pPr>
      <w:r>
        <w:rPr>
          <w:rFonts w:ascii="Courier New" w:cs="Courier New" w:eastAsia="Courier New" w:hAnsi="Courier New"/>
          <w:sz w:val="18"/>
          <w:szCs w:val="18"/>
          <w:color w:val="auto"/>
        </w:rPr>
        <w:t>BlackRock (Luxembourg) S.A.</w:t>
      </w:r>
    </w:p>
    <w:p>
      <w:pPr>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spacing w:after="0"/>
        <w:rPr>
          <w:sz w:val="20"/>
          <w:szCs w:val="20"/>
          <w:color w:val="auto"/>
        </w:rPr>
      </w:pPr>
      <w:r>
        <w:rPr>
          <w:rFonts w:ascii="Courier New" w:cs="Courier New" w:eastAsia="Courier New" w:hAnsi="Courier New"/>
          <w:sz w:val="18"/>
          <w:szCs w:val="18"/>
          <w:color w:val="auto"/>
        </w:rPr>
        <w:t>BlackRock International Limited</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3039"/>
        <w:spacing w:after="0" w:line="275"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Robert Connolly, Howard Surloff, Edward Baer, Bartholomew Battista, Daniel Waltcher, Karen Clark, John Stelley, Denis Molleur, Daniel Ronnen, Brian Kindelan, Nicholas Hall, Con Tzatzakis ,</w:t>
      </w:r>
    </w:p>
    <w:p>
      <w:pPr>
        <w:spacing w:after="0"/>
        <w:rPr>
          <w:sz w:val="20"/>
          <w:szCs w:val="20"/>
          <w:color w:val="auto"/>
        </w:rPr>
      </w:pPr>
      <w:r>
        <w:rPr>
          <w:rFonts w:ascii="Courier New" w:cs="Courier New" w:eastAsia="Courier New" w:hAnsi="Courier New"/>
          <w:sz w:val="18"/>
          <w:szCs w:val="18"/>
          <w:color w:val="auto"/>
        </w:rPr>
        <w:t>John Blevins, Rick F. Froio and Matthew Fitzgerald acting severally, as</w:t>
      </w:r>
    </w:p>
    <w:p>
      <w:pPr>
        <w:ind w:right="2099"/>
        <w:spacing w:after="0" w:line="238" w:lineRule="auto"/>
        <w:rPr>
          <w:sz w:val="20"/>
          <w:szCs w:val="20"/>
          <w:color w:val="auto"/>
        </w:rPr>
      </w:pPr>
      <w:r>
        <w:rPr>
          <w:rFonts w:ascii="Courier New" w:cs="Courier New" w:eastAsia="Courier New" w:hAnsi="Courier New"/>
          <w:sz w:val="18"/>
          <w:szCs w:val="18"/>
          <w:color w:val="auto"/>
        </w:rPr>
        <w:t>its true and lawful attorneys-in-fact, for the purpose of, from time to time, executing in its name and on its behalf, whether the Company is acting individually or as representative of others, any and all documents, certificates, instruments, statements, other filings and amendments to</w:t>
      </w:r>
    </w:p>
    <w:p>
      <w:pPr>
        <w:spacing w:after="0" w:line="1" w:lineRule="exact"/>
        <w:rPr>
          <w:sz w:val="20"/>
          <w:szCs w:val="20"/>
          <w:color w:val="auto"/>
        </w:rPr>
      </w:pPr>
    </w:p>
    <w:p>
      <w:pPr>
        <w:ind w:right="3039"/>
        <w:spacing w:after="0" w:line="238" w:lineRule="auto"/>
        <w:rPr>
          <w:sz w:val="20"/>
          <w:szCs w:val="20"/>
          <w:color w:val="auto"/>
        </w:rPr>
      </w:pPr>
      <w:r>
        <w:rPr>
          <w:rFonts w:ascii="Courier New" w:cs="Courier New" w:eastAsia="Courier New" w:hAnsi="Courier New"/>
          <w:sz w:val="18"/>
          <w:szCs w:val="18"/>
          <w:color w:val="auto"/>
        </w:rPr>
        <w:t>the foregoing (collectively, "documents") determined by such person to be necessary or appropriate to comply with ownership or control-person reporting requirements imposed by any United States or non-United States governmental or regulatory authority, including without limitation Forms 3, 4, 5, 13D, 13F and 13G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w:t>
      </w:r>
    </w:p>
    <w:p>
      <w:pPr>
        <w:spacing w:after="0" w:line="5" w:lineRule="exact"/>
        <w:rPr>
          <w:sz w:val="20"/>
          <w:szCs w:val="20"/>
          <w:color w:val="auto"/>
        </w:rPr>
      </w:pPr>
    </w:p>
    <w:p>
      <w:pPr>
        <w:jc w:val="both"/>
        <w:ind w:right="3259"/>
        <w:spacing w:after="0" w:line="323" w:lineRule="auto"/>
        <w:rPr>
          <w:sz w:val="20"/>
          <w:szCs w:val="20"/>
          <w:color w:val="auto"/>
        </w:rPr>
      </w:pPr>
      <w:r>
        <w:rPr>
          <w:rFonts w:ascii="Courier New" w:cs="Courier New" w:eastAsia="Courier New" w:hAnsi="Courier New"/>
          <w:sz w:val="16"/>
          <w:szCs w:val="16"/>
          <w:color w:val="auto"/>
        </w:rPr>
        <w:t>virtue hereof. Any such determination by an attorney-in-fact named herein shall be conclusively evidenced by such person's execution, delivery, furnishing or filing of the applicable document.</w:t>
      </w:r>
    </w:p>
    <w:p>
      <w:pPr>
        <w:spacing w:after="0" w:line="4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This power of attorney shall expressly revoke the power of attorney</w:t>
      </w:r>
    </w:p>
    <w:p>
      <w:pPr>
        <w:spacing w:after="0" w:line="31" w:lineRule="exact"/>
        <w:rPr>
          <w:sz w:val="20"/>
          <w:szCs w:val="20"/>
          <w:color w:val="auto"/>
        </w:rPr>
      </w:pPr>
    </w:p>
    <w:p>
      <w:pPr>
        <w:ind w:right="2419"/>
        <w:spacing w:after="0" w:line="256" w:lineRule="auto"/>
        <w:rPr>
          <w:sz w:val="20"/>
          <w:szCs w:val="20"/>
          <w:color w:val="auto"/>
        </w:rPr>
      </w:pPr>
      <w:r>
        <w:rPr>
          <w:rFonts w:ascii="Courier New" w:cs="Courier New" w:eastAsia="Courier New" w:hAnsi="Courier New"/>
          <w:sz w:val="18"/>
          <w:szCs w:val="18"/>
          <w:color w:val="auto"/>
        </w:rPr>
        <w:t>dated January 11, 2008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6" w:lineRule="exact"/>
        <w:rPr>
          <w:sz w:val="20"/>
          <w:szCs w:val="20"/>
          <w:color w:val="auto"/>
        </w:rPr>
      </w:pPr>
    </w:p>
    <w:p>
      <w:pPr>
        <w:ind w:right="3679"/>
        <w:spacing w:after="0" w:line="402"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14th day of December, 2009.</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Robert W. Doll, Jr.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Robert W. Doll, Jr.</w:t>
      </w:r>
    </w:p>
    <w:p>
      <w:pPr>
        <w:spacing w:after="0"/>
        <w:rPr>
          <w:sz w:val="20"/>
          <w:szCs w:val="20"/>
          <w:color w:val="auto"/>
        </w:rPr>
      </w:pPr>
      <w:r>
        <w:rPr>
          <w:rFonts w:ascii="Courier New" w:cs="Courier New" w:eastAsia="Courier New" w:hAnsi="Courier New"/>
          <w:sz w:val="18"/>
          <w:szCs w:val="18"/>
          <w:color w:val="auto"/>
        </w:rPr>
        <w:t>Title: Vice Chairman</w:t>
      </w:r>
    </w:p>
    <w:sectPr>
      <w:pgSz w:w="11900" w:h="16838" w:orient="portrait"/>
      <w:cols w:equalWidth="0" w:num="1">
        <w:col w:w="10219"/>
      </w:cols>
      <w:pgMar w:left="24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1]"/>
      <w:numFmt w:val="upperLetter"/>
      <w:start w:val="24"/>
    </w:lvl>
  </w:abstractNum>
  <w:abstractNum w:abstractNumId="5">
    <w:nsid w:val="66EF438D"/>
    <w:multiLevelType w:val="hybridMultilevel"/>
    <w:lvl w:ilvl="0">
      <w:lvlJc w:val="left"/>
      <w:lvlText w:val="(%1)"/>
      <w:numFmt w:val="decimal"/>
      <w:start w:val="2"/>
    </w:lvl>
  </w:abstractNum>
  <w:abstractNum w:abstractNumId="6">
    <w:nsid w:val="140E0F76"/>
    <w:multiLevelType w:val="hybridMultilevel"/>
    <w:lvl w:ilvl="0">
      <w:lvlJc w:val="left"/>
      <w:lvlText w:val="(%1)"/>
      <w:numFmt w:val="decimal"/>
      <w:start w:val="5"/>
    </w:lvl>
  </w:abstractNum>
  <w:abstractNum w:abstractNumId="7">
    <w:nsid w:val="3352255A"/>
    <w:multiLevelType w:val="hybridMultilevel"/>
    <w:lvl w:ilvl="0">
      <w:lvlJc w:val="left"/>
      <w:lvlText w:val="(%1)"/>
      <w:numFmt w:val="decimal"/>
      <w:start w:val="8"/>
    </w:lvl>
  </w:abstractNum>
  <w:abstractNum w:abstractNumId="8">
    <w:nsid w:val="109CF92E"/>
    <w:multiLevelType w:val="hybridMultilevel"/>
    <w:lvl w:ilvl="0">
      <w:lvlJc w:val="left"/>
      <w:lvlText w:val="(%1)"/>
      <w:numFmt w:val="decimal"/>
      <w:start w:val="12"/>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
      <w:numFmt w:val="bullet"/>
      <w:start w:val="1"/>
    </w:lvl>
  </w:abstractNum>
  <w:abstractNum w:abstractNumId="15">
    <w:nsid w:val="25E45D32"/>
    <w:multiLevelType w:val="hybridMultilevel"/>
    <w:lvl w:ilvl="0">
      <w:lvlJc w:val="left"/>
      <w:lvlText w:val="[%1]"/>
      <w:numFmt w:val="upperLetter"/>
      <w:start w:val="24"/>
    </w:lvl>
  </w:abstractNum>
  <w:abstractNum w:abstractNumId="16">
    <w:nsid w:val="519B500D"/>
    <w:multiLevelType w:val="hybridMultilevel"/>
    <w:lvl w:ilvl="0">
      <w:lvlJc w:val="left"/>
      <w:lvlText w:val="["/>
      <w:numFmt w:val="bullet"/>
      <w:start w:val="1"/>
    </w:lvl>
  </w:abstractNum>
  <w:abstractNum w:abstractNumId="17">
    <w:nsid w:val="431BD7B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2019-12-13T08:23:18Z</dcterms:created>
  <dcterms:modified xsi:type="dcterms:W3CDTF">2019-12-13T08:23:18Z</dcterms:modified>
</cp:coreProperties>
</file>