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31)*</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APRIL 2,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Hanson Capital Partners, L.L.C.  I.R.S. Identification No. 52-2286575</w:t>
      </w:r>
    </w:p>
    <w:tbl>
      <w:tblPr>
        <w:tblLayout w:type="fixed"/>
        <w:tblInd w:w="640" w:type="dxa"/>
        <w:tblCellMar>
          <w:top w:w="0" w:type="dxa"/>
          <w:left w:w="0" w:type="dxa"/>
          <w:bottom w:w="0" w:type="dxa"/>
          <w:right w:w="0" w:type="dxa"/>
        </w:tblCellMar>
      </w:tblPr>
      <w:tr>
        <w:trPr>
          <w:trHeight w:val="203"/>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John V. Hanson</w:t>
            </w:r>
          </w:p>
        </w:tc>
        <w:tc>
          <w:tcPr>
            <w:tcW w:w="204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7800" w:hanging="418"/>
        <w:spacing w:after="0" w:line="238" w:lineRule="auto"/>
        <w:tabs>
          <w:tab w:leader="none" w:pos="78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w:t>
      </w:r>
    </w:p>
    <w:p>
      <w:pPr>
        <w:ind w:left="7800" w:hanging="418"/>
        <w:spacing w:after="0" w:line="238" w:lineRule="auto"/>
        <w:tabs>
          <w:tab w:leader="none" w:pos="78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640" w:right="7999" w:hanging="632"/>
        <w:spacing w:after="0" w:line="55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ectPr>
          <w:pgSz w:w="11900" w:h="1686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w:t>
      </w:r>
    </w:p>
    <w:p>
      <w:pPr>
        <w:ind w:left="640"/>
        <w:spacing w:after="0"/>
        <w:tabs>
          <w:tab w:leader="none" w:pos="810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612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spacing w:after="0"/>
              <w:rPr>
                <w:sz w:val="17"/>
                <w:szCs w:val="17"/>
                <w:color w:val="auto"/>
              </w:rPr>
            </w:pP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0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0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 L.L.C.</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3,312,212+ shares (9.7%)</w:t>
            </w:r>
          </w:p>
        </w:tc>
      </w:tr>
      <w:tr>
        <w:trPr>
          <w:trHeight w:val="405"/>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owned by wife and</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40,000+ shares which John V.</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Hanson has a right to</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Gerald E. Boman, and 40,000+</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shares which Gerald E. Boman</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has the right to acquire)*</w:t>
            </w:r>
          </w:p>
        </w:tc>
      </w:tr>
      <w:tr>
        <w:trPr>
          <w:trHeight w:val="405"/>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405"/>
        </w:trPr>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3"/>
        </w:trPr>
        <w:tc>
          <w:tcPr>
            <w:tcW w:w="15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3060" w:type="dxa"/>
            <w:vAlign w:val="bottom"/>
            <w:gridSpan w:val="2"/>
          </w:tcPr>
          <w:p>
            <w:pPr>
              <w:ind w:left="320"/>
              <w:spacing w:after="0"/>
              <w:rPr>
                <w:sz w:val="20"/>
                <w:szCs w:val="20"/>
                <w:color w:val="auto"/>
              </w:rPr>
            </w:pPr>
            <w:r>
              <w:rPr>
                <w:rFonts w:ascii="Courier New" w:cs="Courier New" w:eastAsia="Courier New" w:hAnsi="Courier New"/>
                <w:sz w:val="11"/>
                <w:szCs w:val="11"/>
                <w:color w:val="auto"/>
                <w:w w:val="74"/>
              </w:rPr>
              <w:t>-------------------------------------------------------</w:t>
            </w:r>
          </w:p>
        </w:tc>
        <w:tc>
          <w:tcPr>
            <w:tcW w:w="306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060" w:type="dxa"/>
            <w:vAlign w:val="bottom"/>
          </w:tcPr>
          <w:p>
            <w:pPr>
              <w:spacing w:after="0"/>
              <w:rPr>
                <w:sz w:val="17"/>
                <w:szCs w:val="17"/>
                <w:color w:val="auto"/>
              </w:rPr>
            </w:pP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060" w:type="dxa"/>
            <w:vAlign w:val="bottom"/>
          </w:tcPr>
          <w:p>
            <w:pPr>
              <w:spacing w:after="0"/>
              <w:rPr>
                <w:sz w:val="17"/>
                <w:szCs w:val="17"/>
                <w:color w:val="auto"/>
              </w:rPr>
            </w:pPr>
          </w:p>
        </w:tc>
      </w:tr>
      <w:tr>
        <w:trPr>
          <w:trHeight w:val="405"/>
        </w:trPr>
        <w:tc>
          <w:tcPr>
            <w:tcW w:w="15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7"/>
              </w:rPr>
              <w:t>EACH</w:t>
            </w:r>
          </w:p>
        </w:tc>
        <w:tc>
          <w:tcPr>
            <w:tcW w:w="3060" w:type="dxa"/>
            <w:vAlign w:val="bottom"/>
            <w:gridSpan w:val="2"/>
          </w:tcPr>
          <w:p>
            <w:pPr>
              <w:ind w:left="320"/>
              <w:spacing w:after="0"/>
              <w:rPr>
                <w:sz w:val="20"/>
                <w:szCs w:val="20"/>
                <w:color w:val="auto"/>
              </w:rPr>
            </w:pPr>
            <w:r>
              <w:rPr>
                <w:rFonts w:ascii="Courier New" w:cs="Courier New" w:eastAsia="Courier New" w:hAnsi="Courier New"/>
                <w:sz w:val="11"/>
                <w:szCs w:val="11"/>
                <w:color w:val="auto"/>
                <w:w w:val="74"/>
              </w:rPr>
              <w:t>-------------------------------------------------------</w:t>
            </w:r>
          </w:p>
        </w:tc>
        <w:tc>
          <w:tcPr>
            <w:tcW w:w="3060" w:type="dxa"/>
            <w:vAlign w:val="bottom"/>
          </w:tcPr>
          <w:p>
            <w:pPr>
              <w:spacing w:after="0"/>
              <w:rPr>
                <w:sz w:val="24"/>
                <w:szCs w:val="24"/>
                <w:color w:val="auto"/>
              </w:rPr>
            </w:pP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960" w:type="dxa"/>
            <w:vAlign w:val="bottom"/>
          </w:tcPr>
          <w:p>
            <w:pPr>
              <w:spacing w:after="0"/>
              <w:rPr>
                <w:sz w:val="17"/>
                <w:szCs w:val="17"/>
                <w:color w:val="auto"/>
              </w:rPr>
            </w:pP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0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 L.L.C.</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3,312,212+ shares (9.7%)</w:t>
            </w:r>
          </w:p>
        </w:tc>
      </w:tr>
      <w:tr>
        <w:trPr>
          <w:trHeight w:val="405"/>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owned by wife and</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40,000+ shares which John V.</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Hanson has a right to</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Gerald E. Boman, and 40,000+</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shares which Gerald E. Boman</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has the right to acquire)*</w:t>
            </w:r>
          </w:p>
        </w:tc>
      </w:tr>
      <w:tr>
        <w:trPr>
          <w:trHeight w:val="405"/>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w:t>
            </w:r>
          </w:p>
        </w:tc>
        <w:tc>
          <w:tcPr>
            <w:tcW w:w="3060" w:type="dxa"/>
            <w:vAlign w:val="bottom"/>
            <w:gridSpan w:val="2"/>
          </w:tcPr>
          <w:p>
            <w:pPr>
              <w:ind w:left="320"/>
              <w:spacing w:after="0"/>
              <w:rPr>
                <w:sz w:val="20"/>
                <w:szCs w:val="20"/>
                <w:color w:val="auto"/>
              </w:rPr>
            </w:pPr>
            <w:r>
              <w:rPr>
                <w:rFonts w:ascii="Courier New" w:cs="Courier New" w:eastAsia="Courier New" w:hAnsi="Courier New"/>
                <w:sz w:val="11"/>
                <w:szCs w:val="11"/>
                <w:color w:val="auto"/>
                <w:w w:val="74"/>
              </w:rPr>
              <w:t>-------------------------------------------------------</w:t>
            </w:r>
          </w:p>
        </w:tc>
        <w:tc>
          <w:tcPr>
            <w:tcW w:w="30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0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64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640" w:right="4319" w:hanging="632"/>
        <w:spacing w:after="0" w:line="470"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5059" w:hanging="632"/>
        <w:spacing w:after="0" w:line="536"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103,300 shares of Common Stock as a result of the sale by HCP on April 2, 2004 of 81,200 shares of Common Stock through a broker pursuant to the Rule 10b5-1 Trading Plan (the "TRADING PLAN") with Bessemer Trust Company of Florida and the sale by HCP on April 5, 2004 of 22,100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April 2, 2004, HCP sold 81,200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$2,712,046 or an average price per share of $33.3996 and on April 5,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22,100 shares of Common Stock through a broker pursuant to the Trading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 approximate purchase price of $741,616 or an average price per share of</w:t>
      </w:r>
    </w:p>
    <w:p>
      <w:pPr>
        <w:spacing w:after="0" w:line="238" w:lineRule="auto"/>
        <w:rPr>
          <w:sz w:val="20"/>
          <w:szCs w:val="20"/>
          <w:color w:val="auto"/>
        </w:rPr>
      </w:pPr>
      <w:r>
        <w:rPr>
          <w:rFonts w:ascii="Courier New" w:cs="Courier New" w:eastAsia="Courier New" w:hAnsi="Courier New"/>
          <w:sz w:val="18"/>
          <w:szCs w:val="18"/>
          <w:color w:val="auto"/>
        </w:rPr>
        <w:t>$33.5573.</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3,312,212+ shares of Common Stock, which represent approximately 9.7%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hanging="952"/>
        <w:spacing w:after="0" w:line="237"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3,312,212+ shares of Common Stock of which HCP is the beneficial owner. A majority of the Individual Trustees together with the Corporate Trustee have sole dispositive power with respect to the 3,312,212+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879" w:hanging="952"/>
        <w:spacing w:after="0" w:line="268"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59,500 shares of Common Stock by HCP on March 31, 2004 and April 1, 2004, as reported on Schedule 13D (Amendment No. 30),</w:t>
      </w:r>
    </w:p>
    <w:p>
      <w:pPr>
        <w:ind w:left="960" w:right="1779" w:hanging="4"/>
        <w:spacing w:after="0" w:line="268" w:lineRule="auto"/>
        <w:tabs>
          <w:tab w:leader="none" w:pos="1592"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151,200 shares of Common Stock by HCP on March 29, 2004 and March 30, 2004, as reported on Schedule 13D (Amendment No. 29), (iv) the sale of an aggregate of 260,000 shares of Common Stock by HCP on March 25, 2004 and March 26, 2004, as reported on Schedule 13D (Amendment No. 28), (v) the sale of an aggregate of 240,000 shares of Common Stock by HCP on March 18, 2004 and March 19, 2004, as reported on Schedule 13D (Amendment No. 27), (vi) the sale of an aggregate of 103,400 shares of Common Stock by HCP on March 11, 2004 and March 12, 2004, as reported on Schedule 13D (Amendment No. 26),</w:t>
      </w:r>
    </w:p>
    <w:p>
      <w:pPr>
        <w:spacing w:after="0" w:line="1" w:lineRule="exact"/>
        <w:rPr>
          <w:rFonts w:ascii="Courier New" w:cs="Courier New" w:eastAsia="Courier New" w:hAnsi="Courier New"/>
          <w:sz w:val="16"/>
          <w:szCs w:val="16"/>
          <w:color w:val="auto"/>
        </w:rPr>
      </w:pPr>
    </w:p>
    <w:p>
      <w:pPr>
        <w:ind w:left="960" w:right="1779" w:hanging="4"/>
        <w:spacing w:after="0" w:line="237" w:lineRule="auto"/>
        <w:tabs>
          <w:tab w:leader="none" w:pos="159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152,200 shares of Common Stock by HCP on March 9, 2004 and March 10, 2004, as reported on Schedule 13D (Amendment No. 25), (viii) the sale of 25,000 shares of Common Stock by HCP on March 5, 2004, as reported on Schedule 13D (Amendment No. 24), and (ix) the sale of 46,100 shares of Common Stock by HCP on March 4, 2004, as reported on Schedule 13D (Amendment No. 23); none of HCP, John V. Hanson, Mary Joan Boman or Paul D. Hanson has had any transactions in Common Stock during the past 60 days.</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3679" w:hanging="842"/>
        <w:spacing w:after="0" w:line="290"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HANSON CAPITAL PARTNERS, L.L.C.</w:t>
            </w:r>
          </w:p>
        </w:tc>
      </w:tr>
      <w:tr>
        <w:trPr>
          <w:trHeight w:val="405"/>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April 6,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April 6,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April 6,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2"/>
    </w:lvl>
    <w:lvl w:ilvl="1">
      <w:lvlJc w:val="left"/>
      <w:lvlText w:val="(%2)"/>
      <w:numFmt w:val="lowerLetter"/>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1"/>
    </w:lvl>
  </w:abstractNum>
  <w:abstractNum w:abstractNumId="11">
    <w:nsid w:val="6B68079A"/>
    <w:multiLevelType w:val="hybridMultilevel"/>
    <w:lvl w:ilvl="0">
      <w:lvlJc w:val="left"/>
      <w:lvlText w:val="(%1)"/>
      <w:numFmt w:val="decimal"/>
      <w:start w:val="13"/>
    </w:lvl>
  </w:abstractNum>
  <w:abstractNum w:abstractNumId="12">
    <w:nsid w:val="4E6AFB66"/>
    <w:multiLevelType w:val="hybridMultilevel"/>
    <w:lvl w:ilvl="0">
      <w:lvlJc w:val="left"/>
      <w:lvlText w:val="(%1)"/>
      <w:numFmt w:val="decimal"/>
      <w:start w:val="14"/>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2"/>
    </w:lvl>
    <w:lvl w:ilvl="1">
      <w:lvlJc w:val="left"/>
      <w:lvlText w:val="(%2)"/>
      <w:numFmt w:val="lowerRoman"/>
      <w:start w:val="3"/>
    </w:lvl>
  </w:abstractNum>
  <w:abstractNum w:abstractNumId="17">
    <w:nsid w:val="7C83E458"/>
    <w:multiLevelType w:val="hybridMultilevel"/>
    <w:lvl w:ilvl="0">
      <w:lvlJc w:val="left"/>
      <w:lvlText w:val="%1"/>
      <w:numFmt w:val="lowerLetter"/>
      <w:start w:val="1"/>
    </w:lvl>
    <w:lvl w:ilvl="1">
      <w:lvlJc w:val="left"/>
      <w:lvlText w:val="(%2)"/>
      <w:numFmt w:val="lowerRoman"/>
      <w:start w:val="7"/>
    </w:lvl>
  </w:abstractNum>
  <w:abstractNum w:abstractNumId="18">
    <w:nsid w:val="257130A3"/>
    <w:multiLevelType w:val="hybridMultilevel"/>
    <w:lvl w:ilvl="0">
      <w:lvlJc w:val="left"/>
      <w:lvlText w:val="(%1)"/>
      <w:numFmt w:val="lowerLetter"/>
      <w:start w:val="4"/>
    </w:lvl>
    <w:lvl w:ilvl="1">
      <w:lvlJc w:val="left"/>
      <w:lvlText w:val="%2"/>
      <w:numFmt w:val="lowerRoman"/>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2019-12-11T19:12:40Z</dcterms:created>
  <dcterms:modified xsi:type="dcterms:W3CDTF">2019-12-11T19:12:40Z</dcterms:modified>
</cp:coreProperties>
</file>