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2"/>
          <w:szCs w:val="22"/>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AND EXCHANGE COMMISSION</w:t>
      </w:r>
    </w:p>
    <w:p>
      <w:pPr>
        <w:spacing w:after="0" w:line="3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Washington, D.C. 20549</w:t>
      </w:r>
    </w:p>
    <w:p>
      <w:pPr>
        <w:spacing w:after="0" w:line="200" w:lineRule="exact"/>
        <w:rPr>
          <w:sz w:val="24"/>
          <w:szCs w:val="24"/>
          <w:color w:val="auto"/>
        </w:rPr>
      </w:pPr>
    </w:p>
    <w:p>
      <w:pPr>
        <w:spacing w:after="0" w:line="29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SCHEDULE 13D</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(Rule 13d-101)</w:t>
      </w:r>
    </w:p>
    <w:p>
      <w:pPr>
        <w:spacing w:after="0" w:line="24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(Amendment No.  )*</w:t>
      </w:r>
    </w:p>
    <w:p>
      <w:pPr>
        <w:spacing w:after="0" w:line="347"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WINNEBAGO INDUSTRIES INC.</w:t>
      </w:r>
    </w:p>
    <w:p>
      <w:pPr>
        <w:spacing w:after="0" w:line="5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(Name of Issuer)</w:t>
      </w:r>
    </w:p>
    <w:p>
      <w:pPr>
        <w:spacing w:after="0" w:line="24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Common Stock, $.50 par value</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(Title of Class of Securities)</w:t>
      </w:r>
    </w:p>
    <w:p>
      <w:pPr>
        <w:spacing w:after="0" w:line="27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974637100</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(CUSIP Number)</w:t>
      </w:r>
    </w:p>
    <w:p>
      <w:pPr>
        <w:spacing w:after="0" w:line="279"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(Name, Address and Telephone Number of Person Authorized</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to Receive Notices and Communications)</w:t>
      </w:r>
    </w:p>
    <w:p>
      <w:pPr>
        <w:spacing w:after="0" w:line="14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November 8, 2016</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Event Which Requires Filing of this Statement)</w:t>
      </w:r>
    </w:p>
    <w:p>
      <w:pPr>
        <w:spacing w:after="0" w:line="200" w:lineRule="exact"/>
        <w:rPr>
          <w:sz w:val="24"/>
          <w:szCs w:val="24"/>
          <w:color w:val="auto"/>
        </w:rPr>
      </w:pPr>
    </w:p>
    <w:p>
      <w:pPr>
        <w:spacing w:after="0" w:line="200" w:lineRule="exact"/>
        <w:rPr>
          <w:sz w:val="24"/>
          <w:szCs w:val="24"/>
          <w:color w:val="auto"/>
        </w:rPr>
      </w:pPr>
    </w:p>
    <w:p>
      <w:pPr>
        <w:spacing w:after="0" w:line="311" w:lineRule="exact"/>
        <w:rPr>
          <w:sz w:val="24"/>
          <w:szCs w:val="24"/>
          <w:color w:val="auto"/>
        </w:rPr>
      </w:pPr>
    </w:p>
    <w:p>
      <w:pPr>
        <w:jc w:val="both"/>
        <w:ind w:firstLine="486"/>
        <w:spacing w:after="0" w:line="247" w:lineRule="exact"/>
        <w:rPr>
          <w:sz w:val="20"/>
          <w:szCs w:val="20"/>
          <w:color w:val="auto"/>
        </w:rPr>
      </w:pPr>
      <w:r>
        <w:rPr>
          <w:rFonts w:ascii="Arial" w:cs="Arial" w:eastAsia="Arial" w:hAnsi="Arial"/>
          <w:sz w:val="18"/>
          <w:szCs w:val="18"/>
          <w:color w:val="auto"/>
        </w:rPr>
        <w:t xml:space="preserve">If the filing person has previously filed a statement on Schedule 13G to report the acquisition that is the subject of this Schedule 13D, and is filing this schedule because of §§ 240.13d-1(e), 240.13d-1(f) or 240.13d-1(g), check the following box. </w:t>
      </w:r>
      <w:r>
        <w:rPr>
          <w:rFonts w:ascii="MS PGothic" w:cs="MS PGothic" w:eastAsia="MS PGothic" w:hAnsi="MS PGothic"/>
          <w:sz w:val="18"/>
          <w:szCs w:val="18"/>
          <w:color w:val="auto"/>
        </w:rPr>
        <w:t>☐</w:t>
      </w:r>
    </w:p>
    <w:p>
      <w:pPr>
        <w:spacing w:after="0" w:line="209" w:lineRule="exact"/>
        <w:rPr>
          <w:sz w:val="24"/>
          <w:szCs w:val="24"/>
          <w:color w:val="auto"/>
        </w:rPr>
      </w:pPr>
    </w:p>
    <w:p>
      <w:pPr>
        <w:jc w:val="both"/>
        <w:ind w:firstLine="486"/>
        <w:spacing w:after="0" w:line="309" w:lineRule="auto"/>
        <w:rPr>
          <w:sz w:val="20"/>
          <w:szCs w:val="20"/>
          <w:color w:val="auto"/>
        </w:rPr>
      </w:pPr>
      <w:r>
        <w:rPr>
          <w:rFonts w:ascii="Arial" w:cs="Arial" w:eastAsia="Arial" w:hAnsi="Arial"/>
          <w:sz w:val="18"/>
          <w:szCs w:val="18"/>
          <w:color w:val="auto"/>
        </w:rPr>
        <w:t>N</w:t>
      </w:r>
      <w:r>
        <w:rPr>
          <w:rFonts w:ascii="Arial" w:cs="Arial" w:eastAsia="Arial" w:hAnsi="Arial"/>
          <w:sz w:val="12"/>
          <w:szCs w:val="12"/>
          <w:color w:val="auto"/>
        </w:rPr>
        <w:t>OTE</w:t>
      </w:r>
      <w:r>
        <w:rPr>
          <w:rFonts w:ascii="Arial" w:cs="Arial" w:eastAsia="Arial" w:hAnsi="Arial"/>
          <w:sz w:val="18"/>
          <w:szCs w:val="18"/>
          <w:color w:val="auto"/>
        </w:rPr>
        <w:t>: Schedules filed in paper format shall include a signed original and five copies of the schedule, including all exhibits. See Rule 13d-7 for other parties to whom copies are to be sent.</w:t>
      </w:r>
    </w:p>
    <w:p>
      <w:pPr>
        <w:spacing w:after="0" w:line="61" w:lineRule="exact"/>
        <w:rPr>
          <w:sz w:val="24"/>
          <w:szCs w:val="24"/>
          <w:color w:val="auto"/>
        </w:rPr>
      </w:pPr>
    </w:p>
    <w:p>
      <w:pPr>
        <w:jc w:val="both"/>
        <w:ind w:firstLine="486"/>
        <w:spacing w:after="0" w:line="309" w:lineRule="auto"/>
        <w:rPr>
          <w:sz w:val="20"/>
          <w:szCs w:val="20"/>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61" w:lineRule="exact"/>
        <w:rPr>
          <w:sz w:val="24"/>
          <w:szCs w:val="24"/>
          <w:color w:val="auto"/>
        </w:rPr>
      </w:pPr>
    </w:p>
    <w:p>
      <w:pPr>
        <w:jc w:val="both"/>
        <w:ind w:firstLine="486"/>
        <w:spacing w:after="0" w:line="295" w:lineRule="auto"/>
        <w:rPr>
          <w:sz w:val="20"/>
          <w:szCs w:val="20"/>
          <w:color w:val="auto"/>
        </w:rPr>
      </w:pPr>
      <w:r>
        <w:rPr>
          <w:rFonts w:ascii="Arial" w:cs="Arial" w:eastAsia="Arial" w:hAnsi="Arial"/>
          <w:sz w:val="18"/>
          <w:szCs w:val="18"/>
          <w:color w:val="auto"/>
        </w:rPr>
        <w:t>The information required on the remainder of this cover page shall not be deemed to be “filed” for the purpose of Section 18 of the Securities Exchange Act of 1934 (“</w:t>
      </w:r>
      <w:r>
        <w:rPr>
          <w:rFonts w:ascii="Arial" w:cs="Arial" w:eastAsia="Arial" w:hAnsi="Arial"/>
          <w:sz w:val="18"/>
          <w:szCs w:val="18"/>
          <w:b w:val="1"/>
          <w:bCs w:val="1"/>
          <w:color w:val="auto"/>
        </w:rPr>
        <w:t>Act</w:t>
      </w:r>
      <w:r>
        <w:rPr>
          <w:rFonts w:ascii="Arial" w:cs="Arial" w:eastAsia="Arial" w:hAnsi="Arial"/>
          <w:sz w:val="18"/>
          <w:szCs w:val="18"/>
          <w:color w:val="auto"/>
        </w:rPr>
        <w: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90170</wp:posOffset>
            </wp:positionV>
            <wp:extent cx="72466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55" w:right="239" w:bottom="1440" w:gutter="0" w:footer="0" w:header="0"/>
        </w:sectPr>
      </w:pPr>
    </w:p>
    <w:bookmarkStart w:id="1" w:name="page2"/>
    <w:bookmarkEnd w:id="1"/>
    <w:p>
      <w:pPr>
        <w:ind w:left="40"/>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157480</wp:posOffset>
            </wp:positionH>
            <wp:positionV relativeFrom="page">
              <wp:posOffset>243205</wp:posOffset>
            </wp:positionV>
            <wp:extent cx="2649855" cy="3346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649855" cy="334645"/>
                    </a:xfrm>
                    <a:prstGeom prst="rect">
                      <a:avLst/>
                    </a:prstGeom>
                    <a:noFill/>
                  </pic:spPr>
                </pic:pic>
              </a:graphicData>
            </a:graphic>
          </wp:anchor>
        </w:drawing>
        <w:t xml:space="preserve">CUSIP No. </w:t>
      </w:r>
      <w:r>
        <w:rPr>
          <w:rFonts w:ascii="Arial" w:cs="Arial" w:eastAsia="Arial" w:hAnsi="Arial"/>
          <w:sz w:val="18"/>
          <w:szCs w:val="18"/>
          <w:b w:val="1"/>
          <w:bCs w:val="1"/>
          <w:color w:val="auto"/>
        </w:rPr>
        <w:t>974637100</w:t>
      </w:r>
    </w:p>
    <w:p>
      <w:pPr>
        <w:spacing w:after="0" w:line="389" w:lineRule="exact"/>
        <w:rPr>
          <w:sz w:val="20"/>
          <w:szCs w:val="20"/>
          <w:color w:val="auto"/>
        </w:rPr>
      </w:pPr>
    </w:p>
    <w:tbl>
      <w:tblPr>
        <w:tblLayout w:type="fixed"/>
        <w:tblInd w:w="10" w:type="dxa"/>
        <w:tblCellMar>
          <w:top w:w="0" w:type="dxa"/>
          <w:left w:w="0" w:type="dxa"/>
          <w:bottom w:w="0" w:type="dxa"/>
          <w:right w:w="0" w:type="dxa"/>
        </w:tblCellMar>
      </w:tblPr>
      <w:tr>
        <w:trPr>
          <w:trHeight w:val="297"/>
        </w:trPr>
        <w:tc>
          <w:tcPr>
            <w:tcW w:w="2040" w:type="dxa"/>
            <w:vAlign w:val="bottom"/>
            <w:tcBorders>
              <w:top w:val="single" w:sz="8" w:color="auto"/>
              <w:left w:val="single" w:sz="8" w:color="auto"/>
              <w:right w:val="single" w:sz="8" w:color="auto"/>
            </w:tcBorders>
            <w:vMerge w:val="restart"/>
          </w:tcPr>
          <w:p>
            <w:pPr>
              <w:ind w:left="120"/>
              <w:spacing w:after="0"/>
              <w:rPr>
                <w:sz w:val="20"/>
                <w:szCs w:val="20"/>
                <w:color w:val="auto"/>
              </w:rPr>
            </w:pPr>
            <w:r>
              <w:rPr>
                <w:rFonts w:ascii="Arial" w:cs="Arial" w:eastAsia="Arial" w:hAnsi="Arial"/>
                <w:sz w:val="22"/>
                <w:szCs w:val="22"/>
                <w:b w:val="1"/>
                <w:bCs w:val="1"/>
                <w:color w:val="auto"/>
              </w:rPr>
              <w:t>1</w:t>
            </w:r>
          </w:p>
        </w:tc>
        <w:tc>
          <w:tcPr>
            <w:tcW w:w="7240" w:type="dxa"/>
            <w:vAlign w:val="bottom"/>
            <w:tcBorders>
              <w:top w:val="single" w:sz="8" w:color="auto"/>
            </w:tcBorders>
            <w:gridSpan w:val="2"/>
          </w:tcPr>
          <w:p>
            <w:pPr>
              <w:ind w:left="80"/>
              <w:spacing w:after="0"/>
              <w:rPr>
                <w:sz w:val="20"/>
                <w:szCs w:val="20"/>
                <w:color w:val="auto"/>
              </w:rPr>
            </w:pPr>
            <w:r>
              <w:rPr>
                <w:rFonts w:ascii="Arial" w:cs="Arial" w:eastAsia="Arial" w:hAnsi="Arial"/>
                <w:sz w:val="18"/>
                <w:szCs w:val="18"/>
                <w:color w:val="auto"/>
              </w:rPr>
              <w:t>NAME OF REPORTING PERSON</w:t>
            </w:r>
          </w:p>
        </w:tc>
        <w:tc>
          <w:tcPr>
            <w:tcW w:w="2140" w:type="dxa"/>
            <w:vAlign w:val="bottom"/>
            <w:tcBorders>
              <w:top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2040" w:type="dxa"/>
            <w:vAlign w:val="bottom"/>
            <w:tcBorders>
              <w:left w:val="single" w:sz="8" w:color="auto"/>
              <w:right w:val="single" w:sz="8" w:color="auto"/>
            </w:tcBorders>
            <w:vMerge w:val="continue"/>
          </w:tcPr>
          <w:p>
            <w:pPr>
              <w:spacing w:after="0"/>
              <w:rPr>
                <w:sz w:val="20"/>
                <w:szCs w:val="20"/>
                <w:color w:val="auto"/>
              </w:rPr>
            </w:pPr>
          </w:p>
        </w:tc>
        <w:tc>
          <w:tcPr>
            <w:tcW w:w="7240" w:type="dxa"/>
            <w:vAlign w:val="bottom"/>
            <w:gridSpan w:val="2"/>
            <w:vMerge w:val="restart"/>
          </w:tcPr>
          <w:p>
            <w:pPr>
              <w:ind w:left="80"/>
              <w:spacing w:after="0"/>
              <w:rPr>
                <w:sz w:val="20"/>
                <w:szCs w:val="20"/>
                <w:color w:val="auto"/>
              </w:rPr>
            </w:pPr>
            <w:r>
              <w:rPr>
                <w:rFonts w:ascii="Arial" w:cs="Arial" w:eastAsia="Arial" w:hAnsi="Arial"/>
                <w:sz w:val="18"/>
                <w:szCs w:val="18"/>
                <w:color w:val="auto"/>
              </w:rPr>
              <w:t>William C. Fenech</w:t>
            </w:r>
          </w:p>
        </w:tc>
        <w:tc>
          <w:tcPr>
            <w:tcW w:w="21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6"/>
        </w:trPr>
        <w:tc>
          <w:tcPr>
            <w:tcW w:w="2040" w:type="dxa"/>
            <w:vAlign w:val="bottom"/>
            <w:tcBorders>
              <w:left w:val="single" w:sz="8" w:color="auto"/>
              <w:right w:val="single" w:sz="8" w:color="auto"/>
            </w:tcBorders>
          </w:tcPr>
          <w:p>
            <w:pPr>
              <w:spacing w:after="0"/>
              <w:rPr>
                <w:sz w:val="14"/>
                <w:szCs w:val="14"/>
                <w:color w:val="auto"/>
              </w:rPr>
            </w:pPr>
          </w:p>
        </w:tc>
        <w:tc>
          <w:tcPr>
            <w:tcW w:w="7240" w:type="dxa"/>
            <w:vAlign w:val="bottom"/>
            <w:gridSpan w:val="2"/>
            <w:vMerge w:val="continue"/>
          </w:tcPr>
          <w:p>
            <w:pPr>
              <w:spacing w:after="0"/>
              <w:rPr>
                <w:sz w:val="14"/>
                <w:szCs w:val="14"/>
                <w:color w:val="auto"/>
              </w:rPr>
            </w:pPr>
          </w:p>
        </w:tc>
        <w:tc>
          <w:tcPr>
            <w:tcW w:w="21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02"/>
        </w:trPr>
        <w:tc>
          <w:tcPr>
            <w:tcW w:w="2040" w:type="dxa"/>
            <w:vAlign w:val="bottom"/>
            <w:tcBorders>
              <w:left w:val="single" w:sz="8" w:color="auto"/>
              <w:bottom w:val="single" w:sz="8" w:color="auto"/>
              <w:right w:val="single" w:sz="8" w:color="auto"/>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6360" w:type="dxa"/>
            <w:vAlign w:val="bottom"/>
            <w:tcBorders>
              <w:bottom w:val="single" w:sz="8" w:color="auto"/>
            </w:tcBorders>
          </w:tcPr>
          <w:p>
            <w:pPr>
              <w:spacing w:after="0"/>
              <w:rPr>
                <w:sz w:val="8"/>
                <w:szCs w:val="8"/>
                <w:color w:val="auto"/>
              </w:rPr>
            </w:pPr>
          </w:p>
        </w:tc>
        <w:tc>
          <w:tcPr>
            <w:tcW w:w="214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70"/>
        </w:trPr>
        <w:tc>
          <w:tcPr>
            <w:tcW w:w="2040" w:type="dxa"/>
            <w:vAlign w:val="bottom"/>
            <w:tcBorders>
              <w:left w:val="single" w:sz="8" w:color="auto"/>
              <w:right w:val="single" w:sz="8" w:color="auto"/>
            </w:tcBorders>
            <w:vMerge w:val="restart"/>
          </w:tcPr>
          <w:p>
            <w:pPr>
              <w:ind w:left="120"/>
              <w:spacing w:after="0"/>
              <w:rPr>
                <w:sz w:val="20"/>
                <w:szCs w:val="20"/>
                <w:color w:val="auto"/>
              </w:rPr>
            </w:pPr>
            <w:r>
              <w:rPr>
                <w:rFonts w:ascii="Arial" w:cs="Arial" w:eastAsia="Arial" w:hAnsi="Arial"/>
                <w:sz w:val="22"/>
                <w:szCs w:val="22"/>
                <w:b w:val="1"/>
                <w:bCs w:val="1"/>
                <w:color w:val="auto"/>
              </w:rPr>
              <w:t>2</w:t>
            </w:r>
          </w:p>
        </w:tc>
        <w:tc>
          <w:tcPr>
            <w:tcW w:w="7240" w:type="dxa"/>
            <w:vAlign w:val="bottom"/>
            <w:gridSpan w:val="2"/>
            <w:vMerge w:val="restart"/>
          </w:tcPr>
          <w:p>
            <w:pPr>
              <w:ind w:left="80"/>
              <w:spacing w:after="0"/>
              <w:rPr>
                <w:sz w:val="20"/>
                <w:szCs w:val="20"/>
                <w:color w:val="auto"/>
              </w:rPr>
            </w:pPr>
            <w:r>
              <w:rPr>
                <w:rFonts w:ascii="Arial" w:cs="Arial" w:eastAsia="Arial" w:hAnsi="Arial"/>
                <w:sz w:val="18"/>
                <w:szCs w:val="18"/>
                <w:color w:val="auto"/>
              </w:rPr>
              <w:t>CHECK THE APPROPRIATE BOX IF A MEMBER OF A GROUP (see instructions)</w:t>
            </w:r>
          </w:p>
        </w:tc>
        <w:tc>
          <w:tcPr>
            <w:tcW w:w="2140" w:type="dxa"/>
            <w:vAlign w:val="bottom"/>
            <w:tcBorders>
              <w:right w:val="single" w:sz="8" w:color="auto"/>
            </w:tcBorders>
          </w:tcPr>
          <w:p>
            <w:pPr>
              <w:ind w:left="900"/>
              <w:spacing w:after="0"/>
              <w:rPr>
                <w:sz w:val="20"/>
                <w:szCs w:val="20"/>
                <w:color w:val="auto"/>
              </w:rPr>
            </w:pPr>
            <w:r>
              <w:rPr>
                <w:rFonts w:ascii="Arial" w:cs="Arial" w:eastAsia="Arial" w:hAnsi="Arial"/>
                <w:sz w:val="18"/>
                <w:szCs w:val="18"/>
                <w:color w:val="auto"/>
              </w:rPr>
              <w:t>(a)</w:t>
            </w:r>
          </w:p>
        </w:tc>
        <w:tc>
          <w:tcPr>
            <w:tcW w:w="0" w:type="dxa"/>
            <w:vAlign w:val="bottom"/>
          </w:tcPr>
          <w:p>
            <w:pPr>
              <w:spacing w:after="0"/>
              <w:rPr>
                <w:sz w:val="1"/>
                <w:szCs w:val="1"/>
                <w:color w:val="auto"/>
              </w:rPr>
            </w:pPr>
          </w:p>
        </w:tc>
      </w:tr>
      <w:tr>
        <w:trPr>
          <w:trHeight w:val="186"/>
        </w:trPr>
        <w:tc>
          <w:tcPr>
            <w:tcW w:w="2040" w:type="dxa"/>
            <w:vAlign w:val="bottom"/>
            <w:tcBorders>
              <w:left w:val="single" w:sz="8" w:color="auto"/>
              <w:right w:val="single" w:sz="8" w:color="auto"/>
            </w:tcBorders>
            <w:vMerge w:val="continue"/>
          </w:tcPr>
          <w:p>
            <w:pPr>
              <w:spacing w:after="0"/>
              <w:rPr>
                <w:sz w:val="16"/>
                <w:szCs w:val="16"/>
                <w:color w:val="auto"/>
              </w:rPr>
            </w:pPr>
          </w:p>
        </w:tc>
        <w:tc>
          <w:tcPr>
            <w:tcW w:w="7240" w:type="dxa"/>
            <w:vAlign w:val="bottom"/>
            <w:gridSpan w:val="2"/>
            <w:vMerge w:val="continue"/>
          </w:tcPr>
          <w:p>
            <w:pPr>
              <w:spacing w:after="0"/>
              <w:rPr>
                <w:sz w:val="16"/>
                <w:szCs w:val="16"/>
                <w:color w:val="auto"/>
              </w:rPr>
            </w:pPr>
          </w:p>
        </w:tc>
        <w:tc>
          <w:tcPr>
            <w:tcW w:w="2140" w:type="dxa"/>
            <w:vAlign w:val="bottom"/>
            <w:tcBorders>
              <w:right w:val="single" w:sz="8" w:color="auto"/>
            </w:tcBorders>
            <w:vMerge w:val="restart"/>
          </w:tcPr>
          <w:p>
            <w:pPr>
              <w:ind w:left="86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59"/>
        </w:trPr>
        <w:tc>
          <w:tcPr>
            <w:tcW w:w="2040" w:type="dxa"/>
            <w:vAlign w:val="bottom"/>
            <w:tcBorders>
              <w:left w:val="single" w:sz="8" w:color="auto"/>
              <w:right w:val="single" w:sz="8" w:color="auto"/>
            </w:tcBorders>
          </w:tcPr>
          <w:p>
            <w:pPr>
              <w:spacing w:after="0"/>
              <w:rPr>
                <w:sz w:val="13"/>
                <w:szCs w:val="13"/>
                <w:color w:val="auto"/>
              </w:rPr>
            </w:pPr>
          </w:p>
        </w:tc>
        <w:tc>
          <w:tcPr>
            <w:tcW w:w="880" w:type="dxa"/>
            <w:vAlign w:val="bottom"/>
          </w:tcPr>
          <w:p>
            <w:pPr>
              <w:spacing w:after="0"/>
              <w:rPr>
                <w:sz w:val="13"/>
                <w:szCs w:val="13"/>
                <w:color w:val="auto"/>
              </w:rPr>
            </w:pPr>
          </w:p>
        </w:tc>
        <w:tc>
          <w:tcPr>
            <w:tcW w:w="6360" w:type="dxa"/>
            <w:vAlign w:val="bottom"/>
          </w:tcPr>
          <w:p>
            <w:pPr>
              <w:spacing w:after="0"/>
              <w:rPr>
                <w:sz w:val="13"/>
                <w:szCs w:val="13"/>
                <w:color w:val="auto"/>
              </w:rPr>
            </w:pPr>
          </w:p>
        </w:tc>
        <w:tc>
          <w:tcPr>
            <w:tcW w:w="2140" w:type="dxa"/>
            <w:vAlign w:val="bottom"/>
            <w:tcBorders>
              <w:right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40" w:type="dxa"/>
            <w:vAlign w:val="bottom"/>
            <w:tcBorders>
              <w:left w:val="single" w:sz="8" w:color="auto"/>
              <w:bottom w:val="single" w:sz="8" w:color="auto"/>
              <w:right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6360" w:type="dxa"/>
            <w:vAlign w:val="bottom"/>
            <w:tcBorders>
              <w:bottom w:val="single" w:sz="8" w:color="auto"/>
            </w:tcBorders>
          </w:tcPr>
          <w:p>
            <w:pPr>
              <w:spacing w:after="0"/>
              <w:rPr>
                <w:sz w:val="3"/>
                <w:szCs w:val="3"/>
                <w:color w:val="auto"/>
              </w:rPr>
            </w:pPr>
          </w:p>
        </w:tc>
        <w:tc>
          <w:tcPr>
            <w:tcW w:w="214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361"/>
        </w:trPr>
        <w:tc>
          <w:tcPr>
            <w:tcW w:w="204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22"/>
                <w:szCs w:val="22"/>
                <w:b w:val="1"/>
                <w:bCs w:val="1"/>
                <w:color w:val="auto"/>
              </w:rPr>
              <w:t>3</w:t>
            </w:r>
          </w:p>
        </w:tc>
        <w:tc>
          <w:tcPr>
            <w:tcW w:w="7240" w:type="dxa"/>
            <w:vAlign w:val="bottom"/>
            <w:gridSpan w:val="2"/>
            <w:shd w:val="clear" w:color="auto" w:fill="C0C0C0"/>
          </w:tcPr>
          <w:p>
            <w:pPr>
              <w:ind w:left="80"/>
              <w:spacing w:after="0"/>
              <w:rPr>
                <w:sz w:val="20"/>
                <w:szCs w:val="20"/>
                <w:color w:val="auto"/>
              </w:rPr>
            </w:pPr>
            <w:r>
              <w:rPr>
                <w:rFonts w:ascii="Arial" w:cs="Arial" w:eastAsia="Arial" w:hAnsi="Arial"/>
                <w:sz w:val="18"/>
                <w:szCs w:val="18"/>
                <w:color w:val="auto"/>
              </w:rPr>
              <w:t>SEC USE ONLY</w:t>
            </w:r>
          </w:p>
        </w:tc>
        <w:tc>
          <w:tcPr>
            <w:tcW w:w="2140" w:type="dxa"/>
            <w:vAlign w:val="bottom"/>
            <w:tcBorders>
              <w:right w:val="single" w:sz="8" w:color="auto"/>
            </w:tcBorders>
            <w:shd w:val="clear" w:color="auto" w:fill="C0C0C0"/>
          </w:tcPr>
          <w:p>
            <w:pPr>
              <w:spacing w:after="0"/>
              <w:rPr>
                <w:sz w:val="24"/>
                <w:szCs w:val="24"/>
                <w:color w:val="auto"/>
              </w:rPr>
            </w:pPr>
          </w:p>
        </w:tc>
        <w:tc>
          <w:tcPr>
            <w:tcW w:w="0" w:type="dxa"/>
            <w:vAlign w:val="bottom"/>
          </w:tcPr>
          <w:p>
            <w:pPr>
              <w:spacing w:after="0"/>
              <w:rPr>
                <w:sz w:val="1"/>
                <w:szCs w:val="1"/>
                <w:color w:val="auto"/>
              </w:rPr>
            </w:pPr>
          </w:p>
        </w:tc>
      </w:tr>
      <w:tr>
        <w:trPr>
          <w:trHeight w:val="105"/>
        </w:trPr>
        <w:tc>
          <w:tcPr>
            <w:tcW w:w="2040" w:type="dxa"/>
            <w:vAlign w:val="bottom"/>
            <w:tcBorders>
              <w:left w:val="single" w:sz="8" w:color="auto"/>
              <w:bottom w:val="single" w:sz="8" w:color="auto"/>
              <w:right w:val="single" w:sz="8" w:color="auto"/>
            </w:tcBorders>
          </w:tcPr>
          <w:p>
            <w:pPr>
              <w:spacing w:after="0"/>
              <w:rPr>
                <w:sz w:val="9"/>
                <w:szCs w:val="9"/>
                <w:color w:val="auto"/>
              </w:rPr>
            </w:pPr>
          </w:p>
        </w:tc>
        <w:tc>
          <w:tcPr>
            <w:tcW w:w="880" w:type="dxa"/>
            <w:vAlign w:val="bottom"/>
            <w:tcBorders>
              <w:bottom w:val="single" w:sz="8" w:color="auto"/>
              <w:right w:val="single" w:sz="8" w:color="C0C0C0"/>
            </w:tcBorders>
            <w:shd w:val="clear" w:color="auto" w:fill="C0C0C0"/>
          </w:tcPr>
          <w:p>
            <w:pPr>
              <w:spacing w:after="0"/>
              <w:rPr>
                <w:sz w:val="9"/>
                <w:szCs w:val="9"/>
                <w:color w:val="auto"/>
              </w:rPr>
            </w:pPr>
          </w:p>
        </w:tc>
        <w:tc>
          <w:tcPr>
            <w:tcW w:w="6360" w:type="dxa"/>
            <w:vAlign w:val="bottom"/>
            <w:tcBorders>
              <w:bottom w:val="single" w:sz="8" w:color="auto"/>
            </w:tcBorders>
            <w:shd w:val="clear" w:color="auto" w:fill="C0C0C0"/>
          </w:tcPr>
          <w:p>
            <w:pPr>
              <w:spacing w:after="0"/>
              <w:rPr>
                <w:sz w:val="9"/>
                <w:szCs w:val="9"/>
                <w:color w:val="auto"/>
              </w:rPr>
            </w:pPr>
          </w:p>
        </w:tc>
        <w:tc>
          <w:tcPr>
            <w:tcW w:w="2140" w:type="dxa"/>
            <w:vAlign w:val="bottom"/>
            <w:tcBorders>
              <w:bottom w:val="single" w:sz="8" w:color="auto"/>
              <w:right w:val="single" w:sz="8" w:color="auto"/>
            </w:tcBorders>
            <w:shd w:val="clear" w:color="auto" w:fill="C0C0C0"/>
          </w:tcPr>
          <w:p>
            <w:pPr>
              <w:spacing w:after="0"/>
              <w:rPr>
                <w:sz w:val="9"/>
                <w:szCs w:val="9"/>
                <w:color w:val="auto"/>
              </w:rPr>
            </w:pPr>
          </w:p>
        </w:tc>
        <w:tc>
          <w:tcPr>
            <w:tcW w:w="0" w:type="dxa"/>
            <w:vAlign w:val="bottom"/>
          </w:tcPr>
          <w:p>
            <w:pPr>
              <w:spacing w:after="0"/>
              <w:rPr>
                <w:sz w:val="1"/>
                <w:szCs w:val="1"/>
                <w:color w:val="auto"/>
              </w:rPr>
            </w:pPr>
          </w:p>
        </w:tc>
      </w:tr>
      <w:tr>
        <w:trPr>
          <w:trHeight w:val="361"/>
        </w:trPr>
        <w:tc>
          <w:tcPr>
            <w:tcW w:w="204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22"/>
                <w:szCs w:val="22"/>
                <w:b w:val="1"/>
                <w:bCs w:val="1"/>
                <w:color w:val="auto"/>
              </w:rPr>
              <w:t>4</w:t>
            </w:r>
          </w:p>
        </w:tc>
        <w:tc>
          <w:tcPr>
            <w:tcW w:w="7240" w:type="dxa"/>
            <w:vAlign w:val="bottom"/>
            <w:gridSpan w:val="2"/>
          </w:tcPr>
          <w:p>
            <w:pPr>
              <w:ind w:left="80"/>
              <w:spacing w:after="0"/>
              <w:rPr>
                <w:sz w:val="20"/>
                <w:szCs w:val="20"/>
                <w:color w:val="auto"/>
              </w:rPr>
            </w:pPr>
            <w:r>
              <w:rPr>
                <w:rFonts w:ascii="Arial" w:cs="Arial" w:eastAsia="Arial" w:hAnsi="Arial"/>
                <w:sz w:val="18"/>
                <w:szCs w:val="18"/>
                <w:color w:val="auto"/>
              </w:rPr>
              <w:t>SOURCE OF FUNDS (see instructions)</w:t>
            </w:r>
          </w:p>
        </w:tc>
        <w:tc>
          <w:tcPr>
            <w:tcW w:w="214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OO</w:t>
            </w:r>
          </w:p>
        </w:tc>
        <w:tc>
          <w:tcPr>
            <w:tcW w:w="0" w:type="dxa"/>
            <w:vAlign w:val="bottom"/>
          </w:tcPr>
          <w:p>
            <w:pPr>
              <w:spacing w:after="0"/>
              <w:rPr>
                <w:sz w:val="1"/>
                <w:szCs w:val="1"/>
                <w:color w:val="auto"/>
              </w:rPr>
            </w:pPr>
          </w:p>
        </w:tc>
      </w:tr>
      <w:tr>
        <w:trPr>
          <w:trHeight w:val="105"/>
        </w:trPr>
        <w:tc>
          <w:tcPr>
            <w:tcW w:w="2040" w:type="dxa"/>
            <w:vAlign w:val="bottom"/>
            <w:tcBorders>
              <w:left w:val="single" w:sz="8" w:color="auto"/>
              <w:bottom w:val="single" w:sz="8" w:color="auto"/>
              <w:right w:val="single" w:sz="8" w:color="auto"/>
            </w:tcBorders>
          </w:tcPr>
          <w:p>
            <w:pPr>
              <w:spacing w:after="0"/>
              <w:rPr>
                <w:sz w:val="9"/>
                <w:szCs w:val="9"/>
                <w:color w:val="auto"/>
              </w:rPr>
            </w:pPr>
          </w:p>
        </w:tc>
        <w:tc>
          <w:tcPr>
            <w:tcW w:w="7240" w:type="dxa"/>
            <w:vAlign w:val="bottom"/>
            <w:tcBorders>
              <w:bottom w:val="single" w:sz="8" w:color="auto"/>
            </w:tcBorders>
            <w:gridSpan w:val="2"/>
          </w:tcPr>
          <w:p>
            <w:pPr>
              <w:spacing w:after="0"/>
              <w:rPr>
                <w:sz w:val="9"/>
                <w:szCs w:val="9"/>
                <w:color w:val="auto"/>
              </w:rPr>
            </w:pPr>
          </w:p>
        </w:tc>
        <w:tc>
          <w:tcPr>
            <w:tcW w:w="214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40" w:type="dxa"/>
            <w:vAlign w:val="bottom"/>
            <w:tcBorders>
              <w:left w:val="single" w:sz="8" w:color="auto"/>
              <w:right w:val="single" w:sz="8" w:color="auto"/>
            </w:tcBorders>
            <w:vMerge w:val="restart"/>
          </w:tcPr>
          <w:p>
            <w:pPr>
              <w:ind w:left="120"/>
              <w:spacing w:after="0"/>
              <w:rPr>
                <w:sz w:val="20"/>
                <w:szCs w:val="20"/>
                <w:color w:val="auto"/>
              </w:rPr>
            </w:pPr>
            <w:r>
              <w:rPr>
                <w:rFonts w:ascii="Arial" w:cs="Arial" w:eastAsia="Arial" w:hAnsi="Arial"/>
                <w:sz w:val="22"/>
                <w:szCs w:val="22"/>
                <w:b w:val="1"/>
                <w:bCs w:val="1"/>
                <w:color w:val="auto"/>
              </w:rPr>
              <w:t>5</w:t>
            </w:r>
          </w:p>
        </w:tc>
        <w:tc>
          <w:tcPr>
            <w:tcW w:w="7240" w:type="dxa"/>
            <w:vAlign w:val="bottom"/>
            <w:gridSpan w:val="2"/>
          </w:tcPr>
          <w:p>
            <w:pPr>
              <w:ind w:left="80"/>
              <w:spacing w:after="0"/>
              <w:rPr>
                <w:sz w:val="20"/>
                <w:szCs w:val="20"/>
                <w:color w:val="auto"/>
              </w:rPr>
            </w:pPr>
            <w:r>
              <w:rPr>
                <w:rFonts w:ascii="Arial" w:cs="Arial" w:eastAsia="Arial" w:hAnsi="Arial"/>
                <w:sz w:val="18"/>
                <w:szCs w:val="18"/>
                <w:color w:val="auto"/>
              </w:rPr>
              <w:t>CHECK IF DISCLOSURE OF LEGAL PROCEEDINGS IS REQUIRED PURSUANT TO</w:t>
            </w:r>
          </w:p>
        </w:tc>
        <w:tc>
          <w:tcPr>
            <w:tcW w:w="2140" w:type="dxa"/>
            <w:vAlign w:val="bottom"/>
            <w:tcBorders>
              <w:right w:val="single" w:sz="8" w:color="auto"/>
            </w:tcBorders>
            <w:vMerge w:val="restart"/>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230"/>
        </w:trPr>
        <w:tc>
          <w:tcPr>
            <w:tcW w:w="2040" w:type="dxa"/>
            <w:vAlign w:val="bottom"/>
            <w:tcBorders>
              <w:left w:val="single" w:sz="8" w:color="auto"/>
              <w:right w:val="single" w:sz="8" w:color="auto"/>
            </w:tcBorders>
            <w:vMerge w:val="continue"/>
          </w:tcPr>
          <w:p>
            <w:pPr>
              <w:spacing w:after="0"/>
              <w:rPr>
                <w:sz w:val="20"/>
                <w:szCs w:val="20"/>
                <w:color w:val="auto"/>
              </w:rPr>
            </w:pPr>
          </w:p>
        </w:tc>
        <w:tc>
          <w:tcPr>
            <w:tcW w:w="7240" w:type="dxa"/>
            <w:vAlign w:val="bottom"/>
            <w:gridSpan w:val="2"/>
          </w:tcPr>
          <w:p>
            <w:pPr>
              <w:ind w:left="80"/>
              <w:spacing w:after="0"/>
              <w:rPr>
                <w:sz w:val="20"/>
                <w:szCs w:val="20"/>
                <w:color w:val="auto"/>
              </w:rPr>
            </w:pPr>
            <w:r>
              <w:rPr>
                <w:rFonts w:ascii="Arial" w:cs="Arial" w:eastAsia="Arial" w:hAnsi="Arial"/>
                <w:sz w:val="18"/>
                <w:szCs w:val="18"/>
                <w:color w:val="auto"/>
              </w:rPr>
              <w:t>ITEMS 2(d) or 2(e)</w:t>
            </w:r>
          </w:p>
        </w:tc>
        <w:tc>
          <w:tcPr>
            <w:tcW w:w="2140" w:type="dxa"/>
            <w:vAlign w:val="bottom"/>
            <w:tcBorders>
              <w:right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47"/>
        </w:trPr>
        <w:tc>
          <w:tcPr>
            <w:tcW w:w="2040" w:type="dxa"/>
            <w:vAlign w:val="bottom"/>
            <w:tcBorders>
              <w:left w:val="single" w:sz="8" w:color="auto"/>
              <w:bottom w:val="single" w:sz="8" w:color="auto"/>
              <w:right w:val="single" w:sz="8" w:color="auto"/>
            </w:tcBorders>
          </w:tcPr>
          <w:p>
            <w:pPr>
              <w:spacing w:after="0"/>
              <w:rPr>
                <w:sz w:val="4"/>
                <w:szCs w:val="4"/>
                <w:color w:val="auto"/>
              </w:rPr>
            </w:pPr>
          </w:p>
        </w:tc>
        <w:tc>
          <w:tcPr>
            <w:tcW w:w="7240" w:type="dxa"/>
            <w:vAlign w:val="bottom"/>
            <w:tcBorders>
              <w:bottom w:val="single" w:sz="8" w:color="auto"/>
            </w:tcBorders>
            <w:gridSpan w:val="2"/>
          </w:tcPr>
          <w:p>
            <w:pPr>
              <w:spacing w:after="0"/>
              <w:rPr>
                <w:sz w:val="4"/>
                <w:szCs w:val="4"/>
                <w:color w:val="auto"/>
              </w:rPr>
            </w:pPr>
          </w:p>
        </w:tc>
        <w:tc>
          <w:tcPr>
            <w:tcW w:w="21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361"/>
        </w:trPr>
        <w:tc>
          <w:tcPr>
            <w:tcW w:w="204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22"/>
                <w:szCs w:val="22"/>
                <w:b w:val="1"/>
                <w:bCs w:val="1"/>
                <w:color w:val="auto"/>
              </w:rPr>
              <w:t>6</w:t>
            </w:r>
          </w:p>
        </w:tc>
        <w:tc>
          <w:tcPr>
            <w:tcW w:w="7240" w:type="dxa"/>
            <w:vAlign w:val="bottom"/>
            <w:gridSpan w:val="2"/>
          </w:tcPr>
          <w:p>
            <w:pPr>
              <w:ind w:left="80"/>
              <w:spacing w:after="0"/>
              <w:rPr>
                <w:sz w:val="20"/>
                <w:szCs w:val="20"/>
                <w:color w:val="auto"/>
              </w:rPr>
            </w:pPr>
            <w:r>
              <w:rPr>
                <w:rFonts w:ascii="Arial" w:cs="Arial" w:eastAsia="Arial" w:hAnsi="Arial"/>
                <w:sz w:val="18"/>
                <w:szCs w:val="18"/>
                <w:color w:val="auto"/>
              </w:rPr>
              <w:t>CITIZENSHIP OR PLACE OF ORGANIZATION</w:t>
            </w:r>
          </w:p>
        </w:tc>
        <w:tc>
          <w:tcPr>
            <w:tcW w:w="214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United States of America</w:t>
            </w:r>
          </w:p>
        </w:tc>
        <w:tc>
          <w:tcPr>
            <w:tcW w:w="0" w:type="dxa"/>
            <w:vAlign w:val="bottom"/>
          </w:tcPr>
          <w:p>
            <w:pPr>
              <w:spacing w:after="0"/>
              <w:rPr>
                <w:sz w:val="1"/>
                <w:szCs w:val="1"/>
                <w:color w:val="auto"/>
              </w:rPr>
            </w:pPr>
          </w:p>
        </w:tc>
      </w:tr>
      <w:tr>
        <w:trPr>
          <w:trHeight w:val="105"/>
        </w:trPr>
        <w:tc>
          <w:tcPr>
            <w:tcW w:w="2040" w:type="dxa"/>
            <w:vAlign w:val="bottom"/>
            <w:tcBorders>
              <w:left w:val="single" w:sz="8" w:color="auto"/>
              <w:bottom w:val="single" w:sz="8" w:color="auto"/>
              <w:right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6360" w:type="dxa"/>
            <w:vAlign w:val="bottom"/>
            <w:tcBorders>
              <w:bottom w:val="single" w:sz="8" w:color="auto"/>
            </w:tcBorders>
          </w:tcPr>
          <w:p>
            <w:pPr>
              <w:spacing w:after="0"/>
              <w:rPr>
                <w:sz w:val="9"/>
                <w:szCs w:val="9"/>
                <w:color w:val="auto"/>
              </w:rPr>
            </w:pPr>
          </w:p>
        </w:tc>
        <w:tc>
          <w:tcPr>
            <w:tcW w:w="214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361"/>
        </w:trPr>
        <w:tc>
          <w:tcPr>
            <w:tcW w:w="2040" w:type="dxa"/>
            <w:vAlign w:val="bottom"/>
            <w:tcBorders>
              <w:left w:val="single" w:sz="8" w:color="auto"/>
              <w:right w:val="single" w:sz="8" w:color="auto"/>
            </w:tcBorders>
            <w:vMerge w:val="restart"/>
          </w:tcPr>
          <w:p>
            <w:pPr>
              <w:ind w:left="120"/>
              <w:spacing w:after="0"/>
              <w:rPr>
                <w:sz w:val="20"/>
                <w:szCs w:val="20"/>
                <w:color w:val="auto"/>
              </w:rPr>
            </w:pPr>
            <w:r>
              <w:rPr>
                <w:rFonts w:ascii="Arial" w:cs="Arial" w:eastAsia="Arial" w:hAnsi="Arial"/>
                <w:sz w:val="18"/>
                <w:szCs w:val="18"/>
                <w:color w:val="auto"/>
              </w:rPr>
              <w:t>NUMBER OF</w:t>
            </w:r>
          </w:p>
        </w:tc>
        <w:tc>
          <w:tcPr>
            <w:tcW w:w="880" w:type="dxa"/>
            <w:vAlign w:val="bottom"/>
            <w:tcBorders>
              <w:right w:val="single" w:sz="8" w:color="auto"/>
            </w:tcBorders>
          </w:tcPr>
          <w:p>
            <w:pPr>
              <w:ind w:left="80"/>
              <w:spacing w:after="0"/>
              <w:rPr>
                <w:sz w:val="20"/>
                <w:szCs w:val="20"/>
                <w:color w:val="auto"/>
              </w:rPr>
            </w:pPr>
            <w:r>
              <w:rPr>
                <w:rFonts w:ascii="Arial" w:cs="Arial" w:eastAsia="Arial" w:hAnsi="Arial"/>
                <w:sz w:val="22"/>
                <w:szCs w:val="22"/>
                <w:b w:val="1"/>
                <w:bCs w:val="1"/>
                <w:color w:val="auto"/>
              </w:rPr>
              <w:t>7</w:t>
            </w:r>
          </w:p>
        </w:tc>
        <w:tc>
          <w:tcPr>
            <w:tcW w:w="6360" w:type="dxa"/>
            <w:vAlign w:val="bottom"/>
          </w:tcPr>
          <w:p>
            <w:pPr>
              <w:ind w:left="80"/>
              <w:spacing w:after="0"/>
              <w:rPr>
                <w:sz w:val="20"/>
                <w:szCs w:val="20"/>
                <w:color w:val="auto"/>
              </w:rPr>
            </w:pPr>
            <w:r>
              <w:rPr>
                <w:rFonts w:ascii="Arial" w:cs="Arial" w:eastAsia="Arial" w:hAnsi="Arial"/>
                <w:sz w:val="18"/>
                <w:szCs w:val="18"/>
                <w:color w:val="auto"/>
              </w:rPr>
              <w:t>SOLE VOTING POWER</w:t>
            </w:r>
          </w:p>
        </w:tc>
        <w:tc>
          <w:tcPr>
            <w:tcW w:w="21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764,426</w:t>
            </w:r>
          </w:p>
        </w:tc>
        <w:tc>
          <w:tcPr>
            <w:tcW w:w="0" w:type="dxa"/>
            <w:vAlign w:val="bottom"/>
          </w:tcPr>
          <w:p>
            <w:pPr>
              <w:spacing w:after="0"/>
              <w:rPr>
                <w:sz w:val="1"/>
                <w:szCs w:val="1"/>
                <w:color w:val="auto"/>
              </w:rPr>
            </w:pPr>
          </w:p>
        </w:tc>
      </w:tr>
      <w:tr>
        <w:trPr>
          <w:trHeight w:val="70"/>
        </w:trPr>
        <w:tc>
          <w:tcPr>
            <w:tcW w:w="2040" w:type="dxa"/>
            <w:vAlign w:val="bottom"/>
            <w:tcBorders>
              <w:left w:val="single" w:sz="8" w:color="auto"/>
              <w:right w:val="single" w:sz="8" w:color="auto"/>
            </w:tcBorders>
            <w:vMerge w:val="continue"/>
          </w:tcPr>
          <w:p>
            <w:pPr>
              <w:spacing w:after="0"/>
              <w:rPr>
                <w:sz w:val="6"/>
                <w:szCs w:val="6"/>
                <w:color w:val="auto"/>
              </w:rPr>
            </w:pPr>
          </w:p>
        </w:tc>
        <w:tc>
          <w:tcPr>
            <w:tcW w:w="880" w:type="dxa"/>
            <w:vAlign w:val="bottom"/>
            <w:tcBorders>
              <w:right w:val="single" w:sz="8" w:color="auto"/>
            </w:tcBorders>
          </w:tcPr>
          <w:p>
            <w:pPr>
              <w:spacing w:after="0"/>
              <w:rPr>
                <w:sz w:val="6"/>
                <w:szCs w:val="6"/>
                <w:color w:val="auto"/>
              </w:rPr>
            </w:pPr>
          </w:p>
        </w:tc>
        <w:tc>
          <w:tcPr>
            <w:tcW w:w="6360" w:type="dxa"/>
            <w:vAlign w:val="bottom"/>
          </w:tcPr>
          <w:p>
            <w:pPr>
              <w:spacing w:after="0"/>
              <w:rPr>
                <w:sz w:val="6"/>
                <w:szCs w:val="6"/>
                <w:color w:val="auto"/>
              </w:rPr>
            </w:pPr>
          </w:p>
        </w:tc>
        <w:tc>
          <w:tcPr>
            <w:tcW w:w="214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35"/>
        </w:trPr>
        <w:tc>
          <w:tcPr>
            <w:tcW w:w="2040" w:type="dxa"/>
            <w:vAlign w:val="bottom"/>
            <w:tcBorders>
              <w:left w:val="single" w:sz="8" w:color="auto"/>
              <w:right w:val="single" w:sz="8" w:color="auto"/>
            </w:tcBorders>
            <w:vMerge w:val="restart"/>
          </w:tcPr>
          <w:p>
            <w:pPr>
              <w:ind w:left="120"/>
              <w:spacing w:after="0" w:line="202" w:lineRule="exact"/>
              <w:rPr>
                <w:sz w:val="20"/>
                <w:szCs w:val="20"/>
                <w:color w:val="auto"/>
              </w:rPr>
            </w:pPr>
            <w:r>
              <w:rPr>
                <w:rFonts w:ascii="Arial" w:cs="Arial" w:eastAsia="Arial" w:hAnsi="Arial"/>
                <w:sz w:val="18"/>
                <w:szCs w:val="18"/>
                <w:color w:val="auto"/>
              </w:rPr>
              <w:t>SHARES</w:t>
            </w:r>
          </w:p>
        </w:tc>
        <w:tc>
          <w:tcPr>
            <w:tcW w:w="880" w:type="dxa"/>
            <w:vAlign w:val="bottom"/>
            <w:tcBorders>
              <w:bottom w:val="single" w:sz="8" w:color="auto"/>
              <w:right w:val="single" w:sz="8" w:color="auto"/>
            </w:tcBorders>
          </w:tcPr>
          <w:p>
            <w:pPr>
              <w:spacing w:after="0"/>
              <w:rPr>
                <w:sz w:val="3"/>
                <w:szCs w:val="3"/>
                <w:color w:val="auto"/>
              </w:rPr>
            </w:pPr>
          </w:p>
        </w:tc>
        <w:tc>
          <w:tcPr>
            <w:tcW w:w="6360" w:type="dxa"/>
            <w:vAlign w:val="bottom"/>
            <w:tcBorders>
              <w:bottom w:val="single" w:sz="8" w:color="auto"/>
            </w:tcBorders>
          </w:tcPr>
          <w:p>
            <w:pPr>
              <w:spacing w:after="0"/>
              <w:rPr>
                <w:sz w:val="3"/>
                <w:szCs w:val="3"/>
                <w:color w:val="auto"/>
              </w:rPr>
            </w:pPr>
          </w:p>
        </w:tc>
        <w:tc>
          <w:tcPr>
            <w:tcW w:w="214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48"/>
        </w:trPr>
        <w:tc>
          <w:tcPr>
            <w:tcW w:w="2040" w:type="dxa"/>
            <w:vAlign w:val="bottom"/>
            <w:tcBorders>
              <w:left w:val="single" w:sz="8" w:color="auto"/>
              <w:right w:val="single" w:sz="8" w:color="auto"/>
            </w:tcBorders>
            <w:vMerge w:val="continue"/>
          </w:tcPr>
          <w:p>
            <w:pPr>
              <w:spacing w:after="0"/>
              <w:rPr>
                <w:sz w:val="12"/>
                <w:szCs w:val="12"/>
                <w:color w:val="auto"/>
              </w:rPr>
            </w:pPr>
          </w:p>
        </w:tc>
        <w:tc>
          <w:tcPr>
            <w:tcW w:w="880" w:type="dxa"/>
            <w:vAlign w:val="bottom"/>
            <w:tcBorders>
              <w:right w:val="single" w:sz="8" w:color="auto"/>
            </w:tcBorders>
            <w:vMerge w:val="restart"/>
          </w:tcPr>
          <w:p>
            <w:pPr>
              <w:ind w:left="80"/>
              <w:spacing w:after="0"/>
              <w:rPr>
                <w:sz w:val="20"/>
                <w:szCs w:val="20"/>
                <w:color w:val="auto"/>
              </w:rPr>
            </w:pPr>
            <w:r>
              <w:rPr>
                <w:rFonts w:ascii="Arial" w:cs="Arial" w:eastAsia="Arial" w:hAnsi="Arial"/>
                <w:sz w:val="22"/>
                <w:szCs w:val="22"/>
                <w:b w:val="1"/>
                <w:bCs w:val="1"/>
                <w:color w:val="auto"/>
              </w:rPr>
              <w:t>8</w:t>
            </w:r>
          </w:p>
        </w:tc>
        <w:tc>
          <w:tcPr>
            <w:tcW w:w="6360" w:type="dxa"/>
            <w:vAlign w:val="bottom"/>
            <w:vMerge w:val="restart"/>
          </w:tcPr>
          <w:p>
            <w:pPr>
              <w:ind w:left="80"/>
              <w:spacing w:after="0"/>
              <w:rPr>
                <w:sz w:val="20"/>
                <w:szCs w:val="20"/>
                <w:color w:val="auto"/>
              </w:rPr>
            </w:pPr>
            <w:r>
              <w:rPr>
                <w:rFonts w:ascii="Arial" w:cs="Arial" w:eastAsia="Arial" w:hAnsi="Arial"/>
                <w:sz w:val="18"/>
                <w:szCs w:val="18"/>
                <w:color w:val="auto"/>
              </w:rPr>
              <w:t>SHARED VOTING POWER</w:t>
            </w:r>
          </w:p>
        </w:tc>
        <w:tc>
          <w:tcPr>
            <w:tcW w:w="21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99"/>
              </w:rPr>
              <w:t>0</w:t>
            </w:r>
          </w:p>
        </w:tc>
        <w:tc>
          <w:tcPr>
            <w:tcW w:w="0" w:type="dxa"/>
            <w:vAlign w:val="bottom"/>
          </w:tcPr>
          <w:p>
            <w:pPr>
              <w:spacing w:after="0"/>
              <w:rPr>
                <w:sz w:val="1"/>
                <w:szCs w:val="1"/>
                <w:color w:val="auto"/>
              </w:rPr>
            </w:pPr>
          </w:p>
        </w:tc>
      </w:tr>
      <w:tr>
        <w:trPr>
          <w:trHeight w:val="203"/>
        </w:trPr>
        <w:tc>
          <w:tcPr>
            <w:tcW w:w="2040" w:type="dxa"/>
            <w:vAlign w:val="bottom"/>
            <w:tcBorders>
              <w:left w:val="single" w:sz="8" w:color="auto"/>
              <w:right w:val="single" w:sz="8" w:color="auto"/>
            </w:tcBorders>
          </w:tcPr>
          <w:p>
            <w:pPr>
              <w:ind w:left="120"/>
              <w:spacing w:after="0" w:line="202" w:lineRule="exact"/>
              <w:rPr>
                <w:sz w:val="20"/>
                <w:szCs w:val="20"/>
                <w:color w:val="auto"/>
              </w:rPr>
            </w:pPr>
            <w:r>
              <w:rPr>
                <w:rFonts w:ascii="Arial" w:cs="Arial" w:eastAsia="Arial" w:hAnsi="Arial"/>
                <w:sz w:val="18"/>
                <w:szCs w:val="18"/>
                <w:color w:val="auto"/>
              </w:rPr>
              <w:t>BENEFICIALLY</w:t>
            </w:r>
          </w:p>
        </w:tc>
        <w:tc>
          <w:tcPr>
            <w:tcW w:w="880" w:type="dxa"/>
            <w:vAlign w:val="bottom"/>
            <w:tcBorders>
              <w:right w:val="single" w:sz="8" w:color="auto"/>
            </w:tcBorders>
            <w:vMerge w:val="continue"/>
          </w:tcPr>
          <w:p>
            <w:pPr>
              <w:spacing w:after="0"/>
              <w:rPr>
                <w:sz w:val="17"/>
                <w:szCs w:val="17"/>
                <w:color w:val="auto"/>
              </w:rPr>
            </w:pPr>
          </w:p>
        </w:tc>
        <w:tc>
          <w:tcPr>
            <w:tcW w:w="6360" w:type="dxa"/>
            <w:vAlign w:val="bottom"/>
            <w:vMerge w:val="continue"/>
          </w:tcPr>
          <w:p>
            <w:pPr>
              <w:spacing w:after="0"/>
              <w:rPr>
                <w:sz w:val="17"/>
                <w:szCs w:val="17"/>
                <w:color w:val="auto"/>
              </w:rPr>
            </w:pPr>
          </w:p>
        </w:tc>
        <w:tc>
          <w:tcPr>
            <w:tcW w:w="2140" w:type="dxa"/>
            <w:vAlign w:val="bottom"/>
            <w:tcBorders>
              <w:right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16"/>
        </w:trPr>
        <w:tc>
          <w:tcPr>
            <w:tcW w:w="2040" w:type="dxa"/>
            <w:vAlign w:val="bottom"/>
            <w:tcBorders>
              <w:left w:val="single" w:sz="8" w:color="auto"/>
              <w:right w:val="single" w:sz="8" w:color="auto"/>
            </w:tcBorders>
            <w:vMerge w:val="restart"/>
          </w:tcPr>
          <w:p>
            <w:pPr>
              <w:ind w:left="120"/>
              <w:spacing w:after="0" w:line="202" w:lineRule="exact"/>
              <w:rPr>
                <w:sz w:val="20"/>
                <w:szCs w:val="20"/>
                <w:color w:val="auto"/>
              </w:rPr>
            </w:pPr>
            <w:r>
              <w:rPr>
                <w:rFonts w:ascii="Arial" w:cs="Arial" w:eastAsia="Arial" w:hAnsi="Arial"/>
                <w:sz w:val="18"/>
                <w:szCs w:val="18"/>
                <w:color w:val="auto"/>
              </w:rPr>
              <w:t>OWNED BY</w:t>
            </w:r>
          </w:p>
        </w:tc>
        <w:tc>
          <w:tcPr>
            <w:tcW w:w="880" w:type="dxa"/>
            <w:vAlign w:val="bottom"/>
            <w:tcBorders>
              <w:bottom w:val="single" w:sz="8" w:color="auto"/>
              <w:right w:val="single" w:sz="8" w:color="auto"/>
            </w:tcBorders>
          </w:tcPr>
          <w:p>
            <w:pPr>
              <w:spacing w:after="0"/>
              <w:rPr>
                <w:sz w:val="10"/>
                <w:szCs w:val="10"/>
                <w:color w:val="auto"/>
              </w:rPr>
            </w:pPr>
          </w:p>
        </w:tc>
        <w:tc>
          <w:tcPr>
            <w:tcW w:w="6360" w:type="dxa"/>
            <w:vAlign w:val="bottom"/>
            <w:tcBorders>
              <w:bottom w:val="single" w:sz="8" w:color="auto"/>
            </w:tcBorders>
          </w:tcPr>
          <w:p>
            <w:pPr>
              <w:spacing w:after="0"/>
              <w:rPr>
                <w:sz w:val="10"/>
                <w:szCs w:val="10"/>
                <w:color w:val="auto"/>
              </w:rPr>
            </w:pPr>
          </w:p>
        </w:tc>
        <w:tc>
          <w:tcPr>
            <w:tcW w:w="214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67"/>
        </w:trPr>
        <w:tc>
          <w:tcPr>
            <w:tcW w:w="2040" w:type="dxa"/>
            <w:vAlign w:val="bottom"/>
            <w:tcBorders>
              <w:left w:val="single" w:sz="8" w:color="auto"/>
              <w:right w:val="single" w:sz="8" w:color="auto"/>
            </w:tcBorders>
            <w:vMerge w:val="continue"/>
          </w:tcPr>
          <w:p>
            <w:pPr>
              <w:spacing w:after="0"/>
              <w:rPr>
                <w:sz w:val="5"/>
                <w:szCs w:val="5"/>
                <w:color w:val="auto"/>
              </w:rPr>
            </w:pPr>
          </w:p>
        </w:tc>
        <w:tc>
          <w:tcPr>
            <w:tcW w:w="880" w:type="dxa"/>
            <w:vAlign w:val="bottom"/>
            <w:tcBorders>
              <w:right w:val="single" w:sz="8" w:color="auto"/>
            </w:tcBorders>
          </w:tcPr>
          <w:p>
            <w:pPr>
              <w:spacing w:after="0"/>
              <w:rPr>
                <w:sz w:val="5"/>
                <w:szCs w:val="5"/>
                <w:color w:val="auto"/>
              </w:rPr>
            </w:pPr>
          </w:p>
        </w:tc>
        <w:tc>
          <w:tcPr>
            <w:tcW w:w="6360" w:type="dxa"/>
            <w:vAlign w:val="bottom"/>
          </w:tcPr>
          <w:p>
            <w:pPr>
              <w:spacing w:after="0"/>
              <w:rPr>
                <w:sz w:val="5"/>
                <w:szCs w:val="5"/>
                <w:color w:val="auto"/>
              </w:rPr>
            </w:pPr>
          </w:p>
        </w:tc>
        <w:tc>
          <w:tcPr>
            <w:tcW w:w="214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19"/>
        </w:trPr>
        <w:tc>
          <w:tcPr>
            <w:tcW w:w="204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EACH</w:t>
            </w:r>
          </w:p>
        </w:tc>
        <w:tc>
          <w:tcPr>
            <w:tcW w:w="880" w:type="dxa"/>
            <w:vAlign w:val="bottom"/>
            <w:tcBorders>
              <w:right w:val="single" w:sz="8" w:color="auto"/>
            </w:tcBorders>
          </w:tcPr>
          <w:p>
            <w:pPr>
              <w:ind w:left="80"/>
              <w:spacing w:after="0" w:line="219" w:lineRule="exact"/>
              <w:rPr>
                <w:sz w:val="20"/>
                <w:szCs w:val="20"/>
                <w:color w:val="auto"/>
              </w:rPr>
            </w:pPr>
            <w:r>
              <w:rPr>
                <w:rFonts w:ascii="Arial" w:cs="Arial" w:eastAsia="Arial" w:hAnsi="Arial"/>
                <w:sz w:val="22"/>
                <w:szCs w:val="22"/>
                <w:b w:val="1"/>
                <w:bCs w:val="1"/>
                <w:color w:val="auto"/>
              </w:rPr>
              <w:t>9</w:t>
            </w:r>
          </w:p>
        </w:tc>
        <w:tc>
          <w:tcPr>
            <w:tcW w:w="6360" w:type="dxa"/>
            <w:vAlign w:val="bottom"/>
          </w:tcPr>
          <w:p>
            <w:pPr>
              <w:ind w:left="80"/>
              <w:spacing w:after="0"/>
              <w:rPr>
                <w:sz w:val="20"/>
                <w:szCs w:val="20"/>
                <w:color w:val="auto"/>
              </w:rPr>
            </w:pPr>
            <w:r>
              <w:rPr>
                <w:rFonts w:ascii="Arial" w:cs="Arial" w:eastAsia="Arial" w:hAnsi="Arial"/>
                <w:sz w:val="18"/>
                <w:szCs w:val="18"/>
                <w:color w:val="auto"/>
              </w:rPr>
              <w:t>SOLE DISPOSITIVE POWER</w:t>
            </w:r>
          </w:p>
        </w:tc>
        <w:tc>
          <w:tcPr>
            <w:tcW w:w="21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764,426</w:t>
            </w:r>
          </w:p>
        </w:tc>
        <w:tc>
          <w:tcPr>
            <w:tcW w:w="0" w:type="dxa"/>
            <w:vAlign w:val="bottom"/>
          </w:tcPr>
          <w:p>
            <w:pPr>
              <w:spacing w:after="0"/>
              <w:rPr>
                <w:sz w:val="1"/>
                <w:szCs w:val="1"/>
                <w:color w:val="auto"/>
              </w:rPr>
            </w:pPr>
          </w:p>
        </w:tc>
      </w:tr>
      <w:tr>
        <w:trPr>
          <w:trHeight w:val="181"/>
        </w:trPr>
        <w:tc>
          <w:tcPr>
            <w:tcW w:w="2040" w:type="dxa"/>
            <w:vAlign w:val="bottom"/>
            <w:tcBorders>
              <w:left w:val="single" w:sz="8" w:color="auto"/>
              <w:right w:val="single" w:sz="8" w:color="auto"/>
            </w:tcBorders>
          </w:tcPr>
          <w:p>
            <w:pPr>
              <w:ind w:left="120"/>
              <w:spacing w:after="0" w:line="174" w:lineRule="exact"/>
              <w:rPr>
                <w:sz w:val="20"/>
                <w:szCs w:val="20"/>
                <w:color w:val="auto"/>
              </w:rPr>
            </w:pPr>
            <w:r>
              <w:rPr>
                <w:rFonts w:ascii="Arial" w:cs="Arial" w:eastAsia="Arial" w:hAnsi="Arial"/>
                <w:sz w:val="18"/>
                <w:szCs w:val="18"/>
                <w:color w:val="auto"/>
              </w:rPr>
              <w:t>REPORTING</w:t>
            </w:r>
          </w:p>
        </w:tc>
        <w:tc>
          <w:tcPr>
            <w:tcW w:w="880" w:type="dxa"/>
            <w:vAlign w:val="bottom"/>
            <w:tcBorders>
              <w:bottom w:val="single" w:sz="8" w:color="auto"/>
              <w:right w:val="single" w:sz="8" w:color="auto"/>
            </w:tcBorders>
          </w:tcPr>
          <w:p>
            <w:pPr>
              <w:spacing w:after="0"/>
              <w:rPr>
                <w:sz w:val="15"/>
                <w:szCs w:val="15"/>
                <w:color w:val="auto"/>
              </w:rPr>
            </w:pPr>
          </w:p>
        </w:tc>
        <w:tc>
          <w:tcPr>
            <w:tcW w:w="6360" w:type="dxa"/>
            <w:vAlign w:val="bottom"/>
            <w:tcBorders>
              <w:bottom w:val="single" w:sz="8" w:color="auto"/>
            </w:tcBorders>
          </w:tcPr>
          <w:p>
            <w:pPr>
              <w:spacing w:after="0"/>
              <w:rPr>
                <w:sz w:val="15"/>
                <w:szCs w:val="15"/>
                <w:color w:val="auto"/>
              </w:rPr>
            </w:pPr>
          </w:p>
        </w:tc>
        <w:tc>
          <w:tcPr>
            <w:tcW w:w="214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4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PERSON WITH:</w:t>
            </w:r>
          </w:p>
        </w:tc>
        <w:tc>
          <w:tcPr>
            <w:tcW w:w="880" w:type="dxa"/>
            <w:vAlign w:val="bottom"/>
            <w:tcBorders>
              <w:right w:val="single" w:sz="8" w:color="auto"/>
            </w:tcBorders>
            <w:vMerge w:val="restart"/>
          </w:tcPr>
          <w:p>
            <w:pPr>
              <w:ind w:left="80"/>
              <w:spacing w:after="0"/>
              <w:rPr>
                <w:sz w:val="20"/>
                <w:szCs w:val="20"/>
                <w:color w:val="auto"/>
              </w:rPr>
            </w:pPr>
            <w:r>
              <w:rPr>
                <w:rFonts w:ascii="Arial" w:cs="Arial" w:eastAsia="Arial" w:hAnsi="Arial"/>
                <w:sz w:val="22"/>
                <w:szCs w:val="22"/>
                <w:b w:val="1"/>
                <w:bCs w:val="1"/>
                <w:color w:val="auto"/>
              </w:rPr>
              <w:t>10</w:t>
            </w:r>
          </w:p>
        </w:tc>
        <w:tc>
          <w:tcPr>
            <w:tcW w:w="6360" w:type="dxa"/>
            <w:vAlign w:val="bottom"/>
            <w:vMerge w:val="restart"/>
          </w:tcPr>
          <w:p>
            <w:pPr>
              <w:ind w:left="80"/>
              <w:spacing w:after="0"/>
              <w:rPr>
                <w:sz w:val="20"/>
                <w:szCs w:val="20"/>
                <w:color w:val="auto"/>
              </w:rPr>
            </w:pPr>
            <w:r>
              <w:rPr>
                <w:rFonts w:ascii="Arial" w:cs="Arial" w:eastAsia="Arial" w:hAnsi="Arial"/>
                <w:sz w:val="18"/>
                <w:szCs w:val="18"/>
                <w:color w:val="auto"/>
              </w:rPr>
              <w:t>SHARED DISPOSITIVE POWER</w:t>
            </w:r>
          </w:p>
        </w:tc>
        <w:tc>
          <w:tcPr>
            <w:tcW w:w="21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99"/>
              </w:rPr>
              <w:t>0</w:t>
            </w:r>
          </w:p>
        </w:tc>
        <w:tc>
          <w:tcPr>
            <w:tcW w:w="0" w:type="dxa"/>
            <w:vAlign w:val="bottom"/>
          </w:tcPr>
          <w:p>
            <w:pPr>
              <w:spacing w:after="0"/>
              <w:rPr>
                <w:sz w:val="1"/>
                <w:szCs w:val="1"/>
                <w:color w:val="auto"/>
              </w:rPr>
            </w:pPr>
          </w:p>
        </w:tc>
      </w:tr>
      <w:tr>
        <w:trPr>
          <w:trHeight w:val="145"/>
        </w:trPr>
        <w:tc>
          <w:tcPr>
            <w:tcW w:w="2040" w:type="dxa"/>
            <w:vAlign w:val="bottom"/>
            <w:tcBorders>
              <w:left w:val="single" w:sz="8" w:color="auto"/>
              <w:right w:val="single" w:sz="8" w:color="auto"/>
            </w:tcBorders>
          </w:tcPr>
          <w:p>
            <w:pPr>
              <w:spacing w:after="0"/>
              <w:rPr>
                <w:sz w:val="12"/>
                <w:szCs w:val="12"/>
                <w:color w:val="auto"/>
              </w:rPr>
            </w:pPr>
          </w:p>
        </w:tc>
        <w:tc>
          <w:tcPr>
            <w:tcW w:w="880" w:type="dxa"/>
            <w:vAlign w:val="bottom"/>
            <w:tcBorders>
              <w:right w:val="single" w:sz="8" w:color="auto"/>
            </w:tcBorders>
            <w:vMerge w:val="continue"/>
          </w:tcPr>
          <w:p>
            <w:pPr>
              <w:spacing w:after="0"/>
              <w:rPr>
                <w:sz w:val="12"/>
                <w:szCs w:val="12"/>
                <w:color w:val="auto"/>
              </w:rPr>
            </w:pPr>
          </w:p>
        </w:tc>
        <w:tc>
          <w:tcPr>
            <w:tcW w:w="6360" w:type="dxa"/>
            <w:vAlign w:val="bottom"/>
            <w:vMerge w:val="continue"/>
          </w:tcPr>
          <w:p>
            <w:pPr>
              <w:spacing w:after="0"/>
              <w:rPr>
                <w:sz w:val="12"/>
                <w:szCs w:val="12"/>
                <w:color w:val="auto"/>
              </w:rPr>
            </w:pPr>
          </w:p>
        </w:tc>
        <w:tc>
          <w:tcPr>
            <w:tcW w:w="214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2040" w:type="dxa"/>
            <w:vAlign w:val="bottom"/>
            <w:tcBorders>
              <w:left w:val="single" w:sz="8" w:color="auto"/>
              <w:bottom w:val="single" w:sz="8" w:color="auto"/>
              <w:right w:val="single" w:sz="8" w:color="auto"/>
            </w:tcBorders>
          </w:tcPr>
          <w:p>
            <w:pPr>
              <w:spacing w:after="0"/>
              <w:rPr>
                <w:sz w:val="9"/>
                <w:szCs w:val="9"/>
                <w:color w:val="auto"/>
              </w:rPr>
            </w:pPr>
          </w:p>
        </w:tc>
        <w:tc>
          <w:tcPr>
            <w:tcW w:w="880" w:type="dxa"/>
            <w:vAlign w:val="bottom"/>
            <w:tcBorders>
              <w:bottom w:val="single" w:sz="8" w:color="auto"/>
              <w:right w:val="single" w:sz="8" w:color="auto"/>
            </w:tcBorders>
          </w:tcPr>
          <w:p>
            <w:pPr>
              <w:spacing w:after="0"/>
              <w:rPr>
                <w:sz w:val="9"/>
                <w:szCs w:val="9"/>
                <w:color w:val="auto"/>
              </w:rPr>
            </w:pPr>
          </w:p>
        </w:tc>
        <w:tc>
          <w:tcPr>
            <w:tcW w:w="6360" w:type="dxa"/>
            <w:vAlign w:val="bottom"/>
            <w:tcBorders>
              <w:bottom w:val="single" w:sz="8" w:color="auto"/>
            </w:tcBorders>
          </w:tcPr>
          <w:p>
            <w:pPr>
              <w:spacing w:after="0"/>
              <w:rPr>
                <w:sz w:val="9"/>
                <w:szCs w:val="9"/>
                <w:color w:val="auto"/>
              </w:rPr>
            </w:pPr>
          </w:p>
        </w:tc>
        <w:tc>
          <w:tcPr>
            <w:tcW w:w="214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361"/>
        </w:trPr>
        <w:tc>
          <w:tcPr>
            <w:tcW w:w="204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22"/>
                <w:szCs w:val="22"/>
                <w:b w:val="1"/>
                <w:bCs w:val="1"/>
                <w:color w:val="auto"/>
              </w:rPr>
              <w:t>11</w:t>
            </w:r>
          </w:p>
        </w:tc>
        <w:tc>
          <w:tcPr>
            <w:tcW w:w="7240" w:type="dxa"/>
            <w:vAlign w:val="bottom"/>
            <w:gridSpan w:val="2"/>
          </w:tcPr>
          <w:p>
            <w:pPr>
              <w:ind w:left="80"/>
              <w:spacing w:after="0"/>
              <w:rPr>
                <w:sz w:val="20"/>
                <w:szCs w:val="20"/>
                <w:color w:val="auto"/>
              </w:rPr>
            </w:pPr>
            <w:r>
              <w:rPr>
                <w:rFonts w:ascii="Arial" w:cs="Arial" w:eastAsia="Arial" w:hAnsi="Arial"/>
                <w:sz w:val="18"/>
                <w:szCs w:val="18"/>
                <w:color w:val="auto"/>
              </w:rPr>
              <w:t>AGGREGATE AMOUNT BENEFICIALLY OWNED BY EACH REPORTING PERSON</w:t>
            </w:r>
          </w:p>
        </w:tc>
        <w:tc>
          <w:tcPr>
            <w:tcW w:w="21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764,426</w:t>
            </w:r>
          </w:p>
        </w:tc>
        <w:tc>
          <w:tcPr>
            <w:tcW w:w="0" w:type="dxa"/>
            <w:vAlign w:val="bottom"/>
          </w:tcPr>
          <w:p>
            <w:pPr>
              <w:spacing w:after="0"/>
              <w:rPr>
                <w:sz w:val="1"/>
                <w:szCs w:val="1"/>
                <w:color w:val="auto"/>
              </w:rPr>
            </w:pPr>
          </w:p>
        </w:tc>
      </w:tr>
      <w:tr>
        <w:trPr>
          <w:trHeight w:val="105"/>
        </w:trPr>
        <w:tc>
          <w:tcPr>
            <w:tcW w:w="2040" w:type="dxa"/>
            <w:vAlign w:val="bottom"/>
            <w:tcBorders>
              <w:left w:val="single" w:sz="8" w:color="auto"/>
              <w:bottom w:val="single" w:sz="8" w:color="auto"/>
              <w:right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6360" w:type="dxa"/>
            <w:vAlign w:val="bottom"/>
            <w:tcBorders>
              <w:bottom w:val="single" w:sz="8" w:color="auto"/>
            </w:tcBorders>
          </w:tcPr>
          <w:p>
            <w:pPr>
              <w:spacing w:after="0"/>
              <w:rPr>
                <w:sz w:val="9"/>
                <w:szCs w:val="9"/>
                <w:color w:val="auto"/>
              </w:rPr>
            </w:pPr>
          </w:p>
        </w:tc>
        <w:tc>
          <w:tcPr>
            <w:tcW w:w="214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40" w:type="dxa"/>
            <w:vAlign w:val="bottom"/>
            <w:tcBorders>
              <w:left w:val="single" w:sz="8" w:color="auto"/>
              <w:right w:val="single" w:sz="8" w:color="auto"/>
            </w:tcBorders>
            <w:vMerge w:val="restart"/>
          </w:tcPr>
          <w:p>
            <w:pPr>
              <w:ind w:left="120"/>
              <w:spacing w:after="0"/>
              <w:rPr>
                <w:sz w:val="20"/>
                <w:szCs w:val="20"/>
                <w:color w:val="auto"/>
              </w:rPr>
            </w:pPr>
            <w:r>
              <w:rPr>
                <w:rFonts w:ascii="Arial" w:cs="Arial" w:eastAsia="Arial" w:hAnsi="Arial"/>
                <w:sz w:val="22"/>
                <w:szCs w:val="22"/>
                <w:b w:val="1"/>
                <w:bCs w:val="1"/>
                <w:color w:val="auto"/>
              </w:rPr>
              <w:t>12</w:t>
            </w:r>
          </w:p>
        </w:tc>
        <w:tc>
          <w:tcPr>
            <w:tcW w:w="7240" w:type="dxa"/>
            <w:vAlign w:val="bottom"/>
            <w:gridSpan w:val="2"/>
          </w:tcPr>
          <w:p>
            <w:pPr>
              <w:ind w:left="80"/>
              <w:spacing w:after="0"/>
              <w:rPr>
                <w:sz w:val="20"/>
                <w:szCs w:val="20"/>
                <w:color w:val="auto"/>
              </w:rPr>
            </w:pPr>
            <w:r>
              <w:rPr>
                <w:rFonts w:ascii="Arial" w:cs="Arial" w:eastAsia="Arial" w:hAnsi="Arial"/>
                <w:sz w:val="18"/>
                <w:szCs w:val="18"/>
                <w:color w:val="auto"/>
                <w:w w:val="96"/>
              </w:rPr>
              <w:t>CHECK IF THE AGGREGATE AMOUNT IN ROW (11) EXCLUDES CERTAIN SHARES (see</w:t>
            </w:r>
          </w:p>
        </w:tc>
        <w:tc>
          <w:tcPr>
            <w:tcW w:w="2140" w:type="dxa"/>
            <w:vAlign w:val="bottom"/>
            <w:tcBorders>
              <w:right w:val="single" w:sz="8" w:color="auto"/>
            </w:tcBorders>
            <w:vMerge w:val="restart"/>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230"/>
        </w:trPr>
        <w:tc>
          <w:tcPr>
            <w:tcW w:w="2040" w:type="dxa"/>
            <w:vAlign w:val="bottom"/>
            <w:tcBorders>
              <w:left w:val="single" w:sz="8" w:color="auto"/>
              <w:right w:val="single" w:sz="8" w:color="auto"/>
            </w:tcBorders>
            <w:vMerge w:val="continue"/>
          </w:tcPr>
          <w:p>
            <w:pPr>
              <w:spacing w:after="0"/>
              <w:rPr>
                <w:sz w:val="20"/>
                <w:szCs w:val="20"/>
                <w:color w:val="auto"/>
              </w:rPr>
            </w:pPr>
          </w:p>
        </w:tc>
        <w:tc>
          <w:tcPr>
            <w:tcW w:w="7240" w:type="dxa"/>
            <w:vAlign w:val="bottom"/>
            <w:gridSpan w:val="2"/>
          </w:tcPr>
          <w:p>
            <w:pPr>
              <w:ind w:left="80"/>
              <w:spacing w:after="0"/>
              <w:rPr>
                <w:sz w:val="20"/>
                <w:szCs w:val="20"/>
                <w:color w:val="auto"/>
              </w:rPr>
            </w:pPr>
            <w:r>
              <w:rPr>
                <w:rFonts w:ascii="Arial" w:cs="Arial" w:eastAsia="Arial" w:hAnsi="Arial"/>
                <w:sz w:val="18"/>
                <w:szCs w:val="18"/>
                <w:color w:val="auto"/>
              </w:rPr>
              <w:t>instructions)</w:t>
            </w:r>
          </w:p>
        </w:tc>
        <w:tc>
          <w:tcPr>
            <w:tcW w:w="2140" w:type="dxa"/>
            <w:vAlign w:val="bottom"/>
            <w:tcBorders>
              <w:right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47"/>
        </w:trPr>
        <w:tc>
          <w:tcPr>
            <w:tcW w:w="2040" w:type="dxa"/>
            <w:vAlign w:val="bottom"/>
            <w:tcBorders>
              <w:left w:val="single" w:sz="8" w:color="auto"/>
              <w:bottom w:val="single" w:sz="8" w:color="auto"/>
              <w:right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6360" w:type="dxa"/>
            <w:vAlign w:val="bottom"/>
            <w:tcBorders>
              <w:bottom w:val="single" w:sz="8" w:color="auto"/>
            </w:tcBorders>
          </w:tcPr>
          <w:p>
            <w:pPr>
              <w:spacing w:after="0"/>
              <w:rPr>
                <w:sz w:val="4"/>
                <w:szCs w:val="4"/>
                <w:color w:val="auto"/>
              </w:rPr>
            </w:pPr>
          </w:p>
        </w:tc>
        <w:tc>
          <w:tcPr>
            <w:tcW w:w="21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466"/>
        </w:trPr>
        <w:tc>
          <w:tcPr>
            <w:tcW w:w="204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22"/>
                <w:szCs w:val="22"/>
                <w:b w:val="1"/>
                <w:bCs w:val="1"/>
                <w:color w:val="auto"/>
              </w:rPr>
              <w:t>13</w:t>
            </w:r>
          </w:p>
        </w:tc>
        <w:tc>
          <w:tcPr>
            <w:tcW w:w="724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color w:val="auto"/>
              </w:rPr>
              <w:t>PERCENT OF CLASS REPRESENTED BY AMOUNT IN ROW (11)</w:t>
            </w:r>
          </w:p>
        </w:tc>
        <w:tc>
          <w:tcPr>
            <w:tcW w:w="21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2.4%</w:t>
            </w:r>
            <w:r>
              <w:rPr>
                <w:rFonts w:ascii="Arial" w:cs="Arial" w:eastAsia="Arial" w:hAnsi="Arial"/>
                <w:sz w:val="30"/>
                <w:szCs w:val="30"/>
                <w:color w:val="auto"/>
                <w:w w:val="88"/>
                <w:vertAlign w:val="superscript"/>
              </w:rPr>
              <w:t>(1)</w:t>
            </w:r>
          </w:p>
        </w:tc>
        <w:tc>
          <w:tcPr>
            <w:tcW w:w="0" w:type="dxa"/>
            <w:vAlign w:val="bottom"/>
          </w:tcPr>
          <w:p>
            <w:pPr>
              <w:spacing w:after="0"/>
              <w:rPr>
                <w:sz w:val="1"/>
                <w:szCs w:val="1"/>
                <w:color w:val="auto"/>
              </w:rPr>
            </w:pPr>
          </w:p>
        </w:tc>
      </w:tr>
      <w:tr>
        <w:trPr>
          <w:trHeight w:val="361"/>
        </w:trPr>
        <w:tc>
          <w:tcPr>
            <w:tcW w:w="204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22"/>
                <w:szCs w:val="22"/>
                <w:b w:val="1"/>
                <w:bCs w:val="1"/>
                <w:color w:val="auto"/>
              </w:rPr>
              <w:t>14</w:t>
            </w:r>
          </w:p>
        </w:tc>
        <w:tc>
          <w:tcPr>
            <w:tcW w:w="7240" w:type="dxa"/>
            <w:vAlign w:val="bottom"/>
            <w:gridSpan w:val="2"/>
          </w:tcPr>
          <w:p>
            <w:pPr>
              <w:ind w:left="80"/>
              <w:spacing w:after="0"/>
              <w:rPr>
                <w:sz w:val="20"/>
                <w:szCs w:val="20"/>
                <w:color w:val="auto"/>
              </w:rPr>
            </w:pPr>
            <w:r>
              <w:rPr>
                <w:rFonts w:ascii="Arial" w:cs="Arial" w:eastAsia="Arial" w:hAnsi="Arial"/>
                <w:sz w:val="18"/>
                <w:szCs w:val="18"/>
                <w:color w:val="auto"/>
              </w:rPr>
              <w:t>TYPE OF REPORTING PERSON (see instructions)</w:t>
            </w:r>
          </w:p>
        </w:tc>
        <w:tc>
          <w:tcPr>
            <w:tcW w:w="214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rPr>
              <w:t>IN</w:t>
            </w:r>
          </w:p>
        </w:tc>
        <w:tc>
          <w:tcPr>
            <w:tcW w:w="0" w:type="dxa"/>
            <w:vAlign w:val="bottom"/>
          </w:tcPr>
          <w:p>
            <w:pPr>
              <w:spacing w:after="0"/>
              <w:rPr>
                <w:sz w:val="1"/>
                <w:szCs w:val="1"/>
                <w:color w:val="auto"/>
              </w:rPr>
            </w:pPr>
          </w:p>
        </w:tc>
      </w:tr>
      <w:tr>
        <w:trPr>
          <w:trHeight w:val="105"/>
        </w:trPr>
        <w:tc>
          <w:tcPr>
            <w:tcW w:w="2040" w:type="dxa"/>
            <w:vAlign w:val="bottom"/>
            <w:tcBorders>
              <w:left w:val="single" w:sz="8" w:color="auto"/>
              <w:bottom w:val="single" w:sz="8" w:color="auto"/>
              <w:right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6360" w:type="dxa"/>
            <w:vAlign w:val="bottom"/>
            <w:tcBorders>
              <w:bottom w:val="single" w:sz="8" w:color="auto"/>
            </w:tcBorders>
          </w:tcPr>
          <w:p>
            <w:pPr>
              <w:spacing w:after="0"/>
              <w:rPr>
                <w:sz w:val="9"/>
                <w:szCs w:val="9"/>
                <w:color w:val="auto"/>
              </w:rPr>
            </w:pPr>
          </w:p>
        </w:tc>
        <w:tc>
          <w:tcPr>
            <w:tcW w:w="214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(1) Calculated based on 31,485,400 shares of Winnebago Industries, Inc. (the “Issuer’s”) common stock outstanding, as of November 11,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615315</wp:posOffset>
            </wp:positionV>
            <wp:extent cx="72466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Item 1. Security and Issuer.</w:t>
      </w:r>
    </w:p>
    <w:p>
      <w:pPr>
        <w:spacing w:after="0" w:line="148" w:lineRule="exact"/>
        <w:rPr>
          <w:sz w:val="20"/>
          <w:szCs w:val="20"/>
          <w:color w:val="auto"/>
        </w:rPr>
      </w:pPr>
    </w:p>
    <w:p>
      <w:pPr>
        <w:ind w:right="60" w:firstLine="324"/>
        <w:spacing w:after="0" w:line="309" w:lineRule="auto"/>
        <w:rPr>
          <w:sz w:val="20"/>
          <w:szCs w:val="20"/>
          <w:color w:val="auto"/>
        </w:rPr>
      </w:pPr>
      <w:r>
        <w:rPr>
          <w:rFonts w:ascii="Arial" w:cs="Arial" w:eastAsia="Arial" w:hAnsi="Arial"/>
          <w:sz w:val="18"/>
          <w:szCs w:val="18"/>
          <w:color w:val="auto"/>
        </w:rPr>
        <w:t>This Schedule 13D relates to the Common Stock of Winnebago Industries, Inc., an Iowa corporation (the “Issuer”), P.O. Box 152, Forest City, Iowa 50436</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Identity and Background.</w:t>
      </w:r>
    </w:p>
    <w:p>
      <w:pPr>
        <w:spacing w:after="0" w:line="148" w:lineRule="exact"/>
        <w:rPr>
          <w:sz w:val="20"/>
          <w:szCs w:val="20"/>
          <w:color w:val="auto"/>
        </w:rPr>
      </w:pPr>
    </w:p>
    <w:p>
      <w:pPr>
        <w:ind w:left="920" w:hanging="588"/>
        <w:spacing w:after="0"/>
        <w:tabs>
          <w:tab w:leader="none" w:pos="92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This Schedule 13D is being filed by William C. Fenech.</w:t>
      </w:r>
    </w:p>
    <w:p>
      <w:pPr>
        <w:spacing w:after="0" w:line="198" w:lineRule="exact"/>
        <w:rPr>
          <w:rFonts w:ascii="Arial" w:cs="Arial" w:eastAsia="Arial" w:hAnsi="Arial"/>
          <w:sz w:val="18"/>
          <w:szCs w:val="18"/>
          <w:color w:val="auto"/>
        </w:rPr>
      </w:pPr>
    </w:p>
    <w:p>
      <w:pPr>
        <w:ind w:left="940" w:hanging="608"/>
        <w:spacing w:after="0"/>
        <w:tabs>
          <w:tab w:leader="none" w:pos="94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principal business address of Mr. Fenech is 22245 Sunset Lane, Elkhart, IN 46516.</w:t>
      </w:r>
    </w:p>
    <w:p>
      <w:pPr>
        <w:spacing w:after="0" w:line="198" w:lineRule="exact"/>
        <w:rPr>
          <w:rFonts w:ascii="Arial" w:cs="Arial" w:eastAsia="Arial" w:hAnsi="Arial"/>
          <w:sz w:val="18"/>
          <w:szCs w:val="18"/>
          <w:color w:val="auto"/>
        </w:rPr>
      </w:pPr>
    </w:p>
    <w:p>
      <w:pPr>
        <w:ind w:firstLine="332"/>
        <w:spacing w:after="0" w:line="371" w:lineRule="auto"/>
        <w:tabs>
          <w:tab w:leader="none" w:pos="913"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present principal occupation of Mr. Fenech is an independent consultant to Winnebago Industries, Inc. The principal business address where Mr. Fenech conducts his occupation is 22245 Sunset Lane, Elkhart, IN 46516.</w:t>
      </w:r>
    </w:p>
    <w:p>
      <w:pPr>
        <w:spacing w:after="0" w:line="8" w:lineRule="exact"/>
        <w:rPr>
          <w:rFonts w:ascii="Arial" w:cs="Arial" w:eastAsia="Arial" w:hAnsi="Arial"/>
          <w:sz w:val="18"/>
          <w:szCs w:val="18"/>
          <w:color w:val="auto"/>
        </w:rPr>
      </w:pPr>
    </w:p>
    <w:p>
      <w:pPr>
        <w:ind w:left="940" w:hanging="608"/>
        <w:spacing w:after="0"/>
        <w:tabs>
          <w:tab w:leader="none" w:pos="940" w:val="left"/>
        </w:tabs>
        <w:numPr>
          <w:ilvl w:val="0"/>
          <w:numId w:val="1"/>
        </w:numPr>
        <w:rPr>
          <w:rFonts w:ascii="Arial" w:cs="Arial" w:eastAsia="Arial" w:hAnsi="Arial"/>
          <w:sz w:val="16"/>
          <w:szCs w:val="16"/>
          <w:color w:val="auto"/>
        </w:rPr>
      </w:pPr>
      <w:r>
        <w:rPr>
          <w:rFonts w:ascii="Arial" w:cs="Arial" w:eastAsia="Arial" w:hAnsi="Arial"/>
          <w:sz w:val="16"/>
          <w:szCs w:val="16"/>
          <w:color w:val="auto"/>
        </w:rPr>
        <w:t>During the last five years, Mr. Fenech has not been convicted in a criminal proceeding (excluding traffic violations or similar misdemeanors).</w:t>
      </w:r>
    </w:p>
    <w:p>
      <w:pPr>
        <w:spacing w:after="0" w:line="221" w:lineRule="exact"/>
        <w:rPr>
          <w:rFonts w:ascii="Arial" w:cs="Arial" w:eastAsia="Arial" w:hAnsi="Arial"/>
          <w:sz w:val="16"/>
          <w:szCs w:val="16"/>
          <w:color w:val="auto"/>
        </w:rPr>
      </w:pPr>
    </w:p>
    <w:p>
      <w:pPr>
        <w:ind w:left="920" w:hanging="588"/>
        <w:spacing w:after="0"/>
        <w:tabs>
          <w:tab w:leader="none" w:pos="920" w:val="left"/>
        </w:tabs>
        <w:numPr>
          <w:ilvl w:val="0"/>
          <w:numId w:val="1"/>
        </w:numPr>
        <w:rPr>
          <w:rFonts w:ascii="Arial" w:cs="Arial" w:eastAsia="Arial" w:hAnsi="Arial"/>
          <w:sz w:val="17"/>
          <w:szCs w:val="17"/>
          <w:color w:val="auto"/>
        </w:rPr>
      </w:pPr>
      <w:r>
        <w:rPr>
          <w:rFonts w:ascii="Arial" w:cs="Arial" w:eastAsia="Arial" w:hAnsi="Arial"/>
          <w:sz w:val="17"/>
          <w:szCs w:val="17"/>
          <w:color w:val="auto"/>
        </w:rPr>
        <w:t>During the last five years, Mr. Fenech has not been a party to a civil proceeding of a judicial or administrative body of competent jurisdiction</w:t>
      </w:r>
    </w:p>
    <w:p>
      <w:pPr>
        <w:spacing w:after="0" w:line="102" w:lineRule="exact"/>
        <w:rPr>
          <w:sz w:val="20"/>
          <w:szCs w:val="20"/>
          <w:color w:val="auto"/>
        </w:rPr>
      </w:pPr>
    </w:p>
    <w:p>
      <w:pPr>
        <w:ind w:right="20"/>
        <w:spacing w:after="0" w:line="309" w:lineRule="auto"/>
        <w:rPr>
          <w:sz w:val="20"/>
          <w:szCs w:val="20"/>
          <w:color w:val="auto"/>
        </w:rPr>
      </w:pPr>
      <w:r>
        <w:rPr>
          <w:rFonts w:ascii="Arial" w:cs="Arial" w:eastAsia="Arial" w:hAnsi="Arial"/>
          <w:sz w:val="18"/>
          <w:szCs w:val="18"/>
          <w:color w:val="auto"/>
        </w:rPr>
        <w:t>and, as a result of such proceeding, was or is subject to a judgment, decree, or final order enjoining future violations of, or prohibiting or mandating activities subject to, federal or state securities laws or finding any violation with respect to such laws.</w:t>
      </w:r>
    </w:p>
    <w:p>
      <w:pPr>
        <w:spacing w:after="0" w:line="61" w:lineRule="exact"/>
        <w:rPr>
          <w:sz w:val="20"/>
          <w:szCs w:val="20"/>
          <w:color w:val="auto"/>
        </w:rPr>
      </w:pPr>
    </w:p>
    <w:p>
      <w:pPr>
        <w:ind w:left="900" w:hanging="568"/>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Mr. Fenech is a citizen of the United States of America.</w:t>
      </w: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Source and Amount of Funds or Other Consideration.</w:t>
      </w:r>
    </w:p>
    <w:p>
      <w:pPr>
        <w:spacing w:after="0" w:line="148" w:lineRule="exact"/>
        <w:rPr>
          <w:sz w:val="20"/>
          <w:szCs w:val="20"/>
          <w:color w:val="auto"/>
        </w:rPr>
      </w:pPr>
    </w:p>
    <w:p>
      <w:pPr>
        <w:jc w:val="both"/>
        <w:ind w:firstLine="324"/>
        <w:spacing w:after="0" w:line="295" w:lineRule="auto"/>
        <w:rPr>
          <w:sz w:val="20"/>
          <w:szCs w:val="20"/>
          <w:color w:val="auto"/>
        </w:rPr>
      </w:pPr>
      <w:r>
        <w:rPr>
          <w:rFonts w:ascii="Arial" w:cs="Arial" w:eastAsia="Arial" w:hAnsi="Arial"/>
          <w:sz w:val="18"/>
          <w:szCs w:val="18"/>
          <w:color w:val="auto"/>
        </w:rPr>
        <w:t>William C. Fenech beneficially owns and has the sole voting and dispositive power over all 764,426 Shares of the Issuer reported by him in this Schedule 13D. All such shares were acquired directly by Mr. Fenech on November 8, 2016, upon consummation of the acquisition by the Issuer of Grand Design RV, LLC, in which Mr. Fenech held an indirect minority interest.</w:t>
      </w:r>
    </w:p>
    <w:p>
      <w:pPr>
        <w:spacing w:after="0" w:line="209"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8"/>
          <w:szCs w:val="18"/>
          <w:color w:val="auto"/>
        </w:rPr>
        <w:t>On November 8, 2016 Winnebago Industries, Inc. (“Winnebago”) consummated the acquisition of Grand Design RV, LLC an Indiana limited liability company, pursuant to the terms of the Securities Purchase Agreement (the “Purchase Agreement”) by and among Winnebago, Grand Design RV, LLC (“Grand Design”), Octavius Corporation (“Octavius”), Summit Partners Growth Equity Fund VIII-A, L.P., Summit Partners Growth Equity Fund VIII-B, L.P., Summit Partners Entrepreneur Advisors Fund I, L.P., Summit Investors I, LLC, Summit Investors I (UK), L.P., SP GE VIII-B GD RV Holdings, L.P. (collectively the “Summit Sellers”), RDB III, Inc., and each of the shareholders of RDB III, Inc. Mr. Fenech, Donald Clark and Ronald Fenech were the shareholders of RDB III, Inc. and are referred to collectively as the “RDB Sellers”.</w:t>
      </w:r>
    </w:p>
    <w:p>
      <w:pPr>
        <w:spacing w:after="0" w:line="217" w:lineRule="exact"/>
        <w:rPr>
          <w:sz w:val="20"/>
          <w:szCs w:val="20"/>
          <w:color w:val="auto"/>
        </w:rPr>
      </w:pPr>
    </w:p>
    <w:p>
      <w:pPr>
        <w:jc w:val="both"/>
        <w:ind w:firstLine="324"/>
        <w:spacing w:after="0" w:line="309" w:lineRule="auto"/>
        <w:rPr>
          <w:sz w:val="20"/>
          <w:szCs w:val="20"/>
          <w:color w:val="auto"/>
        </w:rPr>
      </w:pPr>
      <w:r>
        <w:rPr>
          <w:rFonts w:ascii="Arial" w:cs="Arial" w:eastAsia="Arial" w:hAnsi="Arial"/>
          <w:sz w:val="18"/>
          <w:szCs w:val="18"/>
          <w:color w:val="auto"/>
        </w:rPr>
        <w:t>William Fenech, Donald Clark, and Ronald Fenech have entered into a five-year non-competition, non-solicitation and confidentiality agreement with Winnebago (the “Non-competition Agreement”).</w:t>
      </w:r>
    </w:p>
    <w:p>
      <w:pPr>
        <w:spacing w:after="0" w:line="196" w:lineRule="exact"/>
        <w:rPr>
          <w:sz w:val="20"/>
          <w:szCs w:val="20"/>
          <w:color w:val="auto"/>
        </w:rPr>
      </w:pPr>
    </w:p>
    <w:p>
      <w:pPr>
        <w:jc w:val="both"/>
        <w:ind w:firstLine="324"/>
        <w:spacing w:after="0" w:line="288" w:lineRule="auto"/>
        <w:rPr>
          <w:sz w:val="20"/>
          <w:szCs w:val="20"/>
          <w:color w:val="auto"/>
        </w:rPr>
      </w:pPr>
      <w:r>
        <w:rPr>
          <w:rFonts w:ascii="Arial" w:cs="Arial" w:eastAsia="Arial" w:hAnsi="Arial"/>
          <w:sz w:val="18"/>
          <w:szCs w:val="18"/>
          <w:color w:val="auto"/>
        </w:rPr>
        <w:t>Winnebago has agreed to register the shares of common stock issuable to the Summit Sellers and the RDB Sellers pursuant to the terms of a registration rights agreement (the “Registration Rights Agreement”). Under the Registration Rights Agreement, Winnebago has agreed to file a shelf registration statement on the second business day following the filing of an amendment to Winnebago’s Current Report on Form 8-K reporting the completion of the acquisition of Grand Design containing the financial statements and pro forma financial information concerning the acquisition. Winnebago has agreed to keep the registration statement effective for up to three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249555</wp:posOffset>
            </wp:positionV>
            <wp:extent cx="72466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5" w:right="239" w:bottom="1440" w:gutter="0" w:footer="0" w:header="0"/>
        </w:sectPr>
      </w:pPr>
    </w:p>
    <w:bookmarkStart w:id="3" w:name="page4"/>
    <w:bookmarkEnd w:id="3"/>
    <w:p>
      <w:pPr>
        <w:jc w:val="both"/>
        <w:ind w:firstLine="324"/>
        <w:spacing w:after="0" w:line="290" w:lineRule="auto"/>
        <w:rPr>
          <w:sz w:val="20"/>
          <w:szCs w:val="20"/>
          <w:color w:val="auto"/>
        </w:rPr>
      </w:pPr>
      <w:r>
        <w:rPr>
          <w:rFonts w:ascii="Arial" w:cs="Arial" w:eastAsia="Arial" w:hAnsi="Arial"/>
          <w:sz w:val="18"/>
          <w:szCs w:val="18"/>
          <w:color w:val="auto"/>
        </w:rPr>
        <w:t>RDB Sellers have agreed to certain covenants pursuant to the terms of a standstill agreement (“Standstill Agreement”). The standstill agreement provides that for up to one year after closing, the RDB Sellers are each prohibited from taking certain hostile actions with respect to Winnebago. The RDB Sellers have also agreed to a lock-up letter agreement (“Lock Up Agreement”) that restricts the RDB Sellers from transferring their shares of Winnebago common stock for one year from closing.</w:t>
      </w:r>
    </w:p>
    <w:p>
      <w:pPr>
        <w:spacing w:after="0" w:line="215" w:lineRule="exact"/>
        <w:rPr>
          <w:sz w:val="20"/>
          <w:szCs w:val="20"/>
          <w:color w:val="auto"/>
        </w:rPr>
      </w:pPr>
    </w:p>
    <w:p>
      <w:pPr>
        <w:jc w:val="both"/>
        <w:ind w:firstLine="324"/>
        <w:spacing w:after="0" w:line="309" w:lineRule="auto"/>
        <w:rPr>
          <w:sz w:val="20"/>
          <w:szCs w:val="20"/>
          <w:color w:val="auto"/>
        </w:rPr>
      </w:pPr>
      <w:r>
        <w:rPr>
          <w:rFonts w:ascii="Arial" w:cs="Arial" w:eastAsia="Arial" w:hAnsi="Arial"/>
          <w:sz w:val="17"/>
          <w:szCs w:val="17"/>
          <w:color w:val="auto"/>
        </w:rPr>
        <w:t>By virtue of having entered into, and complying with, the agreements described above under this Item 3 with the other RDB Sellers, Mr. Fenech and the other RDB Sellers may be deemed to be a group within the meaning of Section 13(d)(3) of the Securities Exchange Act of 1934 with respect to shares of the Issuer held by the RDB Sellers. However, Mr. Fenech disclaims beneficial ownership of shares held by the other RDB Sellers. Filing of this statement shall not be construed as an admission that Mr. Fenech is, for the purposes of Sections 13(d) or 13(g) of the Securities Exchange Act of 1934, the beneficial owner of any securities held by Donald Clark or Ronald Fenech, as described further below.</w:t>
      </w:r>
    </w:p>
    <w:p>
      <w:pPr>
        <w:spacing w:after="0" w:line="200" w:lineRule="exact"/>
        <w:rPr>
          <w:sz w:val="20"/>
          <w:szCs w:val="20"/>
          <w:color w:val="auto"/>
        </w:rPr>
      </w:pPr>
    </w:p>
    <w:p>
      <w:pPr>
        <w:jc w:val="both"/>
        <w:ind w:firstLine="324"/>
        <w:spacing w:after="0" w:line="337" w:lineRule="auto"/>
        <w:rPr>
          <w:sz w:val="20"/>
          <w:szCs w:val="20"/>
          <w:color w:val="auto"/>
        </w:rPr>
      </w:pPr>
      <w:r>
        <w:rPr>
          <w:rFonts w:ascii="Arial" w:cs="Arial" w:eastAsia="Arial" w:hAnsi="Arial"/>
          <w:sz w:val="16"/>
          <w:szCs w:val="16"/>
          <w:color w:val="auto"/>
        </w:rPr>
        <w:t>Also, in connection with the Purchase Agreement, Winnebago entered into consulting agreements (“Consulting Agreements”) with William Fenech and Ronald Fenech. Under the consulting agreements, William Fenech and Ronald Fenech have each agreed to provide certain consulting services to Grand Design and Winnebago for one year from closing. Finally, in connection with the Purchase Agreement, Grand Design entered into an employment agreement with Donald Clark which includes a form of change in control agreement between Donald Clark and Winnebago (“Employment Agreement”).</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Purpose of Transaction.</w:t>
      </w:r>
    </w:p>
    <w:p>
      <w:pPr>
        <w:spacing w:after="0" w:line="14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disclosure in Item 3 is incorporated by reference herein.</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Interest in Securities of the Issuer.</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William Fenech -</w:t>
      </w:r>
    </w:p>
    <w:p>
      <w:pPr>
        <w:spacing w:after="0" w:line="36"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Aggregate number of shares beneficially owned by Mr. Fenech: 764,426.</w:t>
      </w:r>
    </w:p>
    <w:p>
      <w:pPr>
        <w:spacing w:after="0" w:line="36"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Percentage of class: 2.4%.</w:t>
      </w:r>
    </w:p>
    <w:p>
      <w:pPr>
        <w:spacing w:after="0" w:line="279" w:lineRule="exact"/>
        <w:rPr>
          <w:sz w:val="20"/>
          <w:szCs w:val="20"/>
          <w:color w:val="auto"/>
        </w:rPr>
      </w:pPr>
    </w:p>
    <w:p>
      <w:pPr>
        <w:ind w:left="340" w:right="80"/>
        <w:spacing w:after="0" w:line="288" w:lineRule="auto"/>
        <w:rPr>
          <w:sz w:val="20"/>
          <w:szCs w:val="20"/>
          <w:color w:val="auto"/>
        </w:rPr>
      </w:pPr>
      <w:r>
        <w:rPr>
          <w:rFonts w:ascii="Arial" w:cs="Arial" w:eastAsia="Arial" w:hAnsi="Arial"/>
          <w:sz w:val="18"/>
          <w:szCs w:val="18"/>
          <w:color w:val="auto"/>
        </w:rPr>
        <w:t>By virtue of having entered into, and complying with, the agreements described under Item 3 with the other RDB Sellers, Mr. Fenech and the other RDB Sellers may be deemed to be a group within the meaning of section 13(d)(3) of the Act with respect to shares of the Issuer held by the RDB Sellers. However, Mr. Fenech disclaims beneficial ownership of shares held by the other RDB Sellers. Filing of this statement shall not be construed as an admission that Mr. Fenech is, for the purposes of Sections 13(d) or 13(g) of the Securities Exchange Act of 1934, the beneficial owner of any securities held by Donald Clark or Ronald Fenech.</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color w:val="auto"/>
        </w:rPr>
        <w:t>Ronald Fenech -</w:t>
      </w:r>
    </w:p>
    <w:p>
      <w:pPr>
        <w:spacing w:after="0" w:line="36" w:lineRule="exact"/>
        <w:rPr>
          <w:sz w:val="20"/>
          <w:szCs w:val="20"/>
          <w:color w:val="auto"/>
        </w:rPr>
      </w:pPr>
    </w:p>
    <w:p>
      <w:pPr>
        <w:ind w:left="980"/>
        <w:spacing w:after="0"/>
        <w:rPr>
          <w:sz w:val="20"/>
          <w:szCs w:val="20"/>
          <w:color w:val="auto"/>
        </w:rPr>
      </w:pPr>
      <w:r>
        <w:rPr>
          <w:rFonts w:ascii="Arial" w:cs="Arial" w:eastAsia="Arial" w:hAnsi="Arial"/>
          <w:sz w:val="18"/>
          <w:szCs w:val="18"/>
          <w:color w:val="auto"/>
        </w:rPr>
        <w:t>Aggregate number of shares beneficially owned by Ronald Fenech: 764,426. Percentage of class: 2.4%.</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Donald Clark -</w:t>
      </w:r>
    </w:p>
    <w:p>
      <w:pPr>
        <w:spacing w:after="0" w:line="36" w:lineRule="exact"/>
        <w:rPr>
          <w:sz w:val="20"/>
          <w:szCs w:val="20"/>
          <w:color w:val="auto"/>
        </w:rPr>
      </w:pPr>
    </w:p>
    <w:p>
      <w:pPr>
        <w:ind w:left="980"/>
        <w:spacing w:after="0"/>
        <w:rPr>
          <w:sz w:val="20"/>
          <w:szCs w:val="20"/>
          <w:color w:val="auto"/>
        </w:rPr>
      </w:pPr>
      <w:r>
        <w:rPr>
          <w:rFonts w:ascii="Arial" w:cs="Arial" w:eastAsia="Arial" w:hAnsi="Arial"/>
          <w:sz w:val="18"/>
          <w:szCs w:val="18"/>
          <w:color w:val="auto"/>
        </w:rPr>
        <w:t>Aggregate number of shares beneficially owned by Donald Clark: 764,426. Percentage of class: 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2466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82" w:right="239" w:bottom="1440" w:gutter="0" w:footer="0" w:header="0"/>
        </w:sectPr>
      </w:pPr>
    </w:p>
    <w:bookmarkStart w:id="4" w:name="page5"/>
    <w:bookmarkEnd w:id="4"/>
    <w:p>
      <w:pPr>
        <w:ind w:right="20"/>
        <w:spacing w:after="0" w:line="309" w:lineRule="auto"/>
        <w:rPr>
          <w:sz w:val="20"/>
          <w:szCs w:val="20"/>
          <w:color w:val="auto"/>
        </w:rPr>
      </w:pPr>
      <w:r>
        <w:rPr>
          <w:rFonts w:ascii="Arial" w:cs="Arial" w:eastAsia="Arial" w:hAnsi="Arial"/>
          <w:sz w:val="18"/>
          <w:szCs w:val="18"/>
          <w:color w:val="auto"/>
        </w:rPr>
        <w:t>The aggregate number of shares beneficially owned by Mr. Fenech, Ronald Fenech and Donald Clark, collectively, is 2,293,278 or 7.3% of the outstanding Winnebago Common Stock in the aggregate.</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w:t>
      </w:r>
    </w:p>
    <w:p>
      <w:pPr>
        <w:spacing w:after="0" w:line="14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William Fenech -</w:t>
      </w:r>
    </w:p>
    <w:p>
      <w:pPr>
        <w:spacing w:after="0" w:line="144" w:lineRule="exact"/>
        <w:rPr>
          <w:sz w:val="20"/>
          <w:szCs w:val="20"/>
          <w:color w:val="auto"/>
        </w:rPr>
      </w:pPr>
    </w:p>
    <w:p>
      <w:pPr>
        <w:ind w:left="840" w:hanging="386"/>
        <w:spacing w:after="0"/>
        <w:tabs>
          <w:tab w:leader="none" w:pos="840" w:val="left"/>
        </w:tabs>
        <w:numPr>
          <w:ilvl w:val="0"/>
          <w:numId w:val="3"/>
        </w:numPr>
        <w:rPr>
          <w:rFonts w:ascii="Arial" w:cs="Arial" w:eastAsia="Arial" w:hAnsi="Arial"/>
          <w:sz w:val="18"/>
          <w:szCs w:val="18"/>
          <w:color w:val="auto"/>
        </w:rPr>
      </w:pPr>
      <w:r>
        <w:rPr>
          <w:rFonts w:ascii="Arial" w:cs="Arial" w:eastAsia="Arial" w:hAnsi="Arial"/>
          <w:sz w:val="18"/>
          <w:szCs w:val="18"/>
          <w:color w:val="auto"/>
        </w:rPr>
        <w:t>Sole power to vote or direct vote: 764,426</w:t>
      </w:r>
    </w:p>
    <w:p>
      <w:pPr>
        <w:spacing w:after="0" w:line="144" w:lineRule="exact"/>
        <w:rPr>
          <w:rFonts w:ascii="Arial" w:cs="Arial" w:eastAsia="Arial" w:hAnsi="Arial"/>
          <w:sz w:val="18"/>
          <w:szCs w:val="18"/>
          <w:color w:val="auto"/>
        </w:rPr>
      </w:pPr>
    </w:p>
    <w:p>
      <w:pPr>
        <w:ind w:left="840" w:hanging="386"/>
        <w:spacing w:after="0"/>
        <w:tabs>
          <w:tab w:leader="none" w:pos="840" w:val="left"/>
        </w:tabs>
        <w:numPr>
          <w:ilvl w:val="0"/>
          <w:numId w:val="3"/>
        </w:numPr>
        <w:rPr>
          <w:rFonts w:ascii="Arial" w:cs="Arial" w:eastAsia="Arial" w:hAnsi="Arial"/>
          <w:sz w:val="18"/>
          <w:szCs w:val="18"/>
          <w:color w:val="auto"/>
        </w:rPr>
      </w:pPr>
      <w:r>
        <w:rPr>
          <w:rFonts w:ascii="Arial" w:cs="Arial" w:eastAsia="Arial" w:hAnsi="Arial"/>
          <w:sz w:val="18"/>
          <w:szCs w:val="18"/>
          <w:color w:val="auto"/>
        </w:rPr>
        <w:t>Shared power to vote or direct vote: -0-</w:t>
      </w:r>
    </w:p>
    <w:p>
      <w:pPr>
        <w:spacing w:after="0" w:line="144" w:lineRule="exact"/>
        <w:rPr>
          <w:rFonts w:ascii="Arial" w:cs="Arial" w:eastAsia="Arial" w:hAnsi="Arial"/>
          <w:sz w:val="18"/>
          <w:szCs w:val="18"/>
          <w:color w:val="auto"/>
        </w:rPr>
      </w:pPr>
    </w:p>
    <w:p>
      <w:pPr>
        <w:ind w:left="840" w:hanging="386"/>
        <w:spacing w:after="0"/>
        <w:tabs>
          <w:tab w:leader="none" w:pos="840" w:val="left"/>
        </w:tabs>
        <w:numPr>
          <w:ilvl w:val="0"/>
          <w:numId w:val="3"/>
        </w:numPr>
        <w:rPr>
          <w:rFonts w:ascii="Arial" w:cs="Arial" w:eastAsia="Arial" w:hAnsi="Arial"/>
          <w:sz w:val="18"/>
          <w:szCs w:val="18"/>
          <w:color w:val="auto"/>
        </w:rPr>
      </w:pPr>
      <w:r>
        <w:rPr>
          <w:rFonts w:ascii="Arial" w:cs="Arial" w:eastAsia="Arial" w:hAnsi="Arial"/>
          <w:sz w:val="18"/>
          <w:szCs w:val="18"/>
          <w:color w:val="auto"/>
        </w:rPr>
        <w:t>Sole power to dispose or direct the disposition: 764,426</w:t>
      </w:r>
    </w:p>
    <w:p>
      <w:pPr>
        <w:spacing w:after="0" w:line="144" w:lineRule="exact"/>
        <w:rPr>
          <w:rFonts w:ascii="Arial" w:cs="Arial" w:eastAsia="Arial" w:hAnsi="Arial"/>
          <w:sz w:val="18"/>
          <w:szCs w:val="18"/>
          <w:color w:val="auto"/>
        </w:rPr>
      </w:pPr>
    </w:p>
    <w:p>
      <w:pPr>
        <w:ind w:left="840" w:hanging="386"/>
        <w:spacing w:after="0"/>
        <w:tabs>
          <w:tab w:leader="none" w:pos="840" w:val="left"/>
        </w:tabs>
        <w:numPr>
          <w:ilvl w:val="0"/>
          <w:numId w:val="3"/>
        </w:numPr>
        <w:rPr>
          <w:rFonts w:ascii="Arial" w:cs="Arial" w:eastAsia="Arial" w:hAnsi="Arial"/>
          <w:sz w:val="18"/>
          <w:szCs w:val="18"/>
          <w:color w:val="auto"/>
        </w:rPr>
      </w:pPr>
      <w:r>
        <w:rPr>
          <w:rFonts w:ascii="Arial" w:cs="Arial" w:eastAsia="Arial" w:hAnsi="Arial"/>
          <w:sz w:val="18"/>
          <w:szCs w:val="18"/>
          <w:color w:val="auto"/>
        </w:rPr>
        <w:t>Shared power to vote or direct vote: -0-</w:t>
      </w:r>
    </w:p>
    <w:p>
      <w:pPr>
        <w:spacing w:after="0" w:line="14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Ronald Fenech -</w:t>
      </w:r>
    </w:p>
    <w:p>
      <w:pPr>
        <w:spacing w:after="0" w:line="144" w:lineRule="exact"/>
        <w:rPr>
          <w:sz w:val="20"/>
          <w:szCs w:val="20"/>
          <w:color w:val="auto"/>
        </w:rPr>
      </w:pPr>
    </w:p>
    <w:p>
      <w:pPr>
        <w:ind w:left="840" w:hanging="386"/>
        <w:spacing w:after="0"/>
        <w:tabs>
          <w:tab w:leader="none" w:pos="840" w:val="left"/>
        </w:tabs>
        <w:numPr>
          <w:ilvl w:val="0"/>
          <w:numId w:val="4"/>
        </w:numPr>
        <w:rPr>
          <w:rFonts w:ascii="Arial" w:cs="Arial" w:eastAsia="Arial" w:hAnsi="Arial"/>
          <w:sz w:val="18"/>
          <w:szCs w:val="18"/>
          <w:color w:val="auto"/>
        </w:rPr>
      </w:pPr>
      <w:r>
        <w:rPr>
          <w:rFonts w:ascii="Arial" w:cs="Arial" w:eastAsia="Arial" w:hAnsi="Arial"/>
          <w:sz w:val="18"/>
          <w:szCs w:val="18"/>
          <w:color w:val="auto"/>
        </w:rPr>
        <w:t>Sole power to vote or direct vote: 764,426</w:t>
      </w:r>
    </w:p>
    <w:p>
      <w:pPr>
        <w:spacing w:after="0" w:line="144" w:lineRule="exact"/>
        <w:rPr>
          <w:rFonts w:ascii="Arial" w:cs="Arial" w:eastAsia="Arial" w:hAnsi="Arial"/>
          <w:sz w:val="18"/>
          <w:szCs w:val="18"/>
          <w:color w:val="auto"/>
        </w:rPr>
      </w:pPr>
    </w:p>
    <w:p>
      <w:pPr>
        <w:ind w:left="840" w:hanging="386"/>
        <w:spacing w:after="0"/>
        <w:tabs>
          <w:tab w:leader="none" w:pos="840" w:val="left"/>
        </w:tabs>
        <w:numPr>
          <w:ilvl w:val="0"/>
          <w:numId w:val="4"/>
        </w:numPr>
        <w:rPr>
          <w:rFonts w:ascii="Arial" w:cs="Arial" w:eastAsia="Arial" w:hAnsi="Arial"/>
          <w:sz w:val="18"/>
          <w:szCs w:val="18"/>
          <w:color w:val="auto"/>
        </w:rPr>
      </w:pPr>
      <w:r>
        <w:rPr>
          <w:rFonts w:ascii="Arial" w:cs="Arial" w:eastAsia="Arial" w:hAnsi="Arial"/>
          <w:sz w:val="18"/>
          <w:szCs w:val="18"/>
          <w:color w:val="auto"/>
        </w:rPr>
        <w:t>Shared power to vote or direct vote: -0-</w:t>
      </w:r>
    </w:p>
    <w:p>
      <w:pPr>
        <w:spacing w:after="0" w:line="144" w:lineRule="exact"/>
        <w:rPr>
          <w:rFonts w:ascii="Arial" w:cs="Arial" w:eastAsia="Arial" w:hAnsi="Arial"/>
          <w:sz w:val="18"/>
          <w:szCs w:val="18"/>
          <w:color w:val="auto"/>
        </w:rPr>
      </w:pPr>
    </w:p>
    <w:p>
      <w:pPr>
        <w:ind w:left="840" w:hanging="386"/>
        <w:spacing w:after="0"/>
        <w:tabs>
          <w:tab w:leader="none" w:pos="840" w:val="left"/>
        </w:tabs>
        <w:numPr>
          <w:ilvl w:val="0"/>
          <w:numId w:val="4"/>
        </w:numPr>
        <w:rPr>
          <w:rFonts w:ascii="Arial" w:cs="Arial" w:eastAsia="Arial" w:hAnsi="Arial"/>
          <w:sz w:val="18"/>
          <w:szCs w:val="18"/>
          <w:color w:val="auto"/>
        </w:rPr>
      </w:pPr>
      <w:r>
        <w:rPr>
          <w:rFonts w:ascii="Arial" w:cs="Arial" w:eastAsia="Arial" w:hAnsi="Arial"/>
          <w:sz w:val="18"/>
          <w:szCs w:val="18"/>
          <w:color w:val="auto"/>
        </w:rPr>
        <w:t>Sole power to dispose or direct the disposition: 764,426</w:t>
      </w:r>
    </w:p>
    <w:p>
      <w:pPr>
        <w:spacing w:after="0" w:line="144" w:lineRule="exact"/>
        <w:rPr>
          <w:rFonts w:ascii="Arial" w:cs="Arial" w:eastAsia="Arial" w:hAnsi="Arial"/>
          <w:sz w:val="18"/>
          <w:szCs w:val="18"/>
          <w:color w:val="auto"/>
        </w:rPr>
      </w:pPr>
    </w:p>
    <w:p>
      <w:pPr>
        <w:ind w:left="840" w:hanging="386"/>
        <w:spacing w:after="0"/>
        <w:tabs>
          <w:tab w:leader="none" w:pos="840" w:val="left"/>
        </w:tabs>
        <w:numPr>
          <w:ilvl w:val="0"/>
          <w:numId w:val="4"/>
        </w:numPr>
        <w:rPr>
          <w:rFonts w:ascii="Arial" w:cs="Arial" w:eastAsia="Arial" w:hAnsi="Arial"/>
          <w:sz w:val="18"/>
          <w:szCs w:val="18"/>
          <w:color w:val="auto"/>
        </w:rPr>
      </w:pPr>
      <w:r>
        <w:rPr>
          <w:rFonts w:ascii="Arial" w:cs="Arial" w:eastAsia="Arial" w:hAnsi="Arial"/>
          <w:sz w:val="18"/>
          <w:szCs w:val="18"/>
          <w:color w:val="auto"/>
        </w:rPr>
        <w:t>Shared power to vote or direct vote: -0-</w:t>
      </w:r>
    </w:p>
    <w:p>
      <w:pPr>
        <w:spacing w:after="0" w:line="14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Donald Clark -</w:t>
      </w:r>
    </w:p>
    <w:p>
      <w:pPr>
        <w:spacing w:after="0" w:line="144" w:lineRule="exact"/>
        <w:rPr>
          <w:sz w:val="20"/>
          <w:szCs w:val="20"/>
          <w:color w:val="auto"/>
        </w:rPr>
      </w:pPr>
    </w:p>
    <w:p>
      <w:pPr>
        <w:ind w:left="840" w:hanging="386"/>
        <w:spacing w:after="0"/>
        <w:tabs>
          <w:tab w:leader="none" w:pos="840" w:val="left"/>
        </w:tabs>
        <w:numPr>
          <w:ilvl w:val="1"/>
          <w:numId w:val="5"/>
        </w:numPr>
        <w:rPr>
          <w:rFonts w:ascii="Arial" w:cs="Arial" w:eastAsia="Arial" w:hAnsi="Arial"/>
          <w:sz w:val="18"/>
          <w:szCs w:val="18"/>
          <w:color w:val="auto"/>
        </w:rPr>
      </w:pPr>
      <w:r>
        <w:rPr>
          <w:rFonts w:ascii="Arial" w:cs="Arial" w:eastAsia="Arial" w:hAnsi="Arial"/>
          <w:sz w:val="18"/>
          <w:szCs w:val="18"/>
          <w:color w:val="auto"/>
        </w:rPr>
        <w:t>Sole power to vote or direct vote: 764,426</w:t>
      </w:r>
    </w:p>
    <w:p>
      <w:pPr>
        <w:spacing w:after="0" w:line="144" w:lineRule="exact"/>
        <w:rPr>
          <w:rFonts w:ascii="Arial" w:cs="Arial" w:eastAsia="Arial" w:hAnsi="Arial"/>
          <w:sz w:val="18"/>
          <w:szCs w:val="18"/>
          <w:color w:val="auto"/>
        </w:rPr>
      </w:pPr>
    </w:p>
    <w:p>
      <w:pPr>
        <w:ind w:left="840" w:hanging="386"/>
        <w:spacing w:after="0"/>
        <w:tabs>
          <w:tab w:leader="none" w:pos="840" w:val="left"/>
        </w:tabs>
        <w:numPr>
          <w:ilvl w:val="1"/>
          <w:numId w:val="5"/>
        </w:numPr>
        <w:rPr>
          <w:rFonts w:ascii="Arial" w:cs="Arial" w:eastAsia="Arial" w:hAnsi="Arial"/>
          <w:sz w:val="18"/>
          <w:szCs w:val="18"/>
          <w:color w:val="auto"/>
        </w:rPr>
      </w:pPr>
      <w:r>
        <w:rPr>
          <w:rFonts w:ascii="Arial" w:cs="Arial" w:eastAsia="Arial" w:hAnsi="Arial"/>
          <w:sz w:val="18"/>
          <w:szCs w:val="18"/>
          <w:color w:val="auto"/>
        </w:rPr>
        <w:t>Shared power to vote or direct vote: -0-</w:t>
      </w:r>
    </w:p>
    <w:p>
      <w:pPr>
        <w:spacing w:after="0" w:line="144" w:lineRule="exact"/>
        <w:rPr>
          <w:rFonts w:ascii="Arial" w:cs="Arial" w:eastAsia="Arial" w:hAnsi="Arial"/>
          <w:sz w:val="18"/>
          <w:szCs w:val="18"/>
          <w:color w:val="auto"/>
        </w:rPr>
      </w:pPr>
    </w:p>
    <w:p>
      <w:pPr>
        <w:ind w:left="840" w:hanging="386"/>
        <w:spacing w:after="0"/>
        <w:tabs>
          <w:tab w:leader="none" w:pos="840" w:val="left"/>
        </w:tabs>
        <w:numPr>
          <w:ilvl w:val="1"/>
          <w:numId w:val="5"/>
        </w:numPr>
        <w:rPr>
          <w:rFonts w:ascii="Arial" w:cs="Arial" w:eastAsia="Arial" w:hAnsi="Arial"/>
          <w:sz w:val="18"/>
          <w:szCs w:val="18"/>
          <w:color w:val="auto"/>
        </w:rPr>
      </w:pPr>
      <w:r>
        <w:rPr>
          <w:rFonts w:ascii="Arial" w:cs="Arial" w:eastAsia="Arial" w:hAnsi="Arial"/>
          <w:sz w:val="18"/>
          <w:szCs w:val="18"/>
          <w:color w:val="auto"/>
        </w:rPr>
        <w:t>Sole power to dispose or direct the disposition: 764,426</w:t>
      </w:r>
    </w:p>
    <w:p>
      <w:pPr>
        <w:spacing w:after="0" w:line="144" w:lineRule="exact"/>
        <w:rPr>
          <w:rFonts w:ascii="Arial" w:cs="Arial" w:eastAsia="Arial" w:hAnsi="Arial"/>
          <w:sz w:val="18"/>
          <w:szCs w:val="18"/>
          <w:color w:val="auto"/>
        </w:rPr>
      </w:pPr>
    </w:p>
    <w:p>
      <w:pPr>
        <w:ind w:left="840" w:hanging="386"/>
        <w:spacing w:after="0"/>
        <w:tabs>
          <w:tab w:leader="none" w:pos="840" w:val="left"/>
        </w:tabs>
        <w:numPr>
          <w:ilvl w:val="1"/>
          <w:numId w:val="5"/>
        </w:numPr>
        <w:rPr>
          <w:rFonts w:ascii="Arial" w:cs="Arial" w:eastAsia="Arial" w:hAnsi="Arial"/>
          <w:sz w:val="18"/>
          <w:szCs w:val="18"/>
          <w:color w:val="auto"/>
        </w:rPr>
      </w:pPr>
      <w:r>
        <w:rPr>
          <w:rFonts w:ascii="Arial" w:cs="Arial" w:eastAsia="Arial" w:hAnsi="Arial"/>
          <w:sz w:val="18"/>
          <w:szCs w:val="18"/>
          <w:color w:val="auto"/>
        </w:rPr>
        <w:t>Shared power to vote or direct vote: -0-</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firstLine="332"/>
        <w:spacing w:after="0" w:line="371" w:lineRule="auto"/>
        <w:tabs>
          <w:tab w:leader="none" w:pos="848"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Except as set forth above in connection with the closing of the transactions under the Purchase Agreement, Mr. Fenech has not purchased, sold, or acquired any Shares of the Issuer during the 60 days prior to the filing of this Schedule 13D.</w:t>
      </w:r>
    </w:p>
    <w:p>
      <w:pPr>
        <w:spacing w:after="0" w:line="8" w:lineRule="exact"/>
        <w:rPr>
          <w:rFonts w:ascii="Arial" w:cs="Arial" w:eastAsia="Arial" w:hAnsi="Arial"/>
          <w:sz w:val="18"/>
          <w:szCs w:val="18"/>
          <w:b w:val="1"/>
          <w:bCs w:val="1"/>
          <w:color w:val="auto"/>
        </w:rPr>
      </w:pPr>
    </w:p>
    <w:p>
      <w:pPr>
        <w:ind w:right="20" w:firstLine="332"/>
        <w:spacing w:after="0" w:line="309" w:lineRule="auto"/>
        <w:tabs>
          <w:tab w:leader="none" w:pos="652"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No other person is known by Mr. Fenech to have the right to receive or the power to direct the receipt of dividends from, or the proceeds from the sale of, the shares reported by Mr. Fenech in this Schedule 13D.</w:t>
      </w:r>
    </w:p>
    <w:p>
      <w:pPr>
        <w:spacing w:after="0" w:line="61" w:lineRule="exact"/>
        <w:rPr>
          <w:rFonts w:ascii="Arial" w:cs="Arial" w:eastAsia="Arial" w:hAnsi="Arial"/>
          <w:sz w:val="18"/>
          <w:szCs w:val="18"/>
          <w:b w:val="1"/>
          <w:bCs w:val="1"/>
          <w:color w:val="auto"/>
        </w:rPr>
      </w:pPr>
    </w:p>
    <w:p>
      <w:pPr>
        <w:ind w:left="620" w:hanging="288"/>
        <w:spacing w:after="0"/>
        <w:tabs>
          <w:tab w:leader="none" w:pos="620"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Item 6. Contracts, Arrangements, Understandings or Relationships With Respect to Securities of the Issuer.</w:t>
      </w:r>
    </w:p>
    <w:p>
      <w:pPr>
        <w:spacing w:after="0" w:line="14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disclosures in Items 3 and 4 are incorporated by reference herein.</w:t>
      </w:r>
    </w:p>
    <w:p>
      <w:pPr>
        <w:spacing w:after="0" w:line="144" w:lineRule="exact"/>
        <w:rPr>
          <w:sz w:val="20"/>
          <w:szCs w:val="20"/>
          <w:color w:val="auto"/>
        </w:rPr>
      </w:pPr>
    </w:p>
    <w:p>
      <w:pPr>
        <w:ind w:firstLine="324"/>
        <w:spacing w:after="0" w:line="377" w:lineRule="auto"/>
        <w:rPr>
          <w:sz w:val="20"/>
          <w:szCs w:val="20"/>
          <w:color w:val="auto"/>
        </w:rPr>
      </w:pPr>
      <w:r>
        <w:rPr>
          <w:rFonts w:ascii="Arial" w:cs="Arial" w:eastAsia="Arial" w:hAnsi="Arial"/>
          <w:sz w:val="16"/>
          <w:szCs w:val="16"/>
          <w:color w:val="auto"/>
        </w:rPr>
        <w:t>The Purchase Agreement, the Non-competition Agreement, the Registration Rights Agreement, the Standstill Agreement, the Lock Up Agreement, and William Fenech’s Consulting Agreement are filed as Exhibits A through F, respectively, to this Schedule 13D and are incorporated by reference herein.</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Material to be Filed as Exhibits.</w:t>
      </w:r>
    </w:p>
    <w:p>
      <w:pPr>
        <w:spacing w:after="0" w:line="200" w:lineRule="exact"/>
        <w:rPr>
          <w:sz w:val="20"/>
          <w:szCs w:val="20"/>
          <w:color w:val="auto"/>
        </w:rPr>
      </w:pPr>
    </w:p>
    <w:p>
      <w:pPr>
        <w:spacing w:after="0" w:line="286" w:lineRule="exact"/>
        <w:rPr>
          <w:sz w:val="20"/>
          <w:szCs w:val="20"/>
          <w:color w:val="auto"/>
        </w:rPr>
      </w:pPr>
    </w:p>
    <w:p>
      <w:pPr>
        <w:ind w:left="660" w:right="80" w:hanging="328"/>
        <w:spacing w:after="0" w:line="254" w:lineRule="auto"/>
        <w:tabs>
          <w:tab w:leader="none" w:pos="660" w:val="left"/>
        </w:tabs>
        <w:numPr>
          <w:ilvl w:val="1"/>
          <w:numId w:val="7"/>
        </w:numPr>
        <w:rPr>
          <w:rFonts w:ascii="Arial" w:cs="Arial" w:eastAsia="Arial" w:hAnsi="Arial"/>
          <w:sz w:val="18"/>
          <w:szCs w:val="18"/>
          <w:color w:val="auto"/>
        </w:rPr>
      </w:pPr>
      <w:r>
        <w:rPr>
          <w:rFonts w:ascii="Arial" w:cs="Arial" w:eastAsia="Arial" w:hAnsi="Arial"/>
          <w:sz w:val="18"/>
          <w:szCs w:val="18"/>
          <w:color w:val="auto"/>
        </w:rPr>
        <w:t>Securities Purchase Agreement dated as of October 2, 2016 by and among, Grand Design RV, LLC, Octavius Corporation, Winnebago Industries, Inc. Summit Partners Growth Equity Fund VIII-A, L.P., Summit Partners Growth Equity Fund VIII-B, L.P., Summit Partners Entrepreneur Advisors Fund I, L.P., Summit Investors I, LLC, Summit Investors I (UK), L.P., SP GE VIII-B GD RV Holdings, L.P., RDB III, Inc., and each of the shareholders of RDB III, Inc.** Exhibit 2.1</w:t>
      </w:r>
    </w:p>
    <w:p>
      <w:pPr>
        <w:spacing w:after="0" w:line="2" w:lineRule="exact"/>
        <w:rPr>
          <w:rFonts w:ascii="Arial" w:cs="Arial" w:eastAsia="Arial" w:hAnsi="Arial"/>
          <w:sz w:val="18"/>
          <w:szCs w:val="18"/>
          <w:color w:val="auto"/>
        </w:rPr>
      </w:pPr>
    </w:p>
    <w:p>
      <w:pPr>
        <w:ind w:left="660" w:right="200" w:hanging="328"/>
        <w:spacing w:after="0" w:line="250" w:lineRule="auto"/>
        <w:tabs>
          <w:tab w:leader="none" w:pos="660" w:val="left"/>
        </w:tabs>
        <w:numPr>
          <w:ilvl w:val="1"/>
          <w:numId w:val="7"/>
        </w:numPr>
        <w:rPr>
          <w:rFonts w:ascii="Arial" w:cs="Arial" w:eastAsia="Arial" w:hAnsi="Arial"/>
          <w:sz w:val="18"/>
          <w:szCs w:val="18"/>
          <w:color w:val="auto"/>
        </w:rPr>
      </w:pPr>
      <w:r>
        <w:rPr>
          <w:rFonts w:ascii="Arial" w:cs="Arial" w:eastAsia="Arial" w:hAnsi="Arial"/>
          <w:sz w:val="18"/>
          <w:szCs w:val="18"/>
          <w:color w:val="auto"/>
        </w:rPr>
        <w:t>Non-competition, Non-solicitation and Confidentiality Agreement by and among Octavius Corporation, Winnebago Industries, Inc., Grand Design RV, LLC, RDB III, Inc., William Fenech, Ronald Fenech, and Donald Clark dated October 2, 2016. .** Exhibit 10.1</w:t>
      </w:r>
    </w:p>
    <w:p>
      <w:pPr>
        <w:ind w:left="660" w:right="400" w:hanging="328"/>
        <w:spacing w:after="0" w:line="250" w:lineRule="auto"/>
        <w:tabs>
          <w:tab w:leader="none" w:pos="660" w:val="left"/>
        </w:tabs>
        <w:numPr>
          <w:ilvl w:val="1"/>
          <w:numId w:val="7"/>
        </w:numPr>
        <w:rPr>
          <w:rFonts w:ascii="Arial" w:cs="Arial" w:eastAsia="Arial" w:hAnsi="Arial"/>
          <w:sz w:val="18"/>
          <w:szCs w:val="18"/>
          <w:color w:val="auto"/>
        </w:rPr>
      </w:pPr>
      <w:r>
        <w:rPr>
          <w:rFonts w:ascii="Arial" w:cs="Arial" w:eastAsia="Arial" w:hAnsi="Arial"/>
          <w:sz w:val="18"/>
          <w:szCs w:val="18"/>
          <w:color w:val="auto"/>
        </w:rPr>
        <w:t>Registration Rights Agreement by and between Winnebago Industries, Inc. and the Shareholder Parties (including Mr. Fenech) dated October 2, 2016.** Exhibit 10.3</w:t>
      </w:r>
    </w:p>
    <w:p>
      <w:pPr>
        <w:ind w:left="660" w:right="200" w:hanging="328"/>
        <w:spacing w:after="0" w:line="250" w:lineRule="auto"/>
        <w:tabs>
          <w:tab w:leader="none" w:pos="660" w:val="left"/>
        </w:tabs>
        <w:numPr>
          <w:ilvl w:val="1"/>
          <w:numId w:val="7"/>
        </w:numPr>
        <w:rPr>
          <w:rFonts w:ascii="Arial" w:cs="Arial" w:eastAsia="Arial" w:hAnsi="Arial"/>
          <w:sz w:val="18"/>
          <w:szCs w:val="18"/>
          <w:color w:val="auto"/>
        </w:rPr>
      </w:pPr>
      <w:r>
        <w:rPr>
          <w:rFonts w:ascii="Arial" w:cs="Arial" w:eastAsia="Arial" w:hAnsi="Arial"/>
          <w:sz w:val="18"/>
          <w:szCs w:val="18"/>
          <w:color w:val="auto"/>
        </w:rPr>
        <w:t>Standstill Agreement dated as of October 2, 2016 by and among William Fenech, Ronald Fenech, Donald Clark, and Winnebago Industries, Inc.** Exhibit 10.5</w:t>
      </w:r>
    </w:p>
    <w:p>
      <w:pPr>
        <w:ind w:left="660" w:right="80" w:hanging="328"/>
        <w:spacing w:after="0" w:line="250" w:lineRule="auto"/>
        <w:tabs>
          <w:tab w:leader="none" w:pos="660" w:val="left"/>
        </w:tabs>
        <w:numPr>
          <w:ilvl w:val="1"/>
          <w:numId w:val="7"/>
        </w:numPr>
        <w:rPr>
          <w:rFonts w:ascii="Arial" w:cs="Arial" w:eastAsia="Arial" w:hAnsi="Arial"/>
          <w:sz w:val="18"/>
          <w:szCs w:val="18"/>
          <w:color w:val="auto"/>
        </w:rPr>
      </w:pPr>
      <w:r>
        <w:rPr>
          <w:rFonts w:ascii="Arial" w:cs="Arial" w:eastAsia="Arial" w:hAnsi="Arial"/>
          <w:sz w:val="18"/>
          <w:szCs w:val="18"/>
          <w:color w:val="auto"/>
        </w:rPr>
        <w:t>Lock-up Letter Agreement to Winnebago Industries, Inc. from William Fenech, Ronald Fenech, and Donald Clark dated October 2, 2016.** Exhibit 10.6</w:t>
      </w:r>
    </w:p>
    <w:p>
      <w:pPr>
        <w:ind w:left="660" w:hanging="328"/>
        <w:spacing w:after="0"/>
        <w:tabs>
          <w:tab w:leader="none" w:pos="660" w:val="left"/>
        </w:tabs>
        <w:numPr>
          <w:ilvl w:val="1"/>
          <w:numId w:val="7"/>
        </w:numPr>
        <w:rPr>
          <w:rFonts w:ascii="Arial" w:cs="Arial" w:eastAsia="Arial" w:hAnsi="Arial"/>
          <w:sz w:val="18"/>
          <w:szCs w:val="18"/>
          <w:color w:val="auto"/>
        </w:rPr>
      </w:pPr>
      <w:r>
        <w:rPr>
          <w:rFonts w:ascii="Arial" w:cs="Arial" w:eastAsia="Arial" w:hAnsi="Arial"/>
          <w:sz w:val="18"/>
          <w:szCs w:val="18"/>
          <w:color w:val="auto"/>
        </w:rPr>
        <w:t>Consulting Agreement by and between William Fenech and Winnebago Industries, Inc. dated as of October 2, 2016.** Exhibit 10.8</w:t>
      </w:r>
    </w:p>
    <w:p>
      <w:pPr>
        <w:spacing w:after="0" w:line="247" w:lineRule="exact"/>
        <w:rPr>
          <w:rFonts w:ascii="Arial" w:cs="Arial" w:eastAsia="Arial" w:hAnsi="Arial"/>
          <w:sz w:val="18"/>
          <w:szCs w:val="18"/>
          <w:color w:val="auto"/>
        </w:rPr>
      </w:pPr>
    </w:p>
    <w:p>
      <w:pPr>
        <w:ind w:right="340" w:firstLine="8"/>
        <w:spacing w:after="0" w:line="313" w:lineRule="auto"/>
        <w:tabs>
          <w:tab w:leader="none" w:pos="225" w:val="left"/>
        </w:tabs>
        <w:numPr>
          <w:ilvl w:val="0"/>
          <w:numId w:val="7"/>
        </w:numPr>
        <w:rPr>
          <w:rFonts w:ascii="Arial" w:cs="Arial" w:eastAsia="Arial" w:hAnsi="Arial"/>
          <w:sz w:val="18"/>
          <w:szCs w:val="18"/>
          <w:color w:val="auto"/>
        </w:rPr>
      </w:pPr>
      <w:r>
        <w:rPr>
          <w:rFonts w:ascii="Arial" w:cs="Arial" w:eastAsia="Arial" w:hAnsi="Arial"/>
          <w:sz w:val="18"/>
          <w:szCs w:val="18"/>
          <w:b w:val="1"/>
          <w:bCs w:val="1"/>
          <w:color w:val="auto"/>
        </w:rPr>
        <w:t>Incorporated by reference to the exhibit bearing the indicated exhibit number in Winnebago’s Current Report on Form 8-K dated October 4, 2016 filed with the Securities and Exchange Commission October 5,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234950</wp:posOffset>
            </wp:positionV>
            <wp:extent cx="72466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94" w:right="2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SIGNATURE</w:t>
      </w:r>
    </w:p>
    <w:p>
      <w:pPr>
        <w:spacing w:after="0" w:line="13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318" w:lineRule="exact"/>
        <w:rPr>
          <w:sz w:val="20"/>
          <w:szCs w:val="20"/>
          <w:color w:val="auto"/>
        </w:rPr>
      </w:pPr>
    </w:p>
    <w:p>
      <w:pPr>
        <w:spacing w:after="0"/>
        <w:tabs>
          <w:tab w:leader="none" w:pos="6700" w:val="left"/>
        </w:tabs>
        <w:rPr>
          <w:sz w:val="20"/>
          <w:szCs w:val="20"/>
          <w:color w:val="auto"/>
        </w:rPr>
      </w:pPr>
      <w:r>
        <w:rPr>
          <w:rFonts w:ascii="Arial" w:cs="Arial" w:eastAsia="Arial" w:hAnsi="Arial"/>
          <w:sz w:val="18"/>
          <w:szCs w:val="18"/>
          <w:color w:val="auto"/>
        </w:rPr>
        <w:t>Date: November 17, 2016</w:t>
      </w:r>
      <w:r>
        <w:rPr>
          <w:sz w:val="20"/>
          <w:szCs w:val="20"/>
          <w:color w:val="auto"/>
        </w:rPr>
        <w:tab/>
      </w:r>
      <w:r>
        <w:rPr>
          <w:rFonts w:ascii="Arial" w:cs="Arial" w:eastAsia="Arial" w:hAnsi="Arial"/>
          <w:sz w:val="16"/>
          <w:szCs w:val="16"/>
          <w:color w:val="auto"/>
        </w:rPr>
        <w:t>/s/ William C. Fenech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4267200</wp:posOffset>
            </wp:positionH>
            <wp:positionV relativeFrom="paragraph">
              <wp:posOffset>23495</wp:posOffset>
            </wp:positionV>
            <wp:extent cx="298450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984500" cy="17145"/>
                    </a:xfrm>
                    <a:prstGeom prst="rect">
                      <a:avLst/>
                    </a:prstGeom>
                    <a:noFill/>
                  </pic:spPr>
                </pic:pic>
              </a:graphicData>
            </a:graphic>
          </wp:anchor>
        </w:drawing>
      </w:r>
    </w:p>
    <w:p>
      <w:pPr>
        <w:spacing w:after="0" w:line="151" w:lineRule="exact"/>
        <w:rPr>
          <w:sz w:val="20"/>
          <w:szCs w:val="20"/>
          <w:color w:val="auto"/>
        </w:rPr>
      </w:pPr>
    </w:p>
    <w:p>
      <w:pPr>
        <w:ind w:left="6720"/>
        <w:spacing w:after="0"/>
        <w:rPr>
          <w:sz w:val="20"/>
          <w:szCs w:val="20"/>
          <w:color w:val="auto"/>
        </w:rPr>
      </w:pPr>
      <w:r>
        <w:rPr>
          <w:rFonts w:ascii="Arial" w:cs="Arial" w:eastAsia="Arial" w:hAnsi="Arial"/>
          <w:sz w:val="18"/>
          <w:szCs w:val="18"/>
          <w:color w:val="auto"/>
        </w:rPr>
        <w:t>William C. Fenech</w:t>
      </w:r>
    </w:p>
    <w:sectPr>
      <w:pgSz w:w="11900" w:h="16838" w:orient="portrait"/>
      <w:cols w:equalWidth="0" w:num="1">
        <w:col w:w="11380"/>
      </w:cols>
      <w:pgMar w:left="240" w:top="121" w:right="2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5558EC"/>
    <w:multiLevelType w:val="hybridMultilevel"/>
    <w:lvl w:ilvl="0">
      <w:lvlJc w:val="left"/>
      <w:lvlText w:val="(%1)"/>
      <w:numFmt w:val="lowerLetter"/>
      <w:start w:val="1"/>
    </w:lvl>
  </w:abstractNum>
  <w:abstractNum w:abstractNumId="1">
    <w:nsid w:val="238E1F29"/>
    <w:multiLevelType w:val="hybridMultilevel"/>
    <w:lvl w:ilvl="0">
      <w:lvlJc w:val="left"/>
      <w:lvlText w:val="(%1)"/>
      <w:numFmt w:val="lowerLetter"/>
      <w:start w:val="6"/>
    </w:lvl>
  </w:abstractNum>
  <w:abstractNum w:abstractNumId="2">
    <w:nsid w:val="46E87CCD"/>
    <w:multiLevelType w:val="hybridMultilevel"/>
    <w:lvl w:ilvl="0">
      <w:lvlJc w:val="left"/>
      <w:lvlText w:val="(%1)"/>
      <w:numFmt w:val="decimal"/>
      <w:start w:val="1"/>
    </w:lvl>
  </w:abstractNum>
  <w:abstractNum w:abstractNumId="3">
    <w:nsid w:val="3D1B58BA"/>
    <w:multiLevelType w:val="hybridMultilevel"/>
    <w:lvl w:ilvl="0">
      <w:lvlJc w:val="left"/>
      <w:lvlText w:val="(%1)"/>
      <w:numFmt w:val="decimal"/>
      <w:start w:val="1"/>
    </w:lvl>
  </w:abstractNum>
  <w:abstractNum w:abstractNumId="4">
    <w:nsid w:val="507ED7AB"/>
    <w:multiLevelType w:val="hybridMultilevel"/>
    <w:lvl w:ilvl="0">
      <w:lvlJc w:val="left"/>
      <w:lvlText w:val="%1"/>
      <w:numFmt w:val="lowerLetter"/>
      <w:start w:val="1"/>
    </w:lvl>
    <w:lvl w:ilvl="1">
      <w:lvlJc w:val="left"/>
      <w:lvlText w:val="(%2)"/>
      <w:numFmt w:val="decimal"/>
      <w:start w:val="1"/>
    </w:lvl>
  </w:abstractNum>
  <w:abstractNum w:abstractNumId="5">
    <w:nsid w:val="2EB141F2"/>
    <w:multiLevelType w:val="hybridMultilevel"/>
    <w:lvl w:ilvl="0">
      <w:lvlJc w:val="left"/>
      <w:lvlText w:val="(%1)"/>
      <w:numFmt w:val="lowerLetter"/>
      <w:start w:val="3"/>
    </w:lvl>
    <w:lvl w:ilvl="1">
      <w:lvlJc w:val="left"/>
      <w:lvlText w:val="%2"/>
      <w:numFmt w:val="decimal"/>
      <w:start w:val="1"/>
    </w:lvl>
  </w:abstractNum>
  <w:abstractNum w:abstractNumId="6">
    <w:nsid w:val="41B71EFB"/>
    <w:multiLevelType w:val="hybridMultilevel"/>
    <w:lvl w:ilvl="0">
      <w:lvlJc w:val="left"/>
      <w:lvlText w:val="**"/>
      <w:numFmt w:val="bullet"/>
      <w:start w:val="1"/>
    </w:lvl>
    <w:lvl w:ilvl="1">
      <w:lvlJc w:val="left"/>
      <w:lvlText w:val="%2."/>
      <w:numFmt w:val="upp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2019-12-05T12:59:49Z</dcterms:created>
  <dcterms:modified xsi:type="dcterms:W3CDTF">2019-12-05T12:59:49Z</dcterms:modified>
</cp:coreProperties>
</file>