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23"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44" w:lineRule="exact"/>
        <w:rPr>
          <w:sz w:val="24"/>
          <w:szCs w:val="24"/>
          <w:color w:val="auto"/>
        </w:rPr>
      </w:pPr>
    </w:p>
    <w:p>
      <w:pPr>
        <w:ind w:left="4760"/>
        <w:spacing w:after="0"/>
        <w:tabs>
          <w:tab w:leader="none" w:pos="658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476" w:right="259" w:bottom="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2">
            <w:col w:w="1620" w:space="280"/>
            <w:col w:w="9500"/>
          </w:cols>
          <w:pgMar w:left="240" w:top="476" w:right="259" w:bottom="0"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w:t>
      </w:r>
    </w:p>
    <w:p>
      <w:pPr>
        <w:spacing w:after="0" w:line="86" w:lineRule="exact"/>
        <w:rPr>
          <w:sz w:val="24"/>
          <w:szCs w:val="24"/>
          <w:color w:val="auto"/>
        </w:rPr>
      </w:pPr>
    </w:p>
    <w:p>
      <w:pPr>
        <w:sectPr>
          <w:pgSz w:w="11900" w:h="16838" w:orient="portrait"/>
          <w:cols w:equalWidth="0" w:num="2">
            <w:col w:w="2900" w:space="340"/>
            <w:col w:w="8160"/>
          </w:cols>
          <w:pgMar w:left="240" w:top="476" w:right="259" w:bottom="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400"/>
          </w:cols>
          <w:pgMar w:left="240" w:top="476" w:right="259" w:bottom="0" w:gutter="0" w:footer="0" w:header="0"/>
          <w:type w:val="continuous"/>
        </w:sectPr>
      </w:pPr>
    </w:p>
    <w:p>
      <w:pPr>
        <w:spacing w:after="0" w:line="98"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240.14a-12</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11430</wp:posOffset>
            </wp:positionV>
            <wp:extent cx="5480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170815</wp:posOffset>
            </wp:positionV>
            <wp:extent cx="5480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300" w:right="100" w:hanging="644"/>
        <w:spacing w:after="0" w:line="26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60" w:right="480" w:hanging="652"/>
        <w:spacing w:after="0" w:line="31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686435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1245870</wp:posOffset>
            </wp:positionV>
            <wp:extent cx="173228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Shareholders</w:t>
      </w:r>
    </w:p>
    <w:p>
      <w:pPr>
        <w:jc w:val="center"/>
        <w:ind w:right="-19"/>
        <w:spacing w:after="0"/>
        <w:rPr>
          <w:sz w:val="20"/>
          <w:szCs w:val="20"/>
          <w:color w:val="auto"/>
        </w:rPr>
      </w:pPr>
      <w:r>
        <w:rPr>
          <w:rFonts w:ascii="Arial" w:cs="Arial" w:eastAsia="Arial" w:hAnsi="Arial"/>
          <w:sz w:val="22"/>
          <w:szCs w:val="22"/>
          <w:b w:val="1"/>
          <w:bCs w:val="1"/>
          <w:color w:val="auto"/>
        </w:rPr>
        <w:t xml:space="preserve">to be held December </w:t>
      </w:r>
      <w:r>
        <w:rPr>
          <w:rFonts w:ascii="Arial" w:cs="Arial" w:eastAsia="Arial" w:hAnsi="Arial"/>
          <w:sz w:val="17"/>
          <w:szCs w:val="17"/>
          <w:b w:val="1"/>
          <w:bCs w:val="1"/>
          <w:color w:val="auto"/>
        </w:rPr>
        <w:t>15, 2009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15, 2009, at 4:00 p.m., Central Standard Time, in</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South Office Complex Theater, 605 West Crystal Lake Road, Forest City, Iowa, for the following purposes:</w:t>
      </w:r>
    </w:p>
    <w:p>
      <w:pPr>
        <w:sectPr>
          <w:pgSz w:w="11900" w:h="16838" w:orient="portrait"/>
          <w:cols w:equalWidth="0" w:num="1">
            <w:col w:w="11400"/>
          </w:cols>
          <w:pgMar w:left="240" w:top="476" w:right="259" w:bottom="0" w:gutter="0" w:footer="0" w:header="0"/>
          <w:type w:val="continuous"/>
        </w:sectPr>
      </w:pPr>
    </w:p>
    <w:bookmarkStart w:id="1" w:name="page2"/>
    <w:bookmarkEnd w:id="1"/>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 directors to hold office for three-year terms;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accountants for the fiscal year ending August 28, 2010; and</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58" w:lineRule="exact"/>
        <w:rPr>
          <w:sz w:val="20"/>
          <w:szCs w:val="20"/>
          <w:color w:val="auto"/>
        </w:rPr>
      </w:pPr>
    </w:p>
    <w:p>
      <w:pPr>
        <w:ind w:firstLine="458"/>
        <w:spacing w:after="0" w:line="268" w:lineRule="auto"/>
        <w:rPr>
          <w:sz w:val="20"/>
          <w:szCs w:val="20"/>
          <w:color w:val="auto"/>
        </w:rPr>
      </w:pPr>
      <w:r>
        <w:rPr>
          <w:rFonts w:ascii="Arial" w:cs="Arial" w:eastAsia="Arial" w:hAnsi="Arial"/>
          <w:sz w:val="18"/>
          <w:szCs w:val="18"/>
          <w:color w:val="auto"/>
        </w:rPr>
        <w:t>The Board of Directors of the Company has fixed the close of business on October 6, 2009, as the record date for the determination of shareholders entitled to notice of and to vote at this meeting and at any and all adjournments thereof.</w:t>
      </w:r>
    </w:p>
    <w:p>
      <w:pPr>
        <w:spacing w:after="0" w:line="7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1543685"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17" w:lineRule="exact"/>
        <w:rPr>
          <w:sz w:val="20"/>
          <w:szCs w:val="20"/>
          <w:color w:val="auto"/>
        </w:rPr>
      </w:pPr>
    </w:p>
    <w:p>
      <w:pPr>
        <w:ind w:right="20" w:firstLine="458"/>
        <w:spacing w:after="0" w:line="339" w:lineRule="auto"/>
        <w:rPr>
          <w:sz w:val="20"/>
          <w:szCs w:val="20"/>
          <w:color w:val="auto"/>
        </w:rPr>
      </w:pPr>
      <w:r>
        <w:rPr>
          <w:rFonts w:ascii="Arial" w:cs="Arial" w:eastAsia="Arial" w:hAnsi="Arial"/>
          <w:sz w:val="16"/>
          <w:szCs w:val="16"/>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94"/>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FORWARD-LOOKING INFORMATION</w:t>
              </w:r>
            </w:hyperlink>
          </w:p>
        </w:tc>
        <w:tc>
          <w:tcPr>
            <w:tcW w:w="208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r>
      <w:tr>
        <w:trPr>
          <w:trHeight w:val="345"/>
        </w:trPr>
        <w:tc>
          <w:tcPr>
            <w:tcW w:w="16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PROXY STATEMENT</w:t>
              </w:r>
            </w:hyperlink>
          </w:p>
        </w:tc>
        <w:tc>
          <w:tcPr>
            <w:tcW w:w="1300" w:type="dxa"/>
            <w:vAlign w:val="bottom"/>
            <w:tcBorders>
              <w:top w:val="single" w:sz="8" w:color="0000EE"/>
            </w:tcBorders>
            <w:gridSpan w:val="4"/>
          </w:tcPr>
          <w:p>
            <w:pPr>
              <w:spacing w:after="0"/>
              <w:rPr>
                <w:sz w:val="24"/>
                <w:szCs w:val="24"/>
                <w:color w:val="auto"/>
              </w:rPr>
            </w:pPr>
          </w:p>
        </w:tc>
        <w:tc>
          <w:tcPr>
            <w:tcW w:w="5780" w:type="dxa"/>
            <w:vAlign w:val="bottom"/>
            <w:gridSpan w:val="13"/>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VOTING SECURITIES AND PRINCIPAL HOLDERS THEREOF</w:t>
              </w:r>
            </w:hyperlink>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r>
      <w:tr>
        <w:trPr>
          <w:trHeight w:val="345"/>
        </w:trPr>
        <w:tc>
          <w:tcPr>
            <w:tcW w:w="2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ITEM 1 ELECTION OF DIRECTORS</w:t>
              </w:r>
            </w:hyperlink>
          </w:p>
        </w:tc>
        <w:tc>
          <w:tcPr>
            <w:tcW w:w="2000" w:type="dxa"/>
            <w:vAlign w:val="bottom"/>
            <w:tcBorders>
              <w:top w:val="single" w:sz="8" w:color="0000EE"/>
            </w:tcBorders>
            <w:gridSpan w:val="7"/>
          </w:tcPr>
          <w:p>
            <w:pPr>
              <w:spacing w:after="0"/>
              <w:rPr>
                <w:sz w:val="24"/>
                <w:szCs w:val="24"/>
                <w:color w:val="auto"/>
              </w:rPr>
            </w:pPr>
          </w:p>
        </w:tc>
        <w:tc>
          <w:tcPr>
            <w:tcW w:w="3980" w:type="dxa"/>
            <w:vAlign w:val="bottom"/>
            <w:gridSpan w:val="7"/>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BOARD OF DIRECTORS, COMMITTEES OF THE BOARD AND CORPORATE</w:t>
              </w:r>
            </w:hyperlink>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340" w:type="dxa"/>
            <w:vAlign w:val="bottom"/>
            <w:tcBorders>
              <w:top w:val="single" w:sz="8" w:color="0000EE"/>
            </w:tcBorders>
          </w:tcPr>
          <w:p>
            <w:pPr>
              <w:spacing w:after="0"/>
              <w:rPr>
                <w:sz w:val="17"/>
                <w:szCs w:val="17"/>
                <w:color w:val="auto"/>
              </w:rPr>
            </w:pPr>
          </w:p>
        </w:tc>
        <w:tc>
          <w:tcPr>
            <w:tcW w:w="5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GOVERNANCE</w:t>
              </w:r>
            </w:hyperlink>
          </w:p>
        </w:tc>
        <w:tc>
          <w:tcPr>
            <w:tcW w:w="2800" w:type="dxa"/>
            <w:vAlign w:val="bottom"/>
            <w:gridSpan w:val="5"/>
          </w:tcPr>
          <w:p>
            <w:pPr>
              <w:spacing w:after="0"/>
              <w:rPr>
                <w:sz w:val="17"/>
                <w:szCs w:val="17"/>
                <w:color w:val="auto"/>
              </w:rPr>
            </w:pPr>
          </w:p>
        </w:tc>
        <w:tc>
          <w:tcPr>
            <w:tcW w:w="268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DIRECTOR COMPENSATION</w:t>
              </w:r>
            </w:hyperlink>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RATIFICATION OF THE APPOINTMENT OF INDEPENDENT REGISTERED</w:t>
              </w:r>
            </w:hyperlink>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340" w:type="dxa"/>
            <w:vAlign w:val="bottom"/>
            <w:tcBorders>
              <w:top w:val="single" w:sz="8" w:color="0000EE"/>
            </w:tcBorders>
          </w:tcPr>
          <w:p>
            <w:pPr>
              <w:spacing w:after="0"/>
              <w:rPr>
                <w:sz w:val="17"/>
                <w:szCs w:val="17"/>
                <w:color w:val="auto"/>
              </w:rPr>
            </w:pPr>
          </w:p>
        </w:tc>
        <w:tc>
          <w:tcPr>
            <w:tcW w:w="604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PUBLIC ACCOUNTANTS FOR THE FISCAL YEAR ENDING AUGUST 28, 2010</w:t>
              </w:r>
            </w:hyperlink>
          </w:p>
        </w:tc>
        <w:tc>
          <w:tcPr>
            <w:tcW w:w="2360" w:type="dxa"/>
            <w:vAlign w:val="bottom"/>
          </w:tcPr>
          <w:p>
            <w:pPr>
              <w:spacing w:after="0"/>
              <w:rPr>
                <w:sz w:val="17"/>
                <w:szCs w:val="17"/>
                <w:color w:val="auto"/>
              </w:rPr>
            </w:pPr>
          </w:p>
        </w:tc>
        <w:tc>
          <w:tcPr>
            <w:tcW w:w="268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16</w:t>
            </w: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345"/>
        </w:trPr>
        <w:tc>
          <w:tcPr>
            <w:tcW w:w="14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OTHER MATTERS</w:t>
              </w:r>
            </w:hyperlink>
          </w:p>
        </w:tc>
        <w:tc>
          <w:tcPr>
            <w:tcW w:w="7300" w:type="dxa"/>
            <w:vAlign w:val="bottom"/>
            <w:gridSpan w:val="19"/>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r>
      <w:tr>
        <w:trPr>
          <w:trHeight w:val="345"/>
        </w:trPr>
        <w:tc>
          <w:tcPr>
            <w:tcW w:w="24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EXECUTIVE COMPENSATION</w:t>
              </w:r>
            </w:hyperlink>
          </w:p>
        </w:tc>
        <w:tc>
          <w:tcPr>
            <w:tcW w:w="6340" w:type="dxa"/>
            <w:vAlign w:val="bottom"/>
            <w:gridSpan w:val="15"/>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r>
      <w:tr>
        <w:trPr>
          <w:trHeight w:val="345"/>
        </w:trPr>
        <w:tc>
          <w:tcPr>
            <w:tcW w:w="340" w:type="dxa"/>
            <w:vAlign w:val="bottom"/>
          </w:tcPr>
          <w:p>
            <w:pPr>
              <w:spacing w:after="0"/>
              <w:rPr>
                <w:sz w:val="24"/>
                <w:szCs w:val="24"/>
                <w:color w:val="auto"/>
              </w:rPr>
            </w:pPr>
          </w:p>
        </w:tc>
        <w:tc>
          <w:tcPr>
            <w:tcW w:w="27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Compensation Discussion and Analysis</w:t>
              </w:r>
            </w:hyperlink>
          </w:p>
        </w:tc>
        <w:tc>
          <w:tcPr>
            <w:tcW w:w="5620" w:type="dxa"/>
            <w:vAlign w:val="bottom"/>
            <w:gridSpan w:val="11"/>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r>
      <w:tr>
        <w:trPr>
          <w:trHeight w:val="345"/>
        </w:trPr>
        <w:tc>
          <w:tcPr>
            <w:tcW w:w="340" w:type="dxa"/>
            <w:vAlign w:val="bottom"/>
          </w:tcPr>
          <w:p>
            <w:pPr>
              <w:spacing w:after="0"/>
              <w:rPr>
                <w:sz w:val="24"/>
                <w:szCs w:val="24"/>
                <w:color w:val="auto"/>
              </w:rPr>
            </w:pPr>
          </w:p>
        </w:tc>
        <w:tc>
          <w:tcPr>
            <w:tcW w:w="84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Human Resources Committee Report on Compensation Discussion and Analysis</w:t>
              </w:r>
            </w:hyperlink>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r>
      <w:tr>
        <w:trPr>
          <w:trHeight w:val="345"/>
        </w:trPr>
        <w:tc>
          <w:tcPr>
            <w:tcW w:w="340" w:type="dxa"/>
            <w:vAlign w:val="bottom"/>
          </w:tcPr>
          <w:p>
            <w:pPr>
              <w:spacing w:after="0"/>
              <w:rPr>
                <w:sz w:val="24"/>
                <w:szCs w:val="24"/>
                <w:color w:val="auto"/>
              </w:rPr>
            </w:pPr>
          </w:p>
        </w:tc>
        <w:tc>
          <w:tcPr>
            <w:tcW w:w="5660" w:type="dxa"/>
            <w:vAlign w:val="bottom"/>
            <w:tcBorders>
              <w:top w:val="single" w:sz="8" w:color="0000EE"/>
            </w:tcBorders>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Compensation Tables and Narrative Disclosure</w:t>
              </w:r>
            </w:hyperlink>
          </w:p>
        </w:tc>
        <w:tc>
          <w:tcPr>
            <w:tcW w:w="2740" w:type="dxa"/>
            <w:vAlign w:val="bottom"/>
            <w:gridSpan w:val="4"/>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THE AUDIT COMMITTEE</w:t>
              </w:r>
            </w:hyperlink>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INDEPENDENT REGISTERED PUBLIC ACCOUNTANTS FEES AND SERVICES</w:t>
              </w:r>
            </w:hyperlink>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r>
      <w:tr>
        <w:trPr>
          <w:trHeight w:val="345"/>
        </w:trPr>
        <w:tc>
          <w:tcPr>
            <w:tcW w:w="55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SECTION 16(A) BENEFICIAL OWNERSHIP REPORTING COMPLIANCE</w:t>
              </w:r>
            </w:hyperlink>
          </w:p>
        </w:tc>
        <w:tc>
          <w:tcPr>
            <w:tcW w:w="520" w:type="dxa"/>
            <w:vAlign w:val="bottom"/>
            <w:tcBorders>
              <w:top w:val="single" w:sz="8" w:color="0000EE"/>
            </w:tcBorders>
            <w:gridSpan w:val="3"/>
          </w:tcPr>
          <w:p>
            <w:pPr>
              <w:spacing w:after="0"/>
              <w:rPr>
                <w:sz w:val="24"/>
                <w:szCs w:val="24"/>
                <w:color w:val="auto"/>
              </w:rPr>
            </w:pPr>
          </w:p>
        </w:tc>
        <w:tc>
          <w:tcPr>
            <w:tcW w:w="2660" w:type="dxa"/>
            <w:vAlign w:val="bottom"/>
            <w:gridSpan w:val="3"/>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r>
      <w:tr>
        <w:trPr>
          <w:trHeight w:val="345"/>
        </w:trPr>
        <w:tc>
          <w:tcPr>
            <w:tcW w:w="39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FISCAL YEAR 2010 SHAREHOLDER PROPOSALS</w:t>
              </w:r>
            </w:hyperlink>
          </w:p>
        </w:tc>
        <w:tc>
          <w:tcPr>
            <w:tcW w:w="4840" w:type="dxa"/>
            <w:vAlign w:val="bottom"/>
            <w:gridSpan w:val="8"/>
          </w:tcPr>
          <w:p>
            <w:pPr>
              <w:spacing w:after="0"/>
              <w:rPr>
                <w:sz w:val="24"/>
                <w:szCs w:val="24"/>
                <w:color w:val="auto"/>
              </w:rPr>
            </w:pPr>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GENERAL</w:t>
              </w:r>
            </w:hyperlink>
          </w:p>
        </w:tc>
        <w:tc>
          <w:tcPr>
            <w:tcW w:w="268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45"/>
        </w:trPr>
        <w:tc>
          <w:tcPr>
            <w:tcW w:w="874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APPENDIX A — NOMINATION OF DIRECTORS</w:t>
              </w:r>
            </w:hyperlink>
          </w:p>
        </w:tc>
        <w:tc>
          <w:tcPr>
            <w:tcW w:w="208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A-1</w:t>
            </w:r>
          </w:p>
        </w:tc>
      </w:tr>
      <w:tr>
        <w:trPr>
          <w:trHeight w:val="611"/>
        </w:trPr>
        <w:tc>
          <w:tcPr>
            <w:tcW w:w="34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ectPr>
          <w:pgSz w:w="11900" w:h="16838" w:orient="portrait"/>
          <w:cols w:equalWidth="0" w:num="1">
            <w:col w:w="11420"/>
          </w:cols>
          <w:pgMar w:left="240" w:top="131" w:right="239" w:bottom="0" w:gutter="0" w:footer="0" w:header="0"/>
        </w:sectPr>
      </w:pPr>
    </w:p>
    <w:bookmarkStart w:id="2" w:name="page3"/>
    <w:bookmarkEnd w:id="2"/>
    <w:p>
      <w:pPr>
        <w:spacing w:after="0" w:line="6"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29, 2009 (the “2009 Form 10-K”) filed with the Securities and Exchange Commission (the “SEC”) for a list of such factors.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2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This Proxy Statement is furnished in connection with the solicitation by our Board of Directors of proxies to be used at the Annual Meeting of Shareholders of the Company to be held in our South Office Complex Theater, 605 West Crystal Lake Road, Forest City, Iowa on December 15, 2009, at 4:00 p.m., Central Standard Time, and at any and all adjournments thereof (the “Annual Meeting” or the “Meeting”).</w:t>
      </w:r>
    </w:p>
    <w:p>
      <w:pPr>
        <w:spacing w:after="0" w:line="86"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8"/>
          <w:szCs w:val="18"/>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specifically requested.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October 27, 2009.</w:t>
      </w:r>
    </w:p>
    <w:p>
      <w:pPr>
        <w:spacing w:after="0" w:line="117"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Only holders of Common Stock of record at the close of business on October 6, 2009 will be entitled to Notice of Internet Availability of Proxy Materials and to vote at the Annual Meeting. At such date, the Company had outstanding 29,088,144 shares of Common Stock, par value $.50 per share (“Common Stock”).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59"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If you have returned valid proxy instructions or attend the Meeting in person, your Common Stock will be counted for the purpose of determining whether there is a quorum.</w:t>
      </w:r>
    </w:p>
    <w:p>
      <w:pPr>
        <w:spacing w:after="0" w:line="78"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If you hold shares in your own name, by submitting a proxy you may either vote for or withhold authority to vote for each nominee for the Board of Directors and you may vote in favor of or against the ratification of the appointment of independent registered public accountants. If you withhold authority to vote with respect to any nominee, your shares will still be counted for purposes of establishing a quorum but will have no effect on the election of that nominee. If you sign and submit your proxy card without voting instructions, your shares will be voted for each director nominee and for the ratification of the appointment of independent registered public accountants.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accountants and, for shareholder meetings held prior to January 1, 2010, the election of directors, are examples of routine matters on which brokers may vote in this way. Brokers may not vote their customers’ shares on non-routine matters such as shareholder proposals unless they have received voting instructions from their customers.</w:t>
      </w:r>
    </w:p>
    <w:p>
      <w:pPr>
        <w:spacing w:after="0" w:line="62"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Directors must be elected by a plurality of the votes cast at the Meeting. This means that the two nominees receiving the greatest number of votes will be elected as directors. Votes withheld from any nominee have no legal effect on the election of directors due to the fact that such elections are by a plurality of the votes cast. The ratification of the appointment of the independent registered public accountants requires the affirmative vote of a majority of those shares of Common Stock present in person or represented by proxy. Withheld votes and abstentions with respect to the ratification of the appointment of independent registered public accountants will have the same effect as a vote against the matter.</w:t>
      </w:r>
    </w:p>
    <w:p>
      <w:pPr>
        <w:spacing w:after="0" w:line="62"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The Company is not now aware of any matters to be presented at the Annual Meeting other than the election of the two nominees described in this Proxy Statement and the ratification of the appointment of independent registered public accountants.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59"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by mailing or otherwise returning the card to us by 12:00 p.m. Central Standard Time on December 14, 2009.</w:t>
      </w:r>
    </w:p>
    <w:p>
      <w:pPr>
        <w:spacing w:after="0" w:line="89"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8"/>
          <w:szCs w:val="18"/>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14, 2009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5" w:lineRule="exact"/>
        <w:rPr>
          <w:sz w:val="20"/>
          <w:szCs w:val="20"/>
          <w:color w:val="auto"/>
        </w:rPr>
      </w:pPr>
    </w:p>
    <w:p>
      <w:pPr>
        <w:jc w:val="both"/>
        <w:ind w:firstLine="458"/>
        <w:spacing w:after="0" w:line="339" w:lineRule="auto"/>
        <w:rPr>
          <w:sz w:val="20"/>
          <w:szCs w:val="20"/>
          <w:color w:val="auto"/>
        </w:rPr>
      </w:pPr>
      <w:r>
        <w:rPr>
          <w:rFonts w:ascii="Arial" w:cs="Arial" w:eastAsia="Arial" w:hAnsi="Arial"/>
          <w:sz w:val="15"/>
          <w:szCs w:val="15"/>
          <w:b w:val="1"/>
          <w:bCs w:val="1"/>
          <w:color w:val="auto"/>
        </w:rPr>
        <w:t>If no instructions are indicated on a proxy that is signed and received by the Company, it will be voted: (i) for the election of the two nominees for director named below (Item 1), (ii) for the ratification of the appointment of Deloitte &amp; Touche LLP as our independent registered public accountants for our Fiscal 2010 (Item 2) and (iii) in the discretion of the named proxies upon such other matters as may properly come before the Meeting.</w:t>
      </w:r>
    </w:p>
    <w:p>
      <w:pPr>
        <w:sectPr>
          <w:pgSz w:w="11900" w:h="16844" w:orient="portrait"/>
          <w:cols w:equalWidth="0" w:num="1">
            <w:col w:w="11420"/>
          </w:cols>
          <w:pgMar w:left="240" w:top="131" w:right="239" w:bottom="0" w:gutter="0" w:footer="0" w:header="0"/>
        </w:sectPr>
      </w:pPr>
    </w:p>
    <w:bookmarkStart w:id="3" w:name="page4"/>
    <w:bookmarkEnd w:id="3"/>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123" w:lineRule="exact"/>
        <w:rPr>
          <w:sz w:val="20"/>
          <w:szCs w:val="20"/>
          <w:color w:val="auto"/>
        </w:rPr>
      </w:pPr>
    </w:p>
    <w:p>
      <w:pPr>
        <w:ind w:firstLine="458"/>
        <w:spacing w:after="0" w:line="268"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5 percent of the outstanding Common Stock.</w:t>
      </w:r>
    </w:p>
    <w:p>
      <w:pPr>
        <w:sectPr>
          <w:pgSz w:w="11900" w:h="16871" w:orient="portrait"/>
          <w:cols w:equalWidth="0" w:num="1">
            <w:col w:w="11420"/>
          </w:cols>
          <w:pgMar w:left="240" w:top="347" w:right="239" w:bottom="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Baltimore, Maryland 21202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FMR LLC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82 Devonshire Street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Boston, Massachusetts 02109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Royce &amp; Associates, LLC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745 Fifth Avenue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 10151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Franklin Resources, Inc.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One Franklin Parkway</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San Mateo, California 94403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Barclays Global Investors, NA</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400 Howard Street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San Francisco, California 94105</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w:t>
      </w:r>
    </w:p>
    <w:p>
      <w:pPr>
        <w:spacing w:after="0" w:line="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29,088,144 outstanding shares of Common Stock on October 6, 2009.</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of</w:t>
            </w:r>
          </w:p>
        </w:tc>
        <w:tc>
          <w:tcPr>
            <w:tcW w:w="204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34"/>
        </w:trPr>
        <w:tc>
          <w:tcPr>
            <w:tcW w:w="2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Common Stock Owned</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Beneficially</w:t>
            </w:r>
          </w:p>
        </w:tc>
        <w:tc>
          <w:tcPr>
            <w:tcW w:w="2040" w:type="dxa"/>
            <w:vAlign w:val="bottom"/>
          </w:tcPr>
          <w:p>
            <w:pPr>
              <w:jc w:val="right"/>
              <w:ind w:right="299"/>
              <w:spacing w:after="0" w:line="176" w:lineRule="exact"/>
              <w:rPr>
                <w:sz w:val="20"/>
                <w:szCs w:val="20"/>
                <w:color w:val="auto"/>
              </w:rPr>
            </w:pPr>
            <w:r>
              <w:rPr>
                <w:rFonts w:ascii="Arial" w:cs="Arial" w:eastAsia="Arial" w:hAnsi="Arial"/>
                <w:sz w:val="13"/>
                <w:szCs w:val="13"/>
                <w:b w:val="1"/>
                <w:bCs w:val="1"/>
                <w:color w:val="auto"/>
              </w:rPr>
              <w:t>Common Stock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409"/>
        </w:trPr>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2"/>
              </w:rPr>
              <w:t>3,358,620</w:t>
            </w:r>
            <w:r>
              <w:rPr>
                <w:rFonts w:ascii="Arial" w:cs="Arial" w:eastAsia="Arial" w:hAnsi="Arial"/>
                <w:sz w:val="29"/>
                <w:szCs w:val="29"/>
                <w:color w:val="auto"/>
                <w:w w:val="82"/>
                <w:vertAlign w:val="superscript"/>
              </w:rPr>
              <w:t>(2)</w:t>
            </w:r>
          </w:p>
        </w:tc>
        <w:tc>
          <w:tcPr>
            <w:tcW w:w="220" w:type="dxa"/>
            <w:vAlign w:val="bottom"/>
          </w:tcPr>
          <w:p>
            <w:pPr>
              <w:spacing w:after="0"/>
              <w:rPr>
                <w:sz w:val="24"/>
                <w:szCs w:val="24"/>
                <w:color w:val="auto"/>
              </w:rPr>
            </w:pPr>
          </w:p>
        </w:tc>
        <w:tc>
          <w:tcPr>
            <w:tcW w:w="20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716"/>
        </w:trPr>
        <w:tc>
          <w:tcPr>
            <w:tcW w:w="2260" w:type="dxa"/>
            <w:vAlign w:val="bottom"/>
          </w:tcPr>
          <w:p>
            <w:pPr>
              <w:jc w:val="center"/>
              <w:spacing w:after="0"/>
              <w:rPr>
                <w:sz w:val="20"/>
                <w:szCs w:val="20"/>
                <w:color w:val="auto"/>
              </w:rPr>
            </w:pPr>
            <w:r>
              <w:rPr>
                <w:rFonts w:ascii="Arial" w:cs="Arial" w:eastAsia="Arial" w:hAnsi="Arial"/>
                <w:sz w:val="18"/>
                <w:szCs w:val="18"/>
                <w:color w:val="auto"/>
                <w:w w:val="82"/>
              </w:rPr>
              <w:t>3,312,293</w:t>
            </w:r>
            <w:r>
              <w:rPr>
                <w:rFonts w:ascii="Arial" w:cs="Arial" w:eastAsia="Arial" w:hAnsi="Arial"/>
                <w:sz w:val="29"/>
                <w:szCs w:val="29"/>
                <w:color w:val="auto"/>
                <w:w w:val="82"/>
                <w:vertAlign w:val="superscript"/>
              </w:rPr>
              <w:t>(3)</w:t>
            </w:r>
          </w:p>
        </w:tc>
        <w:tc>
          <w:tcPr>
            <w:tcW w:w="220" w:type="dxa"/>
            <w:vAlign w:val="bottom"/>
          </w:tcPr>
          <w:p>
            <w:pPr>
              <w:spacing w:after="0"/>
              <w:rPr>
                <w:sz w:val="24"/>
                <w:szCs w:val="24"/>
                <w:color w:val="auto"/>
              </w:rPr>
            </w:pPr>
          </w:p>
        </w:tc>
        <w:tc>
          <w:tcPr>
            <w:tcW w:w="2040" w:type="dxa"/>
            <w:vAlign w:val="bottom"/>
          </w:tcPr>
          <w:p>
            <w:pPr>
              <w:jc w:val="right"/>
              <w:ind w:right="739"/>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729"/>
        </w:trPr>
        <w:tc>
          <w:tcPr>
            <w:tcW w:w="2260" w:type="dxa"/>
            <w:vAlign w:val="bottom"/>
          </w:tcPr>
          <w:p>
            <w:pPr>
              <w:jc w:val="center"/>
              <w:spacing w:after="0"/>
              <w:rPr>
                <w:sz w:val="20"/>
                <w:szCs w:val="20"/>
                <w:color w:val="auto"/>
              </w:rPr>
            </w:pPr>
            <w:r>
              <w:rPr>
                <w:rFonts w:ascii="Arial" w:cs="Arial" w:eastAsia="Arial" w:hAnsi="Arial"/>
                <w:sz w:val="18"/>
                <w:szCs w:val="18"/>
                <w:color w:val="auto"/>
                <w:w w:val="82"/>
              </w:rPr>
              <w:t>3,082,485</w:t>
            </w:r>
            <w:r>
              <w:rPr>
                <w:rFonts w:ascii="Arial" w:cs="Arial" w:eastAsia="Arial" w:hAnsi="Arial"/>
                <w:sz w:val="29"/>
                <w:szCs w:val="29"/>
                <w:color w:val="auto"/>
                <w:w w:val="82"/>
                <w:vertAlign w:val="superscript"/>
              </w:rPr>
              <w:t>(4)</w:t>
            </w:r>
          </w:p>
        </w:tc>
        <w:tc>
          <w:tcPr>
            <w:tcW w:w="220" w:type="dxa"/>
            <w:vAlign w:val="bottom"/>
          </w:tcPr>
          <w:p>
            <w:pPr>
              <w:spacing w:after="0"/>
              <w:rPr>
                <w:sz w:val="24"/>
                <w:szCs w:val="24"/>
                <w:color w:val="auto"/>
              </w:rPr>
            </w:pPr>
          </w:p>
        </w:tc>
        <w:tc>
          <w:tcPr>
            <w:tcW w:w="2040" w:type="dxa"/>
            <w:vAlign w:val="bottom"/>
          </w:tcPr>
          <w:p>
            <w:pPr>
              <w:jc w:val="right"/>
              <w:ind w:right="739"/>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729"/>
        </w:trPr>
        <w:tc>
          <w:tcPr>
            <w:tcW w:w="2260" w:type="dxa"/>
            <w:vAlign w:val="bottom"/>
          </w:tcPr>
          <w:p>
            <w:pPr>
              <w:jc w:val="center"/>
              <w:spacing w:after="0"/>
              <w:rPr>
                <w:sz w:val="20"/>
                <w:szCs w:val="20"/>
                <w:color w:val="auto"/>
              </w:rPr>
            </w:pPr>
            <w:r>
              <w:rPr>
                <w:rFonts w:ascii="Arial" w:cs="Arial" w:eastAsia="Arial" w:hAnsi="Arial"/>
                <w:sz w:val="18"/>
                <w:szCs w:val="18"/>
                <w:color w:val="auto"/>
                <w:w w:val="82"/>
              </w:rPr>
              <w:t>2,007,000</w:t>
            </w:r>
            <w:r>
              <w:rPr>
                <w:rFonts w:ascii="Arial" w:cs="Arial" w:eastAsia="Arial" w:hAnsi="Arial"/>
                <w:sz w:val="29"/>
                <w:szCs w:val="29"/>
                <w:color w:val="auto"/>
                <w:w w:val="82"/>
                <w:vertAlign w:val="superscript"/>
              </w:rPr>
              <w:t>(5)</w:t>
            </w:r>
          </w:p>
        </w:tc>
        <w:tc>
          <w:tcPr>
            <w:tcW w:w="220" w:type="dxa"/>
            <w:vAlign w:val="bottom"/>
          </w:tcPr>
          <w:p>
            <w:pPr>
              <w:spacing w:after="0"/>
              <w:rPr>
                <w:sz w:val="24"/>
                <w:szCs w:val="24"/>
                <w:color w:val="auto"/>
              </w:rPr>
            </w:pPr>
          </w:p>
        </w:tc>
        <w:tc>
          <w:tcPr>
            <w:tcW w:w="2040" w:type="dxa"/>
            <w:vAlign w:val="bottom"/>
          </w:tcPr>
          <w:p>
            <w:pPr>
              <w:jc w:val="right"/>
              <w:ind w:right="739"/>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729"/>
        </w:trPr>
        <w:tc>
          <w:tcPr>
            <w:tcW w:w="2260" w:type="dxa"/>
            <w:vAlign w:val="bottom"/>
          </w:tcPr>
          <w:p>
            <w:pPr>
              <w:jc w:val="center"/>
              <w:spacing w:after="0"/>
              <w:rPr>
                <w:sz w:val="20"/>
                <w:szCs w:val="20"/>
                <w:color w:val="auto"/>
              </w:rPr>
            </w:pPr>
            <w:r>
              <w:rPr>
                <w:rFonts w:ascii="Arial" w:cs="Arial" w:eastAsia="Arial" w:hAnsi="Arial"/>
                <w:sz w:val="18"/>
                <w:szCs w:val="18"/>
                <w:color w:val="auto"/>
                <w:w w:val="82"/>
              </w:rPr>
              <w:t>1,774,771</w:t>
            </w:r>
            <w:r>
              <w:rPr>
                <w:rFonts w:ascii="Arial" w:cs="Arial" w:eastAsia="Arial" w:hAnsi="Arial"/>
                <w:sz w:val="29"/>
                <w:szCs w:val="29"/>
                <w:color w:val="auto"/>
                <w:w w:val="82"/>
                <w:vertAlign w:val="superscript"/>
              </w:rPr>
              <w:t>(6)</w:t>
            </w:r>
          </w:p>
        </w:tc>
        <w:tc>
          <w:tcPr>
            <w:tcW w:w="220" w:type="dxa"/>
            <w:vAlign w:val="bottom"/>
          </w:tcPr>
          <w:p>
            <w:pPr>
              <w:spacing w:after="0"/>
              <w:rPr>
                <w:sz w:val="24"/>
                <w:szCs w:val="24"/>
                <w:color w:val="auto"/>
              </w:rPr>
            </w:pPr>
          </w:p>
        </w:tc>
        <w:tc>
          <w:tcPr>
            <w:tcW w:w="2040" w:type="dxa"/>
            <w:vAlign w:val="bottom"/>
          </w:tcPr>
          <w:p>
            <w:pPr>
              <w:jc w:val="right"/>
              <w:ind w:right="739"/>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bl>
    <w:p>
      <w:pPr>
        <w:spacing w:after="0" w:line="846" w:lineRule="exact"/>
        <w:rPr>
          <w:sz w:val="20"/>
          <w:szCs w:val="20"/>
          <w:color w:val="auto"/>
        </w:rPr>
      </w:pPr>
    </w:p>
    <w:p>
      <w:pPr>
        <w:sectPr>
          <w:pgSz w:w="11900" w:h="16871" w:orient="portrait"/>
          <w:cols w:equalWidth="0" w:num="2">
            <w:col w:w="6180" w:space="720"/>
            <w:col w:w="4520"/>
          </w:cols>
          <w:pgMar w:left="240" w:top="347" w:right="239" w:bottom="0" w:gutter="0" w:footer="0" w:header="0"/>
          <w:type w:val="continuous"/>
        </w:sectPr>
      </w:pPr>
    </w:p>
    <w:p>
      <w:pPr>
        <w:jc w:val="both"/>
        <w:ind w:left="4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owned as of December 31, 2008 according to Amendment No. 2 to Schedule 13G filed with the SEC on February 12, 2009. T. Rowe Price Associates, Inc. has sole voting power with respect to 1,261,100 shares and sole dispositive power with respect to all 3,358,620 shares. T. Rowe Price Associates, Inc. serves as the investment adviser of various registered investment companies and investment advisory clients, including T. Rowe Price Small-Cap Value Fund, Inc. For purposes of the reporting requirements under the Securities Exchange Act of 1934, as amended (the “Exchange Act”), T. Rowe Price Associates, Inc. reported that it is deemed to be a beneficial owner of these securities and that T. Rowe Price Small-Cap Value Fund, Inc. has sole voting power with respect to 2,000,000 shares of Common Stock reported as beneficially owned by T. Rowe Price Associates, Inc. The information contained in this footnote is derived from information contained in the Amendment No. 2 to Schedule 13G filed by T. Rowe Price Associates, Inc. with the SEC referred to herein.</w:t>
      </w:r>
    </w:p>
    <w:p>
      <w:pPr>
        <w:spacing w:after="0" w:line="64"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owned as of December 31, 2008 according to Amendment No. 3 to Schedule 13G filed with the SEC on February 17, 2009. FMR LLC, a parent holding company, is the beneficial owner of all 3,312,293 shares of Common Stock and has sole dispositive power with respect to all 3,312,293 shares. Edward C. Johnson III serves as Chairman of FMR LLC. Members of the Edward C. Johnson III family own shares of common stock representing approximately 49% of the voting power of FMR LLC. Mr. Johnson and members of his family may be deemed to form a controlling group with respect to the common voting stock of FMR LLC. Of these 3,312,293 shares of Common Stock, 3,258,143 shares are beneficially owned by Fidelity Management &amp; Research Company, an investment adviser and a wholly-owned subsidiary of FMR LLC. Mr. Johnson and FMR LLC, through its control of Fidelity Management &amp; Research Company, each has sole dispositive power with respect to those shares. The interest of one person in the Common Stock, Fidelity Value Fund, an investment company, amounted to 2,571,751 shares at December 31, 2008. The information contained in this footnote is derived from information contained in the Amendment No. 3 to Schedule 13G filed by FMR LLC with the SEC referred to herein.</w:t>
      </w:r>
    </w:p>
    <w:p>
      <w:pPr>
        <w:spacing w:after="0" w:line="65"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owned as of May 31, 2009 according to Amendment No. 7 to Schedule 13G filed with the SEC on June 9, 2009. Royce &amp; Associates, LLC, an investment adviser, is the beneficial owner of all 3,082,485 shares of Common Stock and has sole voting power and sole dispositive power with respect to all shares. The information contained in this footnote is derived from information contained in the Amendment No. 7 to Schedule 13G filed by Royce &amp; Associates, LLC with the SEC referred to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460" w:hanging="452"/>
        <w:spacing w:after="0" w:line="290"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owned as of December 31, 2008 according to Amendment No. 1 to Schedule 13G filed with the SEC on February 9, 2009. Franklin Resources, Inc., its subsidiary Franklin Advisory Services, LLC, and Charles B. Johnson and Rupert H. Johnson, Jr. (holders of more than 10% of the common stock of Franklin Resources), reported holdings of the Common Stock beneficially owned by one or more open or closed-end investment companies or other managed accounts that are investment management clients of subsidiaries of Franklin Resources, Inc. Franklin Resources, Inc. reported that Franklin Advisory Services, LLC has sole voting power with respect to 1,933,000 shares of Common Stock and sole disposition power with respect to all 2,007,000 shares. The information contained in this footnote is derived from information contained in the Amendment No. 1 to Schedule 13G filed by Franklin Resources, Inc. with the SEC referred to herein.</w:t>
      </w:r>
    </w:p>
    <w:p>
      <w:pPr>
        <w:spacing w:after="0" w:line="64" w:lineRule="exact"/>
        <w:rPr>
          <w:rFonts w:ascii="Arial" w:cs="Arial" w:eastAsia="Arial" w:hAnsi="Arial"/>
          <w:sz w:val="16"/>
          <w:szCs w:val="16"/>
          <w:color w:val="auto"/>
        </w:rPr>
      </w:pPr>
    </w:p>
    <w:p>
      <w:pPr>
        <w:jc w:val="both"/>
        <w:ind w:left="46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collectively beneficially owned as of December 31, 2008 according to the joint statement on Schedule 13G filed with the SEC on February 5, 2009 by Barclays Global Investors, NA and the other reporting persons named therein of which said reporting persons have sole voting power with respect to 1,315,643 shares of Common Stock and sole dispositive power with respect to all 1,774,771 shares. Of the aggregate amounts reported, the following beneficial ownership was reported by the reporting persons named in the Schedule 13G: (i) Barclays Global Investors, NA reported that</w:t>
      </w:r>
    </w:p>
    <w:p>
      <w:pPr>
        <w:sectPr>
          <w:pgSz w:w="11900" w:h="16871" w:orient="portrait"/>
          <w:cols w:equalWidth="0" w:num="1">
            <w:col w:w="11420"/>
          </w:cols>
          <w:pgMar w:left="240" w:top="347" w:right="239" w:bottom="0" w:gutter="0" w:footer="0" w:header="0"/>
          <w:type w:val="continuous"/>
        </w:sectPr>
      </w:pPr>
    </w:p>
    <w:bookmarkStart w:id="4" w:name="page5"/>
    <w:bookmarkEnd w:id="4"/>
    <w:p>
      <w:pPr>
        <w:spacing w:after="0" w:line="79"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it beneficially owned 553,144 shares of Common Stock, had sole voting power with respect to 445,356 shares and had sole dispositive power with respect to all 553,144 shares; (ii) Barclays Global Fund Advisors reported that it beneficially owned 1,201,865 shares of Common Stock, had sole voting power with respect to 868,937 shares and had sole dispositive power with respect to all 1,201,865 shares; and (iii) Barclays Global Investors, Ltd. reported that it beneficially owned 19,762 shares of Common Stock, had sole voting power with respect to 1,350 shares and had sole dispositive power with respect to all 19,762 shares. The information contained in this footnote is derived from the information contained in the Schedule 13G filed with the SEC referred to herein by Barclays Global Investors, NA and the other reporting persons named therein.</w:t>
      </w:r>
    </w:p>
    <w:p>
      <w:pPr>
        <w:spacing w:after="0" w:line="66"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The following table sets forth certain information known to the Company with respect to beneficial ownership of Company Common Stock at October 6, 2009 for (i) each director and nominee for director of the Company, (ii) each person who served as the Company’s Chief Executive Officer or Chief Financial Officer during Fiscal 2009, (iii) the three most highly compensated executive officers of the Company (other than the Chairman and Chief Executive Officer and the Chief Financial Officer) who were serving as executive officers at the end of Fiscal 2009, named in the Summary Compensation Table below and (iv) all executive officers, directors and nominees for director as a group.</w:t>
      </w:r>
    </w:p>
    <w:p>
      <w:pPr>
        <w:spacing w:after="0" w:line="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Shares of Common Stock</w:t>
            </w:r>
          </w:p>
        </w:tc>
        <w:tc>
          <w:tcPr>
            <w:tcW w:w="2220" w:type="dxa"/>
            <w:vAlign w:val="bottom"/>
          </w:tcPr>
          <w:p>
            <w:pPr>
              <w:spacing w:after="0"/>
              <w:rPr>
                <w:sz w:val="14"/>
                <w:szCs w:val="14"/>
                <w:color w:val="auto"/>
              </w:rPr>
            </w:pPr>
          </w:p>
        </w:tc>
      </w:tr>
      <w:tr>
        <w:trPr>
          <w:trHeight w:val="144"/>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2"/>
          </w:tcPr>
          <w:p>
            <w:pPr>
              <w:jc w:val="center"/>
              <w:ind w:right="640"/>
              <w:spacing w:after="0" w:line="144" w:lineRule="exact"/>
              <w:rPr>
                <w:sz w:val="20"/>
                <w:szCs w:val="20"/>
                <w:color w:val="auto"/>
              </w:rPr>
            </w:pPr>
            <w:r>
              <w:rPr>
                <w:rFonts w:ascii="Arial" w:cs="Arial" w:eastAsia="Arial" w:hAnsi="Arial"/>
                <w:sz w:val="14"/>
                <w:szCs w:val="14"/>
                <w:b w:val="1"/>
                <w:bCs w:val="1"/>
                <w:color w:val="auto"/>
                <w:w w:val="88"/>
              </w:rPr>
              <w:t>Owned Beneficially at</w:t>
            </w:r>
          </w:p>
        </w:tc>
        <w:tc>
          <w:tcPr>
            <w:tcW w:w="22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4"/>
              </w:rPr>
              <w:t>Percent of</w:t>
            </w:r>
          </w:p>
        </w:tc>
      </w:tr>
      <w:tr>
        <w:trPr>
          <w:trHeight w:val="193"/>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5"/>
              </w:rPr>
              <w:t>October 6, 2009</w:t>
            </w:r>
            <w:r>
              <w:rPr>
                <w:rFonts w:ascii="Arial" w:cs="Arial" w:eastAsia="Arial" w:hAnsi="Arial"/>
                <w:sz w:val="22"/>
                <w:szCs w:val="22"/>
                <w:b w:val="1"/>
                <w:bCs w:val="1"/>
                <w:color w:val="auto"/>
                <w:w w:val="85"/>
                <w:vertAlign w:val="superscript"/>
              </w:rPr>
              <w:t>(1)</w:t>
            </w:r>
          </w:p>
        </w:tc>
        <w:tc>
          <w:tcPr>
            <w:tcW w:w="640" w:type="dxa"/>
            <w:vAlign w:val="bottom"/>
          </w:tcPr>
          <w:p>
            <w:pPr>
              <w:spacing w:after="0"/>
              <w:rPr>
                <w:sz w:val="16"/>
                <w:szCs w:val="16"/>
                <w:color w:val="auto"/>
              </w:rPr>
            </w:pPr>
          </w:p>
        </w:tc>
        <w:tc>
          <w:tcPr>
            <w:tcW w:w="22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7"/>
              </w:rPr>
              <w:t>Common Stock (%)</w:t>
            </w:r>
            <w:r>
              <w:rPr>
                <w:rFonts w:ascii="Arial" w:cs="Arial" w:eastAsia="Arial" w:hAnsi="Arial"/>
                <w:sz w:val="22"/>
                <w:szCs w:val="22"/>
                <w:b w:val="1"/>
                <w:bCs w:val="1"/>
                <w:color w:val="auto"/>
                <w:w w:val="87"/>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7322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270" cy="171450"/>
                    </a:xfrm>
                    <a:prstGeom prst="rect">
                      <a:avLst/>
                    </a:prstGeom>
                    <a:noFill/>
                  </pic:spPr>
                </pic:pic>
              </a:graphicData>
            </a:graphic>
          </wp:anchor>
        </w:drawing>
      </w:r>
    </w:p>
    <w:p>
      <w:pPr>
        <w:sectPr>
          <w:pgSz w:w="11900" w:h="16918" w:orient="portrait"/>
          <w:cols w:equalWidth="0" w:num="1">
            <w:col w:w="11420"/>
          </w:cols>
          <w:pgMar w:left="240" w:top="131" w:right="239" w:bottom="0" w:gutter="0" w:footer="0" w:header="0"/>
        </w:sectPr>
      </w:pP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Irvin E. Aal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Raymond M. Beebe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M. Chiusano</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Jerry N. Currie</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Joseph W. England</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Lawrence A. Erickson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John V. Hanson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Gerald C. Kitch</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Roger W. Martin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William J. O’Leary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J. Olson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Directors and executive officers as a</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group (16 persons)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280" w:type="dxa"/>
            <w:vAlign w:val="bottom"/>
          </w:tcPr>
          <w:p>
            <w:pPr>
              <w:jc w:val="right"/>
              <w:ind w:right="1272"/>
              <w:spacing w:after="0"/>
              <w:rPr>
                <w:sz w:val="20"/>
                <w:szCs w:val="20"/>
                <w:color w:val="auto"/>
              </w:rPr>
            </w:pPr>
            <w:r>
              <w:rPr>
                <w:rFonts w:ascii="Arial" w:cs="Arial" w:eastAsia="Arial" w:hAnsi="Arial"/>
                <w:sz w:val="18"/>
                <w:szCs w:val="18"/>
                <w:color w:val="auto"/>
              </w:rPr>
              <w:t>43,404</w:t>
            </w:r>
            <w:r>
              <w:rPr>
                <w:rFonts w:ascii="Arial" w:cs="Arial" w:eastAsia="Arial" w:hAnsi="Arial"/>
                <w:sz w:val="14"/>
                <w:szCs w:val="14"/>
                <w:color w:val="auto"/>
              </w:rPr>
              <w:t>(3)(4)</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w w:val="99"/>
              </w:rPr>
              <w:t>49,500</w:t>
            </w:r>
            <w:r>
              <w:rPr>
                <w:rFonts w:ascii="Arial" w:cs="Arial" w:eastAsia="Arial" w:hAnsi="Arial"/>
                <w:sz w:val="14"/>
                <w:szCs w:val="14"/>
                <w:color w:val="auto"/>
                <w:w w:val="99"/>
              </w:rPr>
              <w:t>(3)</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rPr>
              <w:t>5,993</w:t>
            </w:r>
            <w:r>
              <w:rPr>
                <w:rFonts w:ascii="Arial" w:cs="Arial" w:eastAsia="Arial" w:hAnsi="Arial"/>
                <w:sz w:val="14"/>
                <w:szCs w:val="14"/>
                <w:color w:val="auto"/>
              </w:rPr>
              <w:t>(4)</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w w:val="99"/>
              </w:rPr>
              <w:t>33,500</w:t>
            </w:r>
            <w:r>
              <w:rPr>
                <w:rFonts w:ascii="Arial" w:cs="Arial" w:eastAsia="Arial" w:hAnsi="Arial"/>
                <w:sz w:val="14"/>
                <w:szCs w:val="14"/>
                <w:color w:val="auto"/>
                <w:w w:val="99"/>
              </w:rPr>
              <w:t>(3)</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272"/>
              <w:spacing w:after="0"/>
              <w:rPr>
                <w:sz w:val="20"/>
                <w:szCs w:val="20"/>
                <w:color w:val="auto"/>
              </w:rPr>
            </w:pPr>
            <w:r>
              <w:rPr>
                <w:rFonts w:ascii="Arial" w:cs="Arial" w:eastAsia="Arial" w:hAnsi="Arial"/>
                <w:sz w:val="18"/>
                <w:szCs w:val="18"/>
                <w:color w:val="auto"/>
              </w:rPr>
              <w:t>63,872</w:t>
            </w:r>
            <w:r>
              <w:rPr>
                <w:rFonts w:ascii="Arial" w:cs="Arial" w:eastAsia="Arial" w:hAnsi="Arial"/>
                <w:sz w:val="14"/>
                <w:szCs w:val="14"/>
                <w:color w:val="auto"/>
              </w:rPr>
              <w:t>(3)(4)</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272"/>
              <w:spacing w:after="0"/>
              <w:rPr>
                <w:sz w:val="20"/>
                <w:szCs w:val="20"/>
                <w:color w:val="auto"/>
              </w:rPr>
            </w:pPr>
            <w:r>
              <w:rPr>
                <w:rFonts w:ascii="Arial" w:cs="Arial" w:eastAsia="Arial" w:hAnsi="Arial"/>
                <w:sz w:val="18"/>
                <w:szCs w:val="18"/>
                <w:color w:val="auto"/>
              </w:rPr>
              <w:t>29,868</w:t>
            </w:r>
            <w:r>
              <w:rPr>
                <w:rFonts w:ascii="Arial" w:cs="Arial" w:eastAsia="Arial" w:hAnsi="Arial"/>
                <w:sz w:val="14"/>
                <w:szCs w:val="14"/>
                <w:color w:val="auto"/>
              </w:rPr>
              <w:t>(3)(4)</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272"/>
              <w:spacing w:after="0"/>
              <w:rPr>
                <w:sz w:val="20"/>
                <w:szCs w:val="20"/>
                <w:color w:val="auto"/>
              </w:rPr>
            </w:pPr>
            <w:r>
              <w:rPr>
                <w:rFonts w:ascii="Arial" w:cs="Arial" w:eastAsia="Arial" w:hAnsi="Arial"/>
                <w:sz w:val="18"/>
                <w:szCs w:val="18"/>
                <w:color w:val="auto"/>
              </w:rPr>
              <w:t>30,760</w:t>
            </w:r>
            <w:r>
              <w:rPr>
                <w:rFonts w:ascii="Arial" w:cs="Arial" w:eastAsia="Arial" w:hAnsi="Arial"/>
                <w:sz w:val="14"/>
                <w:szCs w:val="14"/>
                <w:color w:val="auto"/>
              </w:rPr>
              <w:t>(3)(6)</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272"/>
              <w:spacing w:after="0"/>
              <w:rPr>
                <w:sz w:val="20"/>
                <w:szCs w:val="20"/>
                <w:color w:val="auto"/>
              </w:rPr>
            </w:pPr>
            <w:r>
              <w:rPr>
                <w:rFonts w:ascii="Arial" w:cs="Arial" w:eastAsia="Arial" w:hAnsi="Arial"/>
                <w:sz w:val="18"/>
                <w:szCs w:val="18"/>
                <w:color w:val="auto"/>
              </w:rPr>
              <w:t>65,471</w:t>
            </w:r>
            <w:r>
              <w:rPr>
                <w:rFonts w:ascii="Arial" w:cs="Arial" w:eastAsia="Arial" w:hAnsi="Arial"/>
                <w:sz w:val="14"/>
                <w:szCs w:val="14"/>
                <w:color w:val="auto"/>
              </w:rPr>
              <w:t>(3)(4)</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w w:val="99"/>
              </w:rPr>
              <w:t>52,875</w:t>
            </w:r>
            <w:r>
              <w:rPr>
                <w:rFonts w:ascii="Arial" w:cs="Arial" w:eastAsia="Arial" w:hAnsi="Arial"/>
                <w:sz w:val="14"/>
                <w:szCs w:val="14"/>
                <w:color w:val="auto"/>
                <w:w w:val="99"/>
              </w:rPr>
              <w:t>(3)</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w w:val="99"/>
              </w:rPr>
              <w:t>20,972</w:t>
            </w:r>
            <w:r>
              <w:rPr>
                <w:rFonts w:ascii="Arial" w:cs="Arial" w:eastAsia="Arial" w:hAnsi="Arial"/>
                <w:sz w:val="14"/>
                <w:szCs w:val="14"/>
                <w:color w:val="auto"/>
                <w:w w:val="99"/>
              </w:rPr>
              <w:t>(3)</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w w:val="99"/>
              </w:rPr>
              <w:t>57,000</w:t>
            </w:r>
            <w:r>
              <w:rPr>
                <w:rFonts w:ascii="Arial" w:cs="Arial" w:eastAsia="Arial" w:hAnsi="Arial"/>
                <w:sz w:val="14"/>
                <w:szCs w:val="14"/>
                <w:color w:val="auto"/>
                <w:w w:val="99"/>
              </w:rPr>
              <w:t>(3)</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43"/>
        </w:trPr>
        <w:tc>
          <w:tcPr>
            <w:tcW w:w="2280" w:type="dxa"/>
            <w:vAlign w:val="bottom"/>
          </w:tcPr>
          <w:p>
            <w:pPr>
              <w:jc w:val="right"/>
              <w:ind w:right="1452"/>
              <w:spacing w:after="0"/>
              <w:rPr>
                <w:sz w:val="20"/>
                <w:szCs w:val="20"/>
                <w:color w:val="auto"/>
              </w:rPr>
            </w:pPr>
            <w:r>
              <w:rPr>
                <w:rFonts w:ascii="Arial" w:cs="Arial" w:eastAsia="Arial" w:hAnsi="Arial"/>
                <w:sz w:val="18"/>
                <w:szCs w:val="18"/>
                <w:color w:val="auto"/>
                <w:w w:val="99"/>
              </w:rPr>
              <w:t>74,519</w:t>
            </w:r>
            <w:r>
              <w:rPr>
                <w:rFonts w:ascii="Arial" w:cs="Arial" w:eastAsia="Arial" w:hAnsi="Arial"/>
                <w:sz w:val="14"/>
                <w:szCs w:val="14"/>
                <w:color w:val="auto"/>
                <w:w w:val="99"/>
              </w:rPr>
              <w:t>(3)</w:t>
            </w:r>
          </w:p>
        </w:tc>
        <w:tc>
          <w:tcPr>
            <w:tcW w:w="168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446"/>
        </w:trPr>
        <w:tc>
          <w:tcPr>
            <w:tcW w:w="2280" w:type="dxa"/>
            <w:vAlign w:val="bottom"/>
          </w:tcPr>
          <w:p>
            <w:pPr>
              <w:jc w:val="right"/>
              <w:ind w:right="1272"/>
              <w:spacing w:after="0"/>
              <w:rPr>
                <w:sz w:val="20"/>
                <w:szCs w:val="20"/>
                <w:color w:val="auto"/>
              </w:rPr>
            </w:pPr>
            <w:r>
              <w:rPr>
                <w:rFonts w:ascii="Arial" w:cs="Arial" w:eastAsia="Arial" w:hAnsi="Arial"/>
                <w:sz w:val="18"/>
                <w:szCs w:val="18"/>
                <w:color w:val="auto"/>
                <w:w w:val="90"/>
              </w:rPr>
              <w:t>613,947</w:t>
            </w:r>
            <w:r>
              <w:rPr>
                <w:rFonts w:ascii="Arial" w:cs="Arial" w:eastAsia="Arial" w:hAnsi="Arial"/>
                <w:sz w:val="14"/>
                <w:szCs w:val="14"/>
                <w:color w:val="auto"/>
                <w:w w:val="90"/>
              </w:rPr>
              <w:t>(3)(4)</w:t>
            </w:r>
          </w:p>
        </w:tc>
        <w:tc>
          <w:tcPr>
            <w:tcW w:w="1680" w:type="dxa"/>
            <w:vAlign w:val="bottom"/>
          </w:tcPr>
          <w:p>
            <w:pPr>
              <w:jc w:val="right"/>
              <w:spacing w:after="0"/>
              <w:rPr>
                <w:sz w:val="20"/>
                <w:szCs w:val="20"/>
                <w:color w:val="auto"/>
              </w:rPr>
            </w:pPr>
            <w:r>
              <w:rPr>
                <w:rFonts w:ascii="Arial" w:cs="Arial" w:eastAsia="Arial" w:hAnsi="Arial"/>
                <w:sz w:val="18"/>
                <w:szCs w:val="18"/>
                <w:color w:val="auto"/>
              </w:rPr>
              <w:t>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-1824990</wp:posOffset>
            </wp:positionV>
            <wp:extent cx="673227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270" cy="15430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-1515745</wp:posOffset>
            </wp:positionV>
            <wp:extent cx="673227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15430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-1207135</wp:posOffset>
            </wp:positionV>
            <wp:extent cx="67322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15430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-898525</wp:posOffset>
            </wp:positionV>
            <wp:extent cx="67322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15430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-589915</wp:posOffset>
            </wp:positionV>
            <wp:extent cx="67322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5430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-281305</wp:posOffset>
            </wp:positionV>
            <wp:extent cx="673227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283210"/>
                    </a:xfrm>
                    <a:prstGeom prst="rect">
                      <a:avLst/>
                    </a:prstGeom>
                    <a:noFill/>
                  </pic:spPr>
                </pic:pic>
              </a:graphicData>
            </a:graphic>
          </wp:anchor>
        </w:drawing>
      </w:r>
    </w:p>
    <w:p>
      <w:pPr>
        <w:spacing w:after="0" w:line="236" w:lineRule="exact"/>
        <w:rPr>
          <w:sz w:val="20"/>
          <w:szCs w:val="20"/>
          <w:color w:val="auto"/>
        </w:rPr>
      </w:pPr>
    </w:p>
    <w:p>
      <w:pPr>
        <w:sectPr>
          <w:pgSz w:w="11900" w:h="16918" w:orient="portrait"/>
          <w:cols w:equalWidth="0" w:num="2">
            <w:col w:w="5840" w:space="720"/>
            <w:col w:w="4860"/>
          </w:cols>
          <w:pgMar w:left="240" w:top="131" w:right="239" w:bottom="0" w:gutter="0" w:footer="0" w:header="0"/>
          <w:type w:val="continuous"/>
        </w:sect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held jointly with or by spouse and shares held as custodian, beneficial ownership of which is disclaimed.</w:t>
      </w:r>
    </w:p>
    <w:p>
      <w:pPr>
        <w:spacing w:after="0" w:line="117"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29,088,144 outstanding shares of Common Stock on October 6, 2009, together with shares representing the 88,608 Winnebago Stock Units held by directors under the Company’s Directors’ Deferred Compensation Plan (as defined below) as of October 6, 2009 and 400,916 shares that directors and executive officers as a group have the right to acquire within 60 days of October 6, 2009 through the exercise of stock options.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following shares in which the respective directors and executive officers, individually and as a group, have the right to acquire within 60 days of October 6, 2009 through the exercise of stock options:</w:t>
      </w:r>
    </w:p>
    <w:p>
      <w:pPr>
        <w:spacing w:after="0" w:line="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Exercisable</w:t>
            </w:r>
          </w:p>
        </w:tc>
      </w:tr>
      <w:tr>
        <w:trPr>
          <w:trHeight w:val="161"/>
        </w:trPr>
        <w:tc>
          <w:tcPr>
            <w:tcW w:w="8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Director/Executive Officer</w:t>
            </w:r>
          </w:p>
        </w:tc>
        <w:tc>
          <w:tcPr>
            <w:tcW w:w="560" w:type="dxa"/>
            <w:vAlign w:val="bottom"/>
            <w:tcBorders>
              <w:bottom w:val="single" w:sz="8" w:color="D6F3E8"/>
            </w:tcBorders>
          </w:tcPr>
          <w:p>
            <w:pPr>
              <w:spacing w:after="0"/>
              <w:rPr>
                <w:sz w:val="14"/>
                <w:szCs w:val="14"/>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Stock Options</w:t>
            </w:r>
          </w:p>
        </w:tc>
      </w:tr>
      <w:tr>
        <w:trPr>
          <w:trHeight w:val="250"/>
        </w:trPr>
        <w:tc>
          <w:tcPr>
            <w:tcW w:w="9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Aal</w:t>
            </w:r>
          </w:p>
        </w:tc>
        <w:tc>
          <w:tcPr>
            <w:tcW w:w="1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Beebe</w:t>
            </w:r>
          </w:p>
        </w:tc>
        <w:tc>
          <w:tcPr>
            <w:tcW w:w="14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9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Currie</w:t>
            </w:r>
          </w:p>
        </w:tc>
        <w:tc>
          <w:tcPr>
            <w:tcW w:w="1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England</w:t>
            </w:r>
          </w:p>
        </w:tc>
        <w:tc>
          <w:tcPr>
            <w:tcW w:w="14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9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Erickson</w:t>
            </w:r>
          </w:p>
        </w:tc>
        <w:tc>
          <w:tcPr>
            <w:tcW w:w="1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14,000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Hanson</w:t>
            </w:r>
          </w:p>
        </w:tc>
        <w:tc>
          <w:tcPr>
            <w:tcW w:w="146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9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Kitch</w:t>
            </w:r>
          </w:p>
        </w:tc>
        <w:tc>
          <w:tcPr>
            <w:tcW w:w="1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Martin</w:t>
            </w:r>
          </w:p>
        </w:tc>
        <w:tc>
          <w:tcPr>
            <w:tcW w:w="14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9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Nielsen</w:t>
            </w:r>
          </w:p>
        </w:tc>
        <w:tc>
          <w:tcPr>
            <w:tcW w:w="1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O’Leary</w:t>
            </w:r>
          </w:p>
        </w:tc>
        <w:tc>
          <w:tcPr>
            <w:tcW w:w="14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95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Olson</w:t>
            </w:r>
          </w:p>
        </w:tc>
        <w:tc>
          <w:tcPr>
            <w:tcW w:w="14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48,746</w:t>
            </w: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color w:val="auto"/>
              </w:rPr>
              <w:t>Total Directors and Executive Officers (as a group)</w:t>
            </w:r>
          </w:p>
        </w:tc>
        <w:tc>
          <w:tcPr>
            <w:tcW w:w="1460" w:type="dxa"/>
            <w:vAlign w:val="bottom"/>
          </w:tcPr>
          <w:p>
            <w:pPr>
              <w:jc w:val="right"/>
              <w:spacing w:after="0"/>
              <w:rPr>
                <w:sz w:val="20"/>
                <w:szCs w:val="20"/>
                <w:color w:val="auto"/>
              </w:rPr>
            </w:pPr>
            <w:r>
              <w:rPr>
                <w:rFonts w:ascii="Arial" w:cs="Arial" w:eastAsia="Arial" w:hAnsi="Arial"/>
                <w:sz w:val="18"/>
                <w:szCs w:val="18"/>
                <w:color w:val="auto"/>
              </w:rPr>
              <w:t>400,916</w:t>
            </w:r>
          </w:p>
        </w:tc>
      </w:tr>
    </w:tbl>
    <w:p>
      <w:pPr>
        <w:spacing w:after="0" w:line="93" w:lineRule="exact"/>
        <w:rPr>
          <w:sz w:val="20"/>
          <w:szCs w:val="20"/>
          <w:color w:val="auto"/>
        </w:rPr>
      </w:pPr>
    </w:p>
    <w:p>
      <w:pPr>
        <w:jc w:val="both"/>
        <w:ind w:left="4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12,904, 5,993, 21,372, 13,368, 34,971 Winnebago Stock Units held by Messrs. Aal, Chiusano, England, Erickson and Kitch, respectively, under the Company’s Directors’ Deferred Compensation Plan as of October 6, 2009. Pursuant to an election made by each such director on December 1, 2008, the Winnebago Stock Units are accrued under the Company’s Deferred Compensation Plan and are to be settled 100% in Common Stock upon the earliest of the following events: reporting person’s termination of service as a director, death or disability or a “change in the effective control of the Company” as defined in said Plan.</w:t>
      </w:r>
    </w:p>
    <w:p>
      <w:pPr>
        <w:spacing w:after="0" w:line="88"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17" w:lineRule="exact"/>
        <w:rPr>
          <w:rFonts w:ascii="Arial" w:cs="Arial" w:eastAsia="Arial" w:hAnsi="Arial"/>
          <w:sz w:val="18"/>
          <w:szCs w:val="18"/>
          <w:color w:val="auto"/>
        </w:rPr>
      </w:pPr>
    </w:p>
    <w:p>
      <w:pPr>
        <w:jc w:val="both"/>
        <w:ind w:left="460" w:hanging="452"/>
        <w:spacing w:after="0" w:line="28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Does not include the 569,774 shares of Common Stock owned on October 6, 2009 by Hanson Capital Partners, L.L.C. ("HCP"). HCP is a Delaware limited liability company whose members are (i) the Luise V. Hanson Trust Under Agreement, dated February 4, 1999, for the benefit of John V. Hanson (a director of the Company) and Mary Joan Boman (the sister of John V. Hanson), which has a 52.70% membership interest in HCP; (ii) the John K. Hanson Trust Under Agreement, dated June 10, 1996, for the benefit of John V. Hanson, Mary Joan Boman and John J. Hanson (the son of John V. Hanson), which has a 21.18% membership interest in HCP; and (iii) the Boman Family Trust Under Agreement, dated May 27, 2008, which has a 5.97% membership interest in HCP. Additionally, John V. Hanson, Mary Joan Boman, John J. Hanson, Janet Coe (the daughter of Mary Joan Boman) and Gregory Boman (the son of Mary Joan Boman) all have individual HCP membership interests, which collectively, represent the remaining 20.15% membership interest in HCP. John V. Hanson and Mary Joan Boman are the managing members of HCP. The managing members, jointly and not individually, have sole voting power and sole dispositive power with respect to all 569,774 shares of Common Stock of which HCP is the beneficial owner.</w:t>
      </w:r>
    </w:p>
    <w:p>
      <w:pPr>
        <w:sectPr>
          <w:pgSz w:w="11900" w:h="16918" w:orient="portrait"/>
          <w:cols w:equalWidth="0" w:num="1">
            <w:col w:w="11420"/>
          </w:cols>
          <w:pgMar w:left="240" w:top="131" w:right="239" w:bottom="0" w:gutter="0" w:footer="0" w:header="0"/>
          <w:type w:val="continuous"/>
        </w:sectPr>
      </w:pPr>
    </w:p>
    <w:bookmarkStart w:id="5" w:name="page6"/>
    <w:bookmarkEnd w:id="5"/>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3"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 directors will expire, and two persons will be elected to serve in that class until the annual meeting following our Fiscal Year 2012 or until their respective successors are elected. The terms of office of the Class II and Class III directors will expire at the annual meetings following our Fiscal Years 2010 and 2011, respectively.</w:t>
      </w:r>
    </w:p>
    <w:p>
      <w:pPr>
        <w:spacing w:after="0" w:line="59"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 xml:space="preserve">Discretionary authority is solicited to vote for the election of a substitute for any of said nominees who, for any reason currently unknown, cannot be a candidate for election. </w:t>
      </w:r>
      <w:r>
        <w:rPr>
          <w:rFonts w:ascii="Arial" w:cs="Arial" w:eastAsia="Arial" w:hAnsi="Arial"/>
          <w:sz w:val="18"/>
          <w:szCs w:val="18"/>
          <w:b w:val="1"/>
          <w:bCs w:val="1"/>
          <w:color w:val="auto"/>
        </w:rPr>
        <w:t>The shares represented by proxy will be voted for the election as directors of the nominees for Class I directors named below if no</w:t>
      </w:r>
      <w:r>
        <w:rPr>
          <w:rFonts w:ascii="Arial" w:cs="Arial" w:eastAsia="Arial" w:hAnsi="Arial"/>
          <w:sz w:val="18"/>
          <w:szCs w:val="18"/>
          <w:color w:val="auto"/>
        </w:rPr>
        <w:t xml:space="preserve"> </w:t>
      </w:r>
      <w:r>
        <w:rPr>
          <w:rFonts w:ascii="Arial" w:cs="Arial" w:eastAsia="Arial" w:hAnsi="Arial"/>
          <w:sz w:val="18"/>
          <w:szCs w:val="18"/>
          <w:b w:val="1"/>
          <w:bCs w:val="1"/>
          <w:color w:val="auto"/>
        </w:rPr>
        <w:t>direction is made otherwise. All nominees are currently directors of the Company and were elected by the shareholders at our Annual Meeting held in January 2007.</w:t>
      </w:r>
    </w:p>
    <w:p>
      <w:pPr>
        <w:spacing w:after="0" w:line="106" w:lineRule="exact"/>
        <w:rPr>
          <w:sz w:val="20"/>
          <w:szCs w:val="20"/>
          <w:color w:val="auto"/>
        </w:rPr>
      </w:pPr>
    </w:p>
    <w:p>
      <w:pPr>
        <w:jc w:val="both"/>
        <w:ind w:firstLine="458"/>
        <w:spacing w:after="0" w:line="282" w:lineRule="auto"/>
        <w:rPr>
          <w:sz w:val="20"/>
          <w:szCs w:val="20"/>
          <w:color w:val="auto"/>
        </w:rPr>
      </w:pPr>
      <w:r>
        <w:rPr>
          <w:rFonts w:ascii="Arial" w:cs="Arial" w:eastAsia="Arial" w:hAnsi="Arial"/>
          <w:sz w:val="18"/>
          <w:szCs w:val="18"/>
          <w:b w:val="1"/>
          <w:bCs w:val="1"/>
          <w:color w:val="auto"/>
        </w:rPr>
        <w:t>YOUR BOARD OF DIRECTORS UNANIMOUSLY RECOMMENDS THAT YOU VOTE FOR THE ELECTION OF THE DIRECTOR NOMINEES.</w:t>
      </w:r>
    </w:p>
    <w:p>
      <w:pPr>
        <w:sectPr>
          <w:pgSz w:w="11900" w:h="16858" w:orient="portrait"/>
          <w:cols w:equalWidth="0" w:num="1">
            <w:col w:w="11420"/>
          </w:cols>
          <w:pgMar w:left="240" w:top="347" w:right="239" w:bottom="0" w:gutter="0" w:footer="0" w:header="0"/>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2"/>
                <w:szCs w:val="22"/>
                <w:b w:val="1"/>
                <w:bCs w:val="1"/>
                <w:color w:val="auto"/>
                <w:vertAlign w:val="superscript"/>
              </w:rPr>
              <w:t>(1)</w:t>
            </w:r>
          </w:p>
        </w:tc>
        <w:tc>
          <w:tcPr>
            <w:tcW w:w="940" w:type="dxa"/>
            <w:vAlign w:val="bottom"/>
          </w:tcPr>
          <w:p>
            <w:pPr>
              <w:spacing w:after="0"/>
              <w:rPr>
                <w:sz w:val="14"/>
                <w:szCs w:val="14"/>
                <w:color w:val="auto"/>
              </w:rPr>
            </w:pP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Occupation and Other</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940" w:type="dxa"/>
            <w:vAlign w:val="bottom"/>
          </w:tcPr>
          <w:p>
            <w:pPr>
              <w:spacing w:after="0"/>
              <w:rPr>
                <w:sz w:val="14"/>
                <w:szCs w:val="14"/>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Directorships Held</w:t>
            </w:r>
          </w:p>
        </w:tc>
        <w:tc>
          <w:tcPr>
            <w:tcW w:w="0" w:type="dxa"/>
            <w:vAlign w:val="bottom"/>
          </w:tcPr>
          <w:p>
            <w:pPr>
              <w:spacing w:after="0"/>
              <w:rPr>
                <w:sz w:val="1"/>
                <w:szCs w:val="1"/>
                <w:color w:val="auto"/>
              </w:rPr>
            </w:pPr>
          </w:p>
        </w:tc>
      </w:tr>
      <w:tr>
        <w:trPr>
          <w:trHeight w:val="262"/>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w w:val="95"/>
              </w:rPr>
              <w:t>Class I — Nominees for Directors to be Elected to Serve Until the Annual Meeting Following Fiscal Year 2012</w:t>
            </w:r>
          </w:p>
        </w:tc>
        <w:tc>
          <w:tcPr>
            <w:tcW w:w="0" w:type="dxa"/>
            <w:vAlign w:val="bottom"/>
          </w:tcPr>
          <w:p>
            <w:pPr>
              <w:spacing w:after="0"/>
              <w:rPr>
                <w:sz w:val="1"/>
                <w:szCs w:val="1"/>
                <w:color w:val="auto"/>
              </w:rPr>
            </w:pPr>
          </w:p>
        </w:tc>
      </w:tr>
      <w:tr>
        <w:trPr>
          <w:trHeight w:val="277"/>
        </w:trPr>
        <w:tc>
          <w:tcPr>
            <w:tcW w:w="2480" w:type="dxa"/>
            <w:vAlign w:val="bottom"/>
            <w:gridSpan w:val="2"/>
          </w:tcPr>
          <w:p>
            <w:pPr>
              <w:spacing w:after="0"/>
              <w:rPr>
                <w:sz w:val="20"/>
                <w:szCs w:val="20"/>
                <w:color w:val="auto"/>
              </w:rPr>
            </w:pPr>
            <w:r>
              <w:rPr>
                <w:rFonts w:ascii="Arial" w:cs="Arial" w:eastAsia="Arial" w:hAnsi="Arial"/>
                <w:sz w:val="18"/>
                <w:szCs w:val="18"/>
                <w:color w:val="auto"/>
              </w:rPr>
              <w:t>Irvin E. Aal (70)</w:t>
            </w: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w w:val="98"/>
              </w:rPr>
              <w:t>Retired; former General Manager of Case Tyler Business Unit of CNH</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w w:val="94"/>
              </w:rPr>
              <w:t>Global and predecessor corporation, manufacturer of banded application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w w:val="94"/>
              </w:rPr>
              <w:t>business equipment; previously President and Chief Executive Officer of</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rPr>
              <w:t>Tyler Industries, privately owned specialized agricultural equipment</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rPr>
              <w:t>manufacturing company</w:t>
            </w:r>
          </w:p>
        </w:tc>
        <w:tc>
          <w:tcPr>
            <w:tcW w:w="0" w:type="dxa"/>
            <w:vAlign w:val="bottom"/>
          </w:tcPr>
          <w:p>
            <w:pPr>
              <w:spacing w:after="0"/>
              <w:rPr>
                <w:sz w:val="1"/>
                <w:szCs w:val="1"/>
                <w:color w:val="auto"/>
              </w:rPr>
            </w:pPr>
          </w:p>
        </w:tc>
      </w:tr>
      <w:tr>
        <w:trPr>
          <w:trHeight w:val="277"/>
        </w:trPr>
        <w:tc>
          <w:tcPr>
            <w:tcW w:w="2480" w:type="dxa"/>
            <w:vAlign w:val="bottom"/>
            <w:gridSpan w:val="2"/>
          </w:tcPr>
          <w:p>
            <w:pPr>
              <w:spacing w:after="0"/>
              <w:rPr>
                <w:sz w:val="20"/>
                <w:szCs w:val="20"/>
                <w:color w:val="auto"/>
              </w:rPr>
            </w:pPr>
            <w:r>
              <w:rPr>
                <w:rFonts w:ascii="Arial" w:cs="Arial" w:eastAsia="Arial" w:hAnsi="Arial"/>
                <w:sz w:val="18"/>
                <w:szCs w:val="18"/>
                <w:color w:val="auto"/>
              </w:rPr>
              <w:t>Joseph W. England (69)</w:t>
            </w: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w w:val="92"/>
              </w:rPr>
              <w:t>Retired; former Senior Vice President — Accounting — Control of Deere &amp;</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w w:val="98"/>
              </w:rPr>
              <w:t>Company (a mobile power equipment manufacturer); Mr. England is a</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20" w:type="dxa"/>
            <w:vAlign w:val="bottom"/>
            <w:gridSpan w:val="2"/>
          </w:tcPr>
          <w:p>
            <w:pPr>
              <w:ind w:left="940"/>
              <w:spacing w:after="0"/>
              <w:rPr>
                <w:sz w:val="20"/>
                <w:szCs w:val="20"/>
                <w:color w:val="auto"/>
              </w:rPr>
            </w:pPr>
            <w:r>
              <w:rPr>
                <w:rFonts w:ascii="Arial" w:cs="Arial" w:eastAsia="Arial" w:hAnsi="Arial"/>
                <w:sz w:val="18"/>
                <w:szCs w:val="18"/>
                <w:color w:val="auto"/>
              </w:rPr>
              <w:t>director of First Midwest Bancorp, Inc.</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 Directors Whose Terms Expire at the Annual Meeting Following Fiscal Year 2010</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Year First</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2"/>
          <w:szCs w:val="12"/>
          <w:b w:val="1"/>
          <w:bCs w:val="1"/>
          <w:color w:val="auto"/>
        </w:rPr>
        <w:t>Became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2004</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2001</w:t>
      </w:r>
      <w:r>
        <w:rPr>
          <w:rFonts w:ascii="Arial" w:cs="Arial" w:eastAsia="Arial" w:hAnsi="Arial"/>
          <w:sz w:val="29"/>
          <w:szCs w:val="29"/>
          <w:color w:val="auto"/>
          <w:vertAlign w:val="superscript"/>
        </w:rPr>
        <w:t>(2)</w:t>
      </w:r>
    </w:p>
    <w:p>
      <w:pPr>
        <w:spacing w:after="0" w:line="665" w:lineRule="exact"/>
        <w:rPr>
          <w:sz w:val="20"/>
          <w:szCs w:val="20"/>
          <w:color w:val="auto"/>
        </w:rPr>
      </w:pPr>
    </w:p>
    <w:p>
      <w:pPr>
        <w:sectPr>
          <w:pgSz w:w="11900" w:h="16858" w:orient="portrait"/>
          <w:cols w:equalWidth="0" w:num="2">
            <w:col w:w="9080" w:space="720"/>
            <w:col w:w="1620"/>
          </w:cols>
          <w:pgMar w:left="240" w:top="347"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Jerry N. Currie (64)</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President &amp; Chief Executive Officer of both CURRIES Company,</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w w:val="97"/>
              </w:rPr>
              <w:t>manufacturer of steel doors and frames for nonresidential construction, and</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GRAHAM Manufacturing, manufacturer of wood doors for nonresidential</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construction</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480" w:type="dxa"/>
            <w:vAlign w:val="bottom"/>
            <w:gridSpan w:val="3"/>
          </w:tcPr>
          <w:p>
            <w:pPr>
              <w:spacing w:after="0"/>
              <w:rPr>
                <w:sz w:val="20"/>
                <w:szCs w:val="20"/>
                <w:color w:val="auto"/>
              </w:rPr>
            </w:pPr>
            <w:r>
              <w:rPr>
                <w:rFonts w:ascii="Arial" w:cs="Arial" w:eastAsia="Arial" w:hAnsi="Arial"/>
                <w:sz w:val="18"/>
                <w:szCs w:val="18"/>
                <w:color w:val="auto"/>
              </w:rPr>
              <w:t>Lawrence A. Erickson (60)</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w w:val="97"/>
              </w:rPr>
              <w:t>Retired; former Senior Vice President &amp; Chief Financial Officer of Rockwell</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w w:val="96"/>
              </w:rPr>
              <w:t>Collins, Inc., provider of communication and aviation electronic solutions for</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commercial and military applications</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480" w:type="dxa"/>
            <w:vAlign w:val="bottom"/>
            <w:gridSpan w:val="3"/>
          </w:tcPr>
          <w:p>
            <w:pPr>
              <w:spacing w:after="0"/>
              <w:rPr>
                <w:sz w:val="20"/>
                <w:szCs w:val="20"/>
                <w:color w:val="auto"/>
              </w:rPr>
            </w:pPr>
            <w:r>
              <w:rPr>
                <w:rFonts w:ascii="Arial" w:cs="Arial" w:eastAsia="Arial" w:hAnsi="Arial"/>
                <w:sz w:val="18"/>
                <w:szCs w:val="18"/>
                <w:color w:val="auto"/>
              </w:rPr>
              <w:t>Robert M. Chiusano (58)</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Retired; former Executive Vice President and Special Assistant to Chief</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w w:val="97"/>
              </w:rPr>
              <w:t>Executive Officer and Executive Vice President and Chief Operating Officer</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 Commercial Systems of Rockwell Collins, Inc.</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20" w:type="dxa"/>
            <w:vAlign w:val="bottom"/>
            <w:gridSpan w:val="2"/>
          </w:tcPr>
          <w:p>
            <w:pPr>
              <w:jc w:val="right"/>
              <w:ind w:right="307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4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2"/>
                <w:szCs w:val="22"/>
                <w:b w:val="1"/>
                <w:bCs w:val="1"/>
                <w:color w:val="auto"/>
                <w:vertAlign w:val="superscript"/>
              </w:rPr>
              <w:t>(1)</w:t>
            </w:r>
          </w:p>
        </w:tc>
        <w:tc>
          <w:tcPr>
            <w:tcW w:w="940" w:type="dxa"/>
            <w:vAlign w:val="bottom"/>
          </w:tcPr>
          <w:p>
            <w:pPr>
              <w:spacing w:after="0"/>
              <w:rPr>
                <w:sz w:val="24"/>
                <w:szCs w:val="24"/>
                <w:color w:val="auto"/>
              </w:rPr>
            </w:pPr>
          </w:p>
        </w:tc>
        <w:tc>
          <w:tcPr>
            <w:tcW w:w="5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Principal Occupation and Other</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Year First</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940" w:type="dxa"/>
            <w:vAlign w:val="bottom"/>
          </w:tcPr>
          <w:p>
            <w:pPr>
              <w:spacing w:after="0"/>
              <w:rPr>
                <w:sz w:val="14"/>
                <w:szCs w:val="14"/>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Directorships Held</w:t>
            </w:r>
          </w:p>
        </w:tc>
        <w:tc>
          <w:tcPr>
            <w:tcW w:w="36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Became a Director</w:t>
            </w:r>
          </w:p>
        </w:tc>
        <w:tc>
          <w:tcPr>
            <w:tcW w:w="0" w:type="dxa"/>
            <w:vAlign w:val="bottom"/>
          </w:tcPr>
          <w:p>
            <w:pPr>
              <w:spacing w:after="0"/>
              <w:rPr>
                <w:sz w:val="1"/>
                <w:szCs w:val="1"/>
                <w:color w:val="auto"/>
              </w:rPr>
            </w:pPr>
          </w:p>
        </w:tc>
      </w:tr>
      <w:tr>
        <w:trPr>
          <w:trHeight w:val="262"/>
        </w:trPr>
        <w:tc>
          <w:tcPr>
            <w:tcW w:w="9260" w:type="dxa"/>
            <w:vAlign w:val="bottom"/>
            <w:gridSpan w:val="6"/>
          </w:tcPr>
          <w:p>
            <w:pPr>
              <w:spacing w:after="0"/>
              <w:rPr>
                <w:sz w:val="20"/>
                <w:szCs w:val="20"/>
                <w:color w:val="auto"/>
              </w:rPr>
            </w:pPr>
            <w:r>
              <w:rPr>
                <w:rFonts w:ascii="Arial" w:cs="Arial" w:eastAsia="Arial" w:hAnsi="Arial"/>
                <w:sz w:val="18"/>
                <w:szCs w:val="18"/>
                <w:b w:val="1"/>
                <w:bCs w:val="1"/>
                <w:color w:val="auto"/>
              </w:rPr>
              <w:t>Class III — Directors Whose Terms Expire at the Annual Meeting Following Fiscal Year 2011</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480" w:type="dxa"/>
            <w:vAlign w:val="bottom"/>
            <w:gridSpan w:val="3"/>
          </w:tcPr>
          <w:p>
            <w:pPr>
              <w:spacing w:after="0"/>
              <w:rPr>
                <w:sz w:val="20"/>
                <w:szCs w:val="20"/>
                <w:color w:val="auto"/>
              </w:rPr>
            </w:pPr>
            <w:r>
              <w:rPr>
                <w:rFonts w:ascii="Arial" w:cs="Arial" w:eastAsia="Arial" w:hAnsi="Arial"/>
                <w:sz w:val="18"/>
                <w:szCs w:val="18"/>
                <w:color w:val="auto"/>
              </w:rPr>
              <w:t>John V. Hanson (67)</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Retired; former Deputy Chairman of the Board of Directors of Winnebago</w:t>
            </w:r>
          </w:p>
        </w:tc>
        <w:tc>
          <w:tcPr>
            <w:tcW w:w="2160" w:type="dxa"/>
            <w:vAlign w:val="bottom"/>
          </w:tcPr>
          <w:p>
            <w:pPr>
              <w:jc w:val="center"/>
              <w:spacing w:after="0" w:line="277" w:lineRule="exact"/>
              <w:rPr>
                <w:sz w:val="20"/>
                <w:szCs w:val="20"/>
                <w:color w:val="auto"/>
              </w:rPr>
            </w:pPr>
            <w:r>
              <w:rPr>
                <w:rFonts w:ascii="Arial" w:cs="Arial" w:eastAsia="Arial" w:hAnsi="Arial"/>
                <w:sz w:val="18"/>
                <w:szCs w:val="18"/>
                <w:color w:val="auto"/>
                <w:w w:val="81"/>
              </w:rPr>
              <w:t>1996</w:t>
            </w:r>
            <w:r>
              <w:rPr>
                <w:rFonts w:ascii="Arial" w:cs="Arial" w:eastAsia="Arial" w:hAnsi="Arial"/>
                <w:sz w:val="29"/>
                <w:szCs w:val="29"/>
                <w:color w:val="auto"/>
                <w:w w:val="81"/>
                <w:vertAlign w:val="superscript"/>
              </w:rPr>
              <w:t>(3)</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Industries, Inc.</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480" w:type="dxa"/>
            <w:vAlign w:val="bottom"/>
            <w:gridSpan w:val="3"/>
          </w:tcPr>
          <w:p>
            <w:pPr>
              <w:spacing w:after="0"/>
              <w:rPr>
                <w:sz w:val="20"/>
                <w:szCs w:val="20"/>
                <w:color w:val="auto"/>
              </w:rPr>
            </w:pPr>
            <w:r>
              <w:rPr>
                <w:rFonts w:ascii="Arial" w:cs="Arial" w:eastAsia="Arial" w:hAnsi="Arial"/>
                <w:sz w:val="18"/>
                <w:szCs w:val="18"/>
                <w:color w:val="auto"/>
              </w:rPr>
              <w:t>Gerald C. Kitch (71)</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Retired; former Executive Vice President, Pentair, Inc., a diversified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operating company</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480" w:type="dxa"/>
            <w:vAlign w:val="bottom"/>
            <w:gridSpan w:val="3"/>
          </w:tcPr>
          <w:p>
            <w:pPr>
              <w:spacing w:after="0"/>
              <w:rPr>
                <w:sz w:val="20"/>
                <w:szCs w:val="20"/>
                <w:color w:val="auto"/>
              </w:rPr>
            </w:pPr>
            <w:r>
              <w:rPr>
                <w:rFonts w:ascii="Arial" w:cs="Arial" w:eastAsia="Arial" w:hAnsi="Arial"/>
                <w:sz w:val="18"/>
                <w:szCs w:val="18"/>
                <w:color w:val="auto"/>
              </w:rPr>
              <w:t>Robert J. Olson (58)</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w w:val="98"/>
              </w:rPr>
              <w:t>Chairman of the Board, Chief Executive Officer and President, Winnebago</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22"/>
        </w:trPr>
        <w:tc>
          <w:tcPr>
            <w:tcW w:w="2480" w:type="dxa"/>
            <w:vAlign w:val="bottom"/>
            <w:gridSpan w:val="3"/>
            <w:vMerge w:val="restart"/>
          </w:tcPr>
          <w:p>
            <w:pPr>
              <w:ind w:left="40"/>
              <w:spacing w:after="0"/>
              <w:rPr>
                <w:sz w:val="20"/>
                <w:szCs w:val="20"/>
                <w:color w:val="auto"/>
              </w:rPr>
            </w:pPr>
            <w:r>
              <w:rPr>
                <w:rFonts w:ascii="Arial" w:cs="Arial" w:eastAsia="Arial" w:hAnsi="Arial"/>
                <w:sz w:val="18"/>
                <w:szCs w:val="18"/>
                <w:color w:val="auto"/>
              </w:rPr>
              <w:t>__________________</w:t>
            </w:r>
          </w:p>
        </w:tc>
        <w:tc>
          <w:tcPr>
            <w:tcW w:w="6780" w:type="dxa"/>
            <w:vAlign w:val="bottom"/>
            <w:gridSpan w:val="3"/>
          </w:tcPr>
          <w:p>
            <w:pPr>
              <w:ind w:left="940"/>
              <w:spacing w:after="0"/>
              <w:rPr>
                <w:sz w:val="20"/>
                <w:szCs w:val="20"/>
                <w:color w:val="auto"/>
              </w:rPr>
            </w:pPr>
            <w:r>
              <w:rPr>
                <w:rFonts w:ascii="Arial" w:cs="Arial" w:eastAsia="Arial" w:hAnsi="Arial"/>
                <w:sz w:val="18"/>
                <w:szCs w:val="18"/>
                <w:color w:val="auto"/>
              </w:rPr>
              <w:t>Industries, Inc.</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-2049780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-2049780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Reference is made to “Voting Securities and Principal Holders Thereof” herein.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recommended, and the Board approved, the nomination of such person.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served as a director from 1967 to 1979 and from 1985 to 1989.</w:t>
      </w:r>
    </w:p>
    <w:p>
      <w:pPr>
        <w:spacing w:after="0" w:line="117" w:lineRule="exact"/>
        <w:rPr>
          <w:sz w:val="20"/>
          <w:szCs w:val="20"/>
          <w:color w:val="auto"/>
        </w:rPr>
      </w:pPr>
    </w:p>
    <w:p>
      <w:pPr>
        <w:ind w:firstLine="458"/>
        <w:spacing w:after="0" w:line="268"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COMMITTEES OF THE BOARD AND CORPORATE GOVERNANCE</w:t>
      </w:r>
    </w:p>
    <w:p>
      <w:pPr>
        <w:spacing w:after="0" w:line="127" w:lineRule="exact"/>
        <w:rPr>
          <w:sz w:val="20"/>
          <w:szCs w:val="20"/>
          <w:color w:val="auto"/>
        </w:rPr>
      </w:pPr>
    </w:p>
    <w:p>
      <w:pPr>
        <w:ind w:firstLine="458"/>
        <w:spacing w:after="0" w:line="332" w:lineRule="auto"/>
        <w:rPr>
          <w:sz w:val="20"/>
          <w:szCs w:val="20"/>
          <w:color w:val="auto"/>
        </w:rPr>
      </w:pPr>
      <w:r>
        <w:rPr>
          <w:rFonts w:ascii="Arial" w:cs="Arial" w:eastAsia="Arial" w:hAnsi="Arial"/>
          <w:sz w:val="16"/>
          <w:szCs w:val="16"/>
          <w:color w:val="auto"/>
        </w:rPr>
        <w:t>The Board has established standing Audit, Human Resources and Nominating and Governance Committees to assist it in the discharge of its responsibilities. Each of such committees is governed by a written charter, each of which is available for review on the Company’s Web Site at</w:t>
      </w:r>
    </w:p>
    <w:p>
      <w:pPr>
        <w:sectPr>
          <w:pgSz w:w="11900" w:h="16858" w:orient="portrait"/>
          <w:cols w:equalWidth="0" w:num="1">
            <w:col w:w="11420"/>
          </w:cols>
          <w:pgMar w:left="240" w:top="347"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http://www.winnebagoind.com/governance.html. The principal responsibilities of each of these committees are described below.</w:t>
      </w:r>
    </w:p>
    <w:p>
      <w:pPr>
        <w:spacing w:after="0" w:line="111" w:lineRule="exact"/>
        <w:rPr>
          <w:sz w:val="20"/>
          <w:szCs w:val="20"/>
          <w:color w:val="auto"/>
        </w:rPr>
      </w:pPr>
    </w:p>
    <w:p>
      <w:pPr>
        <w:jc w:val="both"/>
        <w:ind w:firstLine="274"/>
        <w:spacing w:after="0" w:line="287"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current members of the Audit Committee are Messrs. Erickson, Aal, Currie and England, all of whom are independent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established by the SEC for audit committee members, the listing standards of the NYSE and our Nominations of Directors Policy. Based on the attributes, education and experience requirements set forth in Section 407 of the Sarbanes-Oxley Act of 2002 and associated regulations, the Board of Directors has determined that Joseph W. England and Lawrence A. Erickson both qualify as “Audit Committee Financial Experts.” Each year, the committee appoints independent registered public accountants to examine the books of the Company. It reviews with representatives of the independent registered public accountants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The Audit Committee is also prepared to meet privately at any time at the request of the independent registered public accountants or members of the Company’s management (“Management”) to review any special situation arising on any of the above subjects. The Audit Committee also performs other duties as set forth in its written charter. The Audit Committee regularly reviews its written charter and recommends to the Board such changes as it deems necessary. Reference is also made to the “Report of the Audit Committee” herein. In Fiscal 2009, as required by its charter, the Audit Committee conducted an annual self-evaluation of its performance. The committee met six (6) times in Fiscal 2009.</w:t>
      </w:r>
    </w:p>
    <w:p>
      <w:pPr>
        <w:spacing w:after="0" w:line="61" w:lineRule="exact"/>
        <w:rPr>
          <w:sz w:val="20"/>
          <w:szCs w:val="20"/>
          <w:color w:val="auto"/>
        </w:rPr>
      </w:pPr>
    </w:p>
    <w:p>
      <w:pPr>
        <w:jc w:val="both"/>
        <w:ind w:firstLine="274"/>
        <w:spacing w:after="0" w:line="291" w:lineRule="auto"/>
        <w:rPr>
          <w:sz w:val="20"/>
          <w:szCs w:val="20"/>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current members of the Human Resources Committee are Messrs. Kitch, Aal, Chiusano and Erickson, all of whom are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directors within the meaning of the NYSE listing requirements and our Nominations of Directors Policy. The Human Resources Committee’s Charter establishes the scope of the committee’s duties to include: (1) reviewing and approving corporate goals and objectives relevant to compensation of the Chief Executive Officer of the Company, evaluating performance and compensation of the Chief Executive Officer in light of such goals and objectives and establishing compensation levels for the Company’s other executive officers; (2) overseeing the evaluation of executive officers (other than the Chief Executive Officer) of the Company and approving the general compensation program and salary structure of such executive officers; (3) administering and approving awards under the Company’s incentive compensation and equity-based plan; (4) reviewing and approving any executive employment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agreements, severance agreements, and change in control agreements and determining policy with respect to Section 162(m) of the Internal Revenue Code of 1986 (the “IRC”); (5) reviewing the list of peer group of companies to which the Company compares itself for compensation purposes; (6) reviewing and discussing with Management the Compensation Discussion and Analysis section of the Company’s Form 10-K and proxy statement; (7) preparing an annual report on executive compensation for the Company’s Form 10-K and proxy statement; and (8) acting on important policy matters affecting Company personnel. In Fiscal 2009, as required by its charter, the committee conducted an annual self-evaluation of its performance. The committee met five (5) times in Fiscal 2009.</w:t>
      </w:r>
    </w:p>
    <w:p>
      <w:pPr>
        <w:spacing w:after="0" w:line="62"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2009, the committee delegated authority to designated members of Management to approve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packages for certain employees, not including the Named Executive Officers (as defined below), under certain circumstances. In Fiscal 2009, Mr. Olson, as Chairman, Chief Executive Officer and President, recommended to the committee proposals for base salary, target short-term incentive levels, actual short-term incentive payouts and long-term incentive grants for the other Named Executive Officers. The committee separately considers, discusses, modifies as appropriate, and takes action on such proposals and the compensation of the Chairman, Chief Executive Officer and President. See “Compensation Discussion and Analysis—Role of Executive Officers in Compensation Decisions” below.</w:t>
      </w:r>
    </w:p>
    <w:p>
      <w:pPr>
        <w:spacing w:after="0" w:line="66"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has periodically utilized an outside compensation consultant for matters relating to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Fiscal 2009, the Committee did not retain any compensation consultant to provide advice relating to executive compensation. However, as noted in “Compensation Discussion and Analysis—Competitive Benchmarking” below, the Company engaged Towers Perrin as a consultant for executive compensation matters in 2007 and utilized information from this engagement in subsequent fiscal years.</w:t>
      </w:r>
    </w:p>
    <w:p>
      <w:pPr>
        <w:spacing w:after="0" w:line="53"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b w:val="1"/>
          <w:bCs w:val="1"/>
          <w:color w:val="auto"/>
        </w:rPr>
        <w:t xml:space="preserve">Nominating and Governance Committee. </w:t>
      </w:r>
      <w:r>
        <w:rPr>
          <w:rFonts w:ascii="Arial" w:cs="Arial" w:eastAsia="Arial" w:hAnsi="Arial"/>
          <w:sz w:val="16"/>
          <w:szCs w:val="16"/>
          <w:color w:val="auto"/>
        </w:rPr>
        <w:t>The current members of the Nominating and Governance Committee are Messrs. Hanson, Chiusano and Kitch,</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whom are independent directors within the meaning of NYSE listing requirements and our Nominations of Directors Policy. This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Nominations of Directors Policy as discussed below. See also, "</w:t>
      </w:r>
      <w:r>
        <w:rPr>
          <w:rFonts w:ascii="Arial" w:cs="Arial" w:eastAsia="Arial" w:hAnsi="Arial"/>
          <w:sz w:val="15"/>
          <w:szCs w:val="15"/>
          <w:color w:val="auto"/>
        </w:rPr>
        <w:t>Fiscal Year 2010 Shareholder Proposals</w:t>
      </w:r>
      <w:r>
        <w:rPr>
          <w:rFonts w:ascii="Arial" w:cs="Arial" w:eastAsia="Arial" w:hAnsi="Arial"/>
          <w:sz w:val="16"/>
          <w:szCs w:val="16"/>
          <w:color w:val="auto"/>
        </w:rPr>
        <w:t xml:space="preserve">" </w:t>
      </w:r>
      <w:r>
        <w:rPr>
          <w:rFonts w:ascii="Arial" w:cs="Arial" w:eastAsia="Arial" w:hAnsi="Arial"/>
          <w:sz w:val="15"/>
          <w:szCs w:val="15"/>
          <w:color w:val="auto"/>
        </w:rPr>
        <w:t>below for a summary of the procedures that shareholders must follow. In Fiscal 2009, as required by its charter, the</w:t>
      </w:r>
      <w:r>
        <w:rPr>
          <w:rFonts w:ascii="Arial" w:cs="Arial" w:eastAsia="Arial" w:hAnsi="Arial"/>
          <w:sz w:val="16"/>
          <w:szCs w:val="16"/>
          <w:color w:val="auto"/>
        </w:rPr>
        <w:t xml:space="preserve"> </w:t>
      </w:r>
      <w:r>
        <w:rPr>
          <w:rFonts w:ascii="Arial" w:cs="Arial" w:eastAsia="Arial" w:hAnsi="Arial"/>
          <w:sz w:val="15"/>
          <w:szCs w:val="15"/>
          <w:color w:val="auto"/>
        </w:rPr>
        <w:t>Nominating and Governance Committee conducted an annual self-evaluation of its performance. The committee met three (3) times in Fiscal 2009.</w:t>
      </w:r>
    </w:p>
    <w:p>
      <w:pPr>
        <w:spacing w:after="0" w:line="65"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The Board of Directors of the Company held six (6) meetings during Fiscal 2009. Actions taken by any committee of the Board are reported to the Board of Directors, usually at its next meeting. During Fiscal 2009, all of the then-incumbent directors attended more than 75 percent of the aggregate of Board of Directors’ meetings and meetings of committees of the Board on which they served. The Corporate Governance Policy of the Company, discussed below, encourages, but does not require, Board members to attend the Annual Meeting. At the last annual meeting, seven of eight directors were in attendance. Additionally, in Fiscal 2009, in accordance with the Company’s Corporate Governance Policy described below, the Board of Directors conducted an annual self-evaluation to determine whether it and its committees are functioning effectively. The Nominating and Governance Committee received comments from all directors and reported to the Board with an assessment of the Board’s performance.</w:t>
      </w:r>
    </w:p>
    <w:p>
      <w:pPr>
        <w:spacing w:after="0" w:line="64"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i w:val="1"/>
          <w:iCs w:val="1"/>
          <w:color w:val="auto"/>
        </w:rPr>
        <w:t xml:space="preserve">Executive Sessions of Non-employee Directors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directors who are not employees of the Company (the “Non-employee Directors”) meet privately in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sessions to consider such matters as they deem appropriate, without Management being present, as a routinely scheduled agenda item for every Board meeting. An executive session including only independent directors, as defined by the NYSE listing standards, is held at least once a year. Effective September 11, 2008, the Company amended its Nomination of Directors Policy and the standards for directors independence therein to reflect changes in NYSE listing standards. During Fiscal 2009, as of the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4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466" w:gutter="0" w:footer="0" w:header="0"/>
          <w:type w:val="continuous"/>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t>effective date of the amendment, all Non-employee Directors were independent. Director Gerald C. Kitch was chosen as Lead Director to preside at such executive sessions.</w:t>
      </w:r>
    </w:p>
    <w:p>
      <w:pPr>
        <w:spacing w:after="0" w:line="78"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Board has adopted and annually reviews the Corporate Governance Policy which incorporates the corporate governance principles by which the Company operates. A copy of the Company’s Corporate Governance Policy is available on the Company’s Web Site at http://www.winnebagoind.com/governance.html.</w:t>
      </w:r>
    </w:p>
    <w:p>
      <w:pPr>
        <w:spacing w:after="0" w:line="80" w:lineRule="exact"/>
        <w:rPr>
          <w:sz w:val="20"/>
          <w:szCs w:val="20"/>
          <w:color w:val="auto"/>
        </w:rPr>
      </w:pPr>
    </w:p>
    <w:p>
      <w:pPr>
        <w:jc w:val="both"/>
        <w:ind w:firstLine="458"/>
        <w:spacing w:after="0" w:line="287"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will consider director nominations from shareholders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Nominations of Directors Policy, a copy of which is attached hereto as Appendix A. The Nominating and Governance Committee will consider as a candidate any director of the Company who has indicated to the Nominating and Governance Committee that he or she is willing to stand for re-election, and who has not reached the age of 70 years prior to the date of re-election to the Board, as well as any other person who is recommended by any shareholder of the Company who provides the required information and certifications within the specified time requirements, as set forth in Section 1 of the Nominations of Directors Policy. The Nominating and Governance Committee recommended, and the Board approved, a waiver of the provision, as it relates to Mr. Aal, in the Company’s Corporate Governance Policy that directors will not be nominated for re-election if they will reach the age of 70 years prior to the date of re-election to the Board. Mr. Aal abstained from voting on the waiver of the Corporate Governance Policy at the meeting of the Board of Directors. The Nominating and Governance Committee and the Board of Directors felt that Mr. Aal’s continued service on the Board was in the best interests of the Company and its shareholders. The Nominating and Governance Committee may also undertake its own search process for candidates and may retain the services of professional search firms or other third parties to assist in identifying and evaluating potential nominees.</w:t>
      </w:r>
    </w:p>
    <w:p>
      <w:pPr>
        <w:spacing w:after="0" w:line="71"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color w:val="auto"/>
        </w:rPr>
        <w:t>In considering a potential nominee for the Board, shareholders should note that in recommending candidates, the Nominating and Governance Committee endeavors to find individuals of high integrity who have a solid record of accomplishment in their chosen fields and who display the qualifications, skills and independence to effectively represent the best interests of all shareholders. Candidates are selected for their ability to exercise good judgment, and to provide practical insights and diverse perspectives.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64"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The Nominating and Governance Committee considers the following qualifications at a minimum to be required of any Board members in recommending to the Board potential new Board members, or the continued service of existing members:</w:t>
      </w:r>
    </w:p>
    <w:p>
      <w:pPr>
        <w:sectPr>
          <w:pgSz w:w="11900" w:h="16838" w:orient="portrait"/>
          <w:cols w:equalWidth="0" w:num="1">
            <w:col w:w="11420"/>
          </w:cols>
          <w:pgMar w:left="240" w:top="131" w:right="239" w:bottom="0" w:gutter="0" w:footer="0" w:header="0"/>
        </w:sectPr>
      </w:pPr>
    </w:p>
    <w:p>
      <w:pPr>
        <w:spacing w:after="0" w:line="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highest professional and personal ethics;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broad experience in business, government, education or technology;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ability to provide insights and practical wisdom based on their experience and expertise;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commitment to enhancing shareholder value;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independence; a majority of the Board shall consist of independent directors, as defined by the Company’s Policy Regarding Nominations of Directors. See “—Director Independence” below.</w:t>
      </w:r>
    </w:p>
    <w:p>
      <w:pPr>
        <w:spacing w:after="0" w:line="18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231775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360"/>
            <w:col w:w="10520"/>
          </w:cols>
          <w:pgMar w:left="240" w:top="131" w:right="239"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The Nominating and Governance Committee continues to evaluate the Company’s and the Board’s governance practices at least annually. 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w:t>
      </w:r>
    </w:p>
    <w:p>
      <w:pPr>
        <w:spacing w:after="0" w:line="53" w:lineRule="exact"/>
        <w:rPr>
          <w:sz w:val="20"/>
          <w:szCs w:val="20"/>
          <w:color w:val="auto"/>
        </w:rPr>
      </w:pPr>
    </w:p>
    <w:p>
      <w:pPr>
        <w:jc w:val="both"/>
        <w:ind w:firstLine="458"/>
        <w:spacing w:after="0" w:line="296" w:lineRule="auto"/>
        <w:rPr>
          <w:sz w:val="20"/>
          <w:szCs w:val="20"/>
          <w:color w:val="auto"/>
        </w:rPr>
      </w:pPr>
      <w:r>
        <w:rPr>
          <w:rFonts w:ascii="Arial" w:cs="Arial" w:eastAsia="Arial" w:hAnsi="Arial"/>
          <w:sz w:val="16"/>
          <w:szCs w:val="16"/>
          <w:b w:val="1"/>
          <w:bCs w:val="1"/>
          <w:color w:val="auto"/>
        </w:rPr>
        <w:t xml:space="preserve">Policy and Procedures With Respect to Related Person Transactions. </w:t>
      </w:r>
      <w:r>
        <w:rPr>
          <w:rFonts w:ascii="Arial" w:cs="Arial" w:eastAsia="Arial" w:hAnsi="Arial"/>
          <w:sz w:val="16"/>
          <w:szCs w:val="16"/>
          <w:color w:val="auto"/>
        </w:rPr>
        <w:t>In 2007, the Board of Directors adopted the Winnebago Industries, Inc.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Transaction Policy and Procedures. This written policy provides that the Nominating and Governance Committee will review and approve Related Person Transactions (as defined below); provided that the Human Resources Committee will review and approve the compensation of each Company employee who is an immediate family member of a Company director or executive officer and whose compensation exceeds $120,000. The Chair of the Nominating and Governance Committee has delegated authority to act between committee meetings.</w:t>
      </w:r>
    </w:p>
    <w:p>
      <w:pPr>
        <w:spacing w:after="0" w:line="60" w:lineRule="exact"/>
        <w:rPr>
          <w:sz w:val="20"/>
          <w:szCs w:val="20"/>
          <w:color w:val="auto"/>
        </w:rPr>
      </w:pPr>
    </w:p>
    <w:p>
      <w:pPr>
        <w:jc w:val="both"/>
        <w:ind w:firstLine="458"/>
        <w:spacing w:after="0" w:line="286"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the Company (including any of its subsidiaries) was, is or will be a participant and the amount involved exceeds $120,000 and in which any Related Person (as defined below) had, has or will have a direct or indirect material interest, other than (1) competitively bid or regulated public utility services transactions, (2) transactions involving trustee type services, (3) transactions in which the Related Person’s interest arises solely from ownership of Company equity securities and all equity security holders received the same benefit on a pro rata basis, (4) an employment relationship or transaction involving an executive officer and any related compensation solely resulting from that employment relationship or transaction if (i) the compensation arising from the relationship or transaction is or will be reported pursuant to the SEC’s executive and director compensation proxy statement disclosure rules; or (ii) the executive officer is not an immediate family member of another executive officer or director and such compensation would have been reported under the SEC’s executive and director compensation proxy statement disclosure rules as compensation earned for services to the Company if the executive officer was a “named executive officer,” as that term is defined in the SEC’s executive and director compensation proxy statement disclosure rules, and such compensation has been or will be approved, or recommended to our Board of Directors for approval, by the Human Resources Committee of our Board of Directors or (5) if the compensation of or transaction with a director is or will be reported pursuant to the SEC’s executive and director compensation proxy statement disclosure rules.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“Related Person” is defined as (1) each director, director nominee and executive officer of the Company, (2) 5 percent or greater beneficial owners,</w:t>
      </w:r>
    </w:p>
    <w:p>
      <w:pPr>
        <w:spacing w:after="0" w:line="38" w:lineRule="exact"/>
        <w:rPr>
          <w:sz w:val="20"/>
          <w:szCs w:val="20"/>
          <w:color w:val="auto"/>
        </w:rPr>
      </w:pPr>
    </w:p>
    <w:p>
      <w:pPr>
        <w:ind w:firstLine="8"/>
        <w:spacing w:after="0" w:line="261" w:lineRule="auto"/>
        <w:tabs>
          <w:tab w:leader="none" w:pos="2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 family members of the foregoing persons and (4) any entity in which any of the foregoing persons is a general partner or principal or in a similar position or in which such person and all other related persons to such person has a 10 percent or greater beneficial interest.</w:t>
      </w:r>
    </w:p>
    <w:p>
      <w:pPr>
        <w:sectPr>
          <w:pgSz w:w="11900" w:h="16838" w:orient="portrait"/>
          <w:cols w:equalWidth="0" w:num="1">
            <w:col w:w="11420"/>
          </w:cols>
          <w:pgMar w:left="240" w:top="131" w:right="239" w:bottom="0" w:gutter="0" w:footer="0" w:header="0"/>
          <w:type w:val="continuous"/>
        </w:sectPr>
      </w:pPr>
    </w:p>
    <w:bookmarkStart w:id="8" w:name="page9"/>
    <w:bookmarkEnd w:id="8"/>
    <w:p>
      <w:pPr>
        <w:jc w:val="both"/>
        <w:ind w:firstLine="458"/>
        <w:spacing w:after="0" w:line="306"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53" w:lineRule="exact"/>
        <w:rPr>
          <w:sz w:val="20"/>
          <w:szCs w:val="20"/>
          <w:color w:val="auto"/>
        </w:rPr>
      </w:pPr>
    </w:p>
    <w:p>
      <w:pPr>
        <w:jc w:val="both"/>
        <w:ind w:right="20" w:firstLine="458"/>
        <w:spacing w:after="0" w:line="259" w:lineRule="auto"/>
        <w:rPr>
          <w:sz w:val="20"/>
          <w:szCs w:val="20"/>
          <w:color w:val="auto"/>
        </w:rPr>
      </w:pPr>
      <w:r>
        <w:rPr>
          <w:rFonts w:ascii="Arial" w:cs="Arial" w:eastAsia="Arial" w:hAnsi="Arial"/>
          <w:sz w:val="18"/>
          <w:szCs w:val="18"/>
          <w:color w:val="auto"/>
        </w:rPr>
        <w:t>The policy recognizes that certain Related Person Transactions are in the best interests of the Company and its shareholders. Each of the following Related Person Transactions are deemed to be pre-approved by the Nominating and Governance Committee pursuant to the policy, even if the aggregate amount involved will exceed $120,000:</w:t>
      </w:r>
    </w:p>
    <w:p>
      <w:pPr>
        <w:spacing w:after="0" w:line="86" w:lineRule="exact"/>
        <w:rPr>
          <w:sz w:val="20"/>
          <w:szCs w:val="20"/>
          <w:color w:val="auto"/>
        </w:rPr>
      </w:pPr>
    </w:p>
    <w:p>
      <w:pPr>
        <w:jc w:val="both"/>
        <w:ind w:left="900" w:right="20" w:hanging="446"/>
        <w:spacing w:after="0" w:line="227" w:lineRule="auto"/>
        <w:tabs>
          <w:tab w:leader="none" w:pos="900" w:val="left"/>
        </w:tabs>
        <w:numPr>
          <w:ilvl w:val="0"/>
          <w:numId w:val="13"/>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Certain transactions with other companies. </w:t>
      </w:r>
      <w:r>
        <w:rPr>
          <w:rFonts w:ascii="Arial" w:cs="Arial" w:eastAsia="Arial" w:hAnsi="Arial"/>
          <w:sz w:val="18"/>
          <w:szCs w:val="18"/>
          <w:color w:val="auto"/>
        </w:rPr>
        <w:t>Any transaction with another company at which a Related Person’s only relationship is as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executive officer), director or beneficial owner of less than 10 percent of that company’s shares, if the aggregate amount involved does not exceed the greater of $1,000,000, or 2 percent of that company’s total annual revenues.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900" w:hanging="446"/>
        <w:spacing w:after="0" w:line="227" w:lineRule="auto"/>
        <w:tabs>
          <w:tab w:leader="none" w:pos="900" w:val="left"/>
        </w:tabs>
        <w:numPr>
          <w:ilvl w:val="0"/>
          <w:numId w:val="14"/>
        </w:numPr>
        <w:rPr>
          <w:rFonts w:ascii="Arial" w:cs="Arial" w:eastAsia="Arial" w:hAnsi="Arial"/>
          <w:sz w:val="24"/>
          <w:szCs w:val="24"/>
          <w:b w:val="1"/>
          <w:bCs w:val="1"/>
          <w:color w:val="auto"/>
        </w:rPr>
      </w:pPr>
      <w:r>
        <w:rPr>
          <w:rFonts w:ascii="Arial" w:cs="Arial" w:eastAsia="Arial" w:hAnsi="Arial"/>
          <w:sz w:val="18"/>
          <w:szCs w:val="18"/>
          <w:i w:val="1"/>
          <w:iCs w:val="1"/>
          <w:color w:val="auto"/>
        </w:rPr>
        <w:t xml:space="preserve">Certain Company charitable contributions. </w:t>
      </w:r>
      <w:r>
        <w:rPr>
          <w:rFonts w:ascii="Arial" w:cs="Arial" w:eastAsia="Arial" w:hAnsi="Arial"/>
          <w:sz w:val="18"/>
          <w:szCs w:val="18"/>
          <w:color w:val="auto"/>
        </w:rPr>
        <w:t>Any charitable contribution, grant or endowment by the Company or the Winnebago Industries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to a charitable organization, foundation or university at which a Related Person’s only relationship is as an employee (other than an officer), if the aggregate amount involved does not exceed $100,000.</w:t>
      </w:r>
    </w:p>
    <w:p>
      <w:pPr>
        <w:spacing w:after="0" w:line="104"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(as defined in this policy) interest in the transaction, whether the proposed Related Person Transaction is in compliance with or would require disclosure under applicable SEC rules and regulations, NYSE listing requirements and the Company’s policies.</w:t>
      </w:r>
    </w:p>
    <w:p>
      <w:pPr>
        <w:spacing w:after="0" w:line="66"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The policy provides for the annual pre-approval by the Nominating and Corporate Governance Committee of certain Related Person Transactions that are identified in the policy, as the policy may be supplemented and amended. For Fiscal 2009, the Nominating and Corporate Governance Committee approved, in accordance with the policy, the Company’s banking relations on customary terms with Manufacturers Bank &amp; Trust Company (the “Bank”), Forest City, Iowa. The Bank is a wholly owned subsidiary of MBT Corp. John V. Hanson owns approximately 33-1/3 percent of MBT Corp.’s outstanding stock. Mr. Hanson is also Chairman of the Board of the Bank and MBT Corp.</w:t>
      </w:r>
    </w:p>
    <w:p>
      <w:pPr>
        <w:spacing w:after="0" w:line="83" w:lineRule="exact"/>
        <w:rPr>
          <w:sz w:val="20"/>
          <w:szCs w:val="20"/>
          <w:color w:val="auto"/>
        </w:rPr>
      </w:pPr>
    </w:p>
    <w:p>
      <w:pPr>
        <w:jc w:val="both"/>
        <w:ind w:firstLine="458"/>
        <w:spacing w:after="0" w:line="262" w:lineRule="auto"/>
        <w:rPr>
          <w:sz w:val="20"/>
          <w:szCs w:val="20"/>
          <w:color w:val="auto"/>
        </w:rPr>
      </w:pPr>
      <w:r>
        <w:rPr>
          <w:rFonts w:ascii="Arial" w:cs="Arial" w:eastAsia="Arial" w:hAnsi="Arial"/>
          <w:sz w:val="18"/>
          <w:szCs w:val="18"/>
          <w:b w:val="1"/>
          <w:bCs w:val="1"/>
          <w:color w:val="auto"/>
        </w:rPr>
        <w:t xml:space="preserve">Corporate Governance Policies and Codes of Conduct. </w:t>
      </w:r>
      <w:r>
        <w:rPr>
          <w:rFonts w:ascii="Arial" w:cs="Arial" w:eastAsia="Arial" w:hAnsi="Arial"/>
          <w:sz w:val="18"/>
          <w:szCs w:val="18"/>
          <w:color w:val="auto"/>
        </w:rPr>
        <w:t>The Board of Directors has adopted a Corporate Governance Policy, a Policy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Nominations of Directors, a Shareholder and Other Interested Party Communications Policy and written charters for its Audit Committee, Human Resources Committee and Nominating and Governance Committee.</w:t>
      </w:r>
    </w:p>
    <w:p>
      <w:pPr>
        <w:spacing w:after="0" w:line="84"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color w:val="auto"/>
        </w:rPr>
        <w:t>The Board of Directors also has adopted the Company’s Code of Ethics applicable to all of the Company’s directors, officers and employees and the Code of Ethics for CEO and Senior Financial Officers (including the Company’s principal financial officer and the principal accounting officer or controller). These policies, charters, codes and other items relating to the governance of the Company are available on the Company’s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the Company’s Web Site is not incorporated into this Proxy Statement or other securities filings.</w:t>
      </w:r>
    </w:p>
    <w:p>
      <w:pPr>
        <w:spacing w:after="0" w:line="60"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the Company’s Corporate Governance Policy and NYSE rules, the Board must have a majority of directors who meet the</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for independence under the Company’s Policy Regarding Nominations of Directors and applicable NYSE rules, respectively. The Board must determine, based on all of the relevant facts and circumstances, whether each director satisfies the criteria for independence. The Board of Directors has determined at its meeting in October 2009, after careful review and upon consideration of the following, that Mr. Aal (Class I director and a nominee for re-election as a Class I director), Mr. Chiusano (Class II director), Mr. Currie (Class II director), Mr. England (Class I director and a nominee for re-election as a Class I director), Mr. Erickson (Class II director), Mr. Hanson (Class III director), and Mr. Kitch (Class III director ), are independent as defined by the relevant provisions of applicable law, the NYSE listing standards and the Company’s Policy Regarding Nominations of Directors and that each independent director has no material relationship with the Company, determined in accordance with the standards disclosed below.</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Company’s Policy Regarding Nominations of Directors, an “independent director” is one who:</w:t>
      </w:r>
    </w:p>
    <w:p>
      <w:pPr>
        <w:spacing w:after="0" w:line="117" w:lineRule="exact"/>
        <w:rPr>
          <w:sz w:val="20"/>
          <w:szCs w:val="20"/>
          <w:color w:val="auto"/>
        </w:rPr>
      </w:pPr>
    </w:p>
    <w:p>
      <w:pPr>
        <w:ind w:left="900" w:right="20" w:hanging="446"/>
        <w:spacing w:after="0" w:line="217" w:lineRule="auto"/>
        <w:tabs>
          <w:tab w:leader="none" w:pos="900" w:val="left"/>
        </w:tabs>
        <w:numPr>
          <w:ilvl w:val="0"/>
          <w:numId w:val="15"/>
        </w:numPr>
        <w:rPr>
          <w:rFonts w:ascii="Arial" w:cs="Arial" w:eastAsia="Arial" w:hAnsi="Arial"/>
          <w:sz w:val="24"/>
          <w:szCs w:val="24"/>
          <w:b w:val="1"/>
          <w:bCs w:val="1"/>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
        <w:spacing w:after="0"/>
        <w:rPr>
          <w:sz w:val="20"/>
          <w:szCs w:val="20"/>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158" w:lineRule="exact"/>
        <w:rPr>
          <w:sz w:val="20"/>
          <w:szCs w:val="20"/>
          <w:color w:val="auto"/>
        </w:rPr>
      </w:pPr>
    </w:p>
    <w:p>
      <w:pPr>
        <w:ind w:left="1"/>
        <w:spacing w:after="0" w:line="268" w:lineRule="auto"/>
        <w:rPr>
          <w:sz w:val="20"/>
          <w:szCs w:val="20"/>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78" w:lineRule="exact"/>
        <w:rPr>
          <w:sz w:val="20"/>
          <w:szCs w:val="20"/>
          <w:color w:val="auto"/>
        </w:rPr>
      </w:pPr>
    </w:p>
    <w:p>
      <w:pPr>
        <w:ind w:left="1"/>
        <w:spacing w:after="0" w:line="268" w:lineRule="auto"/>
        <w:rPr>
          <w:sz w:val="20"/>
          <w:szCs w:val="20"/>
          <w:color w:val="auto"/>
        </w:rPr>
      </w:pPr>
      <w:r>
        <w:rPr>
          <w:rFonts w:ascii="Arial" w:cs="Arial" w:eastAsia="Arial" w:hAnsi="Arial"/>
          <w:sz w:val="18"/>
          <w:szCs w:val="18"/>
          <w:color w:val="auto"/>
        </w:rPr>
        <w:t>has not received and no member of his or her immediate family has received more than $120,000 per year in direct compensation from the Company in any capacity other than as a director during the past three years;</w:t>
      </w:r>
    </w:p>
    <w:p>
      <w:pPr>
        <w:spacing w:after="0" w:line="78" w:lineRule="exact"/>
        <w:rPr>
          <w:sz w:val="20"/>
          <w:szCs w:val="20"/>
          <w:color w:val="auto"/>
        </w:rPr>
      </w:pPr>
    </w:p>
    <w:p>
      <w:pPr>
        <w:jc w:val="both"/>
        <w:ind w:left="1" w:hanging="1"/>
        <w:spacing w:after="0" w:line="255" w:lineRule="auto"/>
        <w:tabs>
          <w:tab w:leader="none" w:pos="2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a current partner or employee of a firm that is the Company’s internal or external auditor; (ii) does not have an immediate family member who is a current partner of the Company’s internal or external auditor; (iii) does not have an immediate family member who is a current employee of the Company’s internal or external auditor and who personally works on the Company’s audit; and (iv) within the last three years was not and no member of his or her immediate family was, a partner or employee of the Company’s internal or external auditor and personally worked on the Company’s audit within that time;</w:t>
      </w:r>
    </w:p>
    <w:p>
      <w:pPr>
        <w:sectPr>
          <w:pgSz w:w="11900" w:h="16838" w:orient="portrait"/>
          <w:cols w:equalWidth="0" w:num="2">
            <w:col w:w="540" w:space="359"/>
            <w:col w:w="10521"/>
          </w:cols>
          <w:pgMar w:left="240" w:top="131" w:right="239" w:bottom="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two percent of such other company’s consolidated revenues during any of the past three years;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86" w:lineRule="exact"/>
        <w:rPr>
          <w:sz w:val="20"/>
          <w:szCs w:val="20"/>
          <w:color w:val="auto"/>
        </w:rPr>
      </w:pPr>
    </w:p>
    <w:p>
      <w:pPr>
        <w:sectPr>
          <w:pgSz w:w="11900" w:h="16838" w:orient="portrait"/>
          <w:cols w:equalWidth="0" w:num="2">
            <w:col w:w="540" w:space="360"/>
            <w:col w:w="10520"/>
          </w:cols>
          <w:pgMar w:left="240" w:top="85" w:right="239" w:bottom="0" w:gutter="0" w:footer="0" w:header="0"/>
        </w:sectPr>
      </w:pPr>
    </w:p>
    <w:p>
      <w:pPr>
        <w:jc w:val="both"/>
        <w:ind w:firstLine="458"/>
        <w:spacing w:after="0" w:line="286" w:lineRule="auto"/>
        <w:rPr>
          <w:sz w:val="20"/>
          <w:szCs w:val="20"/>
          <w:color w:val="auto"/>
        </w:rPr>
      </w:pPr>
      <w:r>
        <w:rPr>
          <w:rFonts w:ascii="Arial" w:cs="Arial" w:eastAsia="Arial" w:hAnsi="Arial"/>
          <w:sz w:val="16"/>
          <w:szCs w:val="16"/>
          <w:color w:val="auto"/>
        </w:rPr>
        <w:t>In September 2008, the Nominations of Directors Policy was amended in response to recent NYSE listed company corporate governance rule changes, effective September 11, 2008, with respect to certain of its “bright-line” director independence tests. The NYSE independence tests (and the Nominations of Directors Policy) previously provided that a director may not be deemed independent if the director had received, or has an immediate family member (as defined under the NYSE listing standards) who had received, more than $100,000 in direct compensation from the listed company during any 12-month period within the last three years, other than director and committee fees and certain other types of compensation. The dollar threshold in this test was increased to $120,000, consistent with the dollar threshold under Item 404(a) of Regulation S-K, which governs the SEC’s disclosure requirements for related person transactions. In addition, the prior NYSE independence tests (and the Nominations of Directors Policy) precluded a director from being deemed independent if the director’s immediate family member served as a current employee in the audit, assurance or tax compliance practice of the Company’s internal or external auditor. Under the amended test, a director may still be considered independent if the director’s immediate family member currently works for the Company’s internal or external auditor, as long as the immediate family member is not a partner of the Company’s auditor or is not personally involved (and has not been personally involved for the past three years) in the Company’s audit. In addition, the Nominations of Directors Policy may be modified temporarily if, due to unforeseen circumstances, strict adherence would be detrimental to the Board’s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a “material relationship,” the following standards are utilized:</w:t>
      </w:r>
    </w:p>
    <w:p>
      <w:pPr>
        <w:sectPr>
          <w:pgSz w:w="11900" w:h="16838" w:orient="portrait"/>
          <w:cols w:equalWidth="0" w:num="1">
            <w:col w:w="11420"/>
          </w:cols>
          <w:pgMar w:left="240" w:top="85" w:right="239" w:bottom="0" w:gutter="0" w:footer="0" w:header="0"/>
          <w:type w:val="continuous"/>
        </w:sectPr>
      </w:pPr>
    </w:p>
    <w:p>
      <w:pPr>
        <w:spacing w:after="0" w:line="7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 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such payments must not exceed 2 percent of the Company’s consolidated gross revenues.</w:t>
      </w:r>
    </w:p>
    <w:p>
      <w:pPr>
        <w:spacing w:after="0" w:line="158" w:lineRule="exact"/>
        <w:rPr>
          <w:sz w:val="20"/>
          <w:szCs w:val="20"/>
          <w:color w:val="auto"/>
        </w:rPr>
      </w:pPr>
    </w:p>
    <w:p>
      <w:pPr>
        <w:sectPr>
          <w:pgSz w:w="11900" w:h="16838" w:orient="portrait"/>
          <w:cols w:equalWidth="0" w:num="2">
            <w:col w:w="540" w:space="360"/>
            <w:col w:w="10520"/>
          </w:cols>
          <w:pgMar w:left="240" w:top="85" w:right="239" w:bottom="0" w:gutter="0" w:footer="0" w:header="0"/>
          <w:type w:val="continuous"/>
        </w:sectPr>
      </w:pPr>
    </w:p>
    <w:p>
      <w:pPr>
        <w:ind w:firstLine="458"/>
        <w:spacing w:after="0" w:line="305" w:lineRule="auto"/>
        <w:rPr>
          <w:sz w:val="20"/>
          <w:szCs w:val="20"/>
          <w:color w:val="auto"/>
        </w:rPr>
      </w:pPr>
      <w:r>
        <w:rPr>
          <w:rFonts w:ascii="Arial" w:cs="Arial" w:eastAsia="Arial" w:hAnsi="Arial"/>
          <w:sz w:val="15"/>
          <w:szCs w:val="15"/>
          <w:color w:val="auto"/>
        </w:rPr>
        <w:t>For purposes of these independence standards, (i) immediate family members of a director include the director’s spouse, parents, children, siblings, mother-and father-in-law, sons- and daughters-in-law, and brothers- and sisters-in-law and anyone (other than domestic employees) who shares the director’s home and</w:t>
      </w:r>
    </w:p>
    <w:p>
      <w:pPr>
        <w:ind w:firstLine="8"/>
        <w:spacing w:after="0" w:line="261" w:lineRule="auto"/>
        <w:tabs>
          <w:tab w:leader="none" w:pos="2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“primary business affiliation” means an entity of which the director is a principal/executive officer or in which the director holds at least a 5 percent equity interest.</w:t>
      </w:r>
    </w:p>
    <w:p>
      <w:pPr>
        <w:spacing w:after="0" w:line="84"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color w:val="auto"/>
        </w:rPr>
        <w:t>Mr. Erickson (Class II director) was previously not considered independent under the NYSE listing standards and the Company’s Nominations of Directors Policy solely because his son, Thad Erickson, is employed by the Company’s independent registered public accountants as an audit manager. Thad Erickson has not personally worked on any audits of the Company or any other work involving the Company. As a result of amendments to the Company’s Nominations of Directors Policy and the standards for directors’ independence therein to reflect changes to NYSE listing standards, Mr. Erickson is considered to be an independent member of the Board as of September 11, 2008, the date of the amendment. Mr. Olson (Class III director) is not considered independent because of his employment as Chairman, Chief Executive Officer and President of the Company.</w:t>
      </w:r>
    </w:p>
    <w:p>
      <w:pPr>
        <w:spacing w:after="0" w:line="60" w:lineRule="exact"/>
        <w:rPr>
          <w:sz w:val="20"/>
          <w:szCs w:val="20"/>
          <w:color w:val="auto"/>
        </w:rPr>
      </w:pPr>
    </w:p>
    <w:p>
      <w:pPr>
        <w:jc w:val="both"/>
        <w:ind w:firstLine="458"/>
        <w:spacing w:after="0" w:line="285" w:lineRule="auto"/>
        <w:rPr>
          <w:sz w:val="20"/>
          <w:szCs w:val="20"/>
          <w:color w:val="auto"/>
        </w:rPr>
      </w:pPr>
      <w:r>
        <w:rPr>
          <w:rFonts w:ascii="Arial" w:cs="Arial" w:eastAsia="Arial" w:hAnsi="Arial"/>
          <w:sz w:val="16"/>
          <w:szCs w:val="16"/>
          <w:b w:val="1"/>
          <w:bCs w:val="1"/>
          <w:color w:val="auto"/>
        </w:rPr>
        <w:t>Shareholder and Other Interested Party Communications with Directors</w:t>
      </w:r>
      <w:r>
        <w:rPr>
          <w:rFonts w:ascii="Arial" w:cs="Arial" w:eastAsia="Arial" w:hAnsi="Arial"/>
          <w:sz w:val="16"/>
          <w:szCs w:val="16"/>
          <w:color w:val="auto"/>
        </w:rPr>
        <w:t>. 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the Company’s directors or a particular director may write to: Winnebago Industries, Inc., Attn: Vice President-General Counsel and Secretary, 605 West Crystal Lake Road, Forest City, Iowa 50436; or send an e-mail to: rbeebe@winnebagoind.com. All communications must be accompanied by the following information</w:t>
      </w:r>
    </w:p>
    <w:p>
      <w:pPr>
        <w:spacing w:after="0" w:line="3" w:lineRule="exact"/>
        <w:rPr>
          <w:sz w:val="20"/>
          <w:szCs w:val="20"/>
          <w:color w:val="auto"/>
        </w:rPr>
      </w:pPr>
    </w:p>
    <w:p>
      <w:pPr>
        <w:jc w:val="both"/>
        <w:ind w:firstLine="8"/>
        <w:spacing w:after="0" w:line="287"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person submitting the communication is a shareholder, a statement of the number of shares of the Company’s Common Stock that the person holds; (ii) if the person submitting the communication is not a shareholder and is submitting the communication to the non-management directors as an interested party, the nature of the person’s interest in the Company; (iii) any special interest, meaning an interest not in the capacity of a shareholder of the Company,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the Company’s operations and policies that are approved by all non-management members of the Board, they will be forwarded to the Lead Director or applicable Board member or members as expeditiously as reasonably practicable.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7"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8"/>
          <w:szCs w:val="18"/>
          <w:color w:val="auto"/>
        </w:rPr>
        <w:t>Employee directors receive no additional compensation for serving on the Board or its Committees. In Fiscal 2009, as a result of economic conditions affecting the broader U.S. economy and the financial performance of the Company, the Company elected to reduce the annual retainer paid to Non-employee Directors by 20 percent from $25,000 to $20,000 per annum beginning March 25, 2009 (paid in monthly installments). Additionally, each Non-employee Director agreed to forgo two (2) weeks of annual retainer fees (pro rata) to match similar action taken with respect to all salaried Company employees during Fiscal 2009, as described in the “Compensation Discussion and Analysis” section below. All Non-employee Directors continued to receive a $1,000 per day attendance fee for Board and committee meetings and a $500 fee for participation in Board meetings held telephonically. The Audit Committee Chairman continued to receive an annual retainer of $5,000</w:t>
      </w:r>
    </w:p>
    <w:p>
      <w:pPr>
        <w:sectPr>
          <w:pgSz w:w="11900" w:h="16838" w:orient="portrait"/>
          <w:cols w:equalWidth="0" w:num="1">
            <w:col w:w="11420"/>
          </w:cols>
          <w:pgMar w:left="240" w:top="85" w:right="239"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85" w:right="23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(paid in monthly installments) and the Chairmen of other Board Committees received an annual retainer of $4,000 (paid in monthly installments).</w:t>
      </w:r>
    </w:p>
    <w:p>
      <w:pPr>
        <w:spacing w:after="0" w:line="140"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Commencing in Fiscal 2007, each Non-employee Director received an annual restricted stock grant of 1,000 shares pursuant to the Winnebago Industries, Inc. 2004 Incentive Compensation Plan, as amended (the “2004 Plan”). These restricted shares may not be sold until the Non-employee Director retires from the Board. This annual grant of restricted stock was increased to 1,500 shares in Fiscal 2008. In Fiscal 2009, as part of cost reduction measures taken by the Company, no awards of restricted stock or stock options were made to Non-employee Directors pursuant to the 2004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COMPENSATION TABLE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2009, other than reimbursement for travel expenses.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 Non-</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1"/>
        </w:trPr>
        <w:tc>
          <w:tcPr>
            <w:tcW w:w="2380" w:type="dxa"/>
            <w:vAlign w:val="bottom"/>
          </w:tcPr>
          <w:p>
            <w:pPr>
              <w:spacing w:after="0"/>
              <w:rPr>
                <w:sz w:val="14"/>
                <w:szCs w:val="14"/>
                <w:color w:val="auto"/>
              </w:rPr>
            </w:pPr>
          </w:p>
        </w:tc>
        <w:tc>
          <w:tcPr>
            <w:tcW w:w="178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75"/>
              </w:rPr>
              <w:t>Fees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qualified</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380" w:type="dxa"/>
            <w:vAlign w:val="bottom"/>
          </w:tcPr>
          <w:p>
            <w:pPr>
              <w:spacing w:after="0"/>
              <w:rPr>
                <w:sz w:val="12"/>
                <w:szCs w:val="12"/>
                <w:color w:val="auto"/>
              </w:rPr>
            </w:pPr>
          </w:p>
        </w:tc>
        <w:tc>
          <w:tcPr>
            <w:tcW w:w="1780" w:type="dxa"/>
            <w:vAlign w:val="bottom"/>
            <w:gridSpan w:val="2"/>
          </w:tcPr>
          <w:p>
            <w:pPr>
              <w:jc w:val="center"/>
              <w:ind w:left="181"/>
              <w:spacing w:after="0" w:line="149" w:lineRule="exact"/>
              <w:rPr>
                <w:sz w:val="20"/>
                <w:szCs w:val="20"/>
                <w:color w:val="auto"/>
              </w:rPr>
            </w:pPr>
            <w:r>
              <w:rPr>
                <w:rFonts w:ascii="Arial" w:cs="Arial" w:eastAsia="Arial" w:hAnsi="Arial"/>
                <w:sz w:val="14"/>
                <w:szCs w:val="14"/>
                <w:b w:val="1"/>
                <w:bCs w:val="1"/>
                <w:color w:val="auto"/>
                <w:w w:val="92"/>
              </w:rPr>
              <w:t>Earned</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1780" w:type="dxa"/>
            <w:vAlign w:val="bottom"/>
            <w:gridSpan w:val="2"/>
          </w:tcPr>
          <w:p>
            <w:pPr>
              <w:jc w:val="center"/>
              <w:ind w:left="181"/>
              <w:spacing w:after="0" w:line="149" w:lineRule="exact"/>
              <w:rPr>
                <w:sz w:val="20"/>
                <w:szCs w:val="20"/>
                <w:color w:val="auto"/>
              </w:rPr>
            </w:pPr>
            <w:r>
              <w:rPr>
                <w:rFonts w:ascii="Arial" w:cs="Arial" w:eastAsia="Arial" w:hAnsi="Arial"/>
                <w:sz w:val="14"/>
                <w:szCs w:val="14"/>
                <w:b w:val="1"/>
                <w:bCs w:val="1"/>
                <w:color w:val="auto"/>
                <w:w w:val="92"/>
              </w:rPr>
              <w:t>or Paid</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Option</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All Other</w:t>
            </w:r>
          </w:p>
        </w:tc>
        <w:tc>
          <w:tcPr>
            <w:tcW w:w="1100" w:type="dxa"/>
            <w:vAlign w:val="bottom"/>
          </w:tcPr>
          <w:p>
            <w:pPr>
              <w:spacing w:after="0"/>
              <w:rPr>
                <w:sz w:val="12"/>
                <w:szCs w:val="12"/>
                <w:color w:val="auto"/>
              </w:rPr>
            </w:pPr>
          </w:p>
        </w:tc>
      </w:tr>
      <w:tr>
        <w:trPr>
          <w:trHeight w:val="143"/>
        </w:trPr>
        <w:tc>
          <w:tcPr>
            <w:tcW w:w="2380" w:type="dxa"/>
            <w:vAlign w:val="bottom"/>
          </w:tcPr>
          <w:p>
            <w:pPr>
              <w:spacing w:after="0"/>
              <w:rPr>
                <w:sz w:val="12"/>
                <w:szCs w:val="12"/>
                <w:color w:val="auto"/>
              </w:rPr>
            </w:pPr>
          </w:p>
        </w:tc>
        <w:tc>
          <w:tcPr>
            <w:tcW w:w="1780" w:type="dxa"/>
            <w:vAlign w:val="bottom"/>
            <w:gridSpan w:val="2"/>
          </w:tcPr>
          <w:p>
            <w:pPr>
              <w:jc w:val="center"/>
              <w:ind w:left="181"/>
              <w:spacing w:after="0" w:line="143" w:lineRule="exact"/>
              <w:rPr>
                <w:sz w:val="20"/>
                <w:szCs w:val="20"/>
                <w:color w:val="auto"/>
              </w:rPr>
            </w:pPr>
            <w:r>
              <w:rPr>
                <w:rFonts w:ascii="Arial" w:cs="Arial" w:eastAsia="Arial" w:hAnsi="Arial"/>
                <w:sz w:val="14"/>
                <w:szCs w:val="14"/>
                <w:b w:val="1"/>
                <w:bCs w:val="1"/>
                <w:color w:val="auto"/>
                <w:w w:val="86"/>
              </w:rPr>
              <w:t>in Cash</w:t>
            </w:r>
          </w:p>
        </w:tc>
        <w:tc>
          <w:tcPr>
            <w:tcW w:w="13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ind w:left="320"/>
              <w:spacing w:after="0" w:line="143" w:lineRule="exact"/>
              <w:rPr>
                <w:sz w:val="20"/>
                <w:szCs w:val="20"/>
                <w:color w:val="auto"/>
              </w:rPr>
            </w:pPr>
            <w:r>
              <w:rPr>
                <w:rFonts w:ascii="Arial" w:cs="Arial" w:eastAsia="Arial" w:hAnsi="Arial"/>
                <w:sz w:val="14"/>
                <w:szCs w:val="14"/>
                <w:b w:val="1"/>
                <w:bCs w:val="1"/>
                <w:color w:val="auto"/>
              </w:rPr>
              <w:t>Awards</w:t>
            </w:r>
          </w:p>
        </w:tc>
        <w:tc>
          <w:tcPr>
            <w:tcW w:w="17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Earnings</w:t>
            </w:r>
          </w:p>
        </w:tc>
        <w:tc>
          <w:tcPr>
            <w:tcW w:w="18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tcPr>
          <w:p>
            <w:pPr>
              <w:ind w:left="400"/>
              <w:spacing w:after="0" w:line="143" w:lineRule="exact"/>
              <w:rPr>
                <w:sz w:val="20"/>
                <w:szCs w:val="20"/>
                <w:color w:val="auto"/>
              </w:rPr>
            </w:pPr>
            <w:r>
              <w:rPr>
                <w:rFonts w:ascii="Arial" w:cs="Arial" w:eastAsia="Arial" w:hAnsi="Arial"/>
                <w:sz w:val="14"/>
                <w:szCs w:val="14"/>
                <w:b w:val="1"/>
                <w:bCs w:val="1"/>
                <w:color w:val="auto"/>
              </w:rPr>
              <w:t>Total</w:t>
            </w:r>
          </w:p>
        </w:tc>
      </w:tr>
      <w:tr>
        <w:trPr>
          <w:trHeight w:val="181"/>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156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D6F3E8"/>
            </w:tcBorders>
          </w:tcPr>
          <w:p>
            <w:pPr>
              <w:spacing w:after="0"/>
              <w:rPr>
                <w:sz w:val="15"/>
                <w:szCs w:val="15"/>
                <w:color w:val="auto"/>
              </w:rPr>
            </w:pPr>
          </w:p>
        </w:tc>
        <w:tc>
          <w:tcPr>
            <w:tcW w:w="10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220" w:type="dxa"/>
            <w:vAlign w:val="bottom"/>
            <w:tcBorders>
              <w:bottom w:val="single" w:sz="8" w:color="D6F3E8"/>
            </w:tcBorders>
          </w:tcPr>
          <w:p>
            <w:pPr>
              <w:spacing w:after="0"/>
              <w:rPr>
                <w:sz w:val="15"/>
                <w:szCs w:val="15"/>
                <w:color w:val="auto"/>
              </w:rPr>
            </w:pPr>
          </w:p>
        </w:tc>
        <w:tc>
          <w:tcPr>
            <w:tcW w:w="10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200" w:type="dxa"/>
            <w:vAlign w:val="bottom"/>
            <w:tcBorders>
              <w:bottom w:val="single" w:sz="8" w:color="D6F3E8"/>
            </w:tcBorders>
          </w:tcPr>
          <w:p>
            <w:pPr>
              <w:spacing w:after="0"/>
              <w:rPr>
                <w:sz w:val="15"/>
                <w:szCs w:val="15"/>
                <w:color w:val="auto"/>
              </w:rPr>
            </w:pPr>
          </w:p>
        </w:tc>
        <w:tc>
          <w:tcPr>
            <w:tcW w:w="15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220" w:type="dxa"/>
            <w:vAlign w:val="bottom"/>
            <w:tcBorders>
              <w:bottom w:val="single" w:sz="8" w:color="D6F3E8"/>
            </w:tcBorders>
          </w:tcPr>
          <w:p>
            <w:pPr>
              <w:spacing w:after="0"/>
              <w:rPr>
                <w:sz w:val="15"/>
                <w:szCs w:val="15"/>
                <w:color w:val="auto"/>
              </w:rPr>
            </w:pPr>
          </w:p>
        </w:tc>
        <w:tc>
          <w:tcPr>
            <w:tcW w:w="15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220" w:type="dxa"/>
            <w:vAlign w:val="bottom"/>
            <w:tcBorders>
              <w:bottom w:val="single" w:sz="8" w:color="D6F3E8"/>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0"/>
        </w:trPr>
        <w:tc>
          <w:tcPr>
            <w:tcW w:w="2380" w:type="dxa"/>
            <w:vAlign w:val="bottom"/>
            <w:shd w:val="clear" w:color="auto" w:fill="D6F3E8"/>
          </w:tcPr>
          <w:p>
            <w:pPr>
              <w:spacing w:after="0"/>
              <w:rPr>
                <w:sz w:val="20"/>
                <w:szCs w:val="20"/>
                <w:color w:val="auto"/>
              </w:rPr>
            </w:pPr>
            <w:r>
              <w:rPr>
                <w:rFonts w:ascii="Arial" w:cs="Arial" w:eastAsia="Arial" w:hAnsi="Arial"/>
                <w:sz w:val="18"/>
                <w:szCs w:val="18"/>
                <w:color w:val="auto"/>
              </w:rPr>
              <w:t>Irvin E. Aal</w:t>
            </w:r>
          </w:p>
        </w:tc>
        <w:tc>
          <w:tcPr>
            <w:tcW w:w="1560" w:type="dxa"/>
            <w:vAlign w:val="bottom"/>
            <w:shd w:val="clear" w:color="auto" w:fill="D6F3E8"/>
          </w:tcPr>
          <w:p>
            <w:pPr>
              <w:jc w:val="center"/>
              <w:ind w:left="401"/>
              <w:spacing w:after="0"/>
              <w:rPr>
                <w:sz w:val="20"/>
                <w:szCs w:val="20"/>
                <w:color w:val="auto"/>
              </w:rPr>
            </w:pPr>
            <w:r>
              <w:rPr>
                <w:rFonts w:ascii="Arial" w:cs="Arial" w:eastAsia="Arial" w:hAnsi="Arial"/>
                <w:sz w:val="18"/>
                <w:szCs w:val="18"/>
                <w:color w:val="auto"/>
                <w:w w:val="87"/>
              </w:rPr>
              <w:t>37,885</w:t>
            </w:r>
          </w:p>
        </w:tc>
        <w:tc>
          <w:tcPr>
            <w:tcW w:w="22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6F3E8"/>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D6F3E8"/>
          </w:tcPr>
          <w:p>
            <w:pPr>
              <w:jc w:val="center"/>
              <w:ind w:right="20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8"/>
              </w:rPr>
              <w:t>6,569</w:t>
            </w:r>
          </w:p>
        </w:tc>
        <w:tc>
          <w:tcPr>
            <w:tcW w:w="220" w:type="dxa"/>
            <w:vAlign w:val="bottom"/>
            <w:shd w:val="clear" w:color="auto" w:fill="D6F3E8"/>
          </w:tcPr>
          <w:p>
            <w:pPr>
              <w:spacing w:after="0"/>
              <w:rPr>
                <w:sz w:val="21"/>
                <w:szCs w:val="21"/>
                <w:color w:val="auto"/>
              </w:rPr>
            </w:pPr>
          </w:p>
        </w:tc>
        <w:tc>
          <w:tcPr>
            <w:tcW w:w="11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44,454</w:t>
            </w: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Robert M. Chiusano</w:t>
            </w:r>
          </w:p>
        </w:tc>
        <w:tc>
          <w:tcPr>
            <w:tcW w:w="1560" w:type="dxa"/>
            <w:vAlign w:val="bottom"/>
          </w:tcPr>
          <w:p>
            <w:pPr>
              <w:jc w:val="center"/>
              <w:ind w:left="401"/>
              <w:spacing w:after="0"/>
              <w:rPr>
                <w:sz w:val="20"/>
                <w:szCs w:val="20"/>
                <w:color w:val="auto"/>
              </w:rPr>
            </w:pPr>
            <w:r>
              <w:rPr>
                <w:rFonts w:ascii="Arial" w:cs="Arial" w:eastAsia="Arial" w:hAnsi="Arial"/>
                <w:sz w:val="18"/>
                <w:szCs w:val="18"/>
                <w:color w:val="auto"/>
                <w:w w:val="87"/>
              </w:rPr>
              <w:t>30,302</w:t>
            </w:r>
          </w:p>
        </w:tc>
        <w:tc>
          <w:tcPr>
            <w:tcW w:w="22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7,575</w:t>
            </w:r>
          </w:p>
        </w:tc>
        <w:tc>
          <w:tcPr>
            <w:tcW w:w="2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37,877</w:t>
            </w:r>
          </w:p>
        </w:tc>
      </w:tr>
      <w:tr>
        <w:trPr>
          <w:trHeight w:val="258"/>
        </w:trPr>
        <w:tc>
          <w:tcPr>
            <w:tcW w:w="2380" w:type="dxa"/>
            <w:vAlign w:val="bottom"/>
            <w:shd w:val="clear" w:color="auto" w:fill="D6F3E8"/>
          </w:tcPr>
          <w:p>
            <w:pPr>
              <w:spacing w:after="0"/>
              <w:rPr>
                <w:sz w:val="20"/>
                <w:szCs w:val="20"/>
                <w:color w:val="auto"/>
              </w:rPr>
            </w:pPr>
            <w:r>
              <w:rPr>
                <w:rFonts w:ascii="Arial" w:cs="Arial" w:eastAsia="Arial" w:hAnsi="Arial"/>
                <w:sz w:val="18"/>
                <w:szCs w:val="18"/>
                <w:color w:val="auto"/>
              </w:rPr>
              <w:t>Jerry N. Currie</w:t>
            </w:r>
          </w:p>
        </w:tc>
        <w:tc>
          <w:tcPr>
            <w:tcW w:w="1560" w:type="dxa"/>
            <w:vAlign w:val="bottom"/>
            <w:shd w:val="clear" w:color="auto" w:fill="D6F3E8"/>
          </w:tcPr>
          <w:p>
            <w:pPr>
              <w:jc w:val="center"/>
              <w:ind w:left="401"/>
              <w:spacing w:after="0"/>
              <w:rPr>
                <w:sz w:val="20"/>
                <w:szCs w:val="20"/>
                <w:color w:val="auto"/>
              </w:rPr>
            </w:pPr>
            <w:r>
              <w:rPr>
                <w:rFonts w:ascii="Arial" w:cs="Arial" w:eastAsia="Arial" w:hAnsi="Arial"/>
                <w:sz w:val="18"/>
                <w:szCs w:val="18"/>
                <w:color w:val="auto"/>
                <w:w w:val="87"/>
              </w:rPr>
              <w:t>31,385</w:t>
            </w:r>
          </w:p>
        </w:tc>
        <w:tc>
          <w:tcPr>
            <w:tcW w:w="22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6F3E8"/>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D6F3E8"/>
          </w:tcPr>
          <w:p>
            <w:pPr>
              <w:jc w:val="center"/>
              <w:ind w:right="20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D6F3E8"/>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31,385</w:t>
            </w: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Joseph W. England</w:t>
            </w:r>
          </w:p>
        </w:tc>
        <w:tc>
          <w:tcPr>
            <w:tcW w:w="1560" w:type="dxa"/>
            <w:vAlign w:val="bottom"/>
          </w:tcPr>
          <w:p>
            <w:pPr>
              <w:jc w:val="center"/>
              <w:ind w:left="401"/>
              <w:spacing w:after="0"/>
              <w:rPr>
                <w:sz w:val="20"/>
                <w:szCs w:val="20"/>
                <w:color w:val="auto"/>
              </w:rPr>
            </w:pPr>
            <w:r>
              <w:rPr>
                <w:rFonts w:ascii="Arial" w:cs="Arial" w:eastAsia="Arial" w:hAnsi="Arial"/>
                <w:sz w:val="18"/>
                <w:szCs w:val="18"/>
                <w:color w:val="auto"/>
                <w:w w:val="87"/>
              </w:rPr>
              <w:t>34,552</w:t>
            </w:r>
          </w:p>
        </w:tc>
        <w:tc>
          <w:tcPr>
            <w:tcW w:w="22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8,638</w:t>
            </w:r>
          </w:p>
        </w:tc>
        <w:tc>
          <w:tcPr>
            <w:tcW w:w="2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43,190</w:t>
            </w:r>
          </w:p>
        </w:tc>
      </w:tr>
      <w:tr>
        <w:trPr>
          <w:trHeight w:val="258"/>
        </w:trPr>
        <w:tc>
          <w:tcPr>
            <w:tcW w:w="2380" w:type="dxa"/>
            <w:vAlign w:val="bottom"/>
            <w:shd w:val="clear" w:color="auto" w:fill="D6F3E8"/>
          </w:tcPr>
          <w:p>
            <w:pPr>
              <w:spacing w:after="0"/>
              <w:rPr>
                <w:sz w:val="20"/>
                <w:szCs w:val="20"/>
                <w:color w:val="auto"/>
              </w:rPr>
            </w:pPr>
            <w:r>
              <w:rPr>
                <w:rFonts w:ascii="Arial" w:cs="Arial" w:eastAsia="Arial" w:hAnsi="Arial"/>
                <w:sz w:val="18"/>
                <w:szCs w:val="18"/>
                <w:color w:val="auto"/>
              </w:rPr>
              <w:t>Lawrence A. Erickson</w:t>
            </w:r>
          </w:p>
        </w:tc>
        <w:tc>
          <w:tcPr>
            <w:tcW w:w="1560" w:type="dxa"/>
            <w:vAlign w:val="bottom"/>
            <w:shd w:val="clear" w:color="auto" w:fill="D6F3E8"/>
          </w:tcPr>
          <w:p>
            <w:pPr>
              <w:jc w:val="center"/>
              <w:ind w:left="401"/>
              <w:spacing w:after="0"/>
              <w:rPr>
                <w:sz w:val="20"/>
                <w:szCs w:val="20"/>
                <w:color w:val="auto"/>
              </w:rPr>
            </w:pPr>
            <w:r>
              <w:rPr>
                <w:rFonts w:ascii="Arial" w:cs="Arial" w:eastAsia="Arial" w:hAnsi="Arial"/>
                <w:sz w:val="18"/>
                <w:szCs w:val="18"/>
                <w:color w:val="auto"/>
                <w:w w:val="87"/>
              </w:rPr>
              <w:t>36,719</w:t>
            </w:r>
          </w:p>
        </w:tc>
        <w:tc>
          <w:tcPr>
            <w:tcW w:w="22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6F3E8"/>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D6F3E8"/>
          </w:tcPr>
          <w:p>
            <w:pPr>
              <w:jc w:val="center"/>
              <w:ind w:right="20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8"/>
              </w:rPr>
              <w:t>9,180</w:t>
            </w:r>
          </w:p>
        </w:tc>
        <w:tc>
          <w:tcPr>
            <w:tcW w:w="220" w:type="dxa"/>
            <w:vAlign w:val="bottom"/>
            <w:shd w:val="clear" w:color="auto" w:fill="D6F3E8"/>
          </w:tcPr>
          <w:p>
            <w:pPr>
              <w:spacing w:after="0"/>
              <w:rPr>
                <w:sz w:val="22"/>
                <w:szCs w:val="22"/>
                <w:color w:val="auto"/>
              </w:rPr>
            </w:pPr>
          </w:p>
        </w:tc>
        <w:tc>
          <w:tcPr>
            <w:tcW w:w="11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45,899</w:t>
            </w: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rPr>
              <w:t>John V. Hanson</w:t>
            </w:r>
          </w:p>
        </w:tc>
        <w:tc>
          <w:tcPr>
            <w:tcW w:w="1560" w:type="dxa"/>
            <w:vAlign w:val="bottom"/>
          </w:tcPr>
          <w:p>
            <w:pPr>
              <w:jc w:val="center"/>
              <w:ind w:left="401"/>
              <w:spacing w:after="0"/>
              <w:rPr>
                <w:sz w:val="20"/>
                <w:szCs w:val="20"/>
                <w:color w:val="auto"/>
              </w:rPr>
            </w:pPr>
            <w:r>
              <w:rPr>
                <w:rFonts w:ascii="Arial" w:cs="Arial" w:eastAsia="Arial" w:hAnsi="Arial"/>
                <w:sz w:val="18"/>
                <w:szCs w:val="18"/>
                <w:color w:val="auto"/>
                <w:w w:val="87"/>
              </w:rPr>
              <w:t>35,385</w:t>
            </w:r>
          </w:p>
        </w:tc>
        <w:tc>
          <w:tcPr>
            <w:tcW w:w="22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35,385</w:t>
            </w:r>
          </w:p>
        </w:tc>
      </w:tr>
      <w:tr>
        <w:trPr>
          <w:trHeight w:val="258"/>
        </w:trPr>
        <w:tc>
          <w:tcPr>
            <w:tcW w:w="2380" w:type="dxa"/>
            <w:vAlign w:val="bottom"/>
            <w:shd w:val="clear" w:color="auto" w:fill="D6F3E8"/>
          </w:tcPr>
          <w:p>
            <w:pPr>
              <w:spacing w:after="0"/>
              <w:rPr>
                <w:sz w:val="20"/>
                <w:szCs w:val="20"/>
                <w:color w:val="auto"/>
              </w:rPr>
            </w:pPr>
            <w:r>
              <w:rPr>
                <w:rFonts w:ascii="Arial" w:cs="Arial" w:eastAsia="Arial" w:hAnsi="Arial"/>
                <w:sz w:val="18"/>
                <w:szCs w:val="18"/>
                <w:color w:val="auto"/>
              </w:rPr>
              <w:t>Gerald C. Kitch</w:t>
            </w:r>
          </w:p>
        </w:tc>
        <w:tc>
          <w:tcPr>
            <w:tcW w:w="1560" w:type="dxa"/>
            <w:vAlign w:val="bottom"/>
            <w:shd w:val="clear" w:color="auto" w:fill="D6F3E8"/>
          </w:tcPr>
          <w:p>
            <w:pPr>
              <w:jc w:val="center"/>
              <w:ind w:left="401"/>
              <w:spacing w:after="0"/>
              <w:rPr>
                <w:sz w:val="20"/>
                <w:szCs w:val="20"/>
                <w:color w:val="auto"/>
              </w:rPr>
            </w:pPr>
            <w:r>
              <w:rPr>
                <w:rFonts w:ascii="Arial" w:cs="Arial" w:eastAsia="Arial" w:hAnsi="Arial"/>
                <w:sz w:val="18"/>
                <w:szCs w:val="18"/>
                <w:color w:val="auto"/>
                <w:w w:val="87"/>
              </w:rPr>
              <w:t>36,885</w:t>
            </w:r>
          </w:p>
        </w:tc>
        <w:tc>
          <w:tcPr>
            <w:tcW w:w="22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6F3E8"/>
          </w:tcPr>
          <w:p>
            <w:pPr>
              <w:jc w:val="center"/>
              <w:ind w:right="2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D6F3E8"/>
          </w:tcPr>
          <w:p>
            <w:pPr>
              <w:jc w:val="center"/>
              <w:ind w:right="20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8"/>
              </w:rPr>
              <w:t>9,221</w:t>
            </w:r>
          </w:p>
        </w:tc>
        <w:tc>
          <w:tcPr>
            <w:tcW w:w="220" w:type="dxa"/>
            <w:vAlign w:val="bottom"/>
            <w:shd w:val="clear" w:color="auto" w:fill="D6F3E8"/>
          </w:tcPr>
          <w:p>
            <w:pPr>
              <w:spacing w:after="0"/>
              <w:rPr>
                <w:sz w:val="22"/>
                <w:szCs w:val="22"/>
                <w:color w:val="auto"/>
              </w:rPr>
            </w:pPr>
          </w:p>
        </w:tc>
        <w:tc>
          <w:tcPr>
            <w:tcW w:w="11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46,106</w:t>
            </w:r>
          </w:p>
        </w:tc>
      </w:tr>
      <w:tr>
        <w:trPr>
          <w:trHeight w:val="222"/>
        </w:trPr>
        <w:tc>
          <w:tcPr>
            <w:tcW w:w="2380" w:type="dxa"/>
            <w:vAlign w:val="bottom"/>
          </w:tcPr>
          <w:p>
            <w:pPr>
              <w:ind w:left="40"/>
              <w:spacing w:after="0"/>
              <w:rPr>
                <w:sz w:val="20"/>
                <w:szCs w:val="20"/>
                <w:color w:val="auto"/>
              </w:rPr>
            </w:pPr>
            <w:r>
              <w:rPr>
                <w:rFonts w:ascii="Arial" w:cs="Arial" w:eastAsia="Arial" w:hAnsi="Arial"/>
                <w:sz w:val="18"/>
                <w:szCs w:val="18"/>
                <w:color w:val="auto"/>
              </w:rPr>
              <w:t>__________________</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2" w:lineRule="exact"/>
        <w:rPr>
          <w:sz w:val="20"/>
          <w:szCs w:val="20"/>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awards of restricted stock, options, stock appreciation rights or similar equity-based compensation instruments that have option-like features were made in Fiscal 2009.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NON-EMPLOYEE DIRECTOR HOLDINGS AS OF OCTOBER </w:t>
      </w:r>
      <w:r>
        <w:rPr>
          <w:rFonts w:ascii="Arial" w:cs="Arial" w:eastAsia="Arial" w:hAnsi="Arial"/>
          <w:sz w:val="21"/>
          <w:szCs w:val="21"/>
          <w:color w:val="auto"/>
        </w:rPr>
        <w:t>6</w:t>
      </w:r>
      <w:r>
        <w:rPr>
          <w:rFonts w:ascii="Arial" w:cs="Arial" w:eastAsia="Arial" w:hAnsi="Arial"/>
          <w:sz w:val="18"/>
          <w:szCs w:val="18"/>
          <w:color w:val="auto"/>
        </w:rPr>
        <w:t xml:space="preserve">, </w:t>
      </w:r>
      <w:r>
        <w:rPr>
          <w:rFonts w:ascii="Arial" w:cs="Arial" w:eastAsia="Arial" w:hAnsi="Arial"/>
          <w:sz w:val="21"/>
          <w:szCs w:val="21"/>
          <w:color w:val="auto"/>
        </w:rPr>
        <w:t>2009</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October 6, 2009, the aggregate number of restricted stock awards, stock option awards and Winnebago Stock Units held by each Non-employee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 was: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Restricted</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6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Stock</w:t>
            </w:r>
          </w:p>
        </w:tc>
        <w:tc>
          <w:tcPr>
            <w:tcW w:w="14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Stock</w:t>
            </w:r>
          </w:p>
        </w:tc>
        <w:tc>
          <w:tcPr>
            <w:tcW w:w="15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Winnebago</w:t>
            </w:r>
          </w:p>
        </w:tc>
      </w:tr>
      <w:tr>
        <w:trPr>
          <w:trHeight w:val="161"/>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34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80" w:type="dxa"/>
            <w:vAlign w:val="bottom"/>
            <w:tcBorders>
              <w:bottom w:val="single" w:sz="8" w:color="D6F3E8"/>
            </w:tcBorders>
          </w:tcPr>
          <w:p>
            <w:pPr>
              <w:spacing w:after="0"/>
              <w:rPr>
                <w:sz w:val="14"/>
                <w:szCs w:val="14"/>
                <w:color w:val="auto"/>
              </w:rPr>
            </w:pP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Options</w:t>
            </w:r>
          </w:p>
        </w:tc>
        <w:tc>
          <w:tcPr>
            <w:tcW w:w="680" w:type="dxa"/>
            <w:vAlign w:val="bottom"/>
            <w:tcBorders>
              <w:bottom w:val="single" w:sz="8" w:color="D6F3E8"/>
            </w:tcBorders>
          </w:tcPr>
          <w:p>
            <w:pPr>
              <w:spacing w:after="0"/>
              <w:rPr>
                <w:sz w:val="14"/>
                <w:szCs w:val="14"/>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Stock Units</w:t>
            </w:r>
          </w:p>
        </w:tc>
        <w:tc>
          <w:tcPr>
            <w:tcW w:w="320" w:type="dxa"/>
            <w:vAlign w:val="bottom"/>
            <w:tcBorders>
              <w:bottom w:val="single" w:sz="8" w:color="D6F3E8"/>
            </w:tcBorders>
          </w:tcPr>
          <w:p>
            <w:pPr>
              <w:spacing w:after="0"/>
              <w:rPr>
                <w:sz w:val="14"/>
                <w:szCs w:val="14"/>
                <w:color w:val="auto"/>
              </w:rPr>
            </w:pPr>
          </w:p>
        </w:tc>
      </w:tr>
      <w:tr>
        <w:trPr>
          <w:trHeight w:val="250"/>
        </w:trPr>
        <w:tc>
          <w:tcPr>
            <w:tcW w:w="6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Aal</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28,000</w:t>
            </w:r>
          </w:p>
        </w:tc>
        <w:tc>
          <w:tcPr>
            <w:tcW w:w="680" w:type="dxa"/>
            <w:vAlign w:val="bottom"/>
            <w:shd w:val="clear" w:color="auto" w:fill="D6F3E8"/>
          </w:tcPr>
          <w:p>
            <w:pPr>
              <w:spacing w:after="0"/>
              <w:rPr>
                <w:sz w:val="21"/>
                <w:szCs w:val="21"/>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12,904</w:t>
            </w:r>
          </w:p>
        </w:tc>
        <w:tc>
          <w:tcPr>
            <w:tcW w:w="320" w:type="dxa"/>
            <w:vAlign w:val="bottom"/>
            <w:shd w:val="clear" w:color="auto" w:fill="D6F3E8"/>
          </w:tcPr>
          <w:p>
            <w:pPr>
              <w:spacing w:after="0"/>
              <w:rPr>
                <w:sz w:val="21"/>
                <w:szCs w:val="2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Chiusano</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5,993</w:t>
            </w:r>
          </w:p>
        </w:tc>
        <w:tc>
          <w:tcPr>
            <w:tcW w:w="320" w:type="dxa"/>
            <w:vAlign w:val="bottom"/>
          </w:tcPr>
          <w:p>
            <w:pPr>
              <w:spacing w:after="0"/>
              <w:rPr>
                <w:sz w:val="19"/>
                <w:szCs w:val="19"/>
                <w:color w:val="auto"/>
              </w:rPr>
            </w:pPr>
          </w:p>
        </w:tc>
      </w:tr>
      <w:tr>
        <w:trPr>
          <w:trHeight w:val="237"/>
        </w:trPr>
        <w:tc>
          <w:tcPr>
            <w:tcW w:w="6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Currie</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D6F3E8"/>
          </w:tcPr>
          <w:p>
            <w:pPr>
              <w:spacing w:after="0"/>
              <w:rPr>
                <w:sz w:val="20"/>
                <w:szCs w:val="20"/>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28,000</w:t>
            </w:r>
          </w:p>
        </w:tc>
        <w:tc>
          <w:tcPr>
            <w:tcW w:w="680" w:type="dxa"/>
            <w:vAlign w:val="bottom"/>
            <w:shd w:val="clear" w:color="auto" w:fill="D6F3E8"/>
          </w:tcPr>
          <w:p>
            <w:pPr>
              <w:spacing w:after="0"/>
              <w:rPr>
                <w:sz w:val="20"/>
                <w:szCs w:val="20"/>
                <w:color w:val="auto"/>
              </w:rPr>
            </w:pPr>
          </w:p>
        </w:tc>
        <w:tc>
          <w:tcPr>
            <w:tcW w:w="15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England</w:t>
            </w: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21,372</w:t>
            </w:r>
          </w:p>
        </w:tc>
        <w:tc>
          <w:tcPr>
            <w:tcW w:w="320" w:type="dxa"/>
            <w:vAlign w:val="bottom"/>
          </w:tcPr>
          <w:p>
            <w:pPr>
              <w:spacing w:after="0"/>
              <w:rPr>
                <w:sz w:val="19"/>
                <w:szCs w:val="19"/>
                <w:color w:val="auto"/>
              </w:rPr>
            </w:pPr>
          </w:p>
        </w:tc>
      </w:tr>
      <w:tr>
        <w:trPr>
          <w:trHeight w:val="237"/>
        </w:trPr>
        <w:tc>
          <w:tcPr>
            <w:tcW w:w="6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Erickson</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D6F3E8"/>
          </w:tcPr>
          <w:p>
            <w:pPr>
              <w:spacing w:after="0"/>
              <w:rPr>
                <w:sz w:val="20"/>
                <w:szCs w:val="20"/>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14,000</w:t>
            </w:r>
          </w:p>
        </w:tc>
        <w:tc>
          <w:tcPr>
            <w:tcW w:w="680" w:type="dxa"/>
            <w:vAlign w:val="bottom"/>
            <w:shd w:val="clear" w:color="auto" w:fill="D6F3E8"/>
          </w:tcPr>
          <w:p>
            <w:pPr>
              <w:spacing w:after="0"/>
              <w:rPr>
                <w:sz w:val="20"/>
                <w:szCs w:val="20"/>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13,368</w:t>
            </w:r>
          </w:p>
        </w:tc>
        <w:tc>
          <w:tcPr>
            <w:tcW w:w="320" w:type="dxa"/>
            <w:vAlign w:val="bottom"/>
            <w:shd w:val="clear" w:color="auto" w:fill="D6F3E8"/>
          </w:tcPr>
          <w:p>
            <w:pPr>
              <w:spacing w:after="0"/>
              <w:rPr>
                <w:sz w:val="20"/>
                <w:szCs w:val="20"/>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Hanson</w:t>
            </w: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28,000</w:t>
            </w:r>
          </w:p>
        </w:tc>
        <w:tc>
          <w:tcPr>
            <w:tcW w:w="68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37"/>
        </w:trPr>
        <w:tc>
          <w:tcPr>
            <w:tcW w:w="6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Kitch</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D6F3E8"/>
          </w:tcPr>
          <w:p>
            <w:pPr>
              <w:spacing w:after="0"/>
              <w:rPr>
                <w:sz w:val="20"/>
                <w:szCs w:val="20"/>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28,000</w:t>
            </w:r>
          </w:p>
        </w:tc>
        <w:tc>
          <w:tcPr>
            <w:tcW w:w="680" w:type="dxa"/>
            <w:vAlign w:val="bottom"/>
            <w:shd w:val="clear" w:color="auto" w:fill="D6F3E8"/>
          </w:tcPr>
          <w:p>
            <w:pPr>
              <w:spacing w:after="0"/>
              <w:rPr>
                <w:sz w:val="20"/>
                <w:szCs w:val="20"/>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34,971</w:t>
            </w:r>
          </w:p>
        </w:tc>
        <w:tc>
          <w:tcPr>
            <w:tcW w:w="320" w:type="dxa"/>
            <w:vAlign w:val="bottom"/>
            <w:shd w:val="clear" w:color="auto" w:fill="D6F3E8"/>
          </w:tcPr>
          <w:p>
            <w:pPr>
              <w:spacing w:after="0"/>
              <w:rPr>
                <w:sz w:val="20"/>
                <w:szCs w:val="20"/>
                <w:color w:val="auto"/>
              </w:rPr>
            </w:pPr>
          </w:p>
        </w:tc>
      </w:tr>
    </w:tbl>
    <w:p>
      <w:pPr>
        <w:spacing w:after="0" w:line="100" w:lineRule="exact"/>
        <w:rPr>
          <w:sz w:val="20"/>
          <w:szCs w:val="20"/>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did not pay interest in excess of 120% of the applicable federal long-term rates in effect during Fiscal 2009 under the Directors’ Deferred Compensation Plan.</w:t>
      </w:r>
    </w:p>
    <w:p>
      <w:pPr>
        <w:spacing w:after="0" w:line="37"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amount includes a matching contribution from the Company equal to 25% of the cash retainer and fees that are deferred in Winnebago Stock Units at the election of directors Aal, Chiusano, England, Erickson and Kitch and are accrued under the Directors’ Deferred Compensation Plan. The Winnebago Stock Units are to be settled 100% in Company Common Stock upon the earliest of the following events: director’s termination of service, death, disability or a “change in the effective control of the Company,” as defined in said plan.</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directors received perquisites and other personal benefits in an aggregate amount of $10,000 or more.</w:t>
      </w:r>
    </w:p>
    <w:p>
      <w:pPr>
        <w:spacing w:after="0" w:line="11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fees and retainers as members of the Board of Directors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Committees of the Board (the “Deferred Compensation”) in a form other than as direct payments. A Participant may elect to apply either 50 or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and like all Common Stock, generally, will accrue dividends paid by the Company. Winnebago Stock Units will be recorded in such Participant’s account on the basis of the mean between the high and the low prices of the Common Stock of the Company on the date upon which the account is to be credited,</w:t>
      </w:r>
    </w:p>
    <w:p>
      <w:pPr>
        <w:sectPr>
          <w:pgSz w:w="11900" w:h="16838" w:orient="portrait"/>
          <w:cols w:equalWidth="0" w:num="1">
            <w:col w:w="11420"/>
          </w:cols>
          <w:pgMar w:left="240" w:top="361" w:right="239" w:bottom="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8"/>
          <w:szCs w:val="18"/>
          <w:color w:val="auto"/>
        </w:rPr>
        <w:t>as officially reported by the NYSE. Any Participant investing Deferred Compensation in Winnebago Stock Units will receive a matching contribution in the form of Winnebago Common Stock from the Company equal to 25 percent of the Deferred Compensation so invested.</w:t>
      </w:r>
    </w:p>
    <w:p>
      <w:pPr>
        <w:spacing w:after="0" w:line="64"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color w:val="auto"/>
        </w:rPr>
        <w:t>The matching contribution to a Participant’s Winnebago Stock Unit account will vest on a graduated basis at the rate of 33-1/3 percent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w:t>
      </w:r>
    </w:p>
    <w:p>
      <w:pPr>
        <w:spacing w:after="0" w:line="37"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75"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90"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The 2004 Plan provides that Non-employee Directors may receive “Stock Awards,” “Performance Awards” or “Non-qualified Stock Options” each as defined under the 2004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2004 Plan, including the grant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62"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i w:val="1"/>
          <w:iCs w:val="1"/>
          <w:color w:val="auto"/>
        </w:rPr>
        <w:t xml:space="preserve">Director Stock Ownership Guidelines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Corporate Governance Policy of the Company states that Non-employee Directors have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encouraging ownership of Common Stock, Stock Units or other equity equivalents equal in value to 250 percent of their annual director compensation.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INDEPENDENT REGISTERED PUBLIC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ACCOUNTANTS FOR THE FISCAL YEAR ENDING AUGUST </w:t>
      </w:r>
      <w:r>
        <w:rPr>
          <w:rFonts w:ascii="Arial" w:cs="Arial" w:eastAsia="Arial" w:hAnsi="Arial"/>
          <w:sz w:val="21"/>
          <w:szCs w:val="21"/>
          <w:b w:val="1"/>
          <w:bCs w:val="1"/>
          <w:color w:val="auto"/>
        </w:rPr>
        <w:t>28</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2010</w:t>
      </w:r>
    </w:p>
    <w:p>
      <w:pPr>
        <w:spacing w:after="0" w:line="78"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Deloitte &amp; Touche LLP (“Deloitte &amp; Touche”) was appointed by the Audit Committee as the Company’s independent registered public accountants for the fiscal year ending August 28, 2010. The Company is asking its shareholders to ratify the appointment of Deloitte &amp; Touche. Deloitte &amp; Touche has served as the Company’s independent registered public accountants for over 20 years. For a description of the fees for services rendered by Deloitte &amp; Touche in Fiscal 2009 and Fiscal 2008, and a description of the Company’s policy regarding the approval of independent registered public accountants provisions of audit and nonaudit services, see “Independent Registered Public Accountants Fees and Services” below.</w:t>
      </w:r>
    </w:p>
    <w:p>
      <w:pPr>
        <w:spacing w:after="0" w:line="48"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shareholders.</w:t>
      </w:r>
    </w:p>
    <w:p>
      <w:pPr>
        <w:spacing w:after="0" w:line="75"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Passage of the proposal requires the affirmative vote of a majority of the shares entitled to vote on the proposal and represented in person or by proxy at the Meeting at which a quorum is present.</w:t>
      </w:r>
    </w:p>
    <w:p>
      <w:pPr>
        <w:spacing w:after="0" w:line="68" w:lineRule="exact"/>
        <w:rPr>
          <w:sz w:val="20"/>
          <w:szCs w:val="20"/>
          <w:color w:val="auto"/>
        </w:rPr>
      </w:pPr>
    </w:p>
    <w:p>
      <w:pPr>
        <w:jc w:val="both"/>
        <w:ind w:firstLine="458"/>
        <w:spacing w:after="0" w:line="280" w:lineRule="auto"/>
        <w:rPr>
          <w:sz w:val="20"/>
          <w:szCs w:val="20"/>
          <w:color w:val="auto"/>
        </w:rPr>
      </w:pPr>
      <w:r>
        <w:rPr>
          <w:rFonts w:ascii="Arial" w:cs="Arial" w:eastAsia="Arial" w:hAnsi="Arial"/>
          <w:sz w:val="18"/>
          <w:szCs w:val="18"/>
          <w:b w:val="1"/>
          <w:bCs w:val="1"/>
          <w:color w:val="auto"/>
        </w:rPr>
        <w:t xml:space="preserve">YOUR BOARD OF DIRECTORS UNANIMOUSLY RECOMMENDS THAT YOU VOTE FOR THE RATIFICATION OF THE APPOINTMENT OF DELOITTE </w:t>
      </w:r>
      <w:r>
        <w:rPr>
          <w:rFonts w:ascii="Arial" w:cs="Arial" w:eastAsia="Arial" w:hAnsi="Arial"/>
          <w:sz w:val="17"/>
          <w:szCs w:val="17"/>
          <w:b w:val="1"/>
          <w:bCs w:val="1"/>
          <w:color w:val="auto"/>
        </w:rPr>
        <w:t>&amp;</w:t>
      </w:r>
      <w:r>
        <w:rPr>
          <w:rFonts w:ascii="Arial" w:cs="Arial" w:eastAsia="Arial" w:hAnsi="Arial"/>
          <w:sz w:val="18"/>
          <w:szCs w:val="18"/>
          <w:b w:val="1"/>
          <w:bCs w:val="1"/>
          <w:color w:val="auto"/>
        </w:rPr>
        <w:t xml:space="preserve"> TOUCHE AS INDEPENDENT REGISTERED PUBLIC ACCOUNTANTS FOR THE COMPANY FOR OUR FISCAL YEAR ENDING AUGUST </w:t>
      </w:r>
      <w:r>
        <w:rPr>
          <w:rFonts w:ascii="Arial" w:cs="Arial" w:eastAsia="Arial" w:hAnsi="Arial"/>
          <w:sz w:val="21"/>
          <w:szCs w:val="21"/>
          <w:b w:val="1"/>
          <w:bCs w:val="1"/>
          <w:color w:val="auto"/>
        </w:rPr>
        <w:t>28</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2010</w:t>
      </w:r>
      <w:r>
        <w:rPr>
          <w:rFonts w:ascii="Arial" w:cs="Arial" w:eastAsia="Arial" w:hAnsi="Arial"/>
          <w:sz w:val="18"/>
          <w:szCs w:val="18"/>
          <w:b w:val="1"/>
          <w:bCs w:val="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00"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Board of Directors does not know of any matter, other than the election of directors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ectPr>
          <w:pgSz w:w="11900" w:h="16838" w:orient="portrait"/>
          <w:cols w:equalWidth="0" w:num="1">
            <w:col w:w="11420"/>
          </w:cols>
          <w:pgMar w:left="240" w:top="131" w:right="239" w:bottom="34"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Overview</w:t>
      </w:r>
    </w:p>
    <w:p>
      <w:pPr>
        <w:sectPr>
          <w:pgSz w:w="11900" w:h="16838" w:orient="portrait"/>
          <w:cols w:equalWidth="0" w:num="1">
            <w:col w:w="11420"/>
          </w:cols>
          <w:pgMar w:left="240" w:top="131" w:right="239" w:bottom="34" w:gutter="0" w:footer="0" w:header="0"/>
          <w:type w:val="continuous"/>
        </w:sectPr>
      </w:pPr>
    </w:p>
    <w:bookmarkStart w:id="12" w:name="page13"/>
    <w:bookmarkEnd w:id="12"/>
    <w:p>
      <w:pPr>
        <w:spacing w:after="0" w:line="60"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color w:val="auto"/>
        </w:rPr>
        <w:t>Our success has been and will be dependent on our ability to attract, retain, motivate and reward the best talent available to the Company, including the employees identified in this Proxy Statement. The following provides an overview of the more detailed disclosure set forth in this section.</w:t>
      </w:r>
    </w:p>
    <w:p>
      <w:pPr>
        <w:spacing w:after="0" w:line="18" w:lineRule="exact"/>
        <w:rPr>
          <w:sz w:val="20"/>
          <w:szCs w:val="20"/>
          <w:color w:val="auto"/>
        </w:rPr>
      </w:pPr>
    </w:p>
    <w:p>
      <w:pPr>
        <w:jc w:val="both"/>
        <w:ind w:right="20" w:firstLine="458"/>
        <w:spacing w:after="0" w:line="306" w:lineRule="auto"/>
        <w:rPr>
          <w:sz w:val="20"/>
          <w:szCs w:val="20"/>
          <w:color w:val="auto"/>
        </w:rPr>
      </w:pPr>
      <w:r>
        <w:rPr>
          <w:rFonts w:ascii="Arial" w:cs="Arial" w:eastAsia="Arial" w:hAnsi="Arial"/>
          <w:sz w:val="16"/>
          <w:szCs w:val="16"/>
          <w:color w:val="auto"/>
        </w:rPr>
        <w:t>The primary objectives of our executive compensation programs is to attract and retain key executives critical to the Company; to align the interests of our Management with those of our shareholders; to integrate compensation with the Company’s business plans; and to reward for both business and individual performance, whereby a substantial portion of each executive officer’s total compensation potential is a function of performance incentives.</w:t>
      </w:r>
    </w:p>
    <w:p>
      <w:pPr>
        <w:spacing w:after="0" w:line="26"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relative to our Compensation Peers (as defined below). We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alternatively provide the potential for a greater incentive compensation component of total executive compensation. Annual and long-term operational and strategic goals identified by Management and approved by the Human Resources Committee of the Board of Directors (the “Committee”) are the foundation for the performance measures used to determine annual and long-term incentive payouts to our executive officers. In prior years, we have granted our executive officers restricted stock as a means to further align the interests of our executive officers with those of our shareholders.</w:t>
      </w:r>
    </w:p>
    <w:p>
      <w:pPr>
        <w:spacing w:after="0" w:line="32" w:lineRule="exact"/>
        <w:rPr>
          <w:sz w:val="20"/>
          <w:szCs w:val="20"/>
          <w:color w:val="auto"/>
        </w:rPr>
      </w:pPr>
    </w:p>
    <w:p>
      <w:pPr>
        <w:jc w:val="both"/>
        <w:ind w:firstLine="458"/>
        <w:spacing w:after="0" w:line="287" w:lineRule="auto"/>
        <w:rPr>
          <w:sz w:val="20"/>
          <w:szCs w:val="20"/>
          <w:color w:val="auto"/>
        </w:rPr>
      </w:pPr>
      <w:r>
        <w:rPr>
          <w:rFonts w:ascii="Arial" w:cs="Arial" w:eastAsia="Arial" w:hAnsi="Arial"/>
          <w:sz w:val="16"/>
          <w:szCs w:val="16"/>
          <w:color w:val="auto"/>
        </w:rPr>
        <w:t>The Company experienced economic conditions during Fiscal 2009 that were unprecedented within the recreational vehicle industry. The decline in the U.S. economy during this period resulted in the demand for recreational vehicles reaching historically low levels. In direct response to negative economic conditions affecting the broader U.S. economy and the declining economic performance of the Company, the Company initiated numerous cost reduction initiatives during Fiscal 2009, including certain actions directly related to executive compensation. These compensation-related cost reduction initiatives, as more fully discussed in the “Compensation Discussion and Analysis” section below, include:</w:t>
      </w:r>
    </w:p>
    <w:p>
      <w:pPr>
        <w:sectPr>
          <w:pgSz w:w="11900" w:h="16899" w:orient="portrait"/>
          <w:cols w:equalWidth="0" w:num="1">
            <w:col w:w="11420"/>
          </w:cols>
          <w:pgMar w:left="240" w:top="131" w:right="239" w:bottom="0" w:gutter="0" w:footer="0" w:header="0"/>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elimination of annual merit-based salary increases for all executive officers;</w:t>
      </w:r>
    </w:p>
    <w:p>
      <w:pPr>
        <w:spacing w:after="0" w:line="77" w:lineRule="exact"/>
        <w:rPr>
          <w:sz w:val="20"/>
          <w:szCs w:val="20"/>
          <w:color w:val="auto"/>
        </w:rPr>
      </w:pPr>
    </w:p>
    <w:p>
      <w:pPr>
        <w:ind w:right="260"/>
        <w:spacing w:after="0" w:line="369" w:lineRule="auto"/>
        <w:rPr>
          <w:sz w:val="20"/>
          <w:szCs w:val="20"/>
          <w:color w:val="auto"/>
        </w:rPr>
      </w:pPr>
      <w:r>
        <w:rPr>
          <w:rFonts w:ascii="Arial" w:cs="Arial" w:eastAsia="Arial" w:hAnsi="Arial"/>
          <w:sz w:val="16"/>
          <w:szCs w:val="16"/>
          <w:color w:val="auto"/>
        </w:rPr>
        <w:t>a substantial reduction of the base salary payable to our Chief Executive Officer and President and other executive officers, effective March 2009; for all salaried personnel, including our executive officers, mandatory participation in a two-week unpaid leave of absence;</w:t>
      </w:r>
    </w:p>
    <w:p>
      <w:pPr>
        <w:spacing w:after="0" w:line="1" w:lineRule="exact"/>
        <w:rPr>
          <w:sz w:val="20"/>
          <w:szCs w:val="20"/>
          <w:color w:val="auto"/>
        </w:rPr>
      </w:pPr>
    </w:p>
    <w:p>
      <w:pPr>
        <w:ind w:right="3340"/>
        <w:spacing w:after="0" w:line="328" w:lineRule="auto"/>
        <w:rPr>
          <w:sz w:val="20"/>
          <w:szCs w:val="20"/>
          <w:color w:val="auto"/>
        </w:rPr>
      </w:pPr>
      <w:r>
        <w:rPr>
          <w:rFonts w:ascii="Arial" w:cs="Arial" w:eastAsia="Arial" w:hAnsi="Arial"/>
          <w:sz w:val="18"/>
          <w:szCs w:val="18"/>
          <w:color w:val="auto"/>
        </w:rPr>
        <w:t>reduction of 401(k) Company matching contributions for all participants, including executive officers; no new stock grants or new stock option grants;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payments made under our annual and long-term incentive compensation plans.</w:t>
      </w:r>
    </w:p>
    <w:p>
      <w:pPr>
        <w:spacing w:after="0" w:line="103" w:lineRule="exact"/>
        <w:rPr>
          <w:sz w:val="20"/>
          <w:szCs w:val="20"/>
          <w:color w:val="auto"/>
        </w:rPr>
      </w:pPr>
    </w:p>
    <w:p>
      <w:pPr>
        <w:sectPr>
          <w:pgSz w:w="11900" w:h="16899" w:orient="portrait"/>
          <w:cols w:equalWidth="0" w:num="2">
            <w:col w:w="540" w:space="360"/>
            <w:col w:w="10520"/>
          </w:cols>
          <w:pgMar w:left="240" w:top="131" w:right="239" w:bottom="0" w:gutter="0" w:footer="0" w:header="0"/>
          <w:type w:val="continuous"/>
        </w:sectPr>
      </w:pPr>
    </w:p>
    <w:p>
      <w:pPr>
        <w:jc w:val="both"/>
        <w:ind w:firstLine="458"/>
        <w:spacing w:after="0" w:line="298"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2009 and should not change for Fiscal 2010. Although the Company remains subject to the economic environment negatively affecting the recreational vehicle industry, we are determined to provide for adequate compensation programs necessary to retain and motivate our executives to implement strategic initiatives we believe are necessary to increase shareholder value and restore consistent profitability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04" w:lineRule="exact"/>
        <w:rPr>
          <w:sz w:val="20"/>
          <w:szCs w:val="20"/>
          <w:color w:val="auto"/>
        </w:rPr>
      </w:pPr>
    </w:p>
    <w:p>
      <w:pPr>
        <w:jc w:val="both"/>
        <w:ind w:firstLine="458"/>
        <w:spacing w:after="0" w:line="295"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Named Executive Officers. The following individuals are our Named Executive Officers for our Fiscal 2009:</w:t>
      </w:r>
    </w:p>
    <w:p>
      <w:pPr>
        <w:sectPr>
          <w:pgSz w:w="11900" w:h="16899" w:orient="portrait"/>
          <w:cols w:equalWidth="0" w:num="1">
            <w:col w:w="11420"/>
          </w:cols>
          <w:pgMar w:left="240" w:top="131" w:right="239" w:bottom="0" w:gutter="0" w:footer="0" w:header="0"/>
          <w:type w:val="continuous"/>
        </w:sectPr>
      </w:pPr>
    </w:p>
    <w:p>
      <w:pPr>
        <w:ind w:left="460"/>
        <w:spacing w:after="0"/>
        <w:rPr>
          <w:sz w:val="20"/>
          <w:szCs w:val="20"/>
          <w:color w:val="auto"/>
        </w:rPr>
      </w:pPr>
      <w:r>
        <w:rPr>
          <w:rFonts w:ascii="Arial" w:cs="Arial" w:eastAsia="Arial" w:hAnsi="Arial"/>
          <w:sz w:val="22"/>
          <w:szCs w:val="22"/>
          <w:b w:val="1"/>
          <w:bCs w:val="1"/>
          <w:color w:val="auto"/>
        </w:rPr>
        <w: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Robert J. Olson, Chairman of the Board, Chief Executive Officer and President (collectively, the “CEO”)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Raymond M. Beebe, Vice President – General Counsel and Secretary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Roger W. Martin, Vice President – Sales and Marketing;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Sarah N. Nielsen, Vice President – 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William J. O’Leary, Vice President – Product Development</w:t>
      </w:r>
    </w:p>
    <w:p>
      <w:pPr>
        <w:spacing w:after="0" w:line="110" w:lineRule="exact"/>
        <w:rPr>
          <w:sz w:val="20"/>
          <w:szCs w:val="20"/>
          <w:color w:val="auto"/>
        </w:rPr>
      </w:pPr>
    </w:p>
    <w:p>
      <w:pPr>
        <w:sectPr>
          <w:pgSz w:w="11900" w:h="16899" w:orient="portrait"/>
          <w:cols w:equalWidth="0" w:num="2">
            <w:col w:w="540" w:space="360"/>
            <w:col w:w="10520"/>
          </w:cols>
          <w:pgMar w:left="240" w:top="131" w:right="239" w:bottom="0" w:gutter="0" w:footer="0" w:header="0"/>
          <w:type w:val="continuous"/>
        </w:sectPr>
      </w:pPr>
    </w:p>
    <w:p>
      <w:pPr>
        <w:jc w:val="both"/>
        <w:ind w:firstLine="458"/>
        <w:spacing w:after="0" w:line="258" w:lineRule="auto"/>
        <w:rPr>
          <w:sz w:val="20"/>
          <w:szCs w:val="20"/>
          <w:color w:val="auto"/>
        </w:rPr>
      </w:pPr>
      <w:r>
        <w:rPr>
          <w:rFonts w:ascii="Arial" w:cs="Arial" w:eastAsia="Arial" w:hAnsi="Arial"/>
          <w:sz w:val="18"/>
          <w:szCs w:val="18"/>
          <w:b w:val="1"/>
          <w:bCs w:val="1"/>
          <w:color w:val="auto"/>
        </w:rPr>
        <w:t xml:space="preserve">The Human Resources Committee. </w:t>
      </w:r>
      <w:r>
        <w:rPr>
          <w:rFonts w:ascii="Arial" w:cs="Arial" w:eastAsia="Arial" w:hAnsi="Arial"/>
          <w:sz w:val="18"/>
          <w:szCs w:val="18"/>
          <w:color w:val="auto"/>
        </w:rPr>
        <w:t>The Committee is responsible for discharging the Board’s responsibilities relating to the compensation of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for approving and evaluating all compensation of Named Executive Officers, including salaries, bonuses, compensation plans and policies, and other incentive programs. The Committee acts pursuant to a charter that has been approved by our Board. None of the Named Executive Officers are members of the Committee. The four independent directors on the Committee are:</w:t>
      </w:r>
    </w:p>
    <w:p>
      <w:pPr>
        <w:sectPr>
          <w:pgSz w:w="11900" w:h="16899" w:orient="portrait"/>
          <w:cols w:equalWidth="0" w:num="1">
            <w:col w:w="11420"/>
          </w:cols>
          <w:pgMar w:left="240" w:top="131" w:right="239" w:bottom="0" w:gutter="0" w:footer="0" w:header="0"/>
          <w:type w:val="continuous"/>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Gerald C. Kitch, Chairman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Irvin E. Aal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Robert M. Chiusano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Lawrence A. Erickson</w:t>
      </w:r>
    </w:p>
    <w:p>
      <w:pPr>
        <w:spacing w:after="0" w:line="225"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246380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ectPr>
          <w:pgSz w:w="11900" w:h="16899" w:orient="portrait"/>
          <w:cols w:equalWidth="0" w:num="2">
            <w:col w:w="540" w:space="360"/>
            <w:col w:w="10520"/>
          </w:cols>
          <w:pgMar w:left="240" w:top="131"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Committee meetings are held regularly throughout the year, with typically four meetings held per fiscal year. The Committee meetings, in most instances, occur prior to regularly scheduled Board meetings, with telephonic meetings occurring as necessary. Other members of the Company’s Board of Directors are invited to attend the Committee meetings. In addition, others in regular attendance at the Committee meeting typically include the CEO and the Vice President – Administration.</w:t>
      </w:r>
    </w:p>
    <w:p>
      <w:pPr>
        <w:spacing w:after="0" w:line="83" w:lineRule="exact"/>
        <w:rPr>
          <w:sz w:val="20"/>
          <w:szCs w:val="20"/>
          <w:color w:val="auto"/>
        </w:rPr>
      </w:pPr>
    </w:p>
    <w:p>
      <w:pPr>
        <w:jc w:val="both"/>
        <w:ind w:firstLine="458"/>
        <w:spacing w:after="0" w:line="320" w:lineRule="auto"/>
        <w:rPr>
          <w:sz w:val="20"/>
          <w:szCs w:val="20"/>
          <w:color w:val="auto"/>
        </w:rPr>
      </w:pPr>
      <w:r>
        <w:rPr>
          <w:rFonts w:ascii="Arial" w:cs="Arial" w:eastAsia="Arial" w:hAnsi="Arial"/>
          <w:sz w:val="15"/>
          <w:szCs w:val="15"/>
          <w:b w:val="1"/>
          <w:bCs w:val="1"/>
          <w:color w:val="auto"/>
        </w:rPr>
        <w:t xml:space="preserve">Compensation Philosophy. </w:t>
      </w:r>
      <w:r>
        <w:rPr>
          <w:rFonts w:ascii="Arial" w:cs="Arial" w:eastAsia="Arial" w:hAnsi="Arial"/>
          <w:sz w:val="15"/>
          <w:szCs w:val="15"/>
          <w:color w:val="auto"/>
        </w:rPr>
        <w:t>The Committee believes that the most effective compensation program is one that is designed to reward the achievement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 annual, long-term and strategic goals by the Company, and which aligns executives’ interests with those of the shareholders by rewarding performance above established goals, with the ultimate objective of improving shareholder value. The Committee evaluates both performance and compensation to ensure that the Company maintains its ability to attract and retain superior employees in key positions and that compensation provided to key employees remains competitive relative to the compensation paid to similarly situated executives of our peer companies. Accordingly, the Committee believes executive compensation packages</w:t>
      </w:r>
    </w:p>
    <w:p>
      <w:pPr>
        <w:sectPr>
          <w:pgSz w:w="11900" w:h="16899" w:orient="portrait"/>
          <w:cols w:equalWidth="0" w:num="1">
            <w:col w:w="11420"/>
          </w:cols>
          <w:pgMar w:left="240" w:top="131" w:right="239" w:bottom="0" w:gutter="0" w:footer="0" w:header="0"/>
          <w:type w:val="continuous"/>
        </w:sectPr>
      </w:pPr>
    </w:p>
    <w:bookmarkStart w:id="13" w:name="page14"/>
    <w:bookmarkEnd w:id="13"/>
    <w:p>
      <w:pPr>
        <w:jc w:val="both"/>
        <w:spacing w:after="0" w:line="268" w:lineRule="auto"/>
        <w:rPr>
          <w:sz w:val="20"/>
          <w:szCs w:val="20"/>
          <w:color w:val="auto"/>
        </w:rPr>
      </w:pPr>
      <w:r>
        <w:rPr>
          <w:rFonts w:ascii="Arial" w:cs="Arial" w:eastAsia="Arial" w:hAnsi="Arial"/>
          <w:sz w:val="18"/>
          <w:szCs w:val="18"/>
          <w:color w:val="auto"/>
        </w:rPr>
        <w:t>provided by the Company to its executives, including the Named Executive Officers, should include both cash and stock-based compensation that reward performance as measured against established goals.</w:t>
      </w:r>
    </w:p>
    <w:p>
      <w:pPr>
        <w:spacing w:after="0" w:line="72"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b w:val="1"/>
          <w:bCs w:val="1"/>
          <w:color w:val="auto"/>
        </w:rPr>
        <w:t xml:space="preserve">Compensation Objectives. </w:t>
      </w:r>
      <w:r>
        <w:rPr>
          <w:rFonts w:ascii="Arial" w:cs="Arial" w:eastAsia="Arial" w:hAnsi="Arial"/>
          <w:sz w:val="18"/>
          <w:szCs w:val="18"/>
          <w:color w:val="auto"/>
        </w:rPr>
        <w:t>The Committee has worked with Management to design the current executive compensation programs, following the belief</w:t>
      </w:r>
      <w:r>
        <w:rPr>
          <w:rFonts w:ascii="Arial" w:cs="Arial" w:eastAsia="Arial" w:hAnsi="Arial"/>
          <w:sz w:val="18"/>
          <w:szCs w:val="18"/>
          <w:b w:val="1"/>
          <w:bCs w:val="1"/>
          <w:color w:val="auto"/>
        </w:rPr>
        <w:t xml:space="preserve"> </w:t>
      </w:r>
      <w:r>
        <w:rPr>
          <w:rFonts w:ascii="Arial" w:cs="Arial" w:eastAsia="Arial" w:hAnsi="Arial"/>
          <w:sz w:val="18"/>
          <w:szCs w:val="18"/>
          <w:color w:val="auto"/>
        </w:rPr>
        <w:t>that compensation should reflect the value created for the shareholders while furthering the Company’s strategic goals. In doing so, the Company instituted its compensation programs to achieve the following goals:</w:t>
      </w:r>
    </w:p>
    <w:p>
      <w:pPr>
        <w:sectPr>
          <w:pgSz w:w="11900" w:h="16838" w:orient="portrait"/>
          <w:cols w:equalWidth="0" w:num="1">
            <w:col w:w="11420"/>
          </w:cols>
          <w:pgMar w:left="240" w:top="131" w:right="239" w:bottom="0" w:gutter="0" w:footer="0" w:header="0"/>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align the interests of Management with those of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provide fair and competitive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integrate compensation with the Company’s business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reward both business and individual performance; and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attract and retain key executives critical to the success of the Company.</w:t>
      </w:r>
    </w:p>
    <w:p>
      <w:pPr>
        <w:spacing w:after="0" w:line="151" w:lineRule="exact"/>
        <w:rPr>
          <w:sz w:val="20"/>
          <w:szCs w:val="20"/>
          <w:color w:val="auto"/>
        </w:rPr>
      </w:pPr>
    </w:p>
    <w:p>
      <w:pPr>
        <w:sectPr>
          <w:pgSz w:w="11900" w:h="16838" w:orient="portrait"/>
          <w:cols w:equalWidth="0" w:num="2">
            <w:col w:w="540" w:space="360"/>
            <w:col w:w="10520"/>
          </w:cols>
          <w:pgMar w:left="240" w:top="131" w:right="239" w:bottom="0" w:gutter="0" w:footer="0" w:header="0"/>
          <w:type w:val="continuous"/>
        </w:sectPr>
      </w:pPr>
    </w:p>
    <w:p>
      <w:pPr>
        <w:jc w:val="both"/>
        <w:ind w:firstLine="458"/>
        <w:spacing w:after="0" w:line="259" w:lineRule="auto"/>
        <w:rPr>
          <w:sz w:val="20"/>
          <w:szCs w:val="20"/>
          <w:color w:val="auto"/>
        </w:rPr>
      </w:pPr>
      <w:r>
        <w:rPr>
          <w:rFonts w:ascii="Arial" w:cs="Arial" w:eastAsia="Arial" w:hAnsi="Arial"/>
          <w:sz w:val="18"/>
          <w:szCs w:val="18"/>
          <w:color w:val="auto"/>
        </w:rPr>
        <w:t>These objectives emphasize pay for performance by providing an incentive opportunity for at or above average performance. In accordance with these compensation objectives, the Named Executive Officers generally received lower compensation as a result of the decline in economic performance of the Company in Fiscal 2009.</w:t>
      </w:r>
    </w:p>
    <w:p>
      <w:pPr>
        <w:spacing w:after="0" w:line="80" w:lineRule="exact"/>
        <w:rPr>
          <w:sz w:val="20"/>
          <w:szCs w:val="20"/>
          <w:color w:val="auto"/>
        </w:rPr>
      </w:pPr>
    </w:p>
    <w:p>
      <w:pPr>
        <w:jc w:val="both"/>
        <w:ind w:firstLine="458"/>
        <w:spacing w:after="0" w:line="262" w:lineRule="auto"/>
        <w:rPr>
          <w:sz w:val="20"/>
          <w:szCs w:val="20"/>
          <w:color w:val="auto"/>
        </w:rPr>
      </w:pPr>
      <w:r>
        <w:rPr>
          <w:rFonts w:ascii="Arial" w:cs="Arial" w:eastAsia="Arial" w:hAnsi="Arial"/>
          <w:sz w:val="18"/>
          <w:szCs w:val="18"/>
          <w:b w:val="1"/>
          <w:bCs w:val="1"/>
          <w:color w:val="auto"/>
        </w:rPr>
        <w:t xml:space="preserve">Competitive Benchmarking. </w:t>
      </w:r>
      <w:r>
        <w:rPr>
          <w:rFonts w:ascii="Arial" w:cs="Arial" w:eastAsia="Arial" w:hAnsi="Arial"/>
          <w:sz w:val="18"/>
          <w:szCs w:val="18"/>
          <w:color w:val="auto"/>
        </w:rPr>
        <w:t>In making compensation decisions, the Committee, at times, compares certain elements of total compensation against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publicly traded and privately held companies in the same or related industry as the Company, described below as the “Consultant Industry Group” and the “Proxy Industry Group” (collectively, the “Compensation Peers”).</w:t>
      </w:r>
    </w:p>
    <w:p>
      <w:pPr>
        <w:spacing w:after="0" w:line="84"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Committee has the sole authority to retain or terminate any compensation consultant used in the evaluation of compensation packages and has the sole authority to approve the consultant’s fees. In Fiscal 2007, the Committee engaged an outside compensation consultant, Towers Perrin (the “Consultant”), to conduct an analysis of the total compensation paid to key Company executives, compared to companies of two comparative groups to which the Company may compete for talent (hereinafter, the “2007 Compensation Analysis”).</w:t>
      </w:r>
    </w:p>
    <w:p>
      <w:pPr>
        <w:spacing w:after="0" w:line="89"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The Consultant maintains a proprietary executive compensation database that contains information on the various compensation elements of over 500 publicly traded and privately held companies across several industries (the “General Consultant Database”). The Committee reviewed compensation information contained in the General Consultant Database and, in Fiscal 2007, additionally requested the Consultant to prepare compensation data from two comparator groups of companies that the Committee believed are more reflective of the market in which the Company competes for executive talent.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First, after examining the list of companies in the General Consultant Database, the Committee and Consultant formulated a group of companies found in the General Consultant Database that consisted of public and private companies generally considered to be in the same or related industry as the Company, to include the following (the “Consultant Industry Group”):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American Transmission Co.</w:t>
            </w:r>
          </w:p>
        </w:tc>
        <w:tc>
          <w:tcPr>
            <w:tcW w:w="4080" w:type="dxa"/>
            <w:vAlign w:val="bottom"/>
          </w:tcPr>
          <w:p>
            <w:pPr>
              <w:ind w:left="740"/>
              <w:spacing w:after="0"/>
              <w:rPr>
                <w:sz w:val="20"/>
                <w:szCs w:val="20"/>
                <w:color w:val="auto"/>
              </w:rPr>
            </w:pPr>
            <w:r>
              <w:rPr>
                <w:rFonts w:ascii="Arial" w:cs="Arial" w:eastAsia="Arial" w:hAnsi="Arial"/>
                <w:sz w:val="18"/>
                <w:szCs w:val="18"/>
                <w:color w:val="auto"/>
              </w:rPr>
              <w:t>Freightliner, LLC</w:t>
            </w:r>
          </w:p>
        </w:tc>
        <w:tc>
          <w:tcPr>
            <w:tcW w:w="2760" w:type="dxa"/>
            <w:vAlign w:val="bottom"/>
          </w:tcPr>
          <w:p>
            <w:pPr>
              <w:ind w:left="800"/>
              <w:spacing w:after="0"/>
              <w:rPr>
                <w:sz w:val="20"/>
                <w:szCs w:val="20"/>
                <w:color w:val="auto"/>
              </w:rPr>
            </w:pPr>
            <w:r>
              <w:rPr>
                <w:rFonts w:ascii="Arial" w:cs="Arial" w:eastAsia="Arial" w:hAnsi="Arial"/>
                <w:sz w:val="18"/>
                <w:szCs w:val="18"/>
                <w:color w:val="auto"/>
              </w:rPr>
              <w:t>Milacron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AMETEK, Inc.</w:t>
            </w:r>
          </w:p>
        </w:tc>
        <w:tc>
          <w:tcPr>
            <w:tcW w:w="4080" w:type="dxa"/>
            <w:vAlign w:val="bottom"/>
          </w:tcPr>
          <w:p>
            <w:pPr>
              <w:ind w:left="740"/>
              <w:spacing w:after="0"/>
              <w:rPr>
                <w:sz w:val="20"/>
                <w:szCs w:val="20"/>
                <w:color w:val="auto"/>
              </w:rPr>
            </w:pPr>
            <w:r>
              <w:rPr>
                <w:rFonts w:ascii="Arial" w:cs="Arial" w:eastAsia="Arial" w:hAnsi="Arial"/>
                <w:sz w:val="18"/>
                <w:szCs w:val="18"/>
                <w:color w:val="auto"/>
              </w:rPr>
              <w:t>Harley-Davidson, Inc.</w:t>
            </w:r>
          </w:p>
        </w:tc>
        <w:tc>
          <w:tcPr>
            <w:tcW w:w="2760" w:type="dxa"/>
            <w:vAlign w:val="bottom"/>
          </w:tcPr>
          <w:p>
            <w:pPr>
              <w:ind w:left="800"/>
              <w:spacing w:after="0"/>
              <w:rPr>
                <w:sz w:val="20"/>
                <w:szCs w:val="20"/>
                <w:color w:val="auto"/>
              </w:rPr>
            </w:pPr>
            <w:r>
              <w:rPr>
                <w:rFonts w:ascii="Arial" w:cs="Arial" w:eastAsia="Arial" w:hAnsi="Arial"/>
                <w:sz w:val="18"/>
                <w:szCs w:val="18"/>
                <w:color w:val="auto"/>
                <w:w w:val="91"/>
              </w:rPr>
              <w:t>Modine Manufacturing Co.</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Arctic Cat, Inc.</w:t>
            </w:r>
          </w:p>
        </w:tc>
        <w:tc>
          <w:tcPr>
            <w:tcW w:w="4080" w:type="dxa"/>
            <w:vAlign w:val="bottom"/>
          </w:tcPr>
          <w:p>
            <w:pPr>
              <w:ind w:left="740"/>
              <w:spacing w:after="0"/>
              <w:rPr>
                <w:sz w:val="20"/>
                <w:szCs w:val="20"/>
                <w:color w:val="auto"/>
              </w:rPr>
            </w:pPr>
            <w:r>
              <w:rPr>
                <w:rFonts w:ascii="Arial" w:cs="Arial" w:eastAsia="Arial" w:hAnsi="Arial"/>
                <w:sz w:val="18"/>
                <w:szCs w:val="18"/>
                <w:color w:val="auto"/>
              </w:rPr>
              <w:t>Harsco Corporation</w:t>
            </w:r>
          </w:p>
        </w:tc>
        <w:tc>
          <w:tcPr>
            <w:tcW w:w="2760" w:type="dxa"/>
            <w:vAlign w:val="bottom"/>
          </w:tcPr>
          <w:p>
            <w:pPr>
              <w:ind w:left="800"/>
              <w:spacing w:after="0"/>
              <w:rPr>
                <w:sz w:val="20"/>
                <w:szCs w:val="20"/>
                <w:color w:val="auto"/>
              </w:rPr>
            </w:pPr>
            <w:r>
              <w:rPr>
                <w:rFonts w:ascii="Arial" w:cs="Arial" w:eastAsia="Arial" w:hAnsi="Arial"/>
                <w:sz w:val="18"/>
                <w:szCs w:val="18"/>
                <w:color w:val="auto"/>
              </w:rPr>
              <w:t>Molex Incorporated</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ArvinMeritor, Inc.</w:t>
            </w:r>
          </w:p>
        </w:tc>
        <w:tc>
          <w:tcPr>
            <w:tcW w:w="4080" w:type="dxa"/>
            <w:vAlign w:val="bottom"/>
          </w:tcPr>
          <w:p>
            <w:pPr>
              <w:ind w:left="740"/>
              <w:spacing w:after="0"/>
              <w:rPr>
                <w:sz w:val="20"/>
                <w:szCs w:val="20"/>
                <w:color w:val="auto"/>
              </w:rPr>
            </w:pPr>
            <w:r>
              <w:rPr>
                <w:rFonts w:ascii="Arial" w:cs="Arial" w:eastAsia="Arial" w:hAnsi="Arial"/>
                <w:sz w:val="18"/>
                <w:szCs w:val="18"/>
                <w:color w:val="auto"/>
              </w:rPr>
              <w:t>Herman Miller, Inc.</w:t>
            </w:r>
          </w:p>
        </w:tc>
        <w:tc>
          <w:tcPr>
            <w:tcW w:w="2760" w:type="dxa"/>
            <w:vAlign w:val="bottom"/>
          </w:tcPr>
          <w:p>
            <w:pPr>
              <w:ind w:left="800"/>
              <w:spacing w:after="0"/>
              <w:rPr>
                <w:sz w:val="20"/>
                <w:szCs w:val="20"/>
                <w:color w:val="auto"/>
              </w:rPr>
            </w:pPr>
            <w:r>
              <w:rPr>
                <w:rFonts w:ascii="Arial" w:cs="Arial" w:eastAsia="Arial" w:hAnsi="Arial"/>
                <w:sz w:val="18"/>
                <w:szCs w:val="18"/>
                <w:color w:val="auto"/>
                <w:w w:val="88"/>
              </w:rPr>
              <w:t>Monaco Coach Corporation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AutoZone, Inc.</w:t>
            </w:r>
          </w:p>
        </w:tc>
        <w:tc>
          <w:tcPr>
            <w:tcW w:w="4080" w:type="dxa"/>
            <w:vAlign w:val="bottom"/>
          </w:tcPr>
          <w:p>
            <w:pPr>
              <w:ind w:left="740"/>
              <w:spacing w:after="0"/>
              <w:rPr>
                <w:sz w:val="20"/>
                <w:szCs w:val="20"/>
                <w:color w:val="auto"/>
              </w:rPr>
            </w:pPr>
            <w:r>
              <w:rPr>
                <w:rFonts w:ascii="Arial" w:cs="Arial" w:eastAsia="Arial" w:hAnsi="Arial"/>
                <w:sz w:val="18"/>
                <w:szCs w:val="18"/>
                <w:color w:val="auto"/>
              </w:rPr>
              <w:t>HNI Corporation</w:t>
            </w:r>
          </w:p>
        </w:tc>
        <w:tc>
          <w:tcPr>
            <w:tcW w:w="2760" w:type="dxa"/>
            <w:vAlign w:val="bottom"/>
          </w:tcPr>
          <w:p>
            <w:pPr>
              <w:ind w:left="800"/>
              <w:spacing w:after="0"/>
              <w:rPr>
                <w:sz w:val="20"/>
                <w:szCs w:val="20"/>
                <w:color w:val="auto"/>
              </w:rPr>
            </w:pPr>
            <w:r>
              <w:rPr>
                <w:rFonts w:ascii="Arial" w:cs="Arial" w:eastAsia="Arial" w:hAnsi="Arial"/>
                <w:sz w:val="18"/>
                <w:szCs w:val="18"/>
                <w:color w:val="auto"/>
                <w:w w:val="98"/>
              </w:rPr>
              <w:t>Regal-Beloit Corporation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Barnes Group, Inc.</w:t>
            </w:r>
          </w:p>
        </w:tc>
        <w:tc>
          <w:tcPr>
            <w:tcW w:w="4080" w:type="dxa"/>
            <w:vAlign w:val="bottom"/>
          </w:tcPr>
          <w:p>
            <w:pPr>
              <w:ind w:left="740"/>
              <w:spacing w:after="0"/>
              <w:rPr>
                <w:sz w:val="20"/>
                <w:szCs w:val="20"/>
                <w:color w:val="auto"/>
              </w:rPr>
            </w:pPr>
            <w:r>
              <w:rPr>
                <w:rFonts w:ascii="Arial" w:cs="Arial" w:eastAsia="Arial" w:hAnsi="Arial"/>
                <w:sz w:val="18"/>
                <w:szCs w:val="18"/>
                <w:color w:val="auto"/>
              </w:rPr>
              <w:t>IDEX Corporation</w:t>
            </w:r>
          </w:p>
        </w:tc>
        <w:tc>
          <w:tcPr>
            <w:tcW w:w="2760" w:type="dxa"/>
            <w:vAlign w:val="bottom"/>
          </w:tcPr>
          <w:p>
            <w:pPr>
              <w:ind w:left="800"/>
              <w:spacing w:after="0"/>
              <w:rPr>
                <w:sz w:val="20"/>
                <w:szCs w:val="20"/>
                <w:color w:val="auto"/>
              </w:rPr>
            </w:pPr>
            <w:r>
              <w:rPr>
                <w:rFonts w:ascii="Arial" w:cs="Arial" w:eastAsia="Arial" w:hAnsi="Arial"/>
                <w:sz w:val="18"/>
                <w:szCs w:val="18"/>
                <w:color w:val="auto"/>
              </w:rPr>
              <w:t>Robert Bosch GmbH</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Black &amp; Decker Corporation</w:t>
            </w:r>
          </w:p>
        </w:tc>
        <w:tc>
          <w:tcPr>
            <w:tcW w:w="4080" w:type="dxa"/>
            <w:vAlign w:val="bottom"/>
          </w:tcPr>
          <w:p>
            <w:pPr>
              <w:ind w:left="740"/>
              <w:spacing w:after="0"/>
              <w:rPr>
                <w:sz w:val="20"/>
                <w:szCs w:val="20"/>
                <w:color w:val="auto"/>
              </w:rPr>
            </w:pPr>
            <w:r>
              <w:rPr>
                <w:rFonts w:ascii="Arial" w:cs="Arial" w:eastAsia="Arial" w:hAnsi="Arial"/>
                <w:sz w:val="18"/>
                <w:szCs w:val="18"/>
                <w:color w:val="auto"/>
              </w:rPr>
              <w:t>International Truck &amp; Engine Corp.</w:t>
            </w:r>
          </w:p>
        </w:tc>
        <w:tc>
          <w:tcPr>
            <w:tcW w:w="2760" w:type="dxa"/>
            <w:vAlign w:val="bottom"/>
          </w:tcPr>
          <w:p>
            <w:pPr>
              <w:ind w:left="800"/>
              <w:spacing w:after="0"/>
              <w:rPr>
                <w:sz w:val="20"/>
                <w:szCs w:val="20"/>
                <w:color w:val="auto"/>
              </w:rPr>
            </w:pPr>
            <w:r>
              <w:rPr>
                <w:rFonts w:ascii="Arial" w:cs="Arial" w:eastAsia="Arial" w:hAnsi="Arial"/>
                <w:sz w:val="18"/>
                <w:szCs w:val="18"/>
                <w:color w:val="auto"/>
              </w:rPr>
              <w:t>Rockwell Collins,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Brady Corporation</w:t>
            </w:r>
          </w:p>
        </w:tc>
        <w:tc>
          <w:tcPr>
            <w:tcW w:w="4080" w:type="dxa"/>
            <w:vAlign w:val="bottom"/>
          </w:tcPr>
          <w:p>
            <w:pPr>
              <w:ind w:left="740"/>
              <w:spacing w:after="0"/>
              <w:rPr>
                <w:sz w:val="20"/>
                <w:szCs w:val="20"/>
                <w:color w:val="auto"/>
              </w:rPr>
            </w:pPr>
            <w:r>
              <w:rPr>
                <w:rFonts w:ascii="Arial" w:cs="Arial" w:eastAsia="Arial" w:hAnsi="Arial"/>
                <w:sz w:val="18"/>
                <w:szCs w:val="18"/>
                <w:color w:val="auto"/>
              </w:rPr>
              <w:t>Jostens, Inc.</w:t>
            </w:r>
          </w:p>
        </w:tc>
        <w:tc>
          <w:tcPr>
            <w:tcW w:w="2760" w:type="dxa"/>
            <w:vAlign w:val="bottom"/>
          </w:tcPr>
          <w:p>
            <w:pPr>
              <w:ind w:left="800"/>
              <w:spacing w:after="0"/>
              <w:rPr>
                <w:sz w:val="20"/>
                <w:szCs w:val="20"/>
                <w:color w:val="auto"/>
              </w:rPr>
            </w:pPr>
            <w:r>
              <w:rPr>
                <w:rFonts w:ascii="Arial" w:cs="Arial" w:eastAsia="Arial" w:hAnsi="Arial"/>
                <w:sz w:val="18"/>
                <w:szCs w:val="18"/>
                <w:color w:val="auto"/>
              </w:rPr>
              <w:t>SENCORP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Corn Products International, Inc.</w:t>
            </w:r>
          </w:p>
        </w:tc>
        <w:tc>
          <w:tcPr>
            <w:tcW w:w="4080" w:type="dxa"/>
            <w:vAlign w:val="bottom"/>
          </w:tcPr>
          <w:p>
            <w:pPr>
              <w:ind w:left="740"/>
              <w:spacing w:after="0"/>
              <w:rPr>
                <w:sz w:val="20"/>
                <w:szCs w:val="20"/>
                <w:color w:val="auto"/>
              </w:rPr>
            </w:pPr>
            <w:r>
              <w:rPr>
                <w:rFonts w:ascii="Arial" w:cs="Arial" w:eastAsia="Arial" w:hAnsi="Arial"/>
                <w:sz w:val="18"/>
                <w:szCs w:val="18"/>
                <w:color w:val="auto"/>
              </w:rPr>
              <w:t>Kennametal, Inc.</w:t>
            </w:r>
          </w:p>
        </w:tc>
        <w:tc>
          <w:tcPr>
            <w:tcW w:w="2760" w:type="dxa"/>
            <w:vAlign w:val="bottom"/>
          </w:tcPr>
          <w:p>
            <w:pPr>
              <w:ind w:left="800"/>
              <w:spacing w:after="0"/>
              <w:rPr>
                <w:sz w:val="20"/>
                <w:szCs w:val="20"/>
                <w:color w:val="auto"/>
              </w:rPr>
            </w:pPr>
            <w:r>
              <w:rPr>
                <w:rFonts w:ascii="Arial" w:cs="Arial" w:eastAsia="Arial" w:hAnsi="Arial"/>
                <w:sz w:val="18"/>
                <w:szCs w:val="18"/>
                <w:color w:val="auto"/>
              </w:rPr>
              <w:t>Steelcase Inc.</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Donaldson Company, Inc.</w:t>
            </w:r>
          </w:p>
        </w:tc>
        <w:tc>
          <w:tcPr>
            <w:tcW w:w="4080" w:type="dxa"/>
            <w:vAlign w:val="bottom"/>
          </w:tcPr>
          <w:p>
            <w:pPr>
              <w:ind w:left="740"/>
              <w:spacing w:after="0"/>
              <w:rPr>
                <w:sz w:val="20"/>
                <w:szCs w:val="20"/>
                <w:color w:val="auto"/>
              </w:rPr>
            </w:pPr>
            <w:r>
              <w:rPr>
                <w:rFonts w:ascii="Arial" w:cs="Arial" w:eastAsia="Arial" w:hAnsi="Arial"/>
                <w:sz w:val="18"/>
                <w:szCs w:val="18"/>
                <w:color w:val="auto"/>
              </w:rPr>
              <w:t>Kohler Co.</w:t>
            </w:r>
          </w:p>
        </w:tc>
        <w:tc>
          <w:tcPr>
            <w:tcW w:w="2760" w:type="dxa"/>
            <w:vAlign w:val="bottom"/>
          </w:tcPr>
          <w:p>
            <w:pPr>
              <w:ind w:left="800"/>
              <w:spacing w:after="0"/>
              <w:rPr>
                <w:sz w:val="20"/>
                <w:szCs w:val="20"/>
                <w:color w:val="auto"/>
              </w:rPr>
            </w:pPr>
            <w:r>
              <w:rPr>
                <w:rFonts w:ascii="Arial" w:cs="Arial" w:eastAsia="Arial" w:hAnsi="Arial"/>
                <w:sz w:val="18"/>
                <w:szCs w:val="18"/>
                <w:color w:val="auto"/>
              </w:rPr>
              <w:t>Terex Corporation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Eaton Corporation</w:t>
            </w:r>
          </w:p>
        </w:tc>
        <w:tc>
          <w:tcPr>
            <w:tcW w:w="4080" w:type="dxa"/>
            <w:vAlign w:val="bottom"/>
          </w:tcPr>
          <w:p>
            <w:pPr>
              <w:ind w:left="740"/>
              <w:spacing w:after="0"/>
              <w:rPr>
                <w:sz w:val="20"/>
                <w:szCs w:val="20"/>
                <w:color w:val="auto"/>
              </w:rPr>
            </w:pPr>
            <w:r>
              <w:rPr>
                <w:rFonts w:ascii="Arial" w:cs="Arial" w:eastAsia="Arial" w:hAnsi="Arial"/>
                <w:sz w:val="18"/>
                <w:szCs w:val="18"/>
                <w:color w:val="auto"/>
              </w:rPr>
              <w:t>Makino, Inc.</w:t>
            </w:r>
          </w:p>
        </w:tc>
        <w:tc>
          <w:tcPr>
            <w:tcW w:w="2760" w:type="dxa"/>
            <w:vAlign w:val="bottom"/>
          </w:tcPr>
          <w:p>
            <w:pPr>
              <w:ind w:left="800"/>
              <w:spacing w:after="0"/>
              <w:rPr>
                <w:sz w:val="20"/>
                <w:szCs w:val="20"/>
                <w:color w:val="auto"/>
              </w:rPr>
            </w:pPr>
            <w:r>
              <w:rPr>
                <w:rFonts w:ascii="Arial" w:cs="Arial" w:eastAsia="Arial" w:hAnsi="Arial"/>
                <w:sz w:val="18"/>
                <w:szCs w:val="18"/>
                <w:color w:val="auto"/>
              </w:rPr>
              <w:t>The Timken Company</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Federal-Mogul Corporation</w:t>
            </w:r>
          </w:p>
        </w:tc>
        <w:tc>
          <w:tcPr>
            <w:tcW w:w="4080" w:type="dxa"/>
            <w:vAlign w:val="bottom"/>
          </w:tcPr>
          <w:p>
            <w:pPr>
              <w:ind w:left="740"/>
              <w:spacing w:after="0"/>
              <w:rPr>
                <w:sz w:val="20"/>
                <w:szCs w:val="20"/>
                <w:color w:val="auto"/>
              </w:rPr>
            </w:pPr>
            <w:r>
              <w:rPr>
                <w:rFonts w:ascii="Arial" w:cs="Arial" w:eastAsia="Arial" w:hAnsi="Arial"/>
                <w:sz w:val="18"/>
                <w:szCs w:val="18"/>
                <w:color w:val="auto"/>
              </w:rPr>
              <w:t>McDermott International, Inc.</w:t>
            </w:r>
          </w:p>
        </w:tc>
        <w:tc>
          <w:tcPr>
            <w:tcW w:w="2760" w:type="dxa"/>
            <w:vAlign w:val="bottom"/>
          </w:tcPr>
          <w:p>
            <w:pPr>
              <w:ind w:left="800"/>
              <w:spacing w:after="0"/>
              <w:rPr>
                <w:sz w:val="20"/>
                <w:szCs w:val="20"/>
                <w:color w:val="auto"/>
              </w:rPr>
            </w:pPr>
            <w:r>
              <w:rPr>
                <w:rFonts w:ascii="Arial" w:cs="Arial" w:eastAsia="Arial" w:hAnsi="Arial"/>
                <w:sz w:val="18"/>
                <w:szCs w:val="18"/>
                <w:color w:val="auto"/>
              </w:rPr>
              <w:t>The Toro Company</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4080" w:type="dxa"/>
            <w:vAlign w:val="bottom"/>
          </w:tcPr>
          <w:p>
            <w:pPr>
              <w:ind w:left="740"/>
              <w:spacing w:after="0"/>
              <w:rPr>
                <w:sz w:val="20"/>
                <w:szCs w:val="20"/>
                <w:color w:val="auto"/>
              </w:rPr>
            </w:pPr>
            <w:r>
              <w:rPr>
                <w:rFonts w:ascii="Arial" w:cs="Arial" w:eastAsia="Arial" w:hAnsi="Arial"/>
                <w:sz w:val="18"/>
                <w:szCs w:val="18"/>
                <w:color w:val="auto"/>
              </w:rPr>
              <w:t>Metaldyne Corporation</w:t>
            </w:r>
          </w:p>
        </w:tc>
        <w:tc>
          <w:tcPr>
            <w:tcW w:w="2760" w:type="dxa"/>
            <w:vAlign w:val="bottom"/>
          </w:tcPr>
          <w:p>
            <w:pPr>
              <w:ind w:left="800"/>
              <w:spacing w:after="0"/>
              <w:rPr>
                <w:sz w:val="20"/>
                <w:szCs w:val="20"/>
                <w:color w:val="auto"/>
              </w:rPr>
            </w:pPr>
            <w:r>
              <w:rPr>
                <w:rFonts w:ascii="Arial" w:cs="Arial" w:eastAsia="Arial" w:hAnsi="Arial"/>
                <w:sz w:val="18"/>
                <w:szCs w:val="18"/>
                <w:color w:val="auto"/>
              </w:rPr>
              <w:t>Tower Automotive LLC</w:t>
            </w:r>
          </w:p>
        </w:tc>
      </w:tr>
    </w:tbl>
    <w:p>
      <w:pPr>
        <w:spacing w:after="0" w:line="102" w:lineRule="exact"/>
        <w:rPr>
          <w:sz w:val="20"/>
          <w:szCs w:val="20"/>
          <w:color w:val="auto"/>
        </w:rPr>
      </w:pPr>
    </w:p>
    <w:p>
      <w:pPr>
        <w:jc w:val="both"/>
        <w:ind w:right="20" w:firstLine="458"/>
        <w:spacing w:after="0" w:line="259" w:lineRule="auto"/>
        <w:rPr>
          <w:sz w:val="20"/>
          <w:szCs w:val="20"/>
          <w:color w:val="auto"/>
        </w:rPr>
      </w:pPr>
      <w:r>
        <w:rPr>
          <w:rFonts w:ascii="Arial" w:cs="Arial" w:eastAsia="Arial" w:hAnsi="Arial"/>
          <w:sz w:val="18"/>
          <w:szCs w:val="18"/>
          <w:color w:val="auto"/>
        </w:rPr>
        <w:t>The Committee and the Consultant separately considered data from proxy statements filed with the SEC by the following public companies that were generally considered to be in the same or related industry as the Company, information for which may or may not have been made part of the General Consultant Database (the “Proxy Industry Group”):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Actuant Corp.</w:t>
            </w:r>
          </w:p>
        </w:tc>
        <w:tc>
          <w:tcPr>
            <w:tcW w:w="3600" w:type="dxa"/>
            <w:vAlign w:val="bottom"/>
          </w:tcPr>
          <w:p>
            <w:pPr>
              <w:ind w:left="840"/>
              <w:spacing w:after="0"/>
              <w:rPr>
                <w:sz w:val="20"/>
                <w:szCs w:val="20"/>
                <w:color w:val="auto"/>
              </w:rPr>
            </w:pPr>
            <w:r>
              <w:rPr>
                <w:rFonts w:ascii="Arial" w:cs="Arial" w:eastAsia="Arial" w:hAnsi="Arial"/>
                <w:sz w:val="18"/>
                <w:szCs w:val="18"/>
                <w:color w:val="auto"/>
              </w:rPr>
              <w:t>GenTek Inc.</w:t>
            </w:r>
          </w:p>
        </w:tc>
        <w:tc>
          <w:tcPr>
            <w:tcW w:w="3240" w:type="dxa"/>
            <w:vAlign w:val="bottom"/>
          </w:tcPr>
          <w:p>
            <w:pPr>
              <w:ind w:left="800"/>
              <w:spacing w:after="0"/>
              <w:rPr>
                <w:sz w:val="20"/>
                <w:szCs w:val="20"/>
                <w:color w:val="auto"/>
              </w:rPr>
            </w:pPr>
            <w:r>
              <w:rPr>
                <w:rFonts w:ascii="Arial" w:cs="Arial" w:eastAsia="Arial" w:hAnsi="Arial"/>
                <w:sz w:val="18"/>
                <w:szCs w:val="18"/>
                <w:color w:val="auto"/>
              </w:rPr>
              <w:t>Polaris Industries Inc.</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ATC Technology Corp.</w:t>
            </w:r>
          </w:p>
        </w:tc>
        <w:tc>
          <w:tcPr>
            <w:tcW w:w="3600" w:type="dxa"/>
            <w:vAlign w:val="bottom"/>
          </w:tcPr>
          <w:p>
            <w:pPr>
              <w:ind w:left="840"/>
              <w:spacing w:after="0"/>
              <w:rPr>
                <w:sz w:val="20"/>
                <w:szCs w:val="20"/>
                <w:color w:val="auto"/>
              </w:rPr>
            </w:pPr>
            <w:r>
              <w:rPr>
                <w:rFonts w:ascii="Arial" w:cs="Arial" w:eastAsia="Arial" w:hAnsi="Arial"/>
                <w:sz w:val="18"/>
                <w:szCs w:val="18"/>
                <w:color w:val="auto"/>
              </w:rPr>
              <w:t>Graco Inc.</w:t>
            </w:r>
          </w:p>
        </w:tc>
        <w:tc>
          <w:tcPr>
            <w:tcW w:w="3240" w:type="dxa"/>
            <w:vAlign w:val="bottom"/>
          </w:tcPr>
          <w:p>
            <w:pPr>
              <w:ind w:left="800"/>
              <w:spacing w:after="0"/>
              <w:rPr>
                <w:sz w:val="20"/>
                <w:szCs w:val="20"/>
                <w:color w:val="auto"/>
              </w:rPr>
            </w:pPr>
            <w:r>
              <w:rPr>
                <w:rFonts w:ascii="Arial" w:cs="Arial" w:eastAsia="Arial" w:hAnsi="Arial"/>
                <w:sz w:val="18"/>
                <w:szCs w:val="18"/>
                <w:color w:val="auto"/>
              </w:rPr>
              <w:t>Regal-Beloit Corporation</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Artic Cat, Inc.</w:t>
            </w:r>
          </w:p>
        </w:tc>
        <w:tc>
          <w:tcPr>
            <w:tcW w:w="3600" w:type="dxa"/>
            <w:vAlign w:val="bottom"/>
          </w:tcPr>
          <w:p>
            <w:pPr>
              <w:ind w:left="840"/>
              <w:spacing w:after="0"/>
              <w:rPr>
                <w:sz w:val="20"/>
                <w:szCs w:val="20"/>
                <w:color w:val="auto"/>
              </w:rPr>
            </w:pPr>
            <w:r>
              <w:rPr>
                <w:rFonts w:ascii="Arial" w:cs="Arial" w:eastAsia="Arial" w:hAnsi="Arial"/>
                <w:sz w:val="18"/>
                <w:szCs w:val="18"/>
                <w:color w:val="auto"/>
              </w:rPr>
              <w:t>Harsco Corp.</w:t>
            </w:r>
          </w:p>
        </w:tc>
        <w:tc>
          <w:tcPr>
            <w:tcW w:w="3240" w:type="dxa"/>
            <w:vAlign w:val="bottom"/>
          </w:tcPr>
          <w:p>
            <w:pPr>
              <w:ind w:left="800"/>
              <w:spacing w:after="0"/>
              <w:rPr>
                <w:sz w:val="20"/>
                <w:szCs w:val="20"/>
                <w:color w:val="auto"/>
              </w:rPr>
            </w:pPr>
            <w:r>
              <w:rPr>
                <w:rFonts w:ascii="Arial" w:cs="Arial" w:eastAsia="Arial" w:hAnsi="Arial"/>
                <w:sz w:val="18"/>
                <w:szCs w:val="18"/>
                <w:color w:val="auto"/>
              </w:rPr>
              <w:t>Snap-On Inc.</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Borgwarner Inc.</w:t>
            </w:r>
          </w:p>
        </w:tc>
        <w:tc>
          <w:tcPr>
            <w:tcW w:w="3600" w:type="dxa"/>
            <w:vAlign w:val="bottom"/>
          </w:tcPr>
          <w:p>
            <w:pPr>
              <w:ind w:left="840"/>
              <w:spacing w:after="0"/>
              <w:rPr>
                <w:sz w:val="20"/>
                <w:szCs w:val="20"/>
                <w:color w:val="auto"/>
              </w:rPr>
            </w:pPr>
            <w:r>
              <w:rPr>
                <w:rFonts w:ascii="Arial" w:cs="Arial" w:eastAsia="Arial" w:hAnsi="Arial"/>
                <w:sz w:val="18"/>
                <w:szCs w:val="18"/>
                <w:color w:val="auto"/>
              </w:rPr>
              <w:t>Idex Corp.</w:t>
            </w:r>
          </w:p>
        </w:tc>
        <w:tc>
          <w:tcPr>
            <w:tcW w:w="3240" w:type="dxa"/>
            <w:vAlign w:val="bottom"/>
          </w:tcPr>
          <w:p>
            <w:pPr>
              <w:ind w:left="800"/>
              <w:spacing w:after="0"/>
              <w:rPr>
                <w:sz w:val="20"/>
                <w:szCs w:val="20"/>
                <w:color w:val="auto"/>
              </w:rPr>
            </w:pPr>
            <w:r>
              <w:rPr>
                <w:rFonts w:ascii="Arial" w:cs="Arial" w:eastAsia="Arial" w:hAnsi="Arial"/>
                <w:sz w:val="18"/>
                <w:szCs w:val="18"/>
                <w:color w:val="auto"/>
              </w:rPr>
              <w:t>Standard Motor Products Inc.</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Briggs &amp; Stratton Corp.</w:t>
            </w:r>
          </w:p>
        </w:tc>
        <w:tc>
          <w:tcPr>
            <w:tcW w:w="3600" w:type="dxa"/>
            <w:vAlign w:val="bottom"/>
          </w:tcPr>
          <w:p>
            <w:pPr>
              <w:ind w:left="840"/>
              <w:spacing w:after="0"/>
              <w:rPr>
                <w:sz w:val="20"/>
                <w:szCs w:val="20"/>
                <w:color w:val="auto"/>
              </w:rPr>
            </w:pPr>
            <w:r>
              <w:rPr>
                <w:rFonts w:ascii="Arial" w:cs="Arial" w:eastAsia="Arial" w:hAnsi="Arial"/>
                <w:sz w:val="18"/>
                <w:szCs w:val="18"/>
                <w:color w:val="auto"/>
              </w:rPr>
              <w:t>Kennametal, Inc.</w:t>
            </w:r>
          </w:p>
        </w:tc>
        <w:tc>
          <w:tcPr>
            <w:tcW w:w="3240" w:type="dxa"/>
            <w:vAlign w:val="bottom"/>
          </w:tcPr>
          <w:p>
            <w:pPr>
              <w:ind w:left="800"/>
              <w:spacing w:after="0"/>
              <w:rPr>
                <w:sz w:val="20"/>
                <w:szCs w:val="20"/>
                <w:color w:val="auto"/>
              </w:rPr>
            </w:pPr>
            <w:r>
              <w:rPr>
                <w:rFonts w:ascii="Arial" w:cs="Arial" w:eastAsia="Arial" w:hAnsi="Arial"/>
                <w:sz w:val="18"/>
                <w:szCs w:val="18"/>
                <w:color w:val="auto"/>
              </w:rPr>
              <w:t>Standex International Corp.</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Carlisle Companies Inc.</w:t>
            </w:r>
          </w:p>
        </w:tc>
        <w:tc>
          <w:tcPr>
            <w:tcW w:w="3600" w:type="dxa"/>
            <w:vAlign w:val="bottom"/>
          </w:tcPr>
          <w:p>
            <w:pPr>
              <w:ind w:left="840"/>
              <w:spacing w:after="0"/>
              <w:rPr>
                <w:sz w:val="20"/>
                <w:szCs w:val="20"/>
                <w:color w:val="auto"/>
              </w:rPr>
            </w:pPr>
            <w:r>
              <w:rPr>
                <w:rFonts w:ascii="Arial" w:cs="Arial" w:eastAsia="Arial" w:hAnsi="Arial"/>
                <w:sz w:val="18"/>
                <w:szCs w:val="18"/>
                <w:color w:val="auto"/>
              </w:rPr>
              <w:t>Milacron Inc.</w:t>
            </w:r>
          </w:p>
        </w:tc>
        <w:tc>
          <w:tcPr>
            <w:tcW w:w="3240" w:type="dxa"/>
            <w:vAlign w:val="bottom"/>
          </w:tcPr>
          <w:p>
            <w:pPr>
              <w:ind w:left="800"/>
              <w:spacing w:after="0"/>
              <w:rPr>
                <w:sz w:val="20"/>
                <w:szCs w:val="20"/>
                <w:color w:val="auto"/>
              </w:rPr>
            </w:pPr>
            <w:r>
              <w:rPr>
                <w:rFonts w:ascii="Arial" w:cs="Arial" w:eastAsia="Arial" w:hAnsi="Arial"/>
                <w:sz w:val="18"/>
                <w:szCs w:val="18"/>
                <w:color w:val="auto"/>
                <w:w w:val="87"/>
              </w:rPr>
              <w:t>Stewart &amp; Stevenson Services Inc.</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Clarcor Inc.</w:t>
            </w:r>
          </w:p>
        </w:tc>
        <w:tc>
          <w:tcPr>
            <w:tcW w:w="3600" w:type="dxa"/>
            <w:vAlign w:val="bottom"/>
          </w:tcPr>
          <w:p>
            <w:pPr>
              <w:ind w:left="840"/>
              <w:spacing w:after="0"/>
              <w:rPr>
                <w:sz w:val="20"/>
                <w:szCs w:val="20"/>
                <w:color w:val="auto"/>
              </w:rPr>
            </w:pPr>
            <w:r>
              <w:rPr>
                <w:rFonts w:ascii="Arial" w:cs="Arial" w:eastAsia="Arial" w:hAnsi="Arial"/>
                <w:sz w:val="18"/>
                <w:szCs w:val="18"/>
                <w:color w:val="auto"/>
              </w:rPr>
              <w:t>Modine Manufacturing Co.</w:t>
            </w:r>
          </w:p>
        </w:tc>
        <w:tc>
          <w:tcPr>
            <w:tcW w:w="3240" w:type="dxa"/>
            <w:vAlign w:val="bottom"/>
          </w:tcPr>
          <w:p>
            <w:pPr>
              <w:ind w:left="800"/>
              <w:spacing w:after="0"/>
              <w:rPr>
                <w:sz w:val="20"/>
                <w:szCs w:val="20"/>
                <w:color w:val="auto"/>
              </w:rPr>
            </w:pPr>
            <w:r>
              <w:rPr>
                <w:rFonts w:ascii="Arial" w:cs="Arial" w:eastAsia="Arial" w:hAnsi="Arial"/>
                <w:sz w:val="18"/>
                <w:szCs w:val="18"/>
                <w:color w:val="auto"/>
              </w:rPr>
              <w:t>Tennant Co.</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Coachmen Industries Inc.</w:t>
            </w:r>
          </w:p>
        </w:tc>
        <w:tc>
          <w:tcPr>
            <w:tcW w:w="3600" w:type="dxa"/>
            <w:vAlign w:val="bottom"/>
          </w:tcPr>
          <w:p>
            <w:pPr>
              <w:ind w:left="840"/>
              <w:spacing w:after="0"/>
              <w:rPr>
                <w:sz w:val="20"/>
                <w:szCs w:val="20"/>
                <w:color w:val="auto"/>
              </w:rPr>
            </w:pPr>
            <w:r>
              <w:rPr>
                <w:rFonts w:ascii="Arial" w:cs="Arial" w:eastAsia="Arial" w:hAnsi="Arial"/>
                <w:sz w:val="18"/>
                <w:szCs w:val="18"/>
                <w:color w:val="auto"/>
              </w:rPr>
              <w:t>Monaco Coach Corporation</w:t>
            </w:r>
          </w:p>
        </w:tc>
        <w:tc>
          <w:tcPr>
            <w:tcW w:w="3240" w:type="dxa"/>
            <w:vAlign w:val="bottom"/>
          </w:tcPr>
          <w:p>
            <w:pPr>
              <w:ind w:left="800"/>
              <w:spacing w:after="0"/>
              <w:rPr>
                <w:sz w:val="20"/>
                <w:szCs w:val="20"/>
                <w:color w:val="auto"/>
              </w:rPr>
            </w:pPr>
            <w:r>
              <w:rPr>
                <w:rFonts w:ascii="Arial" w:cs="Arial" w:eastAsia="Arial" w:hAnsi="Arial"/>
                <w:sz w:val="18"/>
                <w:szCs w:val="18"/>
                <w:color w:val="auto"/>
              </w:rPr>
              <w:t>Thor Industries Inc.</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Crane Co.</w:t>
            </w:r>
          </w:p>
        </w:tc>
        <w:tc>
          <w:tcPr>
            <w:tcW w:w="3600" w:type="dxa"/>
            <w:vAlign w:val="bottom"/>
          </w:tcPr>
          <w:p>
            <w:pPr>
              <w:ind w:left="840"/>
              <w:spacing w:after="0"/>
              <w:rPr>
                <w:sz w:val="20"/>
                <w:szCs w:val="20"/>
                <w:color w:val="auto"/>
              </w:rPr>
            </w:pPr>
            <w:r>
              <w:rPr>
                <w:rFonts w:ascii="Arial" w:cs="Arial" w:eastAsia="Arial" w:hAnsi="Arial"/>
                <w:sz w:val="18"/>
                <w:szCs w:val="18"/>
                <w:color w:val="auto"/>
              </w:rPr>
              <w:t>National RV Holdings Inc.</w:t>
            </w:r>
          </w:p>
        </w:tc>
        <w:tc>
          <w:tcPr>
            <w:tcW w:w="3240" w:type="dxa"/>
            <w:vAlign w:val="bottom"/>
          </w:tcPr>
          <w:p>
            <w:pPr>
              <w:ind w:left="800"/>
              <w:spacing w:after="0"/>
              <w:rPr>
                <w:sz w:val="20"/>
                <w:szCs w:val="20"/>
                <w:color w:val="auto"/>
              </w:rPr>
            </w:pPr>
            <w:r>
              <w:rPr>
                <w:rFonts w:ascii="Arial" w:cs="Arial" w:eastAsia="Arial" w:hAnsi="Arial"/>
                <w:sz w:val="18"/>
                <w:szCs w:val="18"/>
                <w:color w:val="auto"/>
              </w:rPr>
              <w:t>The Toro Company</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Donaldson Co. Inc.</w:t>
            </w:r>
          </w:p>
        </w:tc>
        <w:tc>
          <w:tcPr>
            <w:tcW w:w="3600" w:type="dxa"/>
            <w:vAlign w:val="bottom"/>
          </w:tcPr>
          <w:p>
            <w:pPr>
              <w:ind w:left="840"/>
              <w:spacing w:after="0"/>
              <w:rPr>
                <w:sz w:val="20"/>
                <w:szCs w:val="20"/>
                <w:color w:val="auto"/>
              </w:rPr>
            </w:pPr>
            <w:r>
              <w:rPr>
                <w:rFonts w:ascii="Arial" w:cs="Arial" w:eastAsia="Arial" w:hAnsi="Arial"/>
                <w:sz w:val="18"/>
                <w:szCs w:val="18"/>
                <w:color w:val="auto"/>
              </w:rPr>
              <w:t>Nordson Corp.</w:t>
            </w:r>
          </w:p>
        </w:tc>
        <w:tc>
          <w:tcPr>
            <w:tcW w:w="3240" w:type="dxa"/>
            <w:vAlign w:val="bottom"/>
          </w:tcPr>
          <w:p>
            <w:pPr>
              <w:ind w:left="800"/>
              <w:spacing w:after="0"/>
              <w:rPr>
                <w:sz w:val="20"/>
                <w:szCs w:val="20"/>
                <w:color w:val="auto"/>
              </w:rPr>
            </w:pPr>
            <w:r>
              <w:rPr>
                <w:rFonts w:ascii="Arial" w:cs="Arial" w:eastAsia="Arial" w:hAnsi="Arial"/>
                <w:sz w:val="18"/>
                <w:szCs w:val="18"/>
                <w:color w:val="auto"/>
              </w:rPr>
              <w:t>Tower Automotive LLC</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Federal Signal Corp.</w:t>
            </w:r>
          </w:p>
        </w:tc>
        <w:tc>
          <w:tcPr>
            <w:tcW w:w="3600" w:type="dxa"/>
            <w:vAlign w:val="bottom"/>
          </w:tcPr>
          <w:p>
            <w:pPr>
              <w:ind w:left="840"/>
              <w:spacing w:after="0"/>
              <w:rPr>
                <w:sz w:val="20"/>
                <w:szCs w:val="20"/>
                <w:color w:val="auto"/>
              </w:rPr>
            </w:pPr>
            <w:r>
              <w:rPr>
                <w:rFonts w:ascii="Arial" w:cs="Arial" w:eastAsia="Arial" w:hAnsi="Arial"/>
                <w:sz w:val="18"/>
                <w:szCs w:val="18"/>
                <w:color w:val="auto"/>
              </w:rPr>
              <w:t>Oshkosh Corp.</w:t>
            </w:r>
          </w:p>
        </w:tc>
        <w:tc>
          <w:tcPr>
            <w:tcW w:w="3240" w:type="dxa"/>
            <w:vAlign w:val="bottom"/>
          </w:tcPr>
          <w:p>
            <w:pPr>
              <w:ind w:left="800"/>
              <w:spacing w:after="0"/>
              <w:rPr>
                <w:sz w:val="20"/>
                <w:szCs w:val="20"/>
                <w:color w:val="auto"/>
              </w:rPr>
            </w:pPr>
            <w:r>
              <w:rPr>
                <w:rFonts w:ascii="Arial" w:cs="Arial" w:eastAsia="Arial" w:hAnsi="Arial"/>
                <w:sz w:val="18"/>
                <w:szCs w:val="18"/>
                <w:color w:val="auto"/>
              </w:rPr>
              <w:t>Wabash National Corp.</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3600" w:type="dxa"/>
            <w:vAlign w:val="bottom"/>
          </w:tcPr>
          <w:p>
            <w:pPr>
              <w:ind w:left="840"/>
              <w:spacing w:after="0"/>
              <w:rPr>
                <w:sz w:val="20"/>
                <w:szCs w:val="20"/>
                <w:color w:val="auto"/>
              </w:rPr>
            </w:pPr>
            <w:r>
              <w:rPr>
                <w:rFonts w:ascii="Arial" w:cs="Arial" w:eastAsia="Arial" w:hAnsi="Arial"/>
                <w:sz w:val="18"/>
                <w:szCs w:val="18"/>
                <w:color w:val="auto"/>
              </w:rPr>
              <w:t>Pall Corp.</w:t>
            </w:r>
          </w:p>
        </w:tc>
        <w:tc>
          <w:tcPr>
            <w:tcW w:w="3240" w:type="dxa"/>
            <w:vAlign w:val="bottom"/>
          </w:tcPr>
          <w:p>
            <w:pPr>
              <w:ind w:left="800"/>
              <w:spacing w:after="0"/>
              <w:rPr>
                <w:sz w:val="20"/>
                <w:szCs w:val="20"/>
                <w:color w:val="auto"/>
              </w:rPr>
            </w:pPr>
            <w:r>
              <w:rPr>
                <w:rFonts w:ascii="Arial" w:cs="Arial" w:eastAsia="Arial" w:hAnsi="Arial"/>
                <w:sz w:val="18"/>
                <w:szCs w:val="18"/>
                <w:color w:val="auto"/>
                <w:w w:val="98"/>
              </w:rPr>
              <w:t>Watts Water Technologies Inc.</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Flowserve Corp.</w:t>
            </w:r>
          </w:p>
        </w:tc>
        <w:tc>
          <w:tcPr>
            <w:tcW w:w="3600" w:type="dxa"/>
            <w:vAlign w:val="bottom"/>
          </w:tcPr>
          <w:p>
            <w:pPr>
              <w:ind w:left="840"/>
              <w:spacing w:after="0"/>
              <w:rPr>
                <w:sz w:val="20"/>
                <w:szCs w:val="20"/>
                <w:color w:val="auto"/>
              </w:rPr>
            </w:pPr>
            <w:r>
              <w:rPr>
                <w:rFonts w:ascii="Arial" w:cs="Arial" w:eastAsia="Arial" w:hAnsi="Arial"/>
                <w:sz w:val="18"/>
                <w:szCs w:val="18"/>
                <w:color w:val="auto"/>
              </w:rPr>
              <w:t>Pentair Inc.</w:t>
            </w:r>
          </w:p>
        </w:tc>
        <w:tc>
          <w:tcPr>
            <w:tcW w:w="3240" w:type="dxa"/>
            <w:vAlign w:val="bottom"/>
          </w:tcPr>
          <w:p>
            <w:pPr>
              <w:spacing w:after="0"/>
              <w:rPr>
                <w:sz w:val="19"/>
                <w:szCs w:val="19"/>
                <w:color w:val="auto"/>
              </w:rPr>
            </w:pPr>
          </w:p>
        </w:tc>
      </w:tr>
    </w:tbl>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used in selecting companies in each of the Consultant Industry Group and the Proxy Industry Group, included:</w:t>
      </w:r>
    </w:p>
    <w:p>
      <w:pPr>
        <w:sectPr>
          <w:pgSz w:w="11900" w:h="16838" w:orient="portrait"/>
          <w:cols w:equalWidth="0" w:num="1">
            <w:col w:w="11420"/>
          </w:cols>
          <w:pgMar w:left="240" w:top="131" w:right="239" w:bottom="0" w:gutter="0" w:footer="0" w:header="0"/>
          <w:type w:val="continuous"/>
        </w:sectPr>
      </w:pPr>
    </w:p>
    <w:p>
      <w:pPr>
        <w:spacing w:after="0" w:line="7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focus on manufacturing;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size in comparison with the Company; and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automotive, transportation, recreational or lifestyle industries.</w:t>
      </w:r>
    </w:p>
    <w:p>
      <w:pPr>
        <w:sectPr>
          <w:pgSz w:w="11900" w:h="16838" w:orient="portrait"/>
          <w:cols w:equalWidth="0" w:num="2">
            <w:col w:w="540" w:space="360"/>
            <w:col w:w="10520"/>
          </w:cols>
          <w:pgMar w:left="240" w:top="131" w:right="239" w:bottom="0" w:gutter="0" w:footer="0" w:header="0"/>
          <w:type w:val="continuous"/>
        </w:sectPr>
      </w:pPr>
    </w:p>
    <w:bookmarkStart w:id="14" w:name="page15"/>
    <w:bookmarkEnd w:id="14"/>
    <w:p>
      <w:pPr>
        <w:spacing w:after="0" w:line="25"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As part of the 2007 Compensation Analysis, the Committee and Consultant compared data from each of the Consultant Industry Group and Proxy Industry Group to data contained in the General Consultant Database and utilized, among other information, observations relating to data pertaining to specific job categories and industry trends. Market data in the General Consultant Database was adjusted according to these observations and regressed to data in each of the Consultant Industry Group and the Proxy Industry Group and to the Company’s revenue size. The market analysis included data on fixed pay (base pay), and variable compensation (annual and long-term incentives).</w:t>
      </w:r>
    </w:p>
    <w:p>
      <w:pPr>
        <w:spacing w:after="0" w:line="89"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In Fiscal 2009 and Fiscal 2008, the Committee determined not to engage the Consultant to update the 2007 Compensation Analysis or to conduct a new benchmarking analysis. However, in Fiscal 2009 and Fiscal 2008, the Committee did utilize, in part, certain benchmark information derived from the Fiscal 2007 Consultant Industry Group and Proxy Industry Group as a basis for making compensation decisions. During Fiscal 2009, the Committee did not engage the Consultant to report to the Committee on any compensation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both"/>
        <w:ind w:firstLine="458"/>
        <w:spacing w:after="0" w:line="296"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 makes all compensation decisions for Named Executive Officers and approves</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salaries, bonuses and compensation plans and policies, and other incentive programs of the Company. The CEO annually reviews the performance of each Named Executive Officer (other than the CEO, whose performance is reviewed by the Committee). The conclusions reached and recommendations by the CEO, which are based on these reviews, including with respect to salary adjustments and annual award amounts, are presented to the Committee. The Committee can exercise its discretion in modifying any recommended adjustments or awards to Named Executive Officers.</w:t>
      </w:r>
    </w:p>
    <w:p>
      <w:pPr>
        <w:spacing w:after="0" w:line="60"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As noted above, the Committee evaluates the performance of the CEO. That review is conducted at least annually with full Board participation (excluding the CEO). The Committee ultimately must approve all compensation decisions for all executives, including the CEO.</w:t>
      </w:r>
    </w:p>
    <w:p>
      <w:pPr>
        <w:spacing w:after="0" w:line="72" w:lineRule="exact"/>
        <w:rPr>
          <w:sz w:val="20"/>
          <w:szCs w:val="20"/>
          <w:color w:val="auto"/>
        </w:rPr>
      </w:pPr>
    </w:p>
    <w:p>
      <w:pPr>
        <w:jc w:val="both"/>
        <w:ind w:firstLine="458"/>
        <w:spacing w:after="0" w:line="310" w:lineRule="auto"/>
        <w:rPr>
          <w:sz w:val="20"/>
          <w:szCs w:val="20"/>
          <w:color w:val="auto"/>
        </w:rPr>
      </w:pPr>
      <w:r>
        <w:rPr>
          <w:rFonts w:ascii="Arial" w:cs="Arial" w:eastAsia="Arial" w:hAnsi="Arial"/>
          <w:sz w:val="16"/>
          <w:szCs w:val="16"/>
          <w:b w:val="1"/>
          <w:bCs w:val="1"/>
          <w:color w:val="auto"/>
        </w:rPr>
        <w:t xml:space="preserve">Compensation Process. </w:t>
      </w:r>
      <w:r>
        <w:rPr>
          <w:rFonts w:ascii="Arial" w:cs="Arial" w:eastAsia="Arial" w:hAnsi="Arial"/>
          <w:sz w:val="16"/>
          <w:szCs w:val="16"/>
          <w:color w:val="auto"/>
        </w:rPr>
        <w:t>The Committee reviews the benchmarking and performance evaluations presented by Management in determining the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and individual compensation levels for the performance year. In conducting its review, the Committee considers quantitative performance results of the Company; the overall need of the organization to attract, retain and motivate the executive team and the total cost of compensation programs.</w:t>
      </w:r>
    </w:p>
    <w:p>
      <w:pPr>
        <w:spacing w:after="0" w:line="49"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Named Executive Officers through the use of tally sheets. Each tally sheet identifies anticipated dollar amounts for individual components of executive compensation, including base salary, annual incentive, long-term incentive, equity awards, deferred compensation, benefits, perquisites and potential change in control and severance payments. Each year’s decisions for setting compensation targets for each annual and three-year incentive compensation measuring period are based on the Committee’s evaluation of the Company’s business needs, goals and environment for that year.</w:t>
      </w:r>
    </w:p>
    <w:p>
      <w:pPr>
        <w:spacing w:after="0" w:line="62"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i w:val="1"/>
          <w:iCs w:val="1"/>
          <w:color w:val="auto"/>
        </w:rPr>
        <w:t xml:space="preserve">Determining the CEO’s Compensation </w:t>
      </w:r>
      <w:r>
        <w:rPr>
          <w:rFonts w:ascii="Arial" w:cs="Arial" w:eastAsia="Arial" w:hAnsi="Arial"/>
          <w:sz w:val="18"/>
          <w:szCs w:val="18"/>
          <w:color w:val="auto"/>
        </w:rPr>
        <w:t>— The Committee makes a recommendation to the Board for the CEO’s total compensation package.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meets in executive session to formulate its recommendation for the CEO’s base pay, target annual and long-term incentive compensation and stock-based compensation to the Board. These recommendations are based upon:</w:t>
      </w:r>
    </w:p>
    <w:p>
      <w:pPr>
        <w:sectPr>
          <w:pgSz w:w="11900" w:h="16864" w:orient="portrait"/>
          <w:cols w:equalWidth="0" w:num="1">
            <w:col w:w="11420"/>
          </w:cols>
          <w:pgMar w:left="240" w:top="131" w:right="239" w:bottom="0" w:gutter="0" w:footer="0" w:header="0"/>
        </w:sectPr>
      </w:pPr>
    </w:p>
    <w:p>
      <w:pPr>
        <w:spacing w:after="0" w:line="3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of total compensation made to chief executive officers by certain of the Company’s Compensation Peers;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 evaluation of the CEO performance for the fiscal year conducted by the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 evaluation of the proposed total compensation of the CEO in comparison to the other Named Executive Officers;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comparison of the differential of total compensation made to chief executive officers and executive officers in the Company’s Compensation Peers; and</w:t>
      </w:r>
    </w:p>
    <w:p>
      <w:pPr>
        <w:spacing w:after="0" w:line="24" w:lineRule="exact"/>
        <w:rPr>
          <w:sz w:val="20"/>
          <w:szCs w:val="20"/>
          <w:color w:val="auto"/>
        </w:rPr>
      </w:pPr>
    </w:p>
    <w:p>
      <w:pPr>
        <w:sectPr>
          <w:pgSz w:w="11900" w:h="16864" w:orient="portrait"/>
          <w:cols w:equalWidth="0" w:num="2">
            <w:col w:w="540" w:space="360"/>
            <w:col w:w="10520"/>
          </w:cols>
          <w:pgMar w:left="240" w:top="131" w:right="239" w:bottom="0" w:gutter="0" w:footer="0" w:header="0"/>
          <w:type w:val="continuous"/>
        </w:sectPr>
      </w:pPr>
    </w:p>
    <w:p>
      <w:pPr>
        <w:ind w:left="900" w:hanging="446"/>
        <w:spacing w:after="0"/>
        <w:tabs>
          <w:tab w:leader="none" w:pos="900" w:val="left"/>
        </w:tabs>
        <w:numPr>
          <w:ilvl w:val="0"/>
          <w:numId w:val="21"/>
        </w:numPr>
        <w:rPr>
          <w:rFonts w:ascii="Arial" w:cs="Arial" w:eastAsia="Arial" w:hAnsi="Arial"/>
          <w:sz w:val="24"/>
          <w:szCs w:val="24"/>
          <w:b w:val="1"/>
          <w:bCs w:val="1"/>
          <w:color w:val="auto"/>
        </w:rPr>
      </w:pPr>
      <w:r>
        <w:rPr>
          <w:rFonts w:ascii="Arial" w:cs="Arial" w:eastAsia="Arial" w:hAnsi="Arial"/>
          <w:sz w:val="18"/>
          <w:szCs w:val="18"/>
          <w:color w:val="auto"/>
        </w:rPr>
        <w:t>economic conditions affecting the Company.</w:t>
      </w:r>
    </w:p>
    <w:p>
      <w:pPr>
        <w:spacing w:after="0" w:line="142" w:lineRule="exact"/>
        <w:rPr>
          <w:sz w:val="20"/>
          <w:szCs w:val="20"/>
          <w:color w:val="auto"/>
        </w:rPr>
      </w:pPr>
    </w:p>
    <w:p>
      <w:pPr>
        <w:ind w:right="20" w:firstLine="458"/>
        <w:spacing w:after="0" w:line="332" w:lineRule="auto"/>
        <w:rPr>
          <w:sz w:val="20"/>
          <w:szCs w:val="20"/>
          <w:color w:val="auto"/>
        </w:rPr>
      </w:pPr>
      <w:r>
        <w:rPr>
          <w:rFonts w:ascii="Arial" w:cs="Arial" w:eastAsia="Arial" w:hAnsi="Arial"/>
          <w:sz w:val="16"/>
          <w:szCs w:val="16"/>
          <w:color w:val="auto"/>
        </w:rPr>
        <w:t>Members of the Committee may also conduct select in-depth interviews with the CEO’s direct reports and other executives. The evaluation is based upon the CEO’s success in achieving his performance commitments, which include financial, strategic and company culture/leadership goals.</w:t>
      </w:r>
    </w:p>
    <w:p>
      <w:pPr>
        <w:spacing w:after="0" w:line="31" w:lineRule="exact"/>
        <w:rPr>
          <w:sz w:val="20"/>
          <w:szCs w:val="20"/>
          <w:color w:val="auto"/>
        </w:rPr>
      </w:pPr>
    </w:p>
    <w:p>
      <w:pPr>
        <w:ind w:right="20" w:firstLine="458"/>
        <w:spacing w:after="0" w:line="321" w:lineRule="auto"/>
        <w:rPr>
          <w:sz w:val="20"/>
          <w:szCs w:val="20"/>
          <w:color w:val="auto"/>
        </w:rPr>
      </w:pPr>
      <w:r>
        <w:rPr>
          <w:rFonts w:ascii="Arial" w:cs="Arial" w:eastAsia="Arial" w:hAnsi="Arial"/>
          <w:sz w:val="16"/>
          <w:szCs w:val="16"/>
          <w:i w:val="1"/>
          <w:iCs w:val="1"/>
          <w:color w:val="auto"/>
        </w:rPr>
        <w:t xml:space="preserve">Determining Compensation for Named Executive Officers (Other than the CEO) </w:t>
      </w:r>
      <w:r>
        <w:rPr>
          <w:rFonts w:ascii="Arial" w:cs="Arial" w:eastAsia="Arial" w:hAnsi="Arial"/>
          <w:sz w:val="16"/>
          <w:szCs w:val="16"/>
          <w:color w:val="auto"/>
        </w:rPr>
        <w:t>— The Committee approves the annual compensation (including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target annual and long-term incentive compensation and stock-based compensation) for our Named Executive Officers (excluding the CEO), based upon:</w:t>
      </w:r>
    </w:p>
    <w:p>
      <w:pPr>
        <w:sectPr>
          <w:pgSz w:w="11900" w:h="16864" w:orient="portrait"/>
          <w:cols w:equalWidth="0" w:num="1">
            <w:col w:w="11420"/>
          </w:cols>
          <w:pgMar w:left="240" w:top="131" w:right="239" w:bottom="0" w:gutter="0" w:footer="0" w:header="0"/>
          <w:type w:val="continuous"/>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executive’s scope of responsibilities;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market competitive assessment of similar roles at Compensation Peers;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internal comparisons to the compensation of other Named Executive Officers, including the CEO;</w:t>
      </w:r>
    </w:p>
    <w:p>
      <w:pPr>
        <w:spacing w:after="0" w:line="28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231775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ectPr>
          <w:pgSz w:w="11900" w:h="16864" w:orient="portrait"/>
          <w:cols w:equalWidth="0" w:num="2">
            <w:col w:w="540" w:space="360"/>
            <w:col w:w="10520"/>
          </w:cols>
          <w:pgMar w:left="240" w:top="131" w:right="239"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64"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evaluations of performance for the fiscal year, as submitted by the CEO, and supported by performance evaluation documents, which include feedback from the executive’s peers, direct reports and other employees within the executive’s division;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CEO’s recommendations for each Named Executive Officer’s base pay, incentive compensation and stock-based compensation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advice from the Consultant to the Committee; 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economic conditions affecting the Company.</w:t>
      </w:r>
    </w:p>
    <w:p>
      <w:pPr>
        <w:spacing w:after="0" w:line="158" w:lineRule="exact"/>
        <w:rPr>
          <w:sz w:val="20"/>
          <w:szCs w:val="20"/>
          <w:color w:val="auto"/>
        </w:rPr>
      </w:pPr>
    </w:p>
    <w:p>
      <w:pPr>
        <w:sectPr>
          <w:pgSz w:w="11900" w:h="16864" w:orient="portrait"/>
          <w:cols w:equalWidth="0" w:num="2">
            <w:col w:w="540" w:space="360"/>
            <w:col w:w="10520"/>
          </w:cols>
          <w:pgMar w:left="240" w:top="131" w:right="239" w:bottom="0" w:gutter="0" w:footer="0" w:header="0"/>
          <w:type w:val="continuous"/>
        </w:sectPr>
      </w:pPr>
    </w:p>
    <w:p>
      <w:pPr>
        <w:jc w:val="both"/>
        <w:ind w:firstLine="458"/>
        <w:spacing w:after="0" w:line="306" w:lineRule="auto"/>
        <w:rPr>
          <w:sz w:val="20"/>
          <w:szCs w:val="20"/>
          <w:color w:val="auto"/>
        </w:rPr>
      </w:pPr>
      <w:r>
        <w:rPr>
          <w:rFonts w:ascii="Arial" w:cs="Arial" w:eastAsia="Arial" w:hAnsi="Arial"/>
          <w:sz w:val="16"/>
          <w:szCs w:val="16"/>
          <w:color w:val="auto"/>
        </w:rPr>
        <w:t>In Fiscal 2009, base salaries were reviewed by the Committee periodically throughout the fiscal year. In prior fiscal years, any annual adjustments made to base salaries were generally effective in January of such fiscal year. However, as further described in “–Base Salary” below, no annual base salary adjustments took place during Fiscal 2009 and, furthermore, reductions in base salary occurred in March 2009. In October 2008, the financial metrics for incentive awards</w:t>
      </w:r>
    </w:p>
    <w:p>
      <w:pPr>
        <w:sectPr>
          <w:pgSz w:w="11900" w:h="16864" w:orient="portrait"/>
          <w:cols w:equalWidth="0" w:num="1">
            <w:col w:w="11420"/>
          </w:cols>
          <w:pgMar w:left="240" w:top="131" w:right="239" w:bottom="0" w:gutter="0" w:footer="0" w:header="0"/>
          <w:type w:val="continuous"/>
        </w:sectPr>
      </w:pPr>
    </w:p>
    <w:bookmarkStart w:id="15" w:name="page16"/>
    <w:bookmarkEnd w:id="15"/>
    <w:p>
      <w:pPr>
        <w:jc w:val="both"/>
        <w:spacing w:after="0" w:line="291" w:lineRule="auto"/>
        <w:rPr>
          <w:sz w:val="20"/>
          <w:szCs w:val="20"/>
          <w:color w:val="auto"/>
        </w:rPr>
      </w:pPr>
      <w:r>
        <w:rPr>
          <w:rFonts w:ascii="Arial" w:cs="Arial" w:eastAsia="Arial" w:hAnsi="Arial"/>
          <w:sz w:val="16"/>
          <w:szCs w:val="16"/>
          <w:color w:val="auto"/>
        </w:rPr>
        <w:t>were reviewed and established at the regularly scheduled meetings of the Committee and the full Board of Directors. Historically, stock options or other stock grants were also granted at the October meetings. By establishing the meeting schedule and agenda for these grants well in advance, the Company diminished any opportunity for manipulation of exercise prices on option grants, to the extent any recipients were in possession of material nonpublic information at the time of the meetings. No stock options were granted to Named Executive Officers by the Company in Fiscal 2009. The Committee also determined that the future timing of base salary adjustments (if any) would be changed from January to September of each year. This change was made to coincide with the beginning of the new fiscal year and to match the timing of wage and base salary adjustments (if any) for all other employees.</w:t>
      </w:r>
    </w:p>
    <w:p>
      <w:pPr>
        <w:spacing w:after="0" w:line="66"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i w:val="1"/>
          <w:iCs w:val="1"/>
          <w:color w:val="auto"/>
        </w:rPr>
        <w:t xml:space="preserve">Risk Assessment of Compensation Decisions — </w:t>
      </w:r>
      <w:r>
        <w:rPr>
          <w:rFonts w:ascii="Arial" w:cs="Arial" w:eastAsia="Arial" w:hAnsi="Arial"/>
          <w:sz w:val="16"/>
          <w:szCs w:val="16"/>
          <w:color w:val="auto"/>
        </w:rPr>
        <w:t>In formulating and evaluating material elements of compensation available to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takes into consideration whether any such programs may incentivize excessive risk behavior. As part of these considerations and consistent with its compensation philosophy, the Committee is determined to formulate annual and long-term incentive compensation programs without encouraging excessive risk taking as an inherent part of the applicable plan design. The Committee believes that the annual and long-term incentive programs as outlined below minimize the risk that the Named Executive Officers are incentivized to take, in that:</w:t>
      </w:r>
    </w:p>
    <w:p>
      <w:pPr>
        <w:sectPr>
          <w:pgSz w:w="11900" w:h="16838" w:orient="portrait"/>
          <w:cols w:equalWidth="0" w:num="1">
            <w:col w:w="11420"/>
          </w:cols>
          <w:pgMar w:left="240" w:top="131" w:right="239" w:bottom="0" w:gutter="0" w:footer="0" w:header="0"/>
        </w:sectPr>
      </w:pPr>
    </w:p>
    <w:p>
      <w:pPr>
        <w:spacing w:after="0" w:line="14"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significant elements of the compensation rewards under both plans include stock-based compensation with required retention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metrics utilized under each of the plans are widely utilized measurements of shareholder value;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excessive compensation payment opportunities are avoided by the way of maximum levels of incentive payment opportunities; and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no changes to annual or long-term incentive program financial metrics are made after the initial establishment of such elements by the Committee.</w:t>
      </w:r>
    </w:p>
    <w:p>
      <w:pPr>
        <w:spacing w:after="0" w:line="186" w:lineRule="exact"/>
        <w:rPr>
          <w:sz w:val="20"/>
          <w:szCs w:val="20"/>
          <w:color w:val="auto"/>
        </w:rPr>
      </w:pPr>
    </w:p>
    <w:p>
      <w:pPr>
        <w:sectPr>
          <w:pgSz w:w="11900" w:h="16838" w:orient="portrait"/>
          <w:cols w:equalWidth="0" w:num="2">
            <w:col w:w="540" w:space="360"/>
            <w:col w:w="10520"/>
          </w:cols>
          <w:pgMar w:left="240" w:top="131" w:right="239" w:bottom="0" w:gutter="0" w:footer="0" w:header="0"/>
          <w:type w:val="continuous"/>
        </w:sectPr>
      </w:pPr>
    </w:p>
    <w:p>
      <w:pPr>
        <w:jc w:val="both"/>
        <w:ind w:right="20" w:firstLine="458"/>
        <w:spacing w:after="0" w:line="310" w:lineRule="auto"/>
        <w:rPr>
          <w:sz w:val="20"/>
          <w:szCs w:val="20"/>
          <w:color w:val="auto"/>
        </w:rPr>
      </w:pPr>
      <w:r>
        <w:rPr>
          <w:rFonts w:ascii="Arial" w:cs="Arial" w:eastAsia="Arial" w:hAnsi="Arial"/>
          <w:sz w:val="16"/>
          <w:szCs w:val="16"/>
          <w:b w:val="1"/>
          <w:bCs w:val="1"/>
          <w:color w:val="auto"/>
        </w:rPr>
        <w:t xml:space="preserve">Accounting and Tax Effects. </w:t>
      </w:r>
      <w:r>
        <w:rPr>
          <w:rFonts w:ascii="Arial" w:cs="Arial" w:eastAsia="Arial" w:hAnsi="Arial"/>
          <w:sz w:val="16"/>
          <w:szCs w:val="16"/>
          <w:color w:val="auto"/>
        </w:rPr>
        <w:t>The Committee considers both the financial reporting and the taxation of compensation elements in its decision-making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The Committee seeks a balance between the best interests of the Company, fair treatment of the Named Executive Officers, minimizing taxation of the compensation offered to the Named Executive Officer, and maximizing immediate deductibility by the Company.</w:t>
      </w:r>
    </w:p>
    <w:p>
      <w:pPr>
        <w:spacing w:after="0" w:line="49"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Committee reviews the Financial Accounting Standards Board Statement No. 123(R) (“FAS 123(R)”) expense of each stock-based compensation grant made and its impact on earnings per share reported by the Company. As a result, the Committee has limited grants of stock options and directed the use of more restricted stock grants and increased cash compensation for executives, including our Named Executive Officers, in part because of the more direct valuation and expensing of those awards.</w:t>
      </w:r>
    </w:p>
    <w:p>
      <w:pPr>
        <w:spacing w:after="0" w:line="89"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From a tax perspective, IRC Section 409A made the taxation of certain grants more costly to the executives with no offsetting benefit to the Company. In response, the Committee froze its Executive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 on a more cost-effective basis for the Company because the benefit is now provided with less tax exposure to the executive under IRC Section 409A. In addition, the Committee designed change of control agreements for executives, including the Named Executive Officers, to reduce amounts payable that otherwise would have been subject to an excise tax known as “excess golden parachute payments” as defined under IRC Section 280G and further amended such agreements in Fiscal 2009 in order to comply with IRC Section 490A. As described below under “Supplemental Executive Retirement Plan (SERP)/Split Dollar Life Insurance,” the Company converted benefits payable under the Executive Split Dollar Life Program to a Supplemental Executive Retirement Plan in Fiscal 2009 in order to comply with IRC Section 409A.</w:t>
      </w:r>
    </w:p>
    <w:p>
      <w:pPr>
        <w:spacing w:after="0" w:line="64"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Committee also is aware that IRC Section 162(m) limits deductions for compensation paid in excess of $1 million. In response, the Committee designs much of the total compensation package of the Named Executive Officers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best interests of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2009, the principal components of compensation for each Named Executive Officer were:</w:t>
      </w:r>
    </w:p>
    <w:p>
      <w:pPr>
        <w:sectPr>
          <w:pgSz w:w="11900" w:h="16838" w:orient="portrait"/>
          <w:cols w:equalWidth="0" w:num="1">
            <w:col w:w="11420"/>
          </w:cols>
          <w:pgMar w:left="240" w:top="131" w:right="239" w:bottom="0" w:gutter="0" w:footer="0" w:header="0"/>
          <w:type w:val="continuous"/>
        </w:sectPr>
      </w:pPr>
    </w:p>
    <w:p>
      <w:pPr>
        <w:spacing w:after="0" w:line="9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base salary;</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annual incentive awards; and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incentives.</w:t>
      </w:r>
    </w:p>
    <w:p>
      <w:pPr>
        <w:spacing w:after="0" w:line="200" w:lineRule="exact"/>
        <w:rPr>
          <w:sz w:val="20"/>
          <w:szCs w:val="20"/>
          <w:color w:val="auto"/>
        </w:rPr>
      </w:pPr>
    </w:p>
    <w:p>
      <w:pPr>
        <w:sectPr>
          <w:pgSz w:w="11900" w:h="16838" w:orient="portrait"/>
          <w:cols w:equalWidth="0" w:num="2">
            <w:col w:w="540" w:space="360"/>
            <w:col w:w="10520"/>
          </w:cols>
          <w:pgMar w:left="240" w:top="131" w:right="239" w:bottom="0" w:gutter="0" w:footer="0" w:header="0"/>
          <w:type w:val="continuous"/>
        </w:sectPr>
      </w:pPr>
    </w:p>
    <w:p>
      <w:pPr>
        <w:spacing w:after="0" w:line="25"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Additional elements of the total compensation for Named Executive Officers include executive benefits, perquisites and severance agreements, as described below. Each component is designed to achieve a specific purpose and to contribute to a total package that is competitive, appropriately performance-based and valued by our executives. In Fiscal 2009, the Company made no material deviations from previously disclosed or projected payments or practices under these programs.</w:t>
      </w:r>
    </w:p>
    <w:p>
      <w:pPr>
        <w:spacing w:after="0" w:line="89"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8"/>
          <w:szCs w:val="18"/>
          <w:color w:val="auto"/>
        </w:rPr>
        <w:t>The Committee has no pre-established policy or target for the allocation between either cash and non-cash or short-term and long-term incentive compensation. However, the Company believes that a smaller portion of potential total executive compensation should be attributed to base salary because it is a fixed component of total compensation. As a result, the Company has generally emphasized conservative base salary payments to Named Executive Officers, relative to its Compensation Peers. The Company alternatively provides the potential for a greater incentive compensation component of total executive compensation, which is based predominately on the performance factors described below. In Fiscal 2009, because the Company did not achieve threshold performance measures for the incentive compensation component, base salary contributed to a larger part of total compensation for Named Executive Officers when compared to prior fiscal years.</w:t>
      </w:r>
    </w:p>
    <w:p>
      <w:pPr>
        <w:spacing w:after="0" w:line="87" w:lineRule="exact"/>
        <w:rPr>
          <w:sz w:val="20"/>
          <w:szCs w:val="20"/>
          <w:color w:val="auto"/>
        </w:rPr>
      </w:pPr>
    </w:p>
    <w:p>
      <w:pPr>
        <w:jc w:val="both"/>
        <w:ind w:firstLine="458"/>
        <w:spacing w:after="0" w:line="301"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base salary program was designed to compensate Named Executive Officers for specific skills and competencies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to provide executive leadership. The Company provides Named Executive Officers and other employees with base salary to compensate them for services rendered during the fiscal year. Base salary ranges for Named Executive Officers are determined for each executive based on his or her position and responsibility. The base salaries of our executives are also determined by considering such factors as:</w:t>
      </w:r>
    </w:p>
    <w:p>
      <w:pPr>
        <w:spacing w:after="0" w:line="1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24"/>
          <w:szCs w:val="24"/>
          <w:b w:val="1"/>
          <w:bCs w:val="1"/>
          <w:color w:val="auto"/>
        </w:rPr>
      </w:pPr>
      <w:r>
        <w:rPr>
          <w:rFonts w:ascii="Arial" w:cs="Arial" w:eastAsia="Arial" w:hAnsi="Arial"/>
          <w:sz w:val="18"/>
          <w:szCs w:val="18"/>
          <w:color w:val="auto"/>
        </w:rPr>
        <w:t>experience of the executive;</w:t>
      </w:r>
    </w:p>
    <w:p>
      <w:pPr>
        <w:sectPr>
          <w:pgSz w:w="11900" w:h="16838" w:orient="portrait"/>
          <w:cols w:equalWidth="0" w:num="1">
            <w:col w:w="11420"/>
          </w:cols>
          <w:pgMar w:left="240" w:top="131" w:right="239" w:bottom="0"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22"/>
          <w:szCs w:val="22"/>
          <w:b w:val="1"/>
          <w:bCs w:val="1"/>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time in position;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individual performance;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level of responsibility for the executive; 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economic conditions affecting the Company.</w:t>
      </w:r>
    </w:p>
    <w:p>
      <w:pPr>
        <w:spacing w:after="0" w:line="333"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246380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360"/>
            <w:col w:w="10520"/>
          </w:cols>
          <w:pgMar w:left="240" w:top="13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firstLine="458"/>
        <w:spacing w:after="0" w:line="259" w:lineRule="auto"/>
        <w:rPr>
          <w:sz w:val="20"/>
          <w:szCs w:val="20"/>
          <w:color w:val="auto"/>
        </w:rPr>
      </w:pPr>
      <w:r>
        <w:rPr>
          <w:rFonts w:ascii="Arial" w:cs="Arial" w:eastAsia="Arial" w:hAnsi="Arial"/>
          <w:sz w:val="18"/>
          <w:szCs w:val="18"/>
          <w:color w:val="auto"/>
        </w:rPr>
        <w:t>In general, base salary determinations are considered annually as part of the Committee’s performance review process as well as upon a promotion or other change in job responsibility. Base salary is used as the basis for calculating annual and long-term incentive awards and in calculating payments that may be paid upon a change in control, as described below.</w:t>
      </w:r>
    </w:p>
    <w:p>
      <w:pPr>
        <w:spacing w:after="0" w:line="86"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8"/>
          <w:szCs w:val="18"/>
          <w:color w:val="auto"/>
        </w:rPr>
        <w:t>For Fiscal 2009, the Committee elected not to provide Named Executive Officers with annual base salary increases as a means to control costs in response to declining economic conditions. Additionally, effective March 1, 2009, the Board of Directors, at the recommendation of Management and in connection with the Company’s continuing efforts to reduce costs, approved a 20 percent reduction on the annual base salary of Robert J. Olson, Chairman, Chief Executive Officer and President, and a 10 percent reduction in the annual base salaries of all of the Company’s executive officers, including each of the Named Executive Officers. Furthermore, all of the Company’s executive officers, including each of the Named Executive Officers, participated in a mandatory unpaid leave of absence program, or “furlough,” which required all salaried personnel to take time off without base salary compensation. The Named Executive Officers participated by taking a one-week unpaid furlough in each of the Company’s second and fourth fiscal quarters, for a total of two unpaid weekly furloughs for Fiscal 2009.</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the base salary payable to the Named Executed Officers, including adjustments, in Fiscal 2009: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Annual</w:t>
            </w:r>
          </w:p>
        </w:tc>
        <w:tc>
          <w:tcPr>
            <w:tcW w:w="2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Annual</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6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3"/>
              </w:rPr>
              <w:t>Base Salary</w:t>
            </w:r>
          </w:p>
        </w:tc>
        <w:tc>
          <w:tcPr>
            <w:tcW w:w="21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Base Salary</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As of Beginning of</w:t>
            </w:r>
          </w:p>
        </w:tc>
        <w:tc>
          <w:tcPr>
            <w:tcW w:w="2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Effective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 2009</w:t>
            </w:r>
          </w:p>
        </w:tc>
        <w:tc>
          <w:tcPr>
            <w:tcW w:w="0" w:type="dxa"/>
            <w:vAlign w:val="bottom"/>
          </w:tcPr>
          <w:p>
            <w:pPr>
              <w:spacing w:after="0"/>
              <w:rPr>
                <w:sz w:val="1"/>
                <w:szCs w:val="1"/>
                <w:color w:val="auto"/>
              </w:rPr>
            </w:pPr>
          </w:p>
        </w:tc>
      </w:tr>
      <w:tr>
        <w:trPr>
          <w:trHeight w:val="176"/>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Borders>
              <w:bottom w:val="single" w:sz="8" w:color="D6F3E8"/>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Fiscal 2009($)</w:t>
            </w:r>
          </w:p>
        </w:tc>
        <w:tc>
          <w:tcPr>
            <w:tcW w:w="440" w:type="dxa"/>
            <w:vAlign w:val="bottom"/>
            <w:tcBorders>
              <w:bottom w:val="single" w:sz="8" w:color="D6F3E8"/>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1, 2009($)</w:t>
            </w:r>
          </w:p>
        </w:tc>
        <w:tc>
          <w:tcPr>
            <w:tcW w:w="560" w:type="dxa"/>
            <w:vAlign w:val="bottom"/>
            <w:tcBorders>
              <w:bottom w:val="single" w:sz="8" w:color="D6F3E8"/>
            </w:tcBorders>
          </w:tcPr>
          <w:p>
            <w:pPr>
              <w:spacing w:after="0"/>
              <w:rPr>
                <w:sz w:val="15"/>
                <w:szCs w:val="15"/>
                <w:color w:val="auto"/>
              </w:rPr>
            </w:pPr>
          </w:p>
        </w:tc>
        <w:tc>
          <w:tcPr>
            <w:tcW w:w="1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Base Salary($)</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8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464,000</w:t>
            </w:r>
          </w:p>
        </w:tc>
        <w:tc>
          <w:tcPr>
            <w:tcW w:w="440" w:type="dxa"/>
            <w:vAlign w:val="bottom"/>
            <w:shd w:val="clear" w:color="auto" w:fill="D6F3E8"/>
          </w:tcPr>
          <w:p>
            <w:pPr>
              <w:spacing w:after="0"/>
              <w:rPr>
                <w:sz w:val="21"/>
                <w:szCs w:val="21"/>
                <w:color w:val="auto"/>
              </w:rPr>
            </w:pPr>
          </w:p>
        </w:tc>
        <w:tc>
          <w:tcPr>
            <w:tcW w:w="16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371,200</w:t>
            </w:r>
          </w:p>
        </w:tc>
        <w:tc>
          <w:tcPr>
            <w:tcW w:w="560" w:type="dxa"/>
            <w:vAlign w:val="bottom"/>
            <w:shd w:val="clear" w:color="auto" w:fill="D6F3E8"/>
          </w:tcPr>
          <w:p>
            <w:pPr>
              <w:spacing w:after="0"/>
              <w:rPr>
                <w:sz w:val="21"/>
                <w:szCs w:val="21"/>
                <w:color w:val="auto"/>
              </w:rPr>
            </w:pPr>
          </w:p>
        </w:tc>
        <w:tc>
          <w:tcPr>
            <w:tcW w:w="14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401,539</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258,804</w:t>
            </w:r>
          </w:p>
        </w:tc>
        <w:tc>
          <w:tcPr>
            <w:tcW w:w="4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232,924</w:t>
            </w:r>
          </w:p>
        </w:tc>
        <w:tc>
          <w:tcPr>
            <w:tcW w:w="5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236,408</w:t>
            </w:r>
          </w:p>
        </w:tc>
        <w:tc>
          <w:tcPr>
            <w:tcW w:w="0" w:type="dxa"/>
            <w:vAlign w:val="bottom"/>
          </w:tcPr>
          <w:p>
            <w:pPr>
              <w:spacing w:after="0"/>
              <w:rPr>
                <w:sz w:val="1"/>
                <w:szCs w:val="1"/>
                <w:color w:val="auto"/>
              </w:rPr>
            </w:pPr>
          </w:p>
        </w:tc>
      </w:tr>
      <w:tr>
        <w:trPr>
          <w:trHeight w:val="237"/>
        </w:trPr>
        <w:tc>
          <w:tcPr>
            <w:tcW w:w="5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Roger W. Martin</w:t>
            </w:r>
          </w:p>
        </w:tc>
        <w:tc>
          <w:tcPr>
            <w:tcW w:w="18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248,144</w:t>
            </w:r>
          </w:p>
        </w:tc>
        <w:tc>
          <w:tcPr>
            <w:tcW w:w="440" w:type="dxa"/>
            <w:vAlign w:val="bottom"/>
            <w:shd w:val="clear" w:color="auto" w:fill="D6F3E8"/>
          </w:tcPr>
          <w:p>
            <w:pPr>
              <w:spacing w:after="0"/>
              <w:rPr>
                <w:sz w:val="20"/>
                <w:szCs w:val="20"/>
                <w:color w:val="auto"/>
              </w:rPr>
            </w:pPr>
          </w:p>
        </w:tc>
        <w:tc>
          <w:tcPr>
            <w:tcW w:w="16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223,330</w:t>
            </w:r>
          </w:p>
        </w:tc>
        <w:tc>
          <w:tcPr>
            <w:tcW w:w="560" w:type="dxa"/>
            <w:vAlign w:val="bottom"/>
            <w:shd w:val="clear" w:color="auto" w:fill="D6F3E8"/>
          </w:tcPr>
          <w:p>
            <w:pPr>
              <w:spacing w:after="0"/>
              <w:rPr>
                <w:sz w:val="20"/>
                <w:szCs w:val="20"/>
                <w:color w:val="auto"/>
              </w:rPr>
            </w:pPr>
          </w:p>
        </w:tc>
        <w:tc>
          <w:tcPr>
            <w:tcW w:w="14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226,670</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William J. O’Leary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246,844</w:t>
            </w:r>
          </w:p>
        </w:tc>
        <w:tc>
          <w:tcPr>
            <w:tcW w:w="4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222,160</w:t>
            </w:r>
          </w:p>
        </w:tc>
        <w:tc>
          <w:tcPr>
            <w:tcW w:w="5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225,483</w:t>
            </w:r>
          </w:p>
        </w:tc>
        <w:tc>
          <w:tcPr>
            <w:tcW w:w="0" w:type="dxa"/>
            <w:vAlign w:val="bottom"/>
          </w:tcPr>
          <w:p>
            <w:pPr>
              <w:spacing w:after="0"/>
              <w:rPr>
                <w:sz w:val="1"/>
                <w:szCs w:val="1"/>
                <w:color w:val="auto"/>
              </w:rPr>
            </w:pPr>
          </w:p>
        </w:tc>
      </w:tr>
      <w:tr>
        <w:trPr>
          <w:trHeight w:val="237"/>
        </w:trPr>
        <w:tc>
          <w:tcPr>
            <w:tcW w:w="55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18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245,960</w:t>
            </w:r>
          </w:p>
        </w:tc>
        <w:tc>
          <w:tcPr>
            <w:tcW w:w="440" w:type="dxa"/>
            <w:vAlign w:val="bottom"/>
            <w:shd w:val="clear" w:color="auto" w:fill="D6F3E8"/>
          </w:tcPr>
          <w:p>
            <w:pPr>
              <w:spacing w:after="0"/>
              <w:rPr>
                <w:sz w:val="20"/>
                <w:szCs w:val="20"/>
                <w:color w:val="auto"/>
              </w:rPr>
            </w:pPr>
          </w:p>
        </w:tc>
        <w:tc>
          <w:tcPr>
            <w:tcW w:w="16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221,364</w:t>
            </w:r>
          </w:p>
        </w:tc>
        <w:tc>
          <w:tcPr>
            <w:tcW w:w="560" w:type="dxa"/>
            <w:vAlign w:val="bottom"/>
            <w:shd w:val="clear" w:color="auto" w:fill="D6F3E8"/>
          </w:tcPr>
          <w:p>
            <w:pPr>
              <w:spacing w:after="0"/>
              <w:rPr>
                <w:sz w:val="20"/>
                <w:szCs w:val="20"/>
                <w:color w:val="auto"/>
              </w:rPr>
            </w:pPr>
          </w:p>
        </w:tc>
        <w:tc>
          <w:tcPr>
            <w:tcW w:w="14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224,675</w:t>
            </w:r>
          </w:p>
        </w:tc>
        <w:tc>
          <w:tcPr>
            <w:tcW w:w="0" w:type="dxa"/>
            <w:vAlign w:val="bottom"/>
          </w:tcPr>
          <w:p>
            <w:pPr>
              <w:spacing w:after="0"/>
              <w:rPr>
                <w:sz w:val="1"/>
                <w:szCs w:val="1"/>
                <w:color w:val="auto"/>
              </w:rPr>
            </w:pPr>
          </w:p>
        </w:tc>
      </w:tr>
      <w:tr>
        <w:trPr>
          <w:trHeight w:val="222"/>
        </w:trPr>
        <w:tc>
          <w:tcPr>
            <w:tcW w:w="5140" w:type="dxa"/>
            <w:vAlign w:val="bottom"/>
          </w:tcPr>
          <w:p>
            <w:pPr>
              <w:ind w:left="40"/>
              <w:spacing w:after="0"/>
              <w:rPr>
                <w:sz w:val="20"/>
                <w:szCs w:val="20"/>
                <w:color w:val="auto"/>
              </w:rPr>
            </w:pPr>
            <w:r>
              <w:rPr>
                <w:rFonts w:ascii="Arial" w:cs="Arial" w:eastAsia="Arial" w:hAnsi="Arial"/>
                <w:sz w:val="18"/>
                <w:szCs w:val="18"/>
                <w:color w:val="auto"/>
              </w:rPr>
              <w:t>__________________</w:t>
            </w: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reduction of two weeks base salary payable to each Named Executive Officer pursuant to mandatory unpaid leave of absence program.</w:t>
      </w:r>
    </w:p>
    <w:p>
      <w:pPr>
        <w:spacing w:after="0" w:line="13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Annual Incentive Plan</w:t>
      </w:r>
      <w:r>
        <w:rPr>
          <w:rFonts w:ascii="Arial" w:cs="Arial" w:eastAsia="Arial" w:hAnsi="Arial"/>
          <w:sz w:val="18"/>
          <w:szCs w:val="18"/>
          <w:b w:val="1"/>
          <w:bCs w:val="1"/>
          <w:color w:val="auto"/>
        </w:rPr>
        <w:t>.</w:t>
      </w:r>
    </w:p>
    <w:p>
      <w:pPr>
        <w:spacing w:after="0" w:line="123"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i w:val="1"/>
          <w:iCs w:val="1"/>
          <w:color w:val="auto"/>
        </w:rPr>
        <w:t xml:space="preserve">Officers Incentive Compensation Plan Fiscal Period 2009 </w:t>
      </w:r>
      <w:r>
        <w:rPr>
          <w:rFonts w:ascii="Arial" w:cs="Arial" w:eastAsia="Arial" w:hAnsi="Arial"/>
          <w:sz w:val="16"/>
          <w:szCs w:val="16"/>
          <w:color w:val="auto"/>
        </w:rPr>
        <w:t>— The Company’s Named Executive Officers are eligible for quarterly incentive awards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our Officers Incentive Compensation Plan Fiscal Period 2009 (the “Officers Incentive Compensation Plan”). The Officers Incentive Compensation Plan is designed to promote the growth and profitability of the Company by providing its executives with an incentive to achieve identified short-term corporate profit objectives and to attract and retain such executives who will contribute to the achievement of growth and profitability of the Company.</w:t>
      </w:r>
    </w:p>
    <w:p>
      <w:pPr>
        <w:spacing w:after="0" w:line="59"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color w:val="auto"/>
        </w:rPr>
        <w:t>Under the Officers Incentive Compensation Plan, incentive awards are based upon financial performance objectives for the Company, as established by the Board of Directors. The Officers Incentive Compensation Plan is a program established by the Company to provide for quarterly cumulative measurements of financial performance, with a corresponding opportunity for quarterly incentive payments based upon financial results measured against performance objectives set by the Committee and approved by the Board of Directors. The amount of the participants’ incentive compensation for the quarter is calculated under the Officers Incentive Compensation Plan to be in direct proportion to the Company’s financial performance expressed as a percentage (Financial Factor) against compensation targets for each participant as determined by the Board of Directors.</w:t>
      </w:r>
    </w:p>
    <w:p>
      <w:pPr>
        <w:spacing w:after="0" w:line="66"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Diluted earnings per share (“EPS”) and return on invested capital (“ROIC”) were chosen by the Committee as the key financial performance measurements under the Officers Incentive Compensation Plan. The Board, upon the recommendation of the Committee, selected EPS as a key financial performance metric for the following reasons:</w:t>
      </w:r>
    </w:p>
    <w:p>
      <w:pPr>
        <w:spacing w:after="0" w:line="59" w:lineRule="exact"/>
        <w:rPr>
          <w:sz w:val="20"/>
          <w:szCs w:val="20"/>
          <w:color w:val="auto"/>
        </w:rPr>
      </w:pPr>
    </w:p>
    <w:p>
      <w:pPr>
        <w:ind w:left="5620" w:right="40" w:hanging="5166"/>
        <w:spacing w:after="0" w:line="470" w:lineRule="auto"/>
        <w:tabs>
          <w:tab w:leader="none" w:pos="893" w:val="left"/>
        </w:tabs>
        <w:numPr>
          <w:ilvl w:val="0"/>
          <w:numId w:val="24"/>
        </w:numPr>
        <w:rPr>
          <w:rFonts w:ascii="Arial" w:cs="Arial" w:eastAsia="Arial" w:hAnsi="Arial"/>
          <w:sz w:val="24"/>
          <w:szCs w:val="24"/>
          <w:b w:val="1"/>
          <w:bCs w:val="1"/>
          <w:color w:val="auto"/>
        </w:rPr>
      </w:pPr>
      <w:r>
        <w:rPr>
          <w:rFonts w:ascii="Arial" w:cs="Arial" w:eastAsia="Arial" w:hAnsi="Arial"/>
          <w:sz w:val="18"/>
          <w:szCs w:val="18"/>
          <w:color w:val="auto"/>
        </w:rPr>
        <w:t>EPS is an important indicator of Company profitability by measuring the Company’s earnings allocable to each outstanding share of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8" w:right="239" w:bottom="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EPS aligns the interests of the Named Executive Officer with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EPS factors in the effects of other items of compensation, such as stock options and restricted stock grants; and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EPS serves as an important measure in determining corporate profitability for the shareholders.</w:t>
      </w:r>
    </w:p>
    <w:p>
      <w:pPr>
        <w:spacing w:after="0" w:line="131" w:lineRule="exact"/>
        <w:rPr>
          <w:sz w:val="20"/>
          <w:szCs w:val="20"/>
          <w:color w:val="auto"/>
        </w:rPr>
      </w:pPr>
    </w:p>
    <w:p>
      <w:pPr>
        <w:sectPr>
          <w:pgSz w:w="11900" w:h="16838" w:orient="portrait"/>
          <w:cols w:equalWidth="0" w:num="2">
            <w:col w:w="540" w:space="360"/>
            <w:col w:w="10520"/>
          </w:cols>
          <w:pgMar w:left="240" w:top="138" w:right="239" w:bottom="0" w:gutter="0" w:footer="0" w:header="0"/>
          <w:type w:val="continuous"/>
        </w:sectPr>
      </w:pPr>
    </w:p>
    <w:p>
      <w:pPr>
        <w:ind w:firstLine="458"/>
        <w:spacing w:after="0" w:line="332" w:lineRule="auto"/>
        <w:rPr>
          <w:sz w:val="20"/>
          <w:szCs w:val="20"/>
          <w:color w:val="auto"/>
        </w:rPr>
      </w:pPr>
      <w:r>
        <w:rPr>
          <w:rFonts w:ascii="Arial" w:cs="Arial" w:eastAsia="Arial" w:hAnsi="Arial"/>
          <w:sz w:val="16"/>
          <w:szCs w:val="16"/>
          <w:color w:val="auto"/>
        </w:rPr>
        <w:t>The formula utilized by the Company for EPS is net income divided by weighted average common diluted shares outstanding. For the purposes of the Officers Incentive Compensation Plan, EPS is calculated on a fiscal year-to-date cumulative basis at each quarter end and a final calculation at fiscal year end.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Additionally, the Board upon the recommendation of the Committee, selected ROIC as another one of its key financial performance metrics because:</w:t>
      </w:r>
    </w:p>
    <w:p>
      <w:pPr>
        <w:spacing w:after="0" w:line="6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24"/>
          <w:szCs w:val="24"/>
          <w:b w:val="1"/>
          <w:bCs w:val="1"/>
          <w:color w:val="auto"/>
        </w:rPr>
      </w:pPr>
      <w:r>
        <w:rPr>
          <w:rFonts w:ascii="Arial" w:cs="Arial" w:eastAsia="Arial" w:hAnsi="Arial"/>
          <w:sz w:val="18"/>
          <w:szCs w:val="18"/>
          <w:color w:val="auto"/>
        </w:rPr>
        <w:t>ROIC is a critical indicator of how effectively a company uses its capital invested in its operations; and</w:t>
      </w:r>
    </w:p>
    <w:p>
      <w:pPr>
        <w:sectPr>
          <w:pgSz w:w="11900" w:h="16838" w:orient="portrait"/>
          <w:cols w:equalWidth="0" w:num="1">
            <w:col w:w="11420"/>
          </w:cols>
          <w:pgMar w:left="240" w:top="138" w:right="239" w:bottom="0" w:gutter="0" w:footer="0" w:header="0"/>
          <w:type w:val="continuous"/>
        </w:sectPr>
      </w:pPr>
    </w:p>
    <w:bookmarkStart w:id="17" w:name="page18"/>
    <w:bookmarkEnd w:id="17"/>
    <w:p>
      <w:pPr>
        <w:spacing w:after="0" w:line="33"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24"/>
          <w:szCs w:val="24"/>
          <w:b w:val="1"/>
          <w:bCs w:val="1"/>
          <w:color w:val="auto"/>
        </w:rPr>
      </w:pPr>
      <w:r>
        <w:rPr>
          <w:rFonts w:ascii="Arial" w:cs="Arial" w:eastAsia="Arial" w:hAnsi="Arial"/>
          <w:sz w:val="18"/>
          <w:szCs w:val="18"/>
          <w:color w:val="auto"/>
        </w:rPr>
        <w:t>ROIC is an important measurement for judging how much value the Company is creating.</w:t>
      </w:r>
    </w:p>
    <w:p>
      <w:pPr>
        <w:spacing w:after="0" w:line="88"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formula utilized by the Company for ROIC is operating income after tax divided by the average of Fiscal 2009 and 2008 year-end total assets, less cash, short-term and long-term investments and noninterest bearing current liabilities. For the purpose of the Officers Incentive Compensation Plan, the Company used an estimated annual projection of operating income for the first three fiscal quarters based upon interim actual performance. At fiscal year end, the actual annual operating income was used for a final ROIC calculation.</w:t>
      </w:r>
    </w:p>
    <w:p>
      <w:pPr>
        <w:spacing w:after="0" w:line="76" w:lineRule="exact"/>
        <w:rPr>
          <w:sz w:val="20"/>
          <w:szCs w:val="20"/>
          <w:color w:val="auto"/>
        </w:rPr>
      </w:pPr>
    </w:p>
    <w:p>
      <w:pPr>
        <w:jc w:val="both"/>
        <w:ind w:firstLine="458"/>
        <w:spacing w:after="0" w:line="287" w:lineRule="auto"/>
        <w:rPr>
          <w:sz w:val="20"/>
          <w:szCs w:val="20"/>
          <w:color w:val="auto"/>
        </w:rPr>
      </w:pPr>
      <w:r>
        <w:rPr>
          <w:rFonts w:ascii="Arial" w:cs="Arial" w:eastAsia="Arial" w:hAnsi="Arial"/>
          <w:sz w:val="16"/>
          <w:szCs w:val="16"/>
          <w:color w:val="auto"/>
        </w:rPr>
        <w:t>The Officers Incentive Compensation Plan provided for a bonus (Target) opportunity of 60 percent of base salary (comprised of a mix of 2/3 cash and 1/3 restricted stock) at 100 percent achievement of each of the financial objectives of ROIC and EPS for the Named Executive Officers, except the Chief Executive Officer and President. For the Chief Executive Officer and President, the Plan provided for a bonus (Target) opportunity of 90 percent of base salary (comprised of a mix of 2/3 cash and 1/3 restricted stock) at 100 percent achievement of each of the financial objectives of ROIC and EPS. Fifty percent (50 percent) of the quarterly cash incentive calculation for all Named Executive Officers was payable within 45 days after the close of the fiscal year and fifty percent (50 percent) is held back and carried forward into the next quarter on a cumulative basis. At the end of the fourth fiscal quarter (fiscal year end), a final year-end accounting was made prior to the payment of any remaining incentive holdback for the year. A participant is eligible for any previous holdback allocations, except as waived by the Committee for normal retirement and disability, only if employed at the end of the fiscal year. The annual restricted stock grant portion of the Officers Incentive Compensation Plan, which comprises 1/3 of the officer’s earned incentive for the year, is awarded as soon as practical after the final fiscal year-end compensation accounting is completed and upon approval by the Committee, with a one-year restriction on sale upon award.</w:t>
      </w:r>
    </w:p>
    <w:p>
      <w:pPr>
        <w:spacing w:after="0" w:line="42" w:lineRule="exact"/>
        <w:rPr>
          <w:sz w:val="20"/>
          <w:szCs w:val="20"/>
          <w:color w:val="auto"/>
        </w:rPr>
      </w:pPr>
    </w:p>
    <w:p>
      <w:pPr>
        <w:jc w:val="both"/>
        <w:ind w:firstLine="458"/>
        <w:spacing w:after="0" w:line="286" w:lineRule="auto"/>
        <w:rPr>
          <w:sz w:val="20"/>
          <w:szCs w:val="20"/>
          <w:color w:val="auto"/>
        </w:rPr>
      </w:pPr>
      <w:r>
        <w:rPr>
          <w:rFonts w:ascii="Arial" w:cs="Arial" w:eastAsia="Arial" w:hAnsi="Arial"/>
          <w:sz w:val="16"/>
          <w:szCs w:val="16"/>
          <w:color w:val="auto"/>
        </w:rPr>
        <w:t>In calculating the financial targets for incentive eligibility under the Officers Incentive Compensation Plan, the financial performance in Fiscal 2009 was weighted 75 percent to EPS and 25 percent to ROIC, with an aggregate maximum bonus of 200 percent of the Target. The Company has placed a more influential weighting on EPS due to its belief that EPS is an excellent measurement as to overall Company profitability for shareholders. The first portion of the Target is based solely on ROIC to a maximum of 50 percent which is achievable at an ROIC of 20.0 percent. Financial performance of less than 13.8 percent ROIC results in no bonus attributable to ROIC. The Committee believed that setting maximum and minimum bonus levels based on ROIC as defined, would provide for fair and equitable reward opportunity for executives while returning appropriate shareholder value proportionately within those parameters. In surveying a group of approximately 70 companies with the same Standard Industrial Classification Code, the Committee found an average ROIC of 13.8 percent at such companies as of the end of the last reported fiscal year. The other portion of the Target is based solely on EPS to a maximum of 150 percent. The EPS target for Fiscal 2009 was established at $1.00, after reviewing and evaluating the most recent ten-year EPS average history for the Company and the actual EPS result of $0.10 for Fiscal 2008. Attainment of $1.00 provides the executive 50 percent of the target bonus. To attain the maximum of 150 percent, EPS maximum was set at $1.20, which represents 120 percent of the target EPS. EPS actual results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of less than $0.80, which represents less than 80 percent of target EPS, results in no bonus attributable to EPS.</w:t>
      </w:r>
    </w:p>
    <w:p>
      <w:pPr>
        <w:spacing w:after="0" w:line="90"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A formal written evaluation document is completed annually by the members of the Committee and an overall measurement is determined and the results are reported to the full Board. The Board of Directors may adjust the core incentive eligibility and may modify the Financial Factors used in determining the incentive compensation by plus or minus 20 percent as determined by the formal written evaluation results of those strategic organizational goals and priorities. Strategic performance is measured only at the end of the fiscal year and may have included previously established strategic factors including, but not limited to:</w:t>
      </w:r>
    </w:p>
    <w:p>
      <w:pPr>
        <w:sectPr>
          <w:pgSz w:w="11900" w:h="16871" w:orient="portrait"/>
          <w:cols w:equalWidth="0" w:num="1">
            <w:col w:w="11420"/>
          </w:cols>
          <w:pgMar w:left="240" w:top="78" w:right="239" w:bottom="0" w:gutter="0" w:footer="0" w:header="0"/>
        </w:sectPr>
      </w:pPr>
    </w:p>
    <w:p>
      <w:pPr>
        <w:spacing w:after="0" w:line="17"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Revenue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Product Quality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Product Introductions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Inventory Management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Ethical Business Practices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Business Diversity Initiatives</w:t>
      </w:r>
    </w:p>
    <w:p>
      <w:pPr>
        <w:spacing w:after="0" w:line="112" w:lineRule="exact"/>
        <w:rPr>
          <w:sz w:val="20"/>
          <w:szCs w:val="20"/>
          <w:color w:val="auto"/>
        </w:rPr>
      </w:pPr>
    </w:p>
    <w:p>
      <w:pPr>
        <w:sectPr>
          <w:pgSz w:w="11900" w:h="16871" w:orient="portrait"/>
          <w:cols w:equalWidth="0" w:num="4">
            <w:col w:w="2380" w:space="180"/>
            <w:col w:w="2200" w:space="720"/>
            <w:col w:w="80" w:space="120"/>
            <w:col w:w="5740"/>
          </w:cols>
          <w:pgMar w:left="240" w:top="78" w:right="239" w:bottom="0" w:gutter="0" w:footer="0" w:header="0"/>
          <w:type w:val="continuous"/>
        </w:sectPr>
      </w:pPr>
    </w:p>
    <w:p>
      <w:pPr>
        <w:jc w:val="both"/>
        <w:ind w:firstLine="458"/>
        <w:spacing w:after="0" w:line="259" w:lineRule="auto"/>
        <w:rPr>
          <w:sz w:val="20"/>
          <w:szCs w:val="20"/>
          <w:color w:val="auto"/>
        </w:rPr>
      </w:pPr>
      <w:r>
        <w:rPr>
          <w:rFonts w:ascii="Arial" w:cs="Arial" w:eastAsia="Arial" w:hAnsi="Arial"/>
          <w:sz w:val="18"/>
          <w:szCs w:val="18"/>
          <w:color w:val="auto"/>
        </w:rPr>
        <w:t>For the purposes of the Officers Incentive Compensation Plan, the Board determined not to modify amounts payable pursuant to EPS and ROIC targets. Since ROIC at the end of Fiscal 2009 was lower than 13.8 percent and Fiscal 2009 EPS was less than $0.80 (80 percent of target EPS), no amounts were paid to Named Executive Officers in Fiscal 2009 under the Officers Incentive Compensation Plan.</w:t>
      </w:r>
    </w:p>
    <w:p>
      <w:pPr>
        <w:spacing w:after="0" w:line="73"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i w:val="1"/>
          <w:iCs w:val="1"/>
          <w:color w:val="auto"/>
        </w:rPr>
        <w:t xml:space="preserve">Officers Incentive Compensation Plan Fiscal Period 2010 </w:t>
      </w:r>
      <w:r>
        <w:rPr>
          <w:rFonts w:ascii="Arial" w:cs="Arial" w:eastAsia="Arial" w:hAnsi="Arial"/>
          <w:sz w:val="18"/>
          <w:szCs w:val="18"/>
          <w:color w:val="auto"/>
        </w:rPr>
        <w:t>— In June 2009, the Board of Directors established and in October 2009,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the financial performance measurements and the threshold, target and maximum performance levels for which incentive awards will be paid pursuant to the Officers Incentive Compensation Plan for Fiscal 2010 (the “2010 Plan”). Similar to the Officers Incentive Compensation Plan designed by the Board of Directors for Fiscal 2009, the 2010 Plan was established to provide Named Executive Officers with compensation awards based upon EPS and ROIC objectives (weighted at 75 percent EPS and 25 percent ROIC).</w:t>
      </w:r>
    </w:p>
    <w:p>
      <w:pPr>
        <w:spacing w:after="0" w:line="62" w:lineRule="exact"/>
        <w:rPr>
          <w:sz w:val="20"/>
          <w:szCs w:val="20"/>
          <w:color w:val="auto"/>
        </w:rPr>
      </w:pPr>
    </w:p>
    <w:p>
      <w:pPr>
        <w:jc w:val="both"/>
        <w:ind w:firstLine="458"/>
        <w:spacing w:after="0" w:line="306" w:lineRule="auto"/>
        <w:rPr>
          <w:sz w:val="20"/>
          <w:szCs w:val="20"/>
          <w:color w:val="auto"/>
        </w:rPr>
      </w:pPr>
      <w:r>
        <w:rPr>
          <w:rFonts w:ascii="Arial" w:cs="Arial" w:eastAsia="Arial" w:hAnsi="Arial"/>
          <w:sz w:val="16"/>
          <w:szCs w:val="16"/>
          <w:color w:val="auto"/>
        </w:rPr>
        <w:t>In establishing the 2010 Plan, the Committee changed incentive award measurement from a quarterly to an annual basis. The Committee determined that this change would mitigate the volatility of cyclical quarterly measurements by providing for a longer term measurement of performance at the completion of the full fiscal year. Bonus payments, if any, under the 2010 Plan will be comprised of 1/3 restricted stock and 2/3 cash.</w:t>
      </w:r>
    </w:p>
    <w:p>
      <w:pPr>
        <w:spacing w:after="0" w:line="39"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A participant must be employed by the Company at the end of Fiscal 2010 to be eligible for any incentive payment, except as may be waived by the Committee for retirement, disability or death. The Committee, on an annual basis, will coordinate an evaluation of previously identified specific strategic organizational goals and priorities established by the Board of Directors. The Board of Directors may adjust the core incentive eligibility by plus or minus 20 percent as determined by the formal written evaluation results of those strategic organizational goals.</w:t>
      </w:r>
    </w:p>
    <w:p>
      <w:pPr>
        <w:spacing w:after="0" w:line="70" w:lineRule="exact"/>
        <w:rPr>
          <w:sz w:val="20"/>
          <w:szCs w:val="20"/>
          <w:color w:val="auto"/>
        </w:rPr>
      </w:pPr>
    </w:p>
    <w:p>
      <w:pPr>
        <w:jc w:val="both"/>
        <w:ind w:firstLine="458"/>
        <w:spacing w:after="0" w:line="301"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recognizes long-term incentive opportunity as an important element of the total executive compensation program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Executive Officers. Long-term incentives are intended to retain and motivate executives and to encourage a strong link between Management objectives and shareholder long-term interests. Company long-term incentives include the Officers Long-Term Incentive Plan described below, together with long-term incentives provided through grants of stock options and restricted stock in previous fiscal years.</w:t>
      </w:r>
    </w:p>
    <w:p>
      <w:pPr>
        <w:spacing w:after="0" w:line="55"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 The Company’s Named Executive Officers are eligible for annual incentive awards under the Company’s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Incentive Plan (the “Long-Term Incentive Plan”). Each year, the Committee establishes a three-year performance plan to promote the long-term</w:t>
      </w:r>
    </w:p>
    <w:p>
      <w:pPr>
        <w:sectPr>
          <w:pgSz w:w="11900" w:h="16871" w:orient="portrait"/>
          <w:cols w:equalWidth="0" w:num="1">
            <w:col w:w="11420"/>
          </w:cols>
          <w:pgMar w:left="240" w:top="78" w:right="239" w:bottom="0" w:gutter="0" w:footer="0" w:header="0"/>
          <w:type w:val="continuous"/>
        </w:sectPr>
      </w:pPr>
    </w:p>
    <w:bookmarkStart w:id="18" w:name="page19"/>
    <w:bookmarkEnd w:id="18"/>
    <w:p>
      <w:pPr>
        <w:jc w:val="both"/>
        <w:ind w:right="20"/>
        <w:spacing w:after="0" w:line="268" w:lineRule="auto"/>
        <w:rPr>
          <w:sz w:val="20"/>
          <w:szCs w:val="20"/>
          <w:color w:val="auto"/>
        </w:rPr>
      </w:pPr>
      <w:r>
        <w:rPr>
          <w:rFonts w:ascii="Arial" w:cs="Arial" w:eastAsia="Arial" w:hAnsi="Arial"/>
          <w:sz w:val="18"/>
          <w:szCs w:val="18"/>
          <w:color w:val="auto"/>
        </w:rPr>
        <w:t>growth and profitability of the Company and to attract and retain executives by providing the officers an opportunity for an incentive award consisting of stock grants made in restricted shares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Common Stock (or at the election of a participating officer, in cash if specifically permitted in the individual plan period document).</w:t>
      </w:r>
    </w:p>
    <w:p>
      <w:pPr>
        <w:spacing w:after="0" w:line="140"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color w:val="auto"/>
        </w:rPr>
        <w:t>The rewards for achieving results under these overlapping Long-Term Incentive Plans vary by each three-year period and by Named Executive Officer. In general, the awards are based upon the Company’s financial performance as measured against the three-year plan established by the Committee and approved by the Board of Directors. The Committee established certain minimum and maximum ROIC targets for the 2007-2009 Plan (as defined below) and certain minimum and ROIC targets for the 2008-2010 Plan (as defined below). The financial performance measurements for each of the 2007-2009 Plan and 2008-2010 Plan are primarily based upon the achievement of certain EPS thresholds as determined in each three-year plan. As discussed below, the Committee changed the financial metrics to be utilized for the Long-Term Incentive Plan for the Fiscal 2009-2011 performance cycle from EPS and ROIC to a single metric of return on equity (“ROE”). Stockholders’ equity at the beginning of the Company’s fiscal year of the applicable plan period is used as the basis figure for the calculation of ROE. The Company calculates EPS and ROIC in the same manner as described under “Annual Incentive Plan” above.</w:t>
      </w:r>
    </w:p>
    <w:p>
      <w:pPr>
        <w:spacing w:after="0" w:line="64"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Under the Long-Term Incentive Plan, the amount of a Named Executive Officer’s incentive compensation for the three-year period is calculated to be in direct linear proportion to the Company’s measured financial performance expressed as a percentage against compensation targets for each participant, as determined by the Board of Directors. Named Executive Officers may be entitled to earlier vesting of awards under the Long-Term Incentive Plan in the event of a “Change of Control” (as defined in the Long-Term Incentive Plan), disability, termination of employment or death. See “Potential Payments upon Termination or Change of Control—Long-Term Incentive Plan Payments” below.</w:t>
      </w:r>
    </w:p>
    <w:p>
      <w:pPr>
        <w:spacing w:after="0" w:line="89"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i w:val="1"/>
          <w:iCs w:val="1"/>
          <w:color w:val="auto"/>
        </w:rPr>
        <w:t>Long-Term Incentive Plan Fiscal 2007-2009 Performance Cycle</w:t>
      </w:r>
      <w:r>
        <w:rPr>
          <w:rFonts w:ascii="Arial" w:cs="Arial" w:eastAsia="Arial" w:hAnsi="Arial"/>
          <w:sz w:val="16"/>
          <w:szCs w:val="16"/>
          <w:color w:val="auto"/>
        </w:rPr>
        <w:t>. In October 2006, the Committee established a three-year plan with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based on EPS and ROIC, with a performance period from Fiscal 2007 through Fiscal 2009 (the “2007-2009 Plan”). The Committee selected EPS and ROIC, for this plan based on the same principles utilized for the Company’s annual incentive compensation plan in Fiscal 2009, as discussed under “Annual Incentive Plan” above. The Committee chose financial measurements based upon EPS and ROIC in order to provide for relative consistency between the annual and longer term incentive plans and financial goals. In addition, the Committee viewed ROIC as a critical indicator of how effectively the Company uses its capital invested in its operations during periods of market volatility and as an important measurement of value of the Company is creating for its shareholders.</w:t>
      </w:r>
    </w:p>
    <w:p>
      <w:pPr>
        <w:spacing w:after="0" w:line="66" w:lineRule="exact"/>
        <w:rPr>
          <w:sz w:val="20"/>
          <w:szCs w:val="20"/>
          <w:color w:val="auto"/>
        </w:rPr>
      </w:pPr>
    </w:p>
    <w:p>
      <w:pPr>
        <w:jc w:val="both"/>
        <w:ind w:firstLine="458"/>
        <w:spacing w:after="0" w:line="254" w:lineRule="auto"/>
        <w:rPr>
          <w:sz w:val="20"/>
          <w:szCs w:val="20"/>
          <w:color w:val="auto"/>
        </w:rPr>
      </w:pPr>
      <w:r>
        <w:rPr>
          <w:rFonts w:ascii="Arial" w:cs="Arial" w:eastAsia="Arial" w:hAnsi="Arial"/>
          <w:sz w:val="18"/>
          <w:szCs w:val="18"/>
          <w:color w:val="auto"/>
        </w:rPr>
        <w:t>The 2007-2009 Plan provided for a bonus (Target) of 25 percent of the annualized base salary (Target) to be awarded in restricted stock (or in cash at the participant’s election) at 100 percent achievement of each of the financial objectives of EPS and ROIC. The annualized base salary figure utilized for measurement in the 2007-2009 Plan is the salary in place for each participant as of January 2007. The resultant incentive award (at 100 percent of the three-year financial targets) is adjusted up or down as determined by the actual financial performance of EPS and ROIC expressed as a percentage (Financial Factor) at the end of the three-year fiscal period. In calculating the financial targets for incentive eligibility under the 2007-2009 Plan, the financial performance is weighted 75 percent to EPS and 25 percent to ROIC.</w:t>
      </w:r>
    </w:p>
    <w:p>
      <w:pPr>
        <w:spacing w:after="0" w:line="90"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Committee determined that the year one target under the 2007-2009 Plan would be the actual EPS for Fiscal 2006. The Committee set the second year target for the 2007-2009 Plan as the actual EPS for Fiscal 2007 and the third year target as the actual EPS for Fiscal 2008. The Committee set the maximum target for EPS at 10 percent above the best EPS fiscal year end (2004) in the Company’s history for year one and an additional 10 percent increase for each of the two succeeding years ($7.14 total).</w:t>
      </w:r>
    </w:p>
    <w:p>
      <w:pPr>
        <w:spacing w:after="0" w:line="89"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Financial performance of less than 16.5 percent for ROIC and less than a $2.79 three-year cumulative EPS results in no incentive award under the 2007-2009 Plan. The maximum aggregate incentive award of 150 percent of Target can be earned if both financial measurement components of EPS and ROIC under 2007-2009 Plan are maximized. The actual three-year performance results achieved for ROIC and EPS for the 2007-2009 Plan period were both less than these thresholds, which resulted in no payout in Fiscal 2009 under the 2007-2009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i w:val="1"/>
          <w:iCs w:val="1"/>
          <w:color w:val="auto"/>
        </w:rPr>
        <w:t>Long-Term Incentive Plan Fiscal 2008-2010 Performance Cycle</w:t>
      </w:r>
      <w:r>
        <w:rPr>
          <w:rFonts w:ascii="Arial" w:cs="Arial" w:eastAsia="Arial" w:hAnsi="Arial"/>
          <w:sz w:val="18"/>
          <w:szCs w:val="18"/>
          <w:color w:val="auto"/>
        </w:rPr>
        <w:t>. In October 2007, the Committee established a three-year plan with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based on EPS and ROIC, with a performance period from Fiscal 2008 through Fiscal 2010 (the “2008-2010 Plan”). The Committee selected EPS and ROIC, for this plan based on the same principles utilized for the Company’s Officers Incentive Compensation Plan in Fiscal 2009, as discussed under “Annual Incentive Plan” above.</w:t>
      </w:r>
    </w:p>
    <w:p>
      <w:pPr>
        <w:spacing w:after="0" w:line="89"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color w:val="auto"/>
        </w:rPr>
        <w:t>The 2008-2010 Plan provides for a bonus (Target) of 25 percent of the annualized base salary (Target) to be awarded in restricted stock (or in cash at the participant’s election) at 100 percent achievement of each of the financial objectives of EPS and ROIC. The annualized base salary figure utilized for measurement in the 2008-2010 Plan is the salary in place for each participant as of January 2008. The resultant incentive award (at 100 percent of the three-year financial targets) will be adjusted up or down as determined by the actual financial performance of EPS and ROIC expressed as a percentage (Financial Factor) at the end of the three-year fiscal period. In calculating the financial targets for incentive eligibility under the 2008-2010 Plan, the financial performance is weighted 75 percent to EPS and 25 percent to ROIC.</w:t>
      </w:r>
    </w:p>
    <w:p>
      <w:pPr>
        <w:spacing w:after="0" w:line="66"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Financial performance of less than either 80 percent of the three-year cumulative EPS financial target (as described below) or 16 percent of the average annual ROIC financial target results in no incentive award under the 2008-2010 Plan. The maximum aggregate incentive award of 150 percent of Target can be earned if both financial measurement components of EPS and ROIC under 2008-2010 Plan are maximized. The Committee determined that both the target and maximum average annual ROIC for purposes of the 2008-2010 Plan would be 24.5 percent. The Committee also determined that the year-one EPS target under the 2008-2010 Plan would be the actual EPS for Fiscal 2007 of $1.32. The Committee set the second year target for 2008-2010 Plan as the actual EPS for Fiscal 2008, and the third-year target as the actual EPS for Fiscal 2009. The Committee set the maximum target for the three year cumulative EPS at 10 percent above the best EPS fiscal year (2004) in the Company’s history for year one and an additional 10 percent increase for each of the two succeeding years ($7.14 total).</w:t>
      </w:r>
    </w:p>
    <w:p>
      <w:pPr>
        <w:sectPr>
          <w:pgSz w:w="11900" w:h="16838" w:orient="portrait"/>
          <w:cols w:equalWidth="0" w:num="1">
            <w:col w:w="11420"/>
          </w:cols>
          <w:pgMar w:left="240" w:top="131" w:right="239" w:bottom="27" w:gutter="0" w:footer="0" w:header="0"/>
        </w:sectPr>
      </w:pPr>
    </w:p>
    <w:bookmarkStart w:id="19" w:name="page20"/>
    <w:bookmarkEnd w:id="19"/>
    <w:p>
      <w:pPr>
        <w:jc w:val="both"/>
        <w:ind w:firstLine="458"/>
        <w:spacing w:after="0" w:line="290" w:lineRule="auto"/>
        <w:rPr>
          <w:sz w:val="20"/>
          <w:szCs w:val="20"/>
          <w:color w:val="auto"/>
        </w:rPr>
      </w:pPr>
      <w:r>
        <w:rPr>
          <w:rFonts w:ascii="Arial" w:cs="Arial" w:eastAsia="Arial" w:hAnsi="Arial"/>
          <w:sz w:val="16"/>
          <w:szCs w:val="16"/>
          <w:i w:val="1"/>
          <w:iCs w:val="1"/>
          <w:color w:val="auto"/>
        </w:rPr>
        <w:t xml:space="preserve">Long-Term Incentive Plan Fiscal 2009-2011 </w:t>
      </w:r>
      <w:r>
        <w:rPr>
          <w:rFonts w:ascii="Arial" w:cs="Arial" w:eastAsia="Arial" w:hAnsi="Arial"/>
          <w:sz w:val="16"/>
          <w:szCs w:val="16"/>
          <w:color w:val="auto"/>
        </w:rPr>
        <w:t>— In October 2008, the Committee established a three-year plan with a performance period from Fiscal 2009</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Fiscal 2011 (the “2009-2011 Plan”). The Committee elected to change the financial measurement objectives from EPS and ROIC financial measurements to ROE. The Committee believes that the metric of ROE for the 2009-2011 Plan, which is an additional financial metric separate from the EPS and ROIC metrics currently utilized under the Officers’ Incentive Compensation Plan, 2007-2009 Plan and the 2008-2010 Plan, will provide for a more complete measurement of Management’s effectiveness and the value created for shareholders on a long-term basis. In addition, the Committee determined that awards, if any, under the 2009-2011 Plan will be made solely in restricted stock (without the ability for a participant to elect cash payment) in order to encourage stock ownership and promote the long-term growth and profitability of the Company.</w:t>
      </w:r>
    </w:p>
    <w:p>
      <w:pPr>
        <w:spacing w:after="0" w:line="64"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The 2009-2011 Plan provides for a bonus (Target) of 25 percent of the annualized base salary (Target) to be awarded in restricted stock at 100 percent achievement of the ROE financial objective. The annualized salary figure utilized for measurement in the 2009-2011 Plan is the salary in place for each participant as of January 2009, notwithstanding any adjustments to base salary made during Fiscal 2009. The resultant incentive award (at 100 percent of the three-year financial target) will be adjusted up or down as determined by the actual financial performance of ROE expressed as a percentage (Financial Factor) at the end of the three-year fiscal period.</w:t>
      </w:r>
    </w:p>
    <w:p>
      <w:pPr>
        <w:spacing w:after="0" w:line="89"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three-year cumulative ROE financial target under the 2009-2011 Plan is 18.8 percent. Financial performance of less than 80 percent of the three-year cumulative ROE financial target results in no incentive award under the 2009-2011 Plan. The maximum incentive award of 150 percent of Target can be earned if the financial measurement of ROE under the 2009-2011 Plan is maximized.</w:t>
      </w:r>
    </w:p>
    <w:p>
      <w:pPr>
        <w:spacing w:after="0" w:line="86"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Estimated future payouts of plan-based awards under the 2009-2011 Plan are reported in the columns designated “Threshold,” “Target” and “Maximum” in the Grants of Plan-Based Awards Table in the “Compensation Tables and Narrative Disclosure”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i w:val="1"/>
          <w:iCs w:val="1"/>
          <w:color w:val="auto"/>
        </w:rPr>
        <w:t xml:space="preserve">2004 Incentive Compensation Plan </w:t>
      </w:r>
      <w:r>
        <w:rPr>
          <w:rFonts w:ascii="Arial" w:cs="Arial" w:eastAsia="Arial" w:hAnsi="Arial"/>
          <w:sz w:val="18"/>
          <w:szCs w:val="18"/>
          <w:color w:val="auto"/>
        </w:rPr>
        <w:t>— The 2004 Plan was adopted to reward key employees and Non-employee Directors by providing for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additional means for those individuals to acquire Common Stock of the Company. The Company’s objective in the 2004 Plan is to further the interests of the Company and its shareholders by providing incentives to key employees and Non-employee Directors who contribute materially to the success and profitability of the Company. The Company additionally believes that the 2004 Plan serves to attract and retain certain key employees and Non-employee Directors.</w:t>
      </w:r>
    </w:p>
    <w:p>
      <w:pPr>
        <w:spacing w:after="0" w:line="89"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recommended by the Committee to the Board of Directors.</w:t>
      </w:r>
    </w:p>
    <w:p>
      <w:pPr>
        <w:spacing w:after="0" w:line="86"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Company utilizes restricted stock awards to complement stock options and other 2004 Plan awards as a basis for long-term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The Committee recognizes that competitive market practices have placed an increasing use of restricted stock awards as a part of total executive compensation strategy. The Company’s stock awards are intended to retain and motivate officers or employees, including Named Executive Officers, to seek to improve long-term stock market performance and to enhance shareholder value by placing a portion of their compensation at risk and directly tied to Company stock price appreciation. The Committee believes that stock options and restricted stock grants both continue to serve as critical elements of long-term compensation plan design. The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64" w:lineRule="exact"/>
        <w:rPr>
          <w:sz w:val="20"/>
          <w:szCs w:val="20"/>
          <w:color w:val="auto"/>
        </w:rPr>
      </w:pPr>
    </w:p>
    <w:p>
      <w:pPr>
        <w:jc w:val="both"/>
        <w:ind w:firstLine="458"/>
        <w:spacing w:after="0" w:line="306" w:lineRule="auto"/>
        <w:rPr>
          <w:sz w:val="20"/>
          <w:szCs w:val="20"/>
          <w:color w:val="auto"/>
        </w:rPr>
      </w:pPr>
      <w:r>
        <w:rPr>
          <w:rFonts w:ascii="Arial" w:cs="Arial" w:eastAsia="Arial" w:hAnsi="Arial"/>
          <w:sz w:val="16"/>
          <w:szCs w:val="16"/>
          <w:color w:val="auto"/>
        </w:rPr>
        <w:t>The Company from time to time makes restricted stock awards to Named Executive Officers pursuant to the 2004 Plan. In October 2006, the Committee recommended, and the Board approved, an amendment to the 2004 Plan to reduce the minimum restriction period for non-performance-based stock awards. The Committee believed that one year was the most appropriate minimum restriction period to effectively motivate executives and key personnel participants.</w:t>
      </w:r>
    </w:p>
    <w:p>
      <w:pPr>
        <w:spacing w:after="0" w:line="53"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In October 2008, the Company elected not to grant any time-based, non-performance restricted stock awards, as a result of the Company’s efforts to reduce costs and expenses during Fiscal 2009.</w:t>
      </w:r>
    </w:p>
    <w:p>
      <w:pPr>
        <w:spacing w:after="0" w:line="78"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Company, from time to time, also provides long-term incentives under the 2004 Plan in the form of stock options granted to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other key Management personnel. Stock option grants are intended to retain and motivate Named Executive Officers to seek to improve long-term stock market performance and enhance shareholder value by placing a portion of their compensation at risk and directly tied to stock price appreciation. No stock options were granted to Named Executive Officers by the Company in Fiscal 2009.</w:t>
      </w:r>
    </w:p>
    <w:p>
      <w:pPr>
        <w:spacing w:after="0" w:line="59"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color w:val="auto"/>
        </w:rPr>
        <w:t>Under the 2004 Plan, incentive and non-qualified stock options may be granted at any time for new hires, promotions or other compensation-based reasons as determined by the Committee. In previous years, stock option awards have been recommended by the Committee and approved by the Board at the regularly scheduled October Board of Directors and Committee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Prior to Fiscal 2007, stock options were granted by the Company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64"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In addition, Named Executive Officers may be entitled to earlier vesting of stock option awards under the 2004 Plan in the event of a “Change of Control” (as defined in the 2004 Plan) of the Company, disability, termination of employment or death. See “Potential Payments upon Termination or Change of Control— 2004 Incentive Compensation Plan Payments” below. Additional vesting rules apply to incentive stock options and non-qualified options under the 2004 Plan pursuant to individual</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25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option award agreements entered into between each stock option grantee and the Company on the date of the stock option grant.</w:t>
      </w:r>
    </w:p>
    <w:p>
      <w:pPr>
        <w:spacing w:after="0" w:line="117"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As all stock options granted in the future are expected to be at the closing market price on the date of the stock options granted, the Company believes that the value of any such stock option will bear a direct relationship to the Company’s stock price and, as such, provides for an effective incentive for Named Executive Officers to create value for shareholders. While the Committee does not believe that granting stock options every year is necessary to achieve incentive compensation goals, the Committee continues to believe that stock options are an important component of its long-term compensation philosophy.</w:t>
      </w:r>
    </w:p>
    <w:p>
      <w:pPr>
        <w:spacing w:after="0" w:line="53"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Named Executive Officers are eligible to participate in the same Company benefit plans designed for all of our full-time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The basic insurance package includes health, dental, disability and basic group life insurance coverage. In addition, employees of the Company, including the Named Executive Officers, may qualify for Company subsidized retiree healthcare benefits (if hired before April 2001). Employees hired on or after April 1, 2001 and prior to April 1, 2009, while eligible to participate in the Company’s retiree healthcare program at “group rates,” are not eligible for any employer-provided subsidy. Employees hired on or after April 1, 2009 are not eligible to participate in the Company’s retiree healthcare programs as these programs are closed to all employees hired thereafter. Under the Company’s Long-Term Disability Plan, salaried employees are eligible for a monthly benefit based upon 60 percent of pre-disability earnings, up to a maximum monthly benefit of $10,000.</w:t>
      </w:r>
    </w:p>
    <w:p>
      <w:pPr>
        <w:spacing w:after="0" w:line="65"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Except as specifically summarized in this Compensation Discussion and Analysis, the Company does not currently provide retirement payments and benefits for Named Executive Officers following his or her retirement, including, but not limited to, tax-qualified defined benefit plans and supplemental executive retirement plans.</w:t>
      </w:r>
    </w:p>
    <w:p>
      <w:pPr>
        <w:spacing w:after="0" w:line="86" w:lineRule="exact"/>
        <w:rPr>
          <w:sz w:val="20"/>
          <w:szCs w:val="20"/>
          <w:color w:val="auto"/>
        </w:rPr>
      </w:pPr>
    </w:p>
    <w:p>
      <w:pPr>
        <w:jc w:val="both"/>
        <w:ind w:firstLine="458"/>
        <w:spacing w:after="0" w:line="286" w:lineRule="auto"/>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 The Company maintains a 401(k) plan, the Winnebago Industries, Inc. Profit Sharing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Savings and Investment Plan (the “401(k) Plan”), which is a tax-qualified defined contribution plan maintained for the benefit of substantially all hourly and salaried employees, including our executives. The 401(k) Plan offers Named Executive Officers and all other Company employees the opportunity to defer a percentage of income that is a part of their base compensation. The Company may, at its discretion, also provide for a Company matching contribution at a rate set by the Committee and approved by the Board on a quarterly basis each calendar year. At the beginning of Fiscal 2009, the Company made matching contributions equal to $0.40 per $1.00 employee contribution, up to 6 percent of the base compensation deferred by employees (subject to IRS limits and non-discrimination testing). Beginning January 1, 2009, the Company reduced the matching contribution rate from $0.40 to $0.25 per $1.00 employee contribution and, beginning April 1, 2009, reduced the matching contribution rate from $0.25 to $0.20. Although executives, including the Named Executive Officers,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 but the amount of contributions that may be made under the 401(k) Plan may affect calculation of payments that may be paid upon a change in control as described below.</w:t>
      </w:r>
    </w:p>
    <w:p>
      <w:pPr>
        <w:spacing w:after="0" w:line="289"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i w:val="1"/>
          <w:iCs w:val="1"/>
          <w:color w:val="auto"/>
        </w:rPr>
        <w:t xml:space="preserve">Supplemental Executive Retirement Plan (SERP)/Split Dollar Life Insurance </w:t>
      </w:r>
      <w:r>
        <w:rPr>
          <w:rFonts w:ascii="Arial" w:cs="Arial" w:eastAsia="Arial" w:hAnsi="Arial"/>
          <w:sz w:val="18"/>
          <w:szCs w:val="18"/>
          <w:color w:val="auto"/>
        </w:rPr>
        <w:t>— In 1988, the Board of Directors approved the adoption of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Split Dollar Life Insurance Program with respect to certain executives of the Company.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 to pay estate taxes, which sales might disrupt the market for the Company’s shares.</w:t>
      </w:r>
    </w:p>
    <w:p>
      <w:pPr>
        <w:spacing w:after="0" w:line="89"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We have not offered this insurance as a continuing part of the Named Executive Officer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15-years following retirement. The Company will “cost recover” materially all of the premiums paid by the Company at the executive’s death, as each insured executive has collaterally assigned to the Company the right to receive proceeds in an amount equal to the total dollar value of premiums paid by the Company.</w:t>
      </w:r>
    </w:p>
    <w:p>
      <w:pPr>
        <w:spacing w:after="0" w:line="86"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In October 2008, the Board of Directors converted benefits payable under the Executive Split Dollar Life Program to a Supplemental Executive Retirement Plan (SERP) as a result of changes in the tax and accounting regulations and rising administrative costs to the Company. The redesign was 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life insurance (COLI) by a release of all interests from the participant and assignment to the Company as a prerequisite to participation in the SERP and conversion from the Executive Split Dollar Life Insurance Program. Pursuant to the SERP, benefit payments are stated as a particular dollar amount in a participation agreement and paid directly from the Company, no longer linked to the COLI. This program remains closed to new employee participation.</w:t>
      </w:r>
    </w:p>
    <w:p>
      <w:pPr>
        <w:spacing w:after="0" w:line="64"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i w:val="1"/>
          <w:iCs w:val="1"/>
          <w:color w:val="auto"/>
        </w:rPr>
        <w:t xml:space="preserve">Executive Share Option Program </w:t>
      </w:r>
      <w:r>
        <w:rPr>
          <w:rFonts w:ascii="Arial" w:cs="Arial" w:eastAsia="Arial" w:hAnsi="Arial"/>
          <w:sz w:val="16"/>
          <w:szCs w:val="16"/>
          <w:color w:val="auto"/>
        </w:rPr>
        <w:t>— We established the Executive Share Option Program in April 1997 to provide executives with an opportunity to defer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their compensation in the form of options to purchase mutual funds invested in companies other than the Company. Due to the enactment in 2004 of Section 409A of the IRC, which provides new tax rules for deferred compensation plans, the Executive Share Option Program was frozen effective December 31, 2004. Accordingly, there have been and will be no new deferrals or contributions to the Executive Share Option Program after that date and no new participants may enter the plan.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66" w:lineRule="exact"/>
        <w:rPr>
          <w:sz w:val="20"/>
          <w:szCs w:val="20"/>
          <w:color w:val="auto"/>
        </w:rPr>
      </w:pPr>
    </w:p>
    <w:p>
      <w:pPr>
        <w:jc w:val="both"/>
        <w:ind w:firstLine="458"/>
        <w:spacing w:after="0" w:line="288" w:lineRule="auto"/>
        <w:rPr>
          <w:sz w:val="20"/>
          <w:szCs w:val="20"/>
          <w:color w:val="auto"/>
        </w:rPr>
      </w:pPr>
      <w:r>
        <w:rPr>
          <w:rFonts w:ascii="Arial" w:cs="Arial" w:eastAsia="Arial" w:hAnsi="Arial"/>
          <w:sz w:val="16"/>
          <w:szCs w:val="16"/>
          <w:i w:val="1"/>
          <w:iCs w:val="1"/>
          <w:color w:val="auto"/>
        </w:rPr>
        <w:t xml:space="preserve">Deferred Compensation Plan (1981) </w:t>
      </w:r>
      <w:r>
        <w:rPr>
          <w:rFonts w:ascii="Arial" w:cs="Arial" w:eastAsia="Arial" w:hAnsi="Arial"/>
          <w:sz w:val="16"/>
          <w:szCs w:val="16"/>
          <w:color w:val="auto"/>
        </w:rPr>
        <w:t>— Under the Winnebago Industries, Inc. Non-Qualified Deferred Compensation Plan (1981) (the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(1981)”), executive officers and other key employees were eligible to annually elect to defer a portion of their compensation until retirement. The retirement benefit provided is based upon the amount of compensation deferred and the age of the individual at the time of the deferral, at a rate per annum determined by the Board ranging from 6 to 8 percent per annum. Under the plan, a participant generally vests at the later of age 55 and five years of service since the deferral was made. For deferrals prior to December 1992, vesting occurs at the later of age 55 and five years service from first deferral or 20 years of service. To assist in funding the deferred compensation liability, the Company invested in corporate-owned life insurance policies. Participants in the plan have the same status as unsecured creditors of the Company. In 2001, the Board of Directors elected to freeze this plan to additional participants.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ectPr>
          <w:pgSz w:w="11900" w:h="16838" w:orient="portrait"/>
          <w:cols w:equalWidth="0" w:num="1">
            <w:col w:w="11420"/>
          </w:cols>
          <w:pgMar w:left="240" w:top="131" w:right="239" w:bottom="15" w:gutter="0" w:footer="0" w:header="0"/>
        </w:sectPr>
      </w:pPr>
    </w:p>
    <w:bookmarkStart w:id="21" w:name="page22"/>
    <w:bookmarkEnd w:id="21"/>
    <w:p>
      <w:pPr>
        <w:jc w:val="both"/>
        <w:ind w:firstLine="458"/>
        <w:spacing w:after="0" w:line="298"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 In December 2006, the Board adopted the Winnebago</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Inc. Executive Deferred Compensation Plan (the “Executive Deferred Compensation Plan”). The Executive Deferred Compensation Plan permits executive officers, including the Named Executive Officers, to defer a portion of their salary and all or a portion of their cash incentive award compensation. The Executive Deferred Compensation Plan became effective as of January 1, 2007 and applies to compensation paid to participants on and after such date.</w:t>
      </w:r>
    </w:p>
    <w:p>
      <w:pPr>
        <w:spacing w:after="0" w:line="59"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Under the Executive Deferred Compensation Plan, executive officers and certain key employees may annually choose to defer up to 50 percent of their salary and up to 100 percent of their cash incentive awards. The Committee may, from time to time and in its sole and absolute discretion, select the available investments in which a participant’s deferred benefit account may be deemed invested (“Available Investments”).</w:t>
      </w:r>
    </w:p>
    <w:p>
      <w:pPr>
        <w:spacing w:after="0" w:line="86"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Each participant may designate the Available Investments in which his or her deferred benefit account will be deemed invested, and the percentage of his or her deferred benefit account that will</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 invested in each Available Investment, for purposes of determining the amount of earnings or losses to be credited or debited to his or her deferred benefit account.</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Benefit”) equal to the amount of his or her deferred benefit account as of the determination date coinciding with such event:</w:t>
      </w:r>
    </w:p>
    <w:p>
      <w:pPr>
        <w:spacing w:after="0" w:line="111" w:lineRule="exact"/>
        <w:rPr>
          <w:sz w:val="20"/>
          <w:szCs w:val="20"/>
          <w:color w:val="auto"/>
        </w:rPr>
      </w:pPr>
    </w:p>
    <w:p>
      <w:pPr>
        <w:ind w:left="900" w:right="20" w:hanging="446"/>
        <w:spacing w:after="0" w:line="217" w:lineRule="auto"/>
        <w:tabs>
          <w:tab w:leader="none" w:pos="900" w:val="left"/>
        </w:tabs>
        <w:numPr>
          <w:ilvl w:val="0"/>
          <w:numId w:val="27"/>
        </w:numPr>
        <w:rPr>
          <w:rFonts w:ascii="Arial" w:cs="Arial" w:eastAsia="Arial" w:hAnsi="Arial"/>
          <w:sz w:val="24"/>
          <w:szCs w:val="24"/>
          <w:b w:val="1"/>
          <w:bCs w:val="1"/>
          <w:color w:val="auto"/>
        </w:rPr>
      </w:pPr>
      <w:r>
        <w:rPr>
          <w:rFonts w:ascii="Arial" w:cs="Arial" w:eastAsia="Arial" w:hAnsi="Arial"/>
          <w:sz w:val="18"/>
          <w:szCs w:val="18"/>
          <w:color w:val="auto"/>
        </w:rPr>
        <w:t>date certain (which must be selected by the participant in his or her participation agreement and which cannot be changed except as otherwise provided in the Executive Deferred Compensation Plan);</w:t>
      </w:r>
    </w:p>
    <w:p>
      <w:pPr>
        <w:sectPr>
          <w:pgSz w:w="11900" w:h="16838" w:orient="portrait"/>
          <w:cols w:equalWidth="0" w:num="1">
            <w:col w:w="11420"/>
          </w:cols>
          <w:pgMar w:left="240" w:top="131" w:right="239" w:bottom="0" w:gutter="0" w:footer="0" w:header="0"/>
        </w:sectPr>
      </w:pP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separation from service;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disability;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death; 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w:t>
      </w:r>
    </w:p>
    <w:p>
      <w:pPr>
        <w:spacing w:after="0" w:line="158" w:lineRule="exact"/>
        <w:rPr>
          <w:sz w:val="20"/>
          <w:szCs w:val="20"/>
          <w:color w:val="auto"/>
        </w:rPr>
      </w:pPr>
    </w:p>
    <w:p>
      <w:pPr>
        <w:sectPr>
          <w:pgSz w:w="11900" w:h="16838" w:orient="portrait"/>
          <w:cols w:equalWidth="0" w:num="2">
            <w:col w:w="540" w:space="360"/>
            <w:col w:w="10520"/>
          </w:cols>
          <w:pgMar w:left="240" w:top="131" w:right="239" w:bottom="0" w:gutter="0" w:footer="0" w:header="0"/>
          <w:type w:val="continuous"/>
        </w:sectPr>
      </w:pPr>
    </w:p>
    <w:p>
      <w:pPr>
        <w:jc w:val="both"/>
        <w:ind w:firstLine="458"/>
        <w:spacing w:after="0" w:line="259" w:lineRule="auto"/>
        <w:rPr>
          <w:sz w:val="20"/>
          <w:szCs w:val="20"/>
          <w:color w:val="auto"/>
        </w:rPr>
      </w:pPr>
      <w:r>
        <w:rPr>
          <w:rFonts w:ascii="Arial" w:cs="Arial" w:eastAsia="Arial" w:hAnsi="Arial"/>
          <w:sz w:val="18"/>
          <w:szCs w:val="18"/>
          <w:color w:val="auto"/>
        </w:rPr>
        <w:t>Under the Executive Deferred Compensation Plan, the Company is required to pay to the participant (or the participant’s beneficiary), his or her Deferred Benefit in one of the following forms (as elected in the participation agreement filed by the participant with the administrator of the Executive Deferred Compensation Plan):</w:t>
      </w:r>
    </w:p>
    <w:p>
      <w:pPr>
        <w:sectPr>
          <w:pgSz w:w="11900" w:h="16838" w:orient="portrait"/>
          <w:cols w:equalWidth="0" w:num="1">
            <w:col w:w="11420"/>
          </w:cols>
          <w:pgMar w:left="240" w:top="131" w:right="239" w:bottom="0" w:gutter="0" w:footer="0" w:header="0"/>
          <w:type w:val="continuous"/>
        </w:sectPr>
      </w:pPr>
    </w:p>
    <w:p>
      <w:pPr>
        <w:spacing w:after="0" w:line="3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lump-sum payment; or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the Company is required to pay to the participant (or the participant’s beneficiary) the total value of his or her Deferred Benefit in a lump-sum payment.</w:t>
      </w:r>
    </w:p>
    <w:p>
      <w:pPr>
        <w:spacing w:after="0" w:line="89" w:lineRule="exact"/>
        <w:rPr>
          <w:sz w:val="20"/>
          <w:szCs w:val="20"/>
          <w:color w:val="auto"/>
        </w:rPr>
      </w:pPr>
    </w:p>
    <w:p>
      <w:pPr>
        <w:sectPr>
          <w:pgSz w:w="11900" w:h="16838" w:orient="portrait"/>
          <w:cols w:equalWidth="0" w:num="2">
            <w:col w:w="540" w:space="360"/>
            <w:col w:w="10520"/>
          </w:cols>
          <w:pgMar w:left="240" w:top="131" w:right="239" w:bottom="0" w:gutter="0" w:footer="0" w:header="0"/>
          <w:type w:val="continuous"/>
        </w:sectPr>
      </w:pPr>
    </w:p>
    <w:p>
      <w:pPr>
        <w:ind w:left="460"/>
        <w:spacing w:after="0"/>
        <w:rPr>
          <w:sz w:val="20"/>
          <w:szCs w:val="20"/>
          <w:color w:val="auto"/>
        </w:rPr>
      </w:pPr>
      <w:r>
        <w:rPr>
          <w:rFonts w:ascii="Arial" w:cs="Arial" w:eastAsia="Arial" w:hAnsi="Arial"/>
          <w:sz w:val="16"/>
          <w:szCs w:val="16"/>
          <w:color w:val="auto"/>
        </w:rPr>
        <w:t>In the absence of a participant’s election as to the form of the payout, a participant’s Deferred Benefit account will be paid over a 120-month period.</w:t>
      </w:r>
    </w:p>
    <w:p>
      <w:pPr>
        <w:spacing w:after="0" w:line="140"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Executive Deferred Compensation Plan was established to provide a replacement to several of the executive non-qualified deferred compensation programs that were previously frozen by the Company. The Committee believed that it was important to provide a current program that would permit executives to defer a portion of their compensation on a voluntary basis to supplement future retirement income due to contribution limitations on the Company’s qualified 401(k) Plan.</w:t>
      </w:r>
    </w:p>
    <w:p>
      <w:pPr>
        <w:spacing w:after="0" w:line="83"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b w:val="1"/>
          <w:bCs w:val="1"/>
          <w:i w:val="1"/>
          <w:iCs w:val="1"/>
          <w:color w:val="auto"/>
        </w:rPr>
        <w:t>Perquisites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Named Executive Officers with limited perquisites that the Committee believes are reasonable and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compensation program to better enable the Company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Named Executive Officers. Based upon this periodic review, perquisites are awarded or adjusted on an individual basis. Named Executive Officers are not automatically awarded all, or in equal amounts, perquisites granted by the Company.</w:t>
      </w:r>
    </w:p>
    <w:p>
      <w:pPr>
        <w:spacing w:after="0" w:line="91"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i w:val="1"/>
          <w:iCs w:val="1"/>
          <w:color w:val="auto"/>
        </w:rPr>
        <w:t xml:space="preserve">Executive Physical </w:t>
      </w:r>
      <w:r>
        <w:rPr>
          <w:rFonts w:ascii="Arial" w:cs="Arial" w:eastAsia="Arial" w:hAnsi="Arial"/>
          <w:sz w:val="18"/>
          <w:szCs w:val="18"/>
          <w:color w:val="auto"/>
        </w:rPr>
        <w:t>— In an effort to encourage executives to monitor and maintain good health, the Company pays for voluntary annual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examinations for executives, including the Named Executive Officers.</w:t>
      </w:r>
    </w:p>
    <w:p>
      <w:pPr>
        <w:spacing w:after="0" w:line="78"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i w:val="1"/>
          <w:iCs w:val="1"/>
          <w:color w:val="auto"/>
        </w:rPr>
        <w:t xml:space="preserve">Motor Home Use </w:t>
      </w:r>
      <w:r>
        <w:rPr>
          <w:rFonts w:ascii="Arial" w:cs="Arial" w:eastAsia="Arial" w:hAnsi="Arial"/>
          <w:sz w:val="18"/>
          <w:szCs w:val="18"/>
          <w:color w:val="auto"/>
        </w:rPr>
        <w:t>— The Company provides each of its executives, including Named Executive Officers, an opportunity to utilize our motor homes on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and temporary basis. We encourage the executive to have first hand understanding of the recreational vehicle lifestyle experienced by our customers and to provide the executive with the opportunity to evaluate product design and efficiency.</w:t>
      </w:r>
    </w:p>
    <w:p>
      <w:pPr>
        <w:spacing w:after="0" w:line="86"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 The Company aircraft is intended to be used only in the conduct of official Company business. When the Company aircraft makes</w:t>
      </w:r>
      <w:r>
        <w:rPr>
          <w:rFonts w:ascii="Arial" w:cs="Arial" w:eastAsia="Arial" w:hAnsi="Arial"/>
          <w:sz w:val="16"/>
          <w:szCs w:val="16"/>
          <w:i w:val="1"/>
          <w:iCs w:val="1"/>
          <w:color w:val="auto"/>
        </w:rPr>
        <w:t xml:space="preserve"> </w:t>
      </w:r>
      <w:r>
        <w:rPr>
          <w:rFonts w:ascii="Arial" w:cs="Arial" w:eastAsia="Arial" w:hAnsi="Arial"/>
          <w:sz w:val="16"/>
          <w:szCs w:val="16"/>
          <w:color w:val="auto"/>
        </w:rPr>
        <w:t>flights in the conduct of Company business, Named Executive Officers while not on official Company business as well as other passengers who</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are not Company employees may occupy seats only when approved by the CEO. Occasionally, spouses or guests of Named Executive Officers may accompany the executive on a flight or may occupy an available seat on the aircraft. As appropriate, imputed cost of aircraft use is treated as compensation and reported according to IRS regulations. In Fiscal 2009, none of the Named Executive Officers utilized the Company aircraft exclusively for personal use.</w:t>
      </w:r>
    </w:p>
    <w:p>
      <w:pPr>
        <w:sectPr>
          <w:pgSz w:w="11900" w:h="16838" w:orient="portrait"/>
          <w:cols w:equalWidth="0" w:num="1">
            <w:col w:w="11420"/>
          </w:cols>
          <w:pgMar w:left="240" w:top="131" w:right="239" w:bottom="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jc w:val="both"/>
        <w:ind w:firstLine="458"/>
        <w:spacing w:after="0" w:line="254" w:lineRule="auto"/>
        <w:rPr>
          <w:sz w:val="20"/>
          <w:szCs w:val="20"/>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 In 1999, the Committee adopted Stock Ownership Guidelines for executives. In general, each executive has five years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 The table below describes the ownership guidelines for the Chief Executive Officer and each of the other Named Executive Officers and the number of shares beneficially owned for the purposes of the guidelines as of October 6, 2009.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280" w:type="dxa"/>
            <w:vAlign w:val="bottom"/>
            <w:gridSpan w:val="2"/>
          </w:tcPr>
          <w:p>
            <w:pPr>
              <w:jc w:val="center"/>
              <w:ind w:left="1802"/>
              <w:spacing w:after="0"/>
              <w:rPr>
                <w:sz w:val="20"/>
                <w:szCs w:val="20"/>
                <w:color w:val="auto"/>
              </w:rPr>
            </w:pPr>
            <w:r>
              <w:rPr>
                <w:rFonts w:ascii="Arial" w:cs="Arial" w:eastAsia="Arial" w:hAnsi="Arial"/>
                <w:sz w:val="14"/>
                <w:szCs w:val="14"/>
                <w:b w:val="1"/>
                <w:bCs w:val="1"/>
                <w:color w:val="auto"/>
                <w:w w:val="88"/>
              </w:rPr>
              <w:t>Ownership</w:t>
            </w: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Actual</w:t>
            </w:r>
          </w:p>
        </w:tc>
        <w:tc>
          <w:tcPr>
            <w:tcW w:w="128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4280" w:type="dxa"/>
            <w:vAlign w:val="bottom"/>
            <w:gridSpan w:val="2"/>
          </w:tcPr>
          <w:p>
            <w:pPr>
              <w:jc w:val="center"/>
              <w:ind w:left="1802"/>
              <w:spacing w:after="0" w:line="149" w:lineRule="exact"/>
              <w:rPr>
                <w:sz w:val="20"/>
                <w:szCs w:val="20"/>
                <w:color w:val="auto"/>
              </w:rPr>
            </w:pPr>
            <w:r>
              <w:rPr>
                <w:rFonts w:ascii="Arial" w:cs="Arial" w:eastAsia="Arial" w:hAnsi="Arial"/>
                <w:sz w:val="14"/>
                <w:szCs w:val="14"/>
                <w:b w:val="1"/>
                <w:bCs w:val="1"/>
                <w:color w:val="auto"/>
                <w:w w:val="85"/>
              </w:rPr>
              <w:t>Guidelines–</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4240" w:type="dxa"/>
            <w:vAlign w:val="bottom"/>
          </w:tcPr>
          <w:p>
            <w:pPr>
              <w:spacing w:after="0"/>
              <w:rPr>
                <w:sz w:val="12"/>
                <w:szCs w:val="12"/>
                <w:color w:val="auto"/>
              </w:rPr>
            </w:pPr>
          </w:p>
        </w:tc>
        <w:tc>
          <w:tcPr>
            <w:tcW w:w="4280" w:type="dxa"/>
            <w:vAlign w:val="bottom"/>
            <w:gridSpan w:val="2"/>
          </w:tcPr>
          <w:p>
            <w:pPr>
              <w:jc w:val="center"/>
              <w:ind w:left="182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Guideline</w:t>
            </w:r>
          </w:p>
        </w:tc>
      </w:tr>
      <w:tr>
        <w:trPr>
          <w:trHeight w:val="176"/>
        </w:trPr>
        <w:tc>
          <w:tcPr>
            <w:tcW w:w="42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4280" w:type="dxa"/>
            <w:vAlign w:val="bottom"/>
            <w:gridSpan w:val="2"/>
          </w:tcPr>
          <w:p>
            <w:pPr>
              <w:jc w:val="center"/>
              <w:ind w:left="1822"/>
              <w:spacing w:after="0" w:line="176" w:lineRule="exact"/>
              <w:rPr>
                <w:sz w:val="20"/>
                <w:szCs w:val="20"/>
                <w:color w:val="auto"/>
              </w:rPr>
            </w:pPr>
            <w:r>
              <w:rPr>
                <w:rFonts w:ascii="Arial" w:cs="Arial" w:eastAsia="Arial" w:hAnsi="Arial"/>
                <w:sz w:val="13"/>
                <w:szCs w:val="13"/>
                <w:b w:val="1"/>
                <w:bCs w:val="1"/>
                <w:color w:val="auto"/>
                <w:w w:val="95"/>
              </w:rPr>
              <w:t>Annual Salary</w:t>
            </w:r>
            <w:r>
              <w:rPr>
                <w:rFonts w:ascii="Arial" w:cs="Arial" w:eastAsia="Arial" w:hAnsi="Arial"/>
                <w:sz w:val="20"/>
                <w:szCs w:val="20"/>
                <w:b w:val="1"/>
                <w:bCs w:val="1"/>
                <w:color w:val="auto"/>
                <w:w w:val="95"/>
                <w:vertAlign w:val="superscript"/>
              </w:rPr>
              <w:t>(1)</w:t>
            </w: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Owned</w:t>
            </w:r>
          </w:p>
        </w:tc>
        <w:tc>
          <w:tcPr>
            <w:tcW w:w="12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Attained</w:t>
            </w:r>
            <w:r>
              <w:rPr>
                <w:rFonts w:ascii="Arial" w:cs="Arial" w:eastAsia="Arial" w:hAnsi="Arial"/>
                <w:sz w:val="20"/>
                <w:szCs w:val="20"/>
                <w:b w:val="1"/>
                <w:bCs w:val="1"/>
                <w:color w:val="auto"/>
                <w:w w:val="93"/>
                <w:vertAlign w:val="superscript"/>
              </w:rPr>
              <w:t>(2)</w:t>
            </w:r>
          </w:p>
        </w:tc>
      </w:tr>
      <w:tr>
        <w:trPr>
          <w:trHeight w:val="250"/>
        </w:trPr>
        <w:tc>
          <w:tcPr>
            <w:tcW w:w="42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3960" w:type="dxa"/>
            <w:vAlign w:val="bottom"/>
            <w:tcBorders>
              <w:top w:val="single" w:sz="8" w:color="auto"/>
            </w:tcBorders>
            <w:shd w:val="clear" w:color="auto" w:fill="D6F3E8"/>
          </w:tcPr>
          <w:p>
            <w:pPr>
              <w:jc w:val="center"/>
              <w:ind w:left="2142"/>
              <w:spacing w:after="0"/>
              <w:rPr>
                <w:sz w:val="20"/>
                <w:szCs w:val="20"/>
                <w:color w:val="auto"/>
              </w:rPr>
            </w:pPr>
            <w:r>
              <w:rPr>
                <w:rFonts w:ascii="Arial" w:cs="Arial" w:eastAsia="Arial" w:hAnsi="Arial"/>
                <w:sz w:val="18"/>
                <w:szCs w:val="18"/>
                <w:color w:val="auto"/>
                <w:w w:val="91"/>
              </w:rPr>
              <w:t>400%</w:t>
            </w:r>
          </w:p>
        </w:tc>
        <w:tc>
          <w:tcPr>
            <w:tcW w:w="320" w:type="dxa"/>
            <w:vAlign w:val="bottom"/>
            <w:tcBorders>
              <w:top w:val="single" w:sz="8" w:color="D6F3E8"/>
            </w:tcBorders>
            <w:shd w:val="clear" w:color="auto" w:fill="D6F3E8"/>
          </w:tcPr>
          <w:p>
            <w:pPr>
              <w:spacing w:after="0"/>
              <w:rPr>
                <w:sz w:val="21"/>
                <w:szCs w:val="21"/>
                <w:color w:val="auto"/>
              </w:rPr>
            </w:pPr>
          </w:p>
        </w:tc>
        <w:tc>
          <w:tcPr>
            <w:tcW w:w="1280" w:type="dxa"/>
            <w:vAlign w:val="bottom"/>
            <w:tcBorders>
              <w:top w:val="single" w:sz="8" w:color="auto"/>
            </w:tcBorders>
            <w:shd w:val="clear" w:color="auto" w:fill="D6F3E8"/>
          </w:tcPr>
          <w:p>
            <w:pPr>
              <w:jc w:val="right"/>
              <w:ind w:right="81"/>
              <w:spacing w:after="0"/>
              <w:rPr>
                <w:sz w:val="20"/>
                <w:szCs w:val="20"/>
                <w:color w:val="auto"/>
              </w:rPr>
            </w:pPr>
            <w:r>
              <w:rPr>
                <w:rFonts w:ascii="Arial" w:cs="Arial" w:eastAsia="Arial" w:hAnsi="Arial"/>
                <w:sz w:val="18"/>
                <w:szCs w:val="18"/>
                <w:color w:val="auto"/>
              </w:rPr>
              <w:t>25,761</w:t>
            </w:r>
          </w:p>
        </w:tc>
        <w:tc>
          <w:tcPr>
            <w:tcW w:w="340" w:type="dxa"/>
            <w:vAlign w:val="bottom"/>
            <w:tcBorders>
              <w:top w:val="single" w:sz="8" w:color="D6F3E8"/>
            </w:tcBorders>
            <w:shd w:val="clear" w:color="auto" w:fill="D6F3E8"/>
          </w:tcPr>
          <w:p>
            <w:pPr>
              <w:spacing w:after="0"/>
              <w:rPr>
                <w:sz w:val="21"/>
                <w:szCs w:val="21"/>
                <w:color w:val="auto"/>
              </w:rPr>
            </w:pPr>
          </w:p>
        </w:tc>
        <w:tc>
          <w:tcPr>
            <w:tcW w:w="128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6"/>
              </w:rPr>
              <w:t>22.9%</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Raymond M. Beebe</w:t>
            </w:r>
          </w:p>
        </w:tc>
        <w:tc>
          <w:tcPr>
            <w:tcW w:w="3960" w:type="dxa"/>
            <w:vAlign w:val="bottom"/>
          </w:tcPr>
          <w:p>
            <w:pPr>
              <w:jc w:val="center"/>
              <w:ind w:left="2142"/>
              <w:spacing w:after="0"/>
              <w:rPr>
                <w:sz w:val="20"/>
                <w:szCs w:val="20"/>
                <w:color w:val="auto"/>
              </w:rPr>
            </w:pPr>
            <w:r>
              <w:rPr>
                <w:rFonts w:ascii="Arial" w:cs="Arial" w:eastAsia="Arial" w:hAnsi="Arial"/>
                <w:sz w:val="18"/>
                <w:szCs w:val="18"/>
                <w:color w:val="auto"/>
                <w:w w:val="91"/>
              </w:rPr>
              <w:t>250%</w:t>
            </w:r>
          </w:p>
        </w:tc>
        <w:tc>
          <w:tcPr>
            <w:tcW w:w="3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18"/>
                <w:szCs w:val="18"/>
                <w:color w:val="auto"/>
              </w:rPr>
              <w:t>9,500</w:t>
            </w:r>
          </w:p>
        </w:tc>
        <w:tc>
          <w:tcPr>
            <w:tcW w:w="3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22.9%</w:t>
            </w:r>
          </w:p>
        </w:tc>
      </w:tr>
      <w:tr>
        <w:trPr>
          <w:trHeight w:val="237"/>
        </w:trPr>
        <w:tc>
          <w:tcPr>
            <w:tcW w:w="4240" w:type="dxa"/>
            <w:vAlign w:val="bottom"/>
            <w:shd w:val="clear" w:color="auto" w:fill="D6F3E8"/>
          </w:tcPr>
          <w:p>
            <w:pPr>
              <w:spacing w:after="0"/>
              <w:rPr>
                <w:sz w:val="20"/>
                <w:szCs w:val="20"/>
                <w:color w:val="auto"/>
              </w:rPr>
            </w:pPr>
            <w:r>
              <w:rPr>
                <w:rFonts w:ascii="Arial" w:cs="Arial" w:eastAsia="Arial" w:hAnsi="Arial"/>
                <w:sz w:val="18"/>
                <w:szCs w:val="18"/>
                <w:color w:val="auto"/>
              </w:rPr>
              <w:t>Roger W. Martin</w:t>
            </w:r>
          </w:p>
        </w:tc>
        <w:tc>
          <w:tcPr>
            <w:tcW w:w="3960" w:type="dxa"/>
            <w:vAlign w:val="bottom"/>
            <w:shd w:val="clear" w:color="auto" w:fill="D6F3E8"/>
          </w:tcPr>
          <w:p>
            <w:pPr>
              <w:jc w:val="center"/>
              <w:ind w:left="2142"/>
              <w:spacing w:after="0"/>
              <w:rPr>
                <w:sz w:val="20"/>
                <w:szCs w:val="20"/>
                <w:color w:val="auto"/>
              </w:rPr>
            </w:pPr>
            <w:r>
              <w:rPr>
                <w:rFonts w:ascii="Arial" w:cs="Arial" w:eastAsia="Arial" w:hAnsi="Arial"/>
                <w:sz w:val="18"/>
                <w:szCs w:val="18"/>
                <w:color w:val="auto"/>
                <w:w w:val="91"/>
              </w:rPr>
              <w:t>250%</w:t>
            </w:r>
          </w:p>
        </w:tc>
        <w:tc>
          <w:tcPr>
            <w:tcW w:w="320" w:type="dxa"/>
            <w:vAlign w:val="bottom"/>
            <w:shd w:val="clear" w:color="auto" w:fill="D6F3E8"/>
          </w:tcPr>
          <w:p>
            <w:pPr>
              <w:spacing w:after="0"/>
              <w:rPr>
                <w:sz w:val="20"/>
                <w:szCs w:val="20"/>
                <w:color w:val="auto"/>
              </w:rPr>
            </w:pPr>
          </w:p>
        </w:tc>
        <w:tc>
          <w:tcPr>
            <w:tcW w:w="1280" w:type="dxa"/>
            <w:vAlign w:val="bottom"/>
            <w:shd w:val="clear" w:color="auto" w:fill="D6F3E8"/>
          </w:tcPr>
          <w:p>
            <w:pPr>
              <w:jc w:val="right"/>
              <w:ind w:right="81"/>
              <w:spacing w:after="0"/>
              <w:rPr>
                <w:sz w:val="20"/>
                <w:szCs w:val="20"/>
                <w:color w:val="auto"/>
              </w:rPr>
            </w:pPr>
            <w:r>
              <w:rPr>
                <w:rFonts w:ascii="Arial" w:cs="Arial" w:eastAsia="Arial" w:hAnsi="Arial"/>
                <w:sz w:val="18"/>
                <w:szCs w:val="18"/>
                <w:color w:val="auto"/>
              </w:rPr>
              <w:t>12,875</w:t>
            </w:r>
          </w:p>
        </w:tc>
        <w:tc>
          <w:tcPr>
            <w:tcW w:w="340" w:type="dxa"/>
            <w:vAlign w:val="bottom"/>
            <w:shd w:val="clear" w:color="auto" w:fill="D6F3E8"/>
          </w:tcPr>
          <w:p>
            <w:pPr>
              <w:spacing w:after="0"/>
              <w:rPr>
                <w:sz w:val="20"/>
                <w:szCs w:val="20"/>
                <w:color w:val="auto"/>
              </w:rPr>
            </w:pPr>
          </w:p>
        </w:tc>
        <w:tc>
          <w:tcPr>
            <w:tcW w:w="12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32.4%</w:t>
            </w:r>
          </w:p>
        </w:tc>
      </w:tr>
      <w:tr>
        <w:trPr>
          <w:trHeight w:val="270"/>
        </w:trPr>
        <w:tc>
          <w:tcPr>
            <w:tcW w:w="4240" w:type="dxa"/>
            <w:vAlign w:val="bottom"/>
          </w:tcPr>
          <w:p>
            <w:pPr>
              <w:spacing w:after="0" w:line="270" w:lineRule="exact"/>
              <w:rPr>
                <w:sz w:val="20"/>
                <w:szCs w:val="20"/>
                <w:color w:val="auto"/>
              </w:rPr>
            </w:pPr>
            <w:r>
              <w:rPr>
                <w:rFonts w:ascii="Arial" w:cs="Arial" w:eastAsia="Arial" w:hAnsi="Arial"/>
                <w:sz w:val="18"/>
                <w:szCs w:val="18"/>
                <w:color w:val="auto"/>
              </w:rPr>
              <w:t>Sarah N. Nielsen</w:t>
            </w:r>
            <w:r>
              <w:rPr>
                <w:rFonts w:ascii="Arial" w:cs="Arial" w:eastAsia="Arial" w:hAnsi="Arial"/>
                <w:sz w:val="29"/>
                <w:szCs w:val="29"/>
                <w:color w:val="auto"/>
                <w:vertAlign w:val="superscript"/>
              </w:rPr>
              <w:t>(3)</w:t>
            </w:r>
          </w:p>
        </w:tc>
        <w:tc>
          <w:tcPr>
            <w:tcW w:w="3960" w:type="dxa"/>
            <w:vAlign w:val="bottom"/>
          </w:tcPr>
          <w:p>
            <w:pPr>
              <w:jc w:val="center"/>
              <w:ind w:left="2142"/>
              <w:spacing w:after="0"/>
              <w:rPr>
                <w:sz w:val="20"/>
                <w:szCs w:val="20"/>
                <w:color w:val="auto"/>
              </w:rPr>
            </w:pPr>
            <w:r>
              <w:rPr>
                <w:rFonts w:ascii="Arial" w:cs="Arial" w:eastAsia="Arial" w:hAnsi="Arial"/>
                <w:sz w:val="18"/>
                <w:szCs w:val="18"/>
                <w:color w:val="auto"/>
                <w:w w:val="91"/>
              </w:rPr>
              <w:t>250%</w:t>
            </w:r>
          </w:p>
        </w:tc>
        <w:tc>
          <w:tcPr>
            <w:tcW w:w="320" w:type="dxa"/>
            <w:vAlign w:val="bottom"/>
          </w:tcPr>
          <w:p>
            <w:pPr>
              <w:spacing w:after="0"/>
              <w:rPr>
                <w:sz w:val="23"/>
                <w:szCs w:val="23"/>
                <w:color w:val="auto"/>
              </w:rPr>
            </w:pPr>
          </w:p>
        </w:tc>
        <w:tc>
          <w:tcPr>
            <w:tcW w:w="1280" w:type="dxa"/>
            <w:vAlign w:val="bottom"/>
          </w:tcPr>
          <w:p>
            <w:pPr>
              <w:jc w:val="right"/>
              <w:ind w:right="81"/>
              <w:spacing w:after="0"/>
              <w:rPr>
                <w:sz w:val="20"/>
                <w:szCs w:val="20"/>
                <w:color w:val="auto"/>
              </w:rPr>
            </w:pPr>
            <w:r>
              <w:rPr>
                <w:rFonts w:ascii="Arial" w:cs="Arial" w:eastAsia="Arial" w:hAnsi="Arial"/>
                <w:sz w:val="18"/>
                <w:szCs w:val="18"/>
                <w:color w:val="auto"/>
              </w:rPr>
              <w:t>8,742</w:t>
            </w:r>
          </w:p>
        </w:tc>
        <w:tc>
          <w:tcPr>
            <w:tcW w:w="3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22.2%</w:t>
            </w:r>
          </w:p>
        </w:tc>
      </w:tr>
      <w:tr>
        <w:trPr>
          <w:trHeight w:val="230"/>
        </w:trPr>
        <w:tc>
          <w:tcPr>
            <w:tcW w:w="4240" w:type="dxa"/>
            <w:vAlign w:val="bottom"/>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3960" w:type="dxa"/>
            <w:vAlign w:val="bottom"/>
            <w:shd w:val="clear" w:color="auto" w:fill="D6F3E8"/>
          </w:tcPr>
          <w:p>
            <w:pPr>
              <w:jc w:val="center"/>
              <w:ind w:left="2142"/>
              <w:spacing w:after="0"/>
              <w:rPr>
                <w:sz w:val="20"/>
                <w:szCs w:val="20"/>
                <w:color w:val="auto"/>
              </w:rPr>
            </w:pPr>
            <w:r>
              <w:rPr>
                <w:rFonts w:ascii="Arial" w:cs="Arial" w:eastAsia="Arial" w:hAnsi="Arial"/>
                <w:sz w:val="18"/>
                <w:szCs w:val="18"/>
                <w:color w:val="auto"/>
                <w:w w:val="91"/>
              </w:rPr>
              <w:t>250%</w:t>
            </w:r>
          </w:p>
        </w:tc>
        <w:tc>
          <w:tcPr>
            <w:tcW w:w="320" w:type="dxa"/>
            <w:vAlign w:val="bottom"/>
            <w:shd w:val="clear" w:color="auto" w:fill="D6F3E8"/>
          </w:tcPr>
          <w:p>
            <w:pPr>
              <w:spacing w:after="0"/>
              <w:rPr>
                <w:sz w:val="19"/>
                <w:szCs w:val="19"/>
                <w:color w:val="auto"/>
              </w:rPr>
            </w:pPr>
          </w:p>
        </w:tc>
        <w:tc>
          <w:tcPr>
            <w:tcW w:w="1280" w:type="dxa"/>
            <w:vAlign w:val="bottom"/>
            <w:shd w:val="clear" w:color="auto" w:fill="D6F3E8"/>
          </w:tcPr>
          <w:p>
            <w:pPr>
              <w:jc w:val="right"/>
              <w:ind w:right="81"/>
              <w:spacing w:after="0"/>
              <w:rPr>
                <w:sz w:val="20"/>
                <w:szCs w:val="20"/>
                <w:color w:val="auto"/>
              </w:rPr>
            </w:pPr>
            <w:r>
              <w:rPr>
                <w:rFonts w:ascii="Arial" w:cs="Arial" w:eastAsia="Arial" w:hAnsi="Arial"/>
                <w:sz w:val="18"/>
                <w:szCs w:val="18"/>
                <w:color w:val="auto"/>
              </w:rPr>
              <w:t>17,000</w:t>
            </w:r>
          </w:p>
        </w:tc>
        <w:tc>
          <w:tcPr>
            <w:tcW w:w="340" w:type="dxa"/>
            <w:vAlign w:val="bottom"/>
            <w:shd w:val="clear" w:color="auto" w:fill="D6F3E8"/>
          </w:tcPr>
          <w:p>
            <w:pPr>
              <w:spacing w:after="0"/>
              <w:rPr>
                <w:sz w:val="19"/>
                <w:szCs w:val="19"/>
                <w:color w:val="auto"/>
              </w:rPr>
            </w:pPr>
          </w:p>
        </w:tc>
        <w:tc>
          <w:tcPr>
            <w:tcW w:w="12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6"/>
              </w:rPr>
              <w:t>43.0%</w:t>
            </w:r>
          </w:p>
        </w:tc>
      </w:tr>
      <w:tr>
        <w:trPr>
          <w:trHeight w:val="222"/>
        </w:trPr>
        <w:tc>
          <w:tcPr>
            <w:tcW w:w="4240" w:type="dxa"/>
            <w:vAlign w:val="bottom"/>
          </w:tcPr>
          <w:p>
            <w:pPr>
              <w:ind w:left="40"/>
              <w:spacing w:after="0"/>
              <w:rPr>
                <w:sz w:val="20"/>
                <w:szCs w:val="20"/>
                <w:color w:val="auto"/>
              </w:rPr>
            </w:pPr>
            <w:r>
              <w:rPr>
                <w:rFonts w:ascii="Arial" w:cs="Arial" w:eastAsia="Arial" w:hAnsi="Arial"/>
                <w:sz w:val="18"/>
                <w:szCs w:val="18"/>
                <w:color w:val="auto"/>
              </w:rPr>
              <w:t>__________________</w:t>
            </w:r>
          </w:p>
        </w:tc>
        <w:tc>
          <w:tcPr>
            <w:tcW w:w="3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2" w:lineRule="exact"/>
        <w:rPr>
          <w:sz w:val="20"/>
          <w:szCs w:val="20"/>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upon the annual base salary in effect for each of the Named Executive Officers as of August 29, 2009 (Mr. Olson - $401,539; Mr. Beebe - $236,408; Mr. Martin - $226,670; Ms. Nielsen - $224,675 and Mr. O’Leary - $225,483).</w:t>
      </w:r>
    </w:p>
    <w:p>
      <w:pPr>
        <w:spacing w:after="0" w:line="77"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upon the closing market price of $14.26 per share, the Company’s Common Stock as quoted on the NYSE on October 6, 2009.</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Sarah N. Nielsen became an officer for the Company in November 2005 and stock ownership guidelines provide for a five-year period in which to attain the appropriate level of stock ownership.</w:t>
      </w:r>
    </w:p>
    <w:p>
      <w:pPr>
        <w:spacing w:after="0" w:line="78"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i w:val="1"/>
          <w:iCs w:val="1"/>
          <w:color w:val="auto"/>
        </w:rPr>
        <w:t xml:space="preserve">Severance Payments </w:t>
      </w:r>
      <w:r>
        <w:rPr>
          <w:rFonts w:ascii="Arial" w:cs="Arial" w:eastAsia="Arial" w:hAnsi="Arial"/>
          <w:sz w:val="18"/>
          <w:szCs w:val="18"/>
          <w:color w:val="auto"/>
        </w:rPr>
        <w:t>— The compensation package of each Named Executive Officer also provides for special payments and accelerated vesting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opportunities upon termination of employment or in specified circumstances involving significant reduction of duties or in working conditions. The Company has entered into change of control agreements with each of the Named Executive Officers and certain other executive officers (collectively, “Executive Change of Control Agreements”).</w:t>
      </w:r>
    </w:p>
    <w:p>
      <w:pPr>
        <w:spacing w:after="0" w:line="89"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86"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The Committee believes these agreements are an important part of the total executive compensation program because they protect the Company’s interest in the continuity and stability of the executive group. The Committee also believes that these agreements reduce the executives’ interest in working against a potential change in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89"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We have not provided any executives with special agreements regarding severance with the exception of the Executive Change of Control Agreements referenced above. Our executives are eligible, however, for the same severance program afforded to all salaried employees when an employee is terminated for circumstances outside of their control. Essentially, this program provides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one week of severance pay for each full year of continuous service, up to a maximum of 26 weeks. One week of severance pay is equal to the executive’s weekly base compensation.</w:t>
      </w:r>
    </w:p>
    <w:p>
      <w:pPr>
        <w:spacing w:after="0" w:line="78"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i w:val="1"/>
          <w:iCs w:val="1"/>
          <w:color w:val="auto"/>
        </w:rPr>
        <w:t>Notwithstanding anything to the contrary set forth in any of the Company’s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Human Resources Committee Report on Compensation Discussion and Analysis</w:t>
      </w:r>
    </w:p>
    <w:p>
      <w:pPr>
        <w:spacing w:after="0" w:line="11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 of the Company.</w:t>
      </w:r>
    </w:p>
    <w:p>
      <w:pPr>
        <w:spacing w:after="0" w:line="86"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78"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Compensation Discussion and Analysis has been prepared by Management of the Company. The Company is responsible for the Compensation Discussion and Analysis and for the disclosure controls relating to executive compensation. The Compensation Discussion and Analysis is not a report or disclosure of the Committee.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Human Resources Committee of Winnebago Industries, Inc.’s Board of Directors:</w:t>
      </w:r>
    </w:p>
    <w:p>
      <w:pPr>
        <w:spacing w:after="0" w:line="117" w:lineRule="exact"/>
        <w:rPr>
          <w:sz w:val="20"/>
          <w:szCs w:val="20"/>
          <w:color w:val="auto"/>
        </w:rPr>
      </w:pPr>
    </w:p>
    <w:p>
      <w:pPr>
        <w:ind w:left="900" w:right="20" w:hanging="446"/>
        <w:spacing w:after="0" w:line="217" w:lineRule="auto"/>
        <w:tabs>
          <w:tab w:leader="none" w:pos="900" w:val="left"/>
        </w:tabs>
        <w:numPr>
          <w:ilvl w:val="0"/>
          <w:numId w:val="29"/>
        </w:numPr>
        <w:rPr>
          <w:rFonts w:ascii="Arial" w:cs="Arial" w:eastAsia="Arial" w:hAnsi="Arial"/>
          <w:sz w:val="24"/>
          <w:szCs w:val="24"/>
          <w:b w:val="1"/>
          <w:bCs w:val="1"/>
          <w:color w:val="auto"/>
        </w:rPr>
      </w:pPr>
      <w:r>
        <w:rPr>
          <w:rFonts w:ascii="Arial" w:cs="Arial" w:eastAsia="Arial" w:hAnsi="Arial"/>
          <w:sz w:val="18"/>
          <w:szCs w:val="18"/>
          <w:color w:val="auto"/>
        </w:rPr>
        <w:t>has reviewed and discussed the Compensation Discussion and Analysis included in this proxy statement and the 2009 Form 10-K with the Management of the Company; and</w:t>
      </w:r>
    </w:p>
    <w:p>
      <w:pPr>
        <w:spacing w:after="0" w:line="103" w:lineRule="exact"/>
        <w:rPr>
          <w:rFonts w:ascii="Arial" w:cs="Arial" w:eastAsia="Arial" w:hAnsi="Arial"/>
          <w:sz w:val="24"/>
          <w:szCs w:val="24"/>
          <w:b w:val="1"/>
          <w:bCs w:val="1"/>
          <w:color w:val="auto"/>
        </w:rPr>
      </w:pPr>
    </w:p>
    <w:p>
      <w:pPr>
        <w:ind w:left="900" w:hanging="446"/>
        <w:spacing w:after="0" w:line="217" w:lineRule="auto"/>
        <w:tabs>
          <w:tab w:leader="none" w:pos="900" w:val="left"/>
        </w:tabs>
        <w:numPr>
          <w:ilvl w:val="0"/>
          <w:numId w:val="29"/>
        </w:numPr>
        <w:rPr>
          <w:rFonts w:ascii="Arial" w:cs="Arial" w:eastAsia="Arial" w:hAnsi="Arial"/>
          <w:sz w:val="24"/>
          <w:szCs w:val="24"/>
          <w:b w:val="1"/>
          <w:bCs w:val="1"/>
          <w:color w:val="auto"/>
        </w:rPr>
      </w:pPr>
      <w:r>
        <w:rPr>
          <w:rFonts w:ascii="Arial" w:cs="Arial" w:eastAsia="Arial" w:hAnsi="Arial"/>
          <w:sz w:val="18"/>
          <w:szCs w:val="18"/>
          <w:color w:val="auto"/>
        </w:rPr>
        <w:t>based on such review and discussions, the Human Resources Committee recommended to the Board of Directors that the Compensation Discussion and Analysis be included in this proxy statement and the 2009 Form 10-K.</w:t>
      </w:r>
    </w:p>
    <w:p>
      <w:pPr>
        <w:spacing w:after="0" w:line="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Human Resources Committee:</w:t>
      </w:r>
    </w:p>
    <w:p>
      <w:pPr>
        <w:sectPr>
          <w:pgSz w:w="11900" w:h="16838" w:orient="portrait"/>
          <w:cols w:equalWidth="0" w:num="1">
            <w:col w:w="11420"/>
          </w:cols>
          <w:pgMar w:left="240" w:top="131" w:right="239" w:bottom="0" w:gutter="0" w:footer="0" w:header="0"/>
        </w:sectPr>
      </w:pPr>
    </w:p>
    <w:bookmarkStart w:id="23" w:name="page24"/>
    <w:bookmarkEnd w:id="23"/>
    <w:p>
      <w:pPr>
        <w:ind w:left="6160"/>
        <w:spacing w:after="0"/>
        <w:rPr>
          <w:sz w:val="20"/>
          <w:szCs w:val="20"/>
          <w:color w:val="auto"/>
        </w:rPr>
      </w:pPr>
      <w:r>
        <w:rPr>
          <w:rFonts w:ascii="Arial" w:cs="Arial" w:eastAsia="Arial" w:hAnsi="Arial"/>
          <w:sz w:val="18"/>
          <w:szCs w:val="18"/>
          <w:color w:val="auto"/>
        </w:rPr>
        <w:t>Gerald C. Kitch, Chairman</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Robert M. Chiusano</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Lawrence A. Erickson</w:t>
      </w:r>
    </w:p>
    <w:p>
      <w:pPr>
        <w:spacing w:after="0" w:line="105" w:lineRule="exact"/>
        <w:rPr>
          <w:sz w:val="20"/>
          <w:szCs w:val="20"/>
          <w:color w:val="auto"/>
        </w:rPr>
      </w:pPr>
    </w:p>
    <w:p>
      <w:pPr>
        <w:jc w:val="both"/>
        <w:ind w:firstLine="458"/>
        <w:spacing w:after="0" w:line="296" w:lineRule="auto"/>
        <w:rPr>
          <w:sz w:val="20"/>
          <w:szCs w:val="20"/>
          <w:color w:val="auto"/>
        </w:rPr>
      </w:pPr>
      <w:r>
        <w:rPr>
          <w:rFonts w:ascii="Arial" w:cs="Arial" w:eastAsia="Arial" w:hAnsi="Arial"/>
          <w:sz w:val="16"/>
          <w:szCs w:val="16"/>
          <w:b w:val="1"/>
          <w:bCs w:val="1"/>
          <w:color w:val="auto"/>
        </w:rPr>
        <w:t xml:space="preserve">Human Resources Committee Interlocks and Insider Participation. </w:t>
      </w:r>
      <w:r>
        <w:rPr>
          <w:rFonts w:ascii="Arial" w:cs="Arial" w:eastAsia="Arial" w:hAnsi="Arial"/>
          <w:sz w:val="16"/>
          <w:szCs w:val="16"/>
          <w:color w:val="auto"/>
        </w:rPr>
        <w:t>The current members of the Human Resources Committee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Messrs. Kitch, Aal, Chiusano and Erickson, were not at any time during Fiscal 2009 or at any other time an officer or employee of the Company, and no member had any relationship with the Company requiring disclosure under applicable SEC rules. No executive officer of the Company has served on the board of directors or compensation committee of any other entity that has or has had one or more executive officers who served as a member of the Company’s Board of Directors or the Human Resources Committee during Fiscal 2009.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Tables and Narrative Disclosure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123"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The following tables set forth compensation information for the Company’s Named Executive Officers for services rendered in all capacities to the Company and its subsidiaries in Fiscal Years 2009, 2008 and 2007, except that Mr. Martin’s 2007 and 2008 compensation information is not included as Mr. Martin was not among the Named Executive Officers included in the Summary Compensation Table of the Company in these years. You should refer to the section “Compensation Discussion and Analysis” above for an explanation of the elements used in setting the compensation for our Named Executive Officers.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Non-Equity</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17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Incentive Plan</w:t>
            </w: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5"/>
              </w:rPr>
              <w:t>Fiscal</w:t>
            </w:r>
          </w:p>
        </w:tc>
        <w:tc>
          <w:tcPr>
            <w:tcW w:w="960" w:type="dxa"/>
            <w:vAlign w:val="bottom"/>
            <w:gridSpan w:val="2"/>
          </w:tcPr>
          <w:p>
            <w:pPr>
              <w:ind w:left="180"/>
              <w:spacing w:after="0" w:line="156" w:lineRule="exact"/>
              <w:rPr>
                <w:sz w:val="20"/>
                <w:szCs w:val="20"/>
                <w:color w:val="auto"/>
              </w:rPr>
            </w:pPr>
            <w:r>
              <w:rPr>
                <w:rFonts w:ascii="Arial" w:cs="Arial" w:eastAsia="Arial" w:hAnsi="Arial"/>
                <w:sz w:val="14"/>
                <w:szCs w:val="14"/>
                <w:b w:val="1"/>
                <w:bCs w:val="1"/>
                <w:color w:val="auto"/>
              </w:rPr>
              <w:t>Salary</w:t>
            </w:r>
          </w:p>
        </w:tc>
        <w:tc>
          <w:tcPr>
            <w:tcW w:w="122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6"/>
              </w:rPr>
              <w:t>Awards</w:t>
            </w:r>
          </w:p>
        </w:tc>
        <w:tc>
          <w:tcPr>
            <w:tcW w:w="9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86"/>
              </w:rPr>
              <w:t>Awards</w:t>
            </w:r>
          </w:p>
        </w:tc>
        <w:tc>
          <w:tcPr>
            <w:tcW w:w="17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6"/>
              </w:rPr>
              <w:t>Compensation</w:t>
            </w:r>
          </w:p>
        </w:tc>
        <w:tc>
          <w:tcPr>
            <w:tcW w:w="174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4"/>
              </w:rPr>
              <w:t>Compensation</w:t>
            </w:r>
          </w:p>
        </w:tc>
        <w:tc>
          <w:tcPr>
            <w:tcW w:w="78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Year</w:t>
            </w:r>
          </w:p>
        </w:tc>
        <w:tc>
          <w:tcPr>
            <w:tcW w:w="74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220" w:type="dxa"/>
            <w:vAlign w:val="bottom"/>
          </w:tcPr>
          <w:p>
            <w:pPr>
              <w:spacing w:after="0"/>
              <w:rPr>
                <w:sz w:val="15"/>
                <w:szCs w:val="15"/>
                <w:color w:val="auto"/>
              </w:rPr>
            </w:pPr>
          </w:p>
        </w:tc>
        <w:tc>
          <w:tcPr>
            <w:tcW w:w="100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22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(3)</w:t>
            </w:r>
          </w:p>
        </w:tc>
        <w:tc>
          <w:tcPr>
            <w:tcW w:w="24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(4)</w:t>
            </w:r>
          </w:p>
        </w:tc>
        <w:tc>
          <w:tcPr>
            <w:tcW w:w="22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24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4"/>
                <w:szCs w:val="14"/>
                <w:color w:val="auto"/>
              </w:rPr>
              <w:t>Robert J. Olson</w:t>
            </w:r>
          </w:p>
        </w:tc>
        <w:tc>
          <w:tcPr>
            <w:tcW w:w="100" w:type="dxa"/>
            <w:vAlign w:val="bottom"/>
            <w:tcBorders>
              <w:top w:val="single" w:sz="8" w:color="D6F3E8"/>
            </w:tcBorders>
            <w:shd w:val="clear" w:color="auto" w:fill="D6F3E8"/>
          </w:tcPr>
          <w:p>
            <w:pPr>
              <w:spacing w:after="0"/>
              <w:rPr>
                <w:sz w:val="15"/>
                <w:szCs w:val="15"/>
                <w:color w:val="auto"/>
              </w:rPr>
            </w:pPr>
          </w:p>
        </w:tc>
        <w:tc>
          <w:tcPr>
            <w:tcW w:w="62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4"/>
                <w:szCs w:val="14"/>
                <w:color w:val="auto"/>
                <w:w w:val="83"/>
              </w:rPr>
              <w:t>2009</w:t>
            </w:r>
          </w:p>
        </w:tc>
        <w:tc>
          <w:tcPr>
            <w:tcW w:w="220" w:type="dxa"/>
            <w:vAlign w:val="bottom"/>
            <w:tcBorders>
              <w:top w:val="single" w:sz="8" w:color="D6F3E8"/>
            </w:tcBorders>
            <w:shd w:val="clear" w:color="auto" w:fill="D6F3E8"/>
          </w:tcPr>
          <w:p>
            <w:pPr>
              <w:spacing w:after="0"/>
              <w:rPr>
                <w:sz w:val="15"/>
                <w:szCs w:val="15"/>
                <w:color w:val="auto"/>
              </w:rPr>
            </w:pPr>
          </w:p>
        </w:tc>
        <w:tc>
          <w:tcPr>
            <w:tcW w:w="74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4"/>
                <w:szCs w:val="14"/>
                <w:color w:val="auto"/>
                <w:w w:val="86"/>
              </w:rPr>
              <w:t>401,539</w:t>
            </w:r>
          </w:p>
        </w:tc>
        <w:tc>
          <w:tcPr>
            <w:tcW w:w="220" w:type="dxa"/>
            <w:vAlign w:val="bottom"/>
            <w:tcBorders>
              <w:top w:val="single" w:sz="8" w:color="D6F3E8"/>
            </w:tcBorders>
            <w:shd w:val="clear" w:color="auto" w:fill="D6F3E8"/>
          </w:tcPr>
          <w:p>
            <w:pPr>
              <w:spacing w:after="0"/>
              <w:rPr>
                <w:sz w:val="15"/>
                <w:szCs w:val="15"/>
                <w:color w:val="auto"/>
              </w:rPr>
            </w:pPr>
          </w:p>
        </w:tc>
        <w:tc>
          <w:tcPr>
            <w:tcW w:w="1000" w:type="dxa"/>
            <w:vAlign w:val="bottom"/>
            <w:tcBorders>
              <w:top w:val="single" w:sz="8" w:color="auto"/>
            </w:tcBorders>
            <w:shd w:val="clear" w:color="auto" w:fill="D6F3E8"/>
          </w:tcPr>
          <w:p>
            <w:pPr>
              <w:jc w:val="right"/>
              <w:ind w:right="13"/>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D6F3E8"/>
            </w:tcBorders>
            <w:shd w:val="clear" w:color="auto" w:fill="D6F3E8"/>
          </w:tcPr>
          <w:p>
            <w:pPr>
              <w:spacing w:after="0"/>
              <w:rPr>
                <w:sz w:val="15"/>
                <w:szCs w:val="15"/>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D6F3E8"/>
            </w:tcBorders>
            <w:shd w:val="clear" w:color="auto" w:fill="D6F3E8"/>
          </w:tcPr>
          <w:p>
            <w:pPr>
              <w:spacing w:after="0"/>
              <w:rPr>
                <w:sz w:val="15"/>
                <w:szCs w:val="15"/>
                <w:color w:val="auto"/>
              </w:rPr>
            </w:pPr>
          </w:p>
        </w:tc>
        <w:tc>
          <w:tcPr>
            <w:tcW w:w="1500" w:type="dxa"/>
            <w:vAlign w:val="bottom"/>
            <w:tcBorders>
              <w:top w:val="single" w:sz="8" w:color="auto"/>
            </w:tcBorders>
            <w:shd w:val="clear" w:color="auto" w:fill="D6F3E8"/>
          </w:tcPr>
          <w:p>
            <w:pPr>
              <w:jc w:val="right"/>
              <w:ind w:right="213"/>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D6F3E8"/>
            </w:tcBorders>
            <w:shd w:val="clear" w:color="auto" w:fill="D6F3E8"/>
          </w:tcPr>
          <w:p>
            <w:pPr>
              <w:spacing w:after="0"/>
              <w:rPr>
                <w:sz w:val="15"/>
                <w:szCs w:val="15"/>
                <w:color w:val="auto"/>
              </w:rPr>
            </w:pPr>
          </w:p>
        </w:tc>
        <w:tc>
          <w:tcPr>
            <w:tcW w:w="1500" w:type="dxa"/>
            <w:vAlign w:val="bottom"/>
            <w:tcBorders>
              <w:top w:val="single" w:sz="8" w:color="auto"/>
            </w:tcBorders>
            <w:shd w:val="clear" w:color="auto" w:fill="D6F3E8"/>
          </w:tcPr>
          <w:p>
            <w:pPr>
              <w:jc w:val="right"/>
              <w:ind w:right="193"/>
              <w:spacing w:after="0"/>
              <w:rPr>
                <w:sz w:val="20"/>
                <w:szCs w:val="20"/>
                <w:color w:val="auto"/>
              </w:rPr>
            </w:pPr>
            <w:r>
              <w:rPr>
                <w:rFonts w:ascii="Arial" w:cs="Arial" w:eastAsia="Arial" w:hAnsi="Arial"/>
                <w:sz w:val="14"/>
                <w:szCs w:val="14"/>
                <w:color w:val="auto"/>
              </w:rPr>
              <w:t>5,859</w:t>
            </w:r>
          </w:p>
        </w:tc>
        <w:tc>
          <w:tcPr>
            <w:tcW w:w="240" w:type="dxa"/>
            <w:vAlign w:val="bottom"/>
            <w:tcBorders>
              <w:top w:val="single" w:sz="8" w:color="D6F3E8"/>
            </w:tcBorders>
            <w:shd w:val="clear" w:color="auto" w:fill="D6F3E8"/>
          </w:tcPr>
          <w:p>
            <w:pPr>
              <w:spacing w:after="0"/>
              <w:rPr>
                <w:sz w:val="15"/>
                <w:szCs w:val="15"/>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4"/>
                <w:szCs w:val="14"/>
                <w:color w:val="auto"/>
              </w:rPr>
              <w:t>407,398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D6F3E8"/>
          </w:tcPr>
          <w:p>
            <w:pPr>
              <w:ind w:left="160"/>
              <w:spacing w:after="0" w:line="138" w:lineRule="exact"/>
              <w:rPr>
                <w:sz w:val="20"/>
                <w:szCs w:val="20"/>
                <w:color w:val="auto"/>
              </w:rPr>
            </w:pPr>
            <w:r>
              <w:rPr>
                <w:rFonts w:ascii="Arial" w:cs="Arial" w:eastAsia="Arial" w:hAnsi="Arial"/>
                <w:sz w:val="14"/>
                <w:szCs w:val="14"/>
                <w:color w:val="auto"/>
              </w:rPr>
              <w:t>Chairman, Chief Executive</w:t>
            </w:r>
          </w:p>
        </w:tc>
        <w:tc>
          <w:tcPr>
            <w:tcW w:w="100" w:type="dxa"/>
            <w:vAlign w:val="bottom"/>
            <w:shd w:val="clear" w:color="auto" w:fill="D6F3E8"/>
          </w:tcPr>
          <w:p>
            <w:pPr>
              <w:spacing w:after="0"/>
              <w:rPr>
                <w:sz w:val="11"/>
                <w:szCs w:val="11"/>
                <w:color w:val="auto"/>
              </w:rPr>
            </w:pPr>
          </w:p>
        </w:tc>
        <w:tc>
          <w:tcPr>
            <w:tcW w:w="620" w:type="dxa"/>
            <w:vAlign w:val="bottom"/>
            <w:shd w:val="clear" w:color="auto" w:fill="D6F3E8"/>
          </w:tcPr>
          <w:p>
            <w:pPr>
              <w:jc w:val="center"/>
              <w:spacing w:after="0" w:line="138" w:lineRule="exact"/>
              <w:rPr>
                <w:sz w:val="20"/>
                <w:szCs w:val="20"/>
                <w:color w:val="auto"/>
              </w:rPr>
            </w:pPr>
            <w:r>
              <w:rPr>
                <w:rFonts w:ascii="Arial" w:cs="Arial" w:eastAsia="Arial" w:hAnsi="Arial"/>
                <w:sz w:val="14"/>
                <w:szCs w:val="14"/>
                <w:color w:val="auto"/>
                <w:w w:val="83"/>
              </w:rPr>
              <w:t>2008</w:t>
            </w:r>
          </w:p>
        </w:tc>
        <w:tc>
          <w:tcPr>
            <w:tcW w:w="220" w:type="dxa"/>
            <w:vAlign w:val="bottom"/>
            <w:shd w:val="clear" w:color="auto" w:fill="D6F3E8"/>
          </w:tcPr>
          <w:p>
            <w:pPr>
              <w:spacing w:after="0"/>
              <w:rPr>
                <w:sz w:val="11"/>
                <w:szCs w:val="11"/>
                <w:color w:val="auto"/>
              </w:rPr>
            </w:pPr>
          </w:p>
        </w:tc>
        <w:tc>
          <w:tcPr>
            <w:tcW w:w="740" w:type="dxa"/>
            <w:vAlign w:val="bottom"/>
            <w:shd w:val="clear" w:color="auto" w:fill="D6F3E8"/>
          </w:tcPr>
          <w:p>
            <w:pPr>
              <w:jc w:val="center"/>
              <w:spacing w:after="0" w:line="138" w:lineRule="exact"/>
              <w:rPr>
                <w:sz w:val="20"/>
                <w:szCs w:val="20"/>
                <w:color w:val="auto"/>
              </w:rPr>
            </w:pPr>
            <w:r>
              <w:rPr>
                <w:rFonts w:ascii="Arial" w:cs="Arial" w:eastAsia="Arial" w:hAnsi="Arial"/>
                <w:sz w:val="14"/>
                <w:szCs w:val="14"/>
                <w:color w:val="auto"/>
                <w:w w:val="86"/>
              </w:rPr>
              <w:t>396,369</w:t>
            </w:r>
          </w:p>
        </w:tc>
        <w:tc>
          <w:tcPr>
            <w:tcW w:w="220" w:type="dxa"/>
            <w:vAlign w:val="bottom"/>
            <w:shd w:val="clear" w:color="auto" w:fill="D6F3E8"/>
          </w:tcPr>
          <w:p>
            <w:pPr>
              <w:spacing w:after="0"/>
              <w:rPr>
                <w:sz w:val="11"/>
                <w:szCs w:val="11"/>
                <w:color w:val="auto"/>
              </w:rPr>
            </w:pPr>
          </w:p>
        </w:tc>
        <w:tc>
          <w:tcPr>
            <w:tcW w:w="1000" w:type="dxa"/>
            <w:vAlign w:val="bottom"/>
            <w:shd w:val="clear" w:color="auto" w:fill="D6F3E8"/>
          </w:tcPr>
          <w:p>
            <w:pPr>
              <w:jc w:val="right"/>
              <w:ind w:right="13"/>
              <w:spacing w:after="0" w:line="138" w:lineRule="exact"/>
              <w:rPr>
                <w:sz w:val="20"/>
                <w:szCs w:val="20"/>
                <w:color w:val="auto"/>
              </w:rPr>
            </w:pPr>
            <w:r>
              <w:rPr>
                <w:rFonts w:ascii="Arial" w:cs="Arial" w:eastAsia="Arial" w:hAnsi="Arial"/>
                <w:sz w:val="14"/>
                <w:szCs w:val="14"/>
                <w:color w:val="auto"/>
              </w:rPr>
              <w:t>282,100</w:t>
            </w:r>
          </w:p>
        </w:tc>
        <w:tc>
          <w:tcPr>
            <w:tcW w:w="220" w:type="dxa"/>
            <w:vAlign w:val="bottom"/>
            <w:shd w:val="clear" w:color="auto" w:fill="D6F3E8"/>
          </w:tcPr>
          <w:p>
            <w:pPr>
              <w:spacing w:after="0"/>
              <w:rPr>
                <w:sz w:val="11"/>
                <w:szCs w:val="11"/>
                <w:color w:val="auto"/>
              </w:rPr>
            </w:pPr>
          </w:p>
        </w:tc>
        <w:tc>
          <w:tcPr>
            <w:tcW w:w="740" w:type="dxa"/>
            <w:vAlign w:val="bottom"/>
            <w:shd w:val="clear" w:color="auto" w:fill="D6F3E8"/>
          </w:tcPr>
          <w:p>
            <w:pPr>
              <w:jc w:val="right"/>
              <w:spacing w:after="0" w:line="138" w:lineRule="exact"/>
              <w:rPr>
                <w:sz w:val="20"/>
                <w:szCs w:val="20"/>
                <w:color w:val="auto"/>
              </w:rPr>
            </w:pPr>
            <w:r>
              <w:rPr>
                <w:rFonts w:ascii="Arial" w:cs="Arial" w:eastAsia="Arial" w:hAnsi="Arial"/>
                <w:sz w:val="14"/>
                <w:szCs w:val="14"/>
                <w:color w:val="auto"/>
              </w:rPr>
              <w:t>5,996</w:t>
            </w:r>
          </w:p>
        </w:tc>
        <w:tc>
          <w:tcPr>
            <w:tcW w:w="240" w:type="dxa"/>
            <w:vAlign w:val="bottom"/>
            <w:shd w:val="clear" w:color="auto" w:fill="D6F3E8"/>
          </w:tcPr>
          <w:p>
            <w:pPr>
              <w:spacing w:after="0"/>
              <w:rPr>
                <w:sz w:val="11"/>
                <w:szCs w:val="11"/>
                <w:color w:val="auto"/>
              </w:rPr>
            </w:pPr>
          </w:p>
        </w:tc>
        <w:tc>
          <w:tcPr>
            <w:tcW w:w="1500" w:type="dxa"/>
            <w:vAlign w:val="bottom"/>
            <w:shd w:val="clear" w:color="auto" w:fill="D6F3E8"/>
          </w:tcPr>
          <w:p>
            <w:pPr>
              <w:jc w:val="right"/>
              <w:ind w:right="213"/>
              <w:spacing w:after="0" w:line="138" w:lineRule="exact"/>
              <w:rPr>
                <w:sz w:val="20"/>
                <w:szCs w:val="20"/>
                <w:color w:val="auto"/>
              </w:rPr>
            </w:pPr>
            <w:r>
              <w:rPr>
                <w:rFonts w:ascii="Arial" w:cs="Arial" w:eastAsia="Arial" w:hAnsi="Arial"/>
                <w:sz w:val="14"/>
                <w:szCs w:val="14"/>
                <w:color w:val="auto"/>
              </w:rPr>
              <w:t>23,404</w:t>
            </w:r>
          </w:p>
        </w:tc>
        <w:tc>
          <w:tcPr>
            <w:tcW w:w="220" w:type="dxa"/>
            <w:vAlign w:val="bottom"/>
            <w:shd w:val="clear" w:color="auto" w:fill="D6F3E8"/>
          </w:tcPr>
          <w:p>
            <w:pPr>
              <w:spacing w:after="0"/>
              <w:rPr>
                <w:sz w:val="11"/>
                <w:szCs w:val="11"/>
                <w:color w:val="auto"/>
              </w:rPr>
            </w:pPr>
          </w:p>
        </w:tc>
        <w:tc>
          <w:tcPr>
            <w:tcW w:w="1500" w:type="dxa"/>
            <w:vAlign w:val="bottom"/>
            <w:shd w:val="clear" w:color="auto" w:fill="D6F3E8"/>
          </w:tcPr>
          <w:p>
            <w:pPr>
              <w:jc w:val="right"/>
              <w:ind w:right="193"/>
              <w:spacing w:after="0" w:line="138" w:lineRule="exact"/>
              <w:rPr>
                <w:sz w:val="20"/>
                <w:szCs w:val="20"/>
                <w:color w:val="auto"/>
              </w:rPr>
            </w:pPr>
            <w:r>
              <w:rPr>
                <w:rFonts w:ascii="Arial" w:cs="Arial" w:eastAsia="Arial" w:hAnsi="Arial"/>
                <w:sz w:val="14"/>
                <w:szCs w:val="14"/>
                <w:color w:val="auto"/>
              </w:rPr>
              <w:t>29,497</w:t>
            </w:r>
          </w:p>
        </w:tc>
        <w:tc>
          <w:tcPr>
            <w:tcW w:w="240" w:type="dxa"/>
            <w:vAlign w:val="bottom"/>
            <w:shd w:val="clear" w:color="auto" w:fill="D6F3E8"/>
          </w:tcPr>
          <w:p>
            <w:pPr>
              <w:spacing w:after="0"/>
              <w:rPr>
                <w:sz w:val="11"/>
                <w:szCs w:val="11"/>
                <w:color w:val="auto"/>
              </w:rPr>
            </w:pPr>
          </w:p>
        </w:tc>
        <w:tc>
          <w:tcPr>
            <w:tcW w:w="760" w:type="dxa"/>
            <w:vAlign w:val="bottom"/>
            <w:shd w:val="clear" w:color="auto" w:fill="D6F3E8"/>
          </w:tcPr>
          <w:p>
            <w:pPr>
              <w:jc w:val="right"/>
              <w:spacing w:after="0" w:line="138" w:lineRule="exact"/>
              <w:rPr>
                <w:sz w:val="20"/>
                <w:szCs w:val="20"/>
                <w:color w:val="auto"/>
              </w:rPr>
            </w:pPr>
            <w:r>
              <w:rPr>
                <w:rFonts w:ascii="Arial" w:cs="Arial" w:eastAsia="Arial" w:hAnsi="Arial"/>
                <w:sz w:val="14"/>
                <w:szCs w:val="14"/>
                <w:color w:val="auto"/>
              </w:rPr>
              <w:t>737,366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shd w:val="clear" w:color="auto" w:fill="D6F3E8"/>
          </w:tcPr>
          <w:p>
            <w:pPr>
              <w:ind w:left="160"/>
              <w:spacing w:after="0"/>
              <w:rPr>
                <w:sz w:val="20"/>
                <w:szCs w:val="20"/>
                <w:color w:val="auto"/>
              </w:rPr>
            </w:pPr>
            <w:r>
              <w:rPr>
                <w:rFonts w:ascii="Arial" w:cs="Arial" w:eastAsia="Arial" w:hAnsi="Arial"/>
                <w:sz w:val="14"/>
                <w:szCs w:val="14"/>
                <w:color w:val="auto"/>
              </w:rPr>
              <w:t>Officer and President</w:t>
            </w:r>
          </w:p>
        </w:tc>
        <w:tc>
          <w:tcPr>
            <w:tcW w:w="100" w:type="dxa"/>
            <w:vAlign w:val="bottom"/>
            <w:shd w:val="clear" w:color="auto" w:fill="D6F3E8"/>
          </w:tcPr>
          <w:p>
            <w:pPr>
              <w:spacing w:after="0"/>
              <w:rPr>
                <w:sz w:val="16"/>
                <w:szCs w:val="16"/>
                <w:color w:val="auto"/>
              </w:rPr>
            </w:pPr>
          </w:p>
        </w:tc>
        <w:tc>
          <w:tcPr>
            <w:tcW w:w="620" w:type="dxa"/>
            <w:vAlign w:val="bottom"/>
            <w:shd w:val="clear" w:color="auto" w:fill="D6F3E8"/>
          </w:tcPr>
          <w:p>
            <w:pPr>
              <w:jc w:val="center"/>
              <w:spacing w:after="0"/>
              <w:rPr>
                <w:sz w:val="20"/>
                <w:szCs w:val="20"/>
                <w:color w:val="auto"/>
              </w:rPr>
            </w:pPr>
            <w:r>
              <w:rPr>
                <w:rFonts w:ascii="Arial" w:cs="Arial" w:eastAsia="Arial" w:hAnsi="Arial"/>
                <w:sz w:val="14"/>
                <w:szCs w:val="14"/>
                <w:color w:val="auto"/>
                <w:w w:val="83"/>
              </w:rPr>
              <w:t>2007</w:t>
            </w:r>
          </w:p>
        </w:tc>
        <w:tc>
          <w:tcPr>
            <w:tcW w:w="220" w:type="dxa"/>
            <w:vAlign w:val="bottom"/>
            <w:shd w:val="clear" w:color="auto" w:fill="D6F3E8"/>
          </w:tcPr>
          <w:p>
            <w:pPr>
              <w:spacing w:after="0"/>
              <w:rPr>
                <w:sz w:val="16"/>
                <w:szCs w:val="16"/>
                <w:color w:val="auto"/>
              </w:rPr>
            </w:pPr>
          </w:p>
        </w:tc>
        <w:tc>
          <w:tcPr>
            <w:tcW w:w="740" w:type="dxa"/>
            <w:vAlign w:val="bottom"/>
            <w:shd w:val="clear" w:color="auto" w:fill="D6F3E8"/>
          </w:tcPr>
          <w:p>
            <w:pPr>
              <w:jc w:val="center"/>
              <w:spacing w:after="0"/>
              <w:rPr>
                <w:sz w:val="20"/>
                <w:szCs w:val="20"/>
                <w:color w:val="auto"/>
              </w:rPr>
            </w:pPr>
            <w:r>
              <w:rPr>
                <w:rFonts w:ascii="Arial" w:cs="Arial" w:eastAsia="Arial" w:hAnsi="Arial"/>
                <w:sz w:val="14"/>
                <w:szCs w:val="14"/>
                <w:color w:val="auto"/>
                <w:w w:val="86"/>
              </w:rPr>
              <w:t>288,548</w:t>
            </w:r>
          </w:p>
        </w:tc>
        <w:tc>
          <w:tcPr>
            <w:tcW w:w="220" w:type="dxa"/>
            <w:vAlign w:val="bottom"/>
            <w:shd w:val="clear" w:color="auto" w:fill="D6F3E8"/>
          </w:tcPr>
          <w:p>
            <w:pPr>
              <w:spacing w:after="0"/>
              <w:rPr>
                <w:sz w:val="16"/>
                <w:szCs w:val="16"/>
                <w:color w:val="auto"/>
              </w:rPr>
            </w:pPr>
          </w:p>
        </w:tc>
        <w:tc>
          <w:tcPr>
            <w:tcW w:w="1000" w:type="dxa"/>
            <w:vAlign w:val="bottom"/>
            <w:shd w:val="clear" w:color="auto" w:fill="D6F3E8"/>
          </w:tcPr>
          <w:p>
            <w:pPr>
              <w:jc w:val="right"/>
              <w:ind w:right="13"/>
              <w:spacing w:after="0"/>
              <w:rPr>
                <w:sz w:val="20"/>
                <w:szCs w:val="20"/>
                <w:color w:val="auto"/>
              </w:rPr>
            </w:pPr>
            <w:r>
              <w:rPr>
                <w:rFonts w:ascii="Arial" w:cs="Arial" w:eastAsia="Arial" w:hAnsi="Arial"/>
                <w:sz w:val="14"/>
                <w:szCs w:val="14"/>
                <w:color w:val="auto"/>
              </w:rPr>
              <w:t>206,160</w:t>
            </w:r>
          </w:p>
        </w:tc>
        <w:tc>
          <w:tcPr>
            <w:tcW w:w="220" w:type="dxa"/>
            <w:vAlign w:val="bottom"/>
            <w:shd w:val="clear" w:color="auto" w:fill="D6F3E8"/>
          </w:tcPr>
          <w:p>
            <w:pPr>
              <w:spacing w:after="0"/>
              <w:rPr>
                <w:sz w:val="16"/>
                <w:szCs w:val="16"/>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47,790</w:t>
            </w:r>
          </w:p>
        </w:tc>
        <w:tc>
          <w:tcPr>
            <w:tcW w:w="240" w:type="dxa"/>
            <w:vAlign w:val="bottom"/>
            <w:shd w:val="clear" w:color="auto" w:fill="D6F3E8"/>
          </w:tcPr>
          <w:p>
            <w:pPr>
              <w:spacing w:after="0"/>
              <w:rPr>
                <w:sz w:val="16"/>
                <w:szCs w:val="16"/>
                <w:color w:val="auto"/>
              </w:rPr>
            </w:pPr>
          </w:p>
        </w:tc>
        <w:tc>
          <w:tcPr>
            <w:tcW w:w="1500" w:type="dxa"/>
            <w:vAlign w:val="bottom"/>
            <w:shd w:val="clear" w:color="auto" w:fill="D6F3E8"/>
          </w:tcPr>
          <w:p>
            <w:pPr>
              <w:jc w:val="right"/>
              <w:ind w:right="213"/>
              <w:spacing w:after="0"/>
              <w:rPr>
                <w:sz w:val="20"/>
                <w:szCs w:val="20"/>
                <w:color w:val="auto"/>
              </w:rPr>
            </w:pPr>
            <w:r>
              <w:rPr>
                <w:rFonts w:ascii="Arial" w:cs="Arial" w:eastAsia="Arial" w:hAnsi="Arial"/>
                <w:sz w:val="14"/>
                <w:szCs w:val="14"/>
                <w:color w:val="auto"/>
              </w:rPr>
              <w:t>190,006</w:t>
            </w:r>
          </w:p>
        </w:tc>
        <w:tc>
          <w:tcPr>
            <w:tcW w:w="220" w:type="dxa"/>
            <w:vAlign w:val="bottom"/>
            <w:shd w:val="clear" w:color="auto" w:fill="D6F3E8"/>
          </w:tcPr>
          <w:p>
            <w:pPr>
              <w:spacing w:after="0"/>
              <w:rPr>
                <w:sz w:val="16"/>
                <w:szCs w:val="16"/>
                <w:color w:val="auto"/>
              </w:rPr>
            </w:pPr>
          </w:p>
        </w:tc>
        <w:tc>
          <w:tcPr>
            <w:tcW w:w="1500" w:type="dxa"/>
            <w:vAlign w:val="bottom"/>
            <w:shd w:val="clear" w:color="auto" w:fill="D6F3E8"/>
          </w:tcPr>
          <w:p>
            <w:pPr>
              <w:jc w:val="right"/>
              <w:ind w:right="193"/>
              <w:spacing w:after="0"/>
              <w:rPr>
                <w:sz w:val="20"/>
                <w:szCs w:val="20"/>
                <w:color w:val="auto"/>
              </w:rPr>
            </w:pPr>
            <w:r>
              <w:rPr>
                <w:rFonts w:ascii="Arial" w:cs="Arial" w:eastAsia="Arial" w:hAnsi="Arial"/>
                <w:sz w:val="14"/>
                <w:szCs w:val="14"/>
                <w:color w:val="auto"/>
              </w:rPr>
              <w:t>28,177</w:t>
            </w:r>
          </w:p>
        </w:tc>
        <w:tc>
          <w:tcPr>
            <w:tcW w:w="240" w:type="dxa"/>
            <w:vAlign w:val="bottom"/>
            <w:shd w:val="clear" w:color="auto" w:fill="D6F3E8"/>
          </w:tcPr>
          <w:p>
            <w:pPr>
              <w:spacing w:after="0"/>
              <w:rPr>
                <w:sz w:val="16"/>
                <w:szCs w:val="16"/>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760,681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100" w:type="dxa"/>
            <w:vAlign w:val="bottom"/>
            <w:gridSpan w:val="2"/>
          </w:tcPr>
          <w:p>
            <w:pPr>
              <w:spacing w:after="0"/>
              <w:rPr>
                <w:sz w:val="20"/>
                <w:szCs w:val="20"/>
                <w:color w:val="auto"/>
              </w:rPr>
            </w:pPr>
            <w:r>
              <w:rPr>
                <w:rFonts w:ascii="Arial" w:cs="Arial" w:eastAsia="Arial" w:hAnsi="Arial"/>
                <w:sz w:val="14"/>
                <w:szCs w:val="14"/>
                <w:color w:val="auto"/>
              </w:rPr>
              <w:t>Raymond M. Beebe</w:t>
            </w:r>
          </w:p>
        </w:tc>
        <w:tc>
          <w:tcPr>
            <w:tcW w:w="720" w:type="dxa"/>
            <w:vAlign w:val="bottom"/>
            <w:gridSpan w:val="2"/>
          </w:tcPr>
          <w:p>
            <w:pPr>
              <w:jc w:val="center"/>
              <w:ind w:left="32"/>
              <w:spacing w:after="0"/>
              <w:rPr>
                <w:sz w:val="20"/>
                <w:szCs w:val="20"/>
                <w:color w:val="auto"/>
              </w:rPr>
            </w:pPr>
            <w:r>
              <w:rPr>
                <w:rFonts w:ascii="Arial" w:cs="Arial" w:eastAsia="Arial" w:hAnsi="Arial"/>
                <w:sz w:val="14"/>
                <w:szCs w:val="14"/>
                <w:color w:val="auto"/>
                <w:w w:val="83"/>
              </w:rPr>
              <w:t>2009</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6"/>
              </w:rPr>
              <w:t>236,408</w:t>
            </w:r>
          </w:p>
        </w:tc>
        <w:tc>
          <w:tcPr>
            <w:tcW w:w="22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93"/>
              <w:spacing w:after="0"/>
              <w:rPr>
                <w:sz w:val="20"/>
                <w:szCs w:val="20"/>
                <w:color w:val="auto"/>
              </w:rPr>
            </w:pPr>
            <w:r>
              <w:rPr>
                <w:rFonts w:ascii="Arial" w:cs="Arial" w:eastAsia="Arial" w:hAnsi="Arial"/>
                <w:sz w:val="14"/>
                <w:szCs w:val="14"/>
                <w:color w:val="auto"/>
              </w:rPr>
              <w:t>21,400</w:t>
            </w:r>
          </w:p>
        </w:tc>
        <w:tc>
          <w:tcPr>
            <w:tcW w:w="2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257,808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60"/>
              <w:spacing w:after="0" w:line="149" w:lineRule="exact"/>
              <w:rPr>
                <w:sz w:val="20"/>
                <w:szCs w:val="20"/>
                <w:color w:val="auto"/>
              </w:rPr>
            </w:pPr>
            <w:r>
              <w:rPr>
                <w:rFonts w:ascii="Arial" w:cs="Arial" w:eastAsia="Arial" w:hAnsi="Arial"/>
                <w:sz w:val="14"/>
                <w:szCs w:val="14"/>
                <w:color w:val="auto"/>
              </w:rPr>
              <w:t>Vice President, General</w:t>
            </w:r>
          </w:p>
        </w:tc>
        <w:tc>
          <w:tcPr>
            <w:tcW w:w="7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3"/>
              </w:rPr>
              <w:t>2008</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6"/>
              </w:rPr>
              <w:t>260,870</w:t>
            </w:r>
          </w:p>
        </w:tc>
        <w:tc>
          <w:tcPr>
            <w:tcW w:w="22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155,155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c>
          <w:tcPr>
            <w:tcW w:w="240" w:type="dxa"/>
            <w:vAlign w:val="bottom"/>
          </w:tcPr>
          <w:p>
            <w:pPr>
              <w:spacing w:after="0"/>
              <w:rPr>
                <w:sz w:val="12"/>
                <w:szCs w:val="12"/>
                <w:color w:val="auto"/>
              </w:rPr>
            </w:pPr>
          </w:p>
        </w:tc>
        <w:tc>
          <w:tcPr>
            <w:tcW w:w="150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13,442</w:t>
            </w:r>
          </w:p>
        </w:tc>
        <w:tc>
          <w:tcPr>
            <w:tcW w:w="220" w:type="dxa"/>
            <w:vAlign w:val="bottom"/>
          </w:tcPr>
          <w:p>
            <w:pPr>
              <w:spacing w:after="0"/>
              <w:rPr>
                <w:sz w:val="12"/>
                <w:szCs w:val="12"/>
                <w:color w:val="auto"/>
              </w:rPr>
            </w:pPr>
          </w:p>
        </w:tc>
        <w:tc>
          <w:tcPr>
            <w:tcW w:w="150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45,149</w:t>
            </w:r>
          </w:p>
        </w:tc>
        <w:tc>
          <w:tcPr>
            <w:tcW w:w="2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480,612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Counsel and Secretary</w:t>
            </w:r>
          </w:p>
        </w:tc>
        <w:tc>
          <w:tcPr>
            <w:tcW w:w="720" w:type="dxa"/>
            <w:vAlign w:val="bottom"/>
            <w:gridSpan w:val="2"/>
          </w:tcPr>
          <w:p>
            <w:pPr>
              <w:jc w:val="center"/>
              <w:ind w:left="32"/>
              <w:spacing w:after="0"/>
              <w:rPr>
                <w:sz w:val="20"/>
                <w:szCs w:val="20"/>
                <w:color w:val="auto"/>
              </w:rPr>
            </w:pPr>
            <w:r>
              <w:rPr>
                <w:rFonts w:ascii="Arial" w:cs="Arial" w:eastAsia="Arial" w:hAnsi="Arial"/>
                <w:sz w:val="14"/>
                <w:szCs w:val="14"/>
                <w:color w:val="auto"/>
                <w:w w:val="83"/>
              </w:rPr>
              <w:t>2007</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6"/>
              </w:rPr>
              <w:t>248,132</w:t>
            </w:r>
          </w:p>
        </w:tc>
        <w:tc>
          <w:tcPr>
            <w:tcW w:w="22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137,440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47,790</w:t>
            </w:r>
          </w:p>
        </w:tc>
        <w:tc>
          <w:tcPr>
            <w:tcW w:w="240" w:type="dxa"/>
            <w:vAlign w:val="bottom"/>
          </w:tcPr>
          <w:p>
            <w:pPr>
              <w:spacing w:after="0"/>
              <w:rPr>
                <w:sz w:val="16"/>
                <w:szCs w:val="16"/>
                <w:color w:val="auto"/>
              </w:rPr>
            </w:pPr>
          </w:p>
        </w:tc>
        <w:tc>
          <w:tcPr>
            <w:tcW w:w="1500" w:type="dxa"/>
            <w:vAlign w:val="bottom"/>
          </w:tcPr>
          <w:p>
            <w:pPr>
              <w:jc w:val="right"/>
              <w:ind w:right="213"/>
              <w:spacing w:after="0"/>
              <w:rPr>
                <w:sz w:val="20"/>
                <w:szCs w:val="20"/>
                <w:color w:val="auto"/>
              </w:rPr>
            </w:pPr>
            <w:r>
              <w:rPr>
                <w:rFonts w:ascii="Arial" w:cs="Arial" w:eastAsia="Arial" w:hAnsi="Arial"/>
                <w:sz w:val="14"/>
                <w:szCs w:val="14"/>
                <w:color w:val="auto"/>
              </w:rPr>
              <w:t>163,392</w:t>
            </w:r>
          </w:p>
        </w:tc>
        <w:tc>
          <w:tcPr>
            <w:tcW w:w="22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color w:val="auto"/>
              </w:rPr>
              <w:t>43,677</w:t>
            </w:r>
          </w:p>
        </w:tc>
        <w:tc>
          <w:tcPr>
            <w:tcW w:w="2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640,431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4"/>
                <w:szCs w:val="14"/>
                <w:color w:val="auto"/>
              </w:rPr>
              <w:t>Roger W. Martin</w:t>
            </w:r>
          </w:p>
        </w:tc>
        <w:tc>
          <w:tcPr>
            <w:tcW w:w="720" w:type="dxa"/>
            <w:vAlign w:val="bottom"/>
            <w:gridSpan w:val="2"/>
            <w:shd w:val="clear" w:color="auto" w:fill="D6F3E8"/>
          </w:tcPr>
          <w:p>
            <w:pPr>
              <w:jc w:val="center"/>
              <w:ind w:left="32"/>
              <w:spacing w:after="0"/>
              <w:rPr>
                <w:sz w:val="20"/>
                <w:szCs w:val="20"/>
                <w:color w:val="auto"/>
              </w:rPr>
            </w:pPr>
            <w:r>
              <w:rPr>
                <w:rFonts w:ascii="Arial" w:cs="Arial" w:eastAsia="Arial" w:hAnsi="Arial"/>
                <w:sz w:val="14"/>
                <w:szCs w:val="14"/>
                <w:color w:val="auto"/>
                <w:w w:val="83"/>
              </w:rPr>
              <w:t>2009</w:t>
            </w:r>
          </w:p>
        </w:tc>
        <w:tc>
          <w:tcPr>
            <w:tcW w:w="220" w:type="dxa"/>
            <w:vAlign w:val="bottom"/>
            <w:shd w:val="clear" w:color="auto" w:fill="D6F3E8"/>
          </w:tcPr>
          <w:p>
            <w:pPr>
              <w:spacing w:after="0"/>
              <w:rPr>
                <w:sz w:val="14"/>
                <w:szCs w:val="14"/>
                <w:color w:val="auto"/>
              </w:rPr>
            </w:pPr>
          </w:p>
        </w:tc>
        <w:tc>
          <w:tcPr>
            <w:tcW w:w="740" w:type="dxa"/>
            <w:vAlign w:val="bottom"/>
            <w:shd w:val="clear" w:color="auto" w:fill="D6F3E8"/>
          </w:tcPr>
          <w:p>
            <w:pPr>
              <w:jc w:val="center"/>
              <w:spacing w:after="0"/>
              <w:rPr>
                <w:sz w:val="20"/>
                <w:szCs w:val="20"/>
                <w:color w:val="auto"/>
              </w:rPr>
            </w:pPr>
            <w:r>
              <w:rPr>
                <w:rFonts w:ascii="Arial" w:cs="Arial" w:eastAsia="Arial" w:hAnsi="Arial"/>
                <w:sz w:val="14"/>
                <w:szCs w:val="14"/>
                <w:color w:val="auto"/>
                <w:w w:val="86"/>
              </w:rPr>
              <w:t>226,670</w:t>
            </w:r>
          </w:p>
        </w:tc>
        <w:tc>
          <w:tcPr>
            <w:tcW w:w="220" w:type="dxa"/>
            <w:vAlign w:val="bottom"/>
            <w:shd w:val="clear" w:color="auto" w:fill="D6F3E8"/>
          </w:tcPr>
          <w:p>
            <w:pPr>
              <w:spacing w:after="0"/>
              <w:rPr>
                <w:sz w:val="14"/>
                <w:szCs w:val="14"/>
                <w:color w:val="auto"/>
              </w:rPr>
            </w:pPr>
          </w:p>
        </w:tc>
        <w:tc>
          <w:tcPr>
            <w:tcW w:w="1000" w:type="dxa"/>
            <w:vAlign w:val="bottom"/>
            <w:shd w:val="clear" w:color="auto" w:fill="D6F3E8"/>
          </w:tcPr>
          <w:p>
            <w:pPr>
              <w:jc w:val="right"/>
              <w:ind w:right="13"/>
              <w:spacing w:after="0"/>
              <w:rPr>
                <w:sz w:val="20"/>
                <w:szCs w:val="20"/>
                <w:color w:val="auto"/>
              </w:rPr>
            </w:pPr>
            <w:r>
              <w:rPr>
                <w:rFonts w:ascii="Arial" w:cs="Arial" w:eastAsia="Arial" w:hAnsi="Arial"/>
                <w:sz w:val="14"/>
                <w:szCs w:val="14"/>
                <w:color w:val="auto"/>
              </w:rPr>
              <w:t>97,176</w:t>
            </w:r>
          </w:p>
        </w:tc>
        <w:tc>
          <w:tcPr>
            <w:tcW w:w="220" w:type="dxa"/>
            <w:vAlign w:val="bottom"/>
            <w:shd w:val="clear" w:color="auto" w:fill="D6F3E8"/>
          </w:tcPr>
          <w:p>
            <w:pPr>
              <w:spacing w:after="0"/>
              <w:rPr>
                <w:sz w:val="14"/>
                <w:szCs w:val="14"/>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4,028</w:t>
            </w:r>
          </w:p>
        </w:tc>
        <w:tc>
          <w:tcPr>
            <w:tcW w:w="240" w:type="dxa"/>
            <w:vAlign w:val="bottom"/>
            <w:shd w:val="clear" w:color="auto" w:fill="D6F3E8"/>
          </w:tcPr>
          <w:p>
            <w:pPr>
              <w:spacing w:after="0"/>
              <w:rPr>
                <w:sz w:val="14"/>
                <w:szCs w:val="14"/>
                <w:color w:val="auto"/>
              </w:rPr>
            </w:pPr>
          </w:p>
        </w:tc>
        <w:tc>
          <w:tcPr>
            <w:tcW w:w="1720" w:type="dxa"/>
            <w:vAlign w:val="bottom"/>
            <w:gridSpan w:val="2"/>
            <w:shd w:val="clear" w:color="auto" w:fill="D6F3E8"/>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D6F3E8"/>
          </w:tcPr>
          <w:p>
            <w:pPr>
              <w:jc w:val="right"/>
              <w:ind w:right="193"/>
              <w:spacing w:after="0"/>
              <w:rPr>
                <w:sz w:val="20"/>
                <w:szCs w:val="20"/>
                <w:color w:val="auto"/>
              </w:rPr>
            </w:pPr>
            <w:r>
              <w:rPr>
                <w:rFonts w:ascii="Arial" w:cs="Arial" w:eastAsia="Arial" w:hAnsi="Arial"/>
                <w:sz w:val="14"/>
                <w:szCs w:val="14"/>
                <w:color w:val="auto"/>
              </w:rPr>
              <w:t>5,017</w:t>
            </w:r>
          </w:p>
        </w:tc>
        <w:tc>
          <w:tcPr>
            <w:tcW w:w="240" w:type="dxa"/>
            <w:vAlign w:val="bottom"/>
            <w:shd w:val="clear" w:color="auto" w:fill="D6F3E8"/>
          </w:tcPr>
          <w:p>
            <w:pPr>
              <w:spacing w:after="0"/>
              <w:rPr>
                <w:sz w:val="14"/>
                <w:szCs w:val="14"/>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332,891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D6F3E8"/>
          </w:tcPr>
          <w:p>
            <w:pPr>
              <w:ind w:left="160"/>
              <w:spacing w:after="0" w:line="138" w:lineRule="exact"/>
              <w:rPr>
                <w:sz w:val="20"/>
                <w:szCs w:val="20"/>
                <w:color w:val="auto"/>
              </w:rPr>
            </w:pPr>
            <w:r>
              <w:rPr>
                <w:rFonts w:ascii="Arial" w:cs="Arial" w:eastAsia="Arial" w:hAnsi="Arial"/>
                <w:sz w:val="14"/>
                <w:szCs w:val="14"/>
                <w:color w:val="auto"/>
              </w:rPr>
              <w:t>Vice President, Sales</w:t>
            </w:r>
          </w:p>
        </w:tc>
        <w:tc>
          <w:tcPr>
            <w:tcW w:w="100" w:type="dxa"/>
            <w:vAlign w:val="bottom"/>
            <w:shd w:val="clear" w:color="auto" w:fill="D6F3E8"/>
          </w:tcPr>
          <w:p>
            <w:pPr>
              <w:spacing w:after="0"/>
              <w:rPr>
                <w:sz w:val="11"/>
                <w:szCs w:val="11"/>
                <w:color w:val="auto"/>
              </w:rPr>
            </w:pPr>
          </w:p>
        </w:tc>
        <w:tc>
          <w:tcPr>
            <w:tcW w:w="620" w:type="dxa"/>
            <w:vAlign w:val="bottom"/>
            <w:shd w:val="clear" w:color="auto" w:fill="D6F3E8"/>
          </w:tcPr>
          <w:p>
            <w:pPr>
              <w:spacing w:after="0"/>
              <w:rPr>
                <w:sz w:val="11"/>
                <w:szCs w:val="11"/>
                <w:color w:val="auto"/>
              </w:rPr>
            </w:pPr>
          </w:p>
        </w:tc>
        <w:tc>
          <w:tcPr>
            <w:tcW w:w="220" w:type="dxa"/>
            <w:vAlign w:val="bottom"/>
            <w:shd w:val="clear" w:color="auto" w:fill="D6F3E8"/>
          </w:tcPr>
          <w:p>
            <w:pPr>
              <w:spacing w:after="0"/>
              <w:rPr>
                <w:sz w:val="11"/>
                <w:szCs w:val="11"/>
                <w:color w:val="auto"/>
              </w:rPr>
            </w:pPr>
          </w:p>
        </w:tc>
        <w:tc>
          <w:tcPr>
            <w:tcW w:w="740" w:type="dxa"/>
            <w:vAlign w:val="bottom"/>
            <w:shd w:val="clear" w:color="auto" w:fill="D6F3E8"/>
          </w:tcPr>
          <w:p>
            <w:pPr>
              <w:spacing w:after="0"/>
              <w:rPr>
                <w:sz w:val="11"/>
                <w:szCs w:val="11"/>
                <w:color w:val="auto"/>
              </w:rPr>
            </w:pPr>
          </w:p>
        </w:tc>
        <w:tc>
          <w:tcPr>
            <w:tcW w:w="220" w:type="dxa"/>
            <w:vAlign w:val="bottom"/>
            <w:shd w:val="clear" w:color="auto" w:fill="D6F3E8"/>
          </w:tcPr>
          <w:p>
            <w:pPr>
              <w:spacing w:after="0"/>
              <w:rPr>
                <w:sz w:val="11"/>
                <w:szCs w:val="11"/>
                <w:color w:val="auto"/>
              </w:rPr>
            </w:pPr>
          </w:p>
        </w:tc>
        <w:tc>
          <w:tcPr>
            <w:tcW w:w="1000" w:type="dxa"/>
            <w:vAlign w:val="bottom"/>
            <w:shd w:val="clear" w:color="auto" w:fill="D6F3E8"/>
          </w:tcPr>
          <w:p>
            <w:pPr>
              <w:spacing w:after="0"/>
              <w:rPr>
                <w:sz w:val="11"/>
                <w:szCs w:val="11"/>
                <w:color w:val="auto"/>
              </w:rPr>
            </w:pPr>
          </w:p>
        </w:tc>
        <w:tc>
          <w:tcPr>
            <w:tcW w:w="220" w:type="dxa"/>
            <w:vAlign w:val="bottom"/>
            <w:shd w:val="clear" w:color="auto" w:fill="D6F3E8"/>
          </w:tcPr>
          <w:p>
            <w:pPr>
              <w:spacing w:after="0"/>
              <w:rPr>
                <w:sz w:val="11"/>
                <w:szCs w:val="11"/>
                <w:color w:val="auto"/>
              </w:rPr>
            </w:pPr>
          </w:p>
        </w:tc>
        <w:tc>
          <w:tcPr>
            <w:tcW w:w="740" w:type="dxa"/>
            <w:vAlign w:val="bottom"/>
            <w:shd w:val="clear" w:color="auto" w:fill="D6F3E8"/>
          </w:tcPr>
          <w:p>
            <w:pPr>
              <w:spacing w:after="0"/>
              <w:rPr>
                <w:sz w:val="11"/>
                <w:szCs w:val="11"/>
                <w:color w:val="auto"/>
              </w:rPr>
            </w:pPr>
          </w:p>
        </w:tc>
        <w:tc>
          <w:tcPr>
            <w:tcW w:w="240" w:type="dxa"/>
            <w:vAlign w:val="bottom"/>
            <w:shd w:val="clear" w:color="auto" w:fill="D6F3E8"/>
          </w:tcPr>
          <w:p>
            <w:pPr>
              <w:spacing w:after="0"/>
              <w:rPr>
                <w:sz w:val="11"/>
                <w:szCs w:val="11"/>
                <w:color w:val="auto"/>
              </w:rPr>
            </w:pPr>
          </w:p>
        </w:tc>
        <w:tc>
          <w:tcPr>
            <w:tcW w:w="1500" w:type="dxa"/>
            <w:vAlign w:val="bottom"/>
            <w:shd w:val="clear" w:color="auto" w:fill="D6F3E8"/>
          </w:tcPr>
          <w:p>
            <w:pPr>
              <w:spacing w:after="0"/>
              <w:rPr>
                <w:sz w:val="11"/>
                <w:szCs w:val="11"/>
                <w:color w:val="auto"/>
              </w:rPr>
            </w:pPr>
          </w:p>
        </w:tc>
        <w:tc>
          <w:tcPr>
            <w:tcW w:w="220" w:type="dxa"/>
            <w:vAlign w:val="bottom"/>
            <w:shd w:val="clear" w:color="auto" w:fill="D6F3E8"/>
          </w:tcPr>
          <w:p>
            <w:pPr>
              <w:spacing w:after="0"/>
              <w:rPr>
                <w:sz w:val="11"/>
                <w:szCs w:val="11"/>
                <w:color w:val="auto"/>
              </w:rPr>
            </w:pPr>
          </w:p>
        </w:tc>
        <w:tc>
          <w:tcPr>
            <w:tcW w:w="1500" w:type="dxa"/>
            <w:vAlign w:val="bottom"/>
            <w:shd w:val="clear" w:color="auto" w:fill="D6F3E8"/>
          </w:tcPr>
          <w:p>
            <w:pPr>
              <w:spacing w:after="0"/>
              <w:rPr>
                <w:sz w:val="11"/>
                <w:szCs w:val="11"/>
                <w:color w:val="auto"/>
              </w:rPr>
            </w:pPr>
          </w:p>
        </w:tc>
        <w:tc>
          <w:tcPr>
            <w:tcW w:w="240" w:type="dxa"/>
            <w:vAlign w:val="bottom"/>
            <w:shd w:val="clear" w:color="auto" w:fill="D6F3E8"/>
          </w:tcPr>
          <w:p>
            <w:pPr>
              <w:spacing w:after="0"/>
              <w:rPr>
                <w:sz w:val="11"/>
                <w:szCs w:val="11"/>
                <w:color w:val="auto"/>
              </w:rPr>
            </w:pPr>
          </w:p>
        </w:tc>
        <w:tc>
          <w:tcPr>
            <w:tcW w:w="760" w:type="dxa"/>
            <w:vAlign w:val="bottom"/>
            <w:shd w:val="clear" w:color="auto" w:fill="D6F3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shd w:val="clear" w:color="auto" w:fill="D6F3E8"/>
          </w:tcPr>
          <w:p>
            <w:pPr>
              <w:ind w:left="160"/>
              <w:spacing w:after="0"/>
              <w:rPr>
                <w:sz w:val="20"/>
                <w:szCs w:val="20"/>
                <w:color w:val="auto"/>
              </w:rPr>
            </w:pPr>
            <w:r>
              <w:rPr>
                <w:rFonts w:ascii="Arial" w:cs="Arial" w:eastAsia="Arial" w:hAnsi="Arial"/>
                <w:sz w:val="14"/>
                <w:szCs w:val="14"/>
                <w:color w:val="auto"/>
              </w:rPr>
              <w:t>and Marketing</w:t>
            </w:r>
          </w:p>
        </w:tc>
        <w:tc>
          <w:tcPr>
            <w:tcW w:w="100" w:type="dxa"/>
            <w:vAlign w:val="bottom"/>
            <w:shd w:val="clear" w:color="auto" w:fill="D6F3E8"/>
          </w:tcPr>
          <w:p>
            <w:pPr>
              <w:spacing w:after="0"/>
              <w:rPr>
                <w:sz w:val="15"/>
                <w:szCs w:val="15"/>
                <w:color w:val="auto"/>
              </w:rPr>
            </w:pPr>
          </w:p>
        </w:tc>
        <w:tc>
          <w:tcPr>
            <w:tcW w:w="62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74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100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740" w:type="dxa"/>
            <w:vAlign w:val="bottom"/>
            <w:shd w:val="clear" w:color="auto" w:fill="D6F3E8"/>
          </w:tcPr>
          <w:p>
            <w:pPr>
              <w:spacing w:after="0"/>
              <w:rPr>
                <w:sz w:val="15"/>
                <w:szCs w:val="15"/>
                <w:color w:val="auto"/>
              </w:rPr>
            </w:pPr>
          </w:p>
        </w:tc>
        <w:tc>
          <w:tcPr>
            <w:tcW w:w="240" w:type="dxa"/>
            <w:vAlign w:val="bottom"/>
            <w:shd w:val="clear" w:color="auto" w:fill="D6F3E8"/>
          </w:tcPr>
          <w:p>
            <w:pPr>
              <w:spacing w:after="0"/>
              <w:rPr>
                <w:sz w:val="15"/>
                <w:szCs w:val="15"/>
                <w:color w:val="auto"/>
              </w:rPr>
            </w:pPr>
          </w:p>
        </w:tc>
        <w:tc>
          <w:tcPr>
            <w:tcW w:w="150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1500" w:type="dxa"/>
            <w:vAlign w:val="bottom"/>
            <w:shd w:val="clear" w:color="auto" w:fill="D6F3E8"/>
          </w:tcPr>
          <w:p>
            <w:pPr>
              <w:spacing w:after="0"/>
              <w:rPr>
                <w:sz w:val="15"/>
                <w:szCs w:val="15"/>
                <w:color w:val="auto"/>
              </w:rPr>
            </w:pPr>
          </w:p>
        </w:tc>
        <w:tc>
          <w:tcPr>
            <w:tcW w:w="240" w:type="dxa"/>
            <w:vAlign w:val="bottom"/>
            <w:shd w:val="clear" w:color="auto" w:fill="D6F3E8"/>
          </w:tcPr>
          <w:p>
            <w:pPr>
              <w:spacing w:after="0"/>
              <w:rPr>
                <w:sz w:val="15"/>
                <w:szCs w:val="15"/>
                <w:color w:val="auto"/>
              </w:rPr>
            </w:pPr>
          </w:p>
        </w:tc>
        <w:tc>
          <w:tcPr>
            <w:tcW w:w="760" w:type="dxa"/>
            <w:vAlign w:val="bottom"/>
            <w:shd w:val="clear" w:color="auto" w:fill="D6F3E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3100" w:type="dxa"/>
            <w:vAlign w:val="bottom"/>
            <w:gridSpan w:val="2"/>
          </w:tcPr>
          <w:p>
            <w:pPr>
              <w:spacing w:after="0"/>
              <w:rPr>
                <w:sz w:val="20"/>
                <w:szCs w:val="20"/>
                <w:color w:val="auto"/>
              </w:rPr>
            </w:pPr>
            <w:r>
              <w:rPr>
                <w:rFonts w:ascii="Arial" w:cs="Arial" w:eastAsia="Arial" w:hAnsi="Arial"/>
                <w:sz w:val="14"/>
                <w:szCs w:val="14"/>
                <w:color w:val="auto"/>
              </w:rPr>
              <w:t>William J. O’Leary</w:t>
            </w:r>
          </w:p>
        </w:tc>
        <w:tc>
          <w:tcPr>
            <w:tcW w:w="720" w:type="dxa"/>
            <w:vAlign w:val="bottom"/>
            <w:gridSpan w:val="2"/>
          </w:tcPr>
          <w:p>
            <w:pPr>
              <w:jc w:val="center"/>
              <w:ind w:left="32"/>
              <w:spacing w:after="0"/>
              <w:rPr>
                <w:sz w:val="20"/>
                <w:szCs w:val="20"/>
                <w:color w:val="auto"/>
              </w:rPr>
            </w:pPr>
            <w:r>
              <w:rPr>
                <w:rFonts w:ascii="Arial" w:cs="Arial" w:eastAsia="Arial" w:hAnsi="Arial"/>
                <w:sz w:val="14"/>
                <w:szCs w:val="14"/>
                <w:color w:val="auto"/>
                <w:w w:val="83"/>
              </w:rPr>
              <w:t>2009</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6"/>
              </w:rPr>
              <w:t>225,483</w:t>
            </w:r>
          </w:p>
        </w:tc>
        <w:tc>
          <w:tcPr>
            <w:tcW w:w="22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93"/>
              <w:spacing w:after="0"/>
              <w:rPr>
                <w:sz w:val="20"/>
                <w:szCs w:val="20"/>
                <w:color w:val="auto"/>
              </w:rPr>
            </w:pPr>
            <w:r>
              <w:rPr>
                <w:rFonts w:ascii="Arial" w:cs="Arial" w:eastAsia="Arial" w:hAnsi="Arial"/>
                <w:sz w:val="14"/>
                <w:szCs w:val="14"/>
                <w:color w:val="auto"/>
              </w:rPr>
              <w:t>7,575</w:t>
            </w:r>
          </w:p>
        </w:tc>
        <w:tc>
          <w:tcPr>
            <w:tcW w:w="2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233,058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160"/>
              <w:spacing w:after="0" w:line="149" w:lineRule="exact"/>
              <w:rPr>
                <w:sz w:val="20"/>
                <w:szCs w:val="20"/>
                <w:color w:val="auto"/>
              </w:rPr>
            </w:pPr>
            <w:r>
              <w:rPr>
                <w:rFonts w:ascii="Arial" w:cs="Arial" w:eastAsia="Arial" w:hAnsi="Arial"/>
                <w:sz w:val="14"/>
                <w:szCs w:val="14"/>
                <w:color w:val="auto"/>
              </w:rPr>
              <w:t>Vice President, Product</w:t>
            </w:r>
          </w:p>
        </w:tc>
        <w:tc>
          <w:tcPr>
            <w:tcW w:w="7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3"/>
              </w:rPr>
              <w:t>2008</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6"/>
              </w:rPr>
              <w:t>248,807</w:t>
            </w:r>
          </w:p>
        </w:tc>
        <w:tc>
          <w:tcPr>
            <w:tcW w:w="22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155,155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c>
          <w:tcPr>
            <w:tcW w:w="240" w:type="dxa"/>
            <w:vAlign w:val="bottom"/>
          </w:tcPr>
          <w:p>
            <w:pPr>
              <w:spacing w:after="0"/>
              <w:rPr>
                <w:sz w:val="12"/>
                <w:szCs w:val="12"/>
                <w:color w:val="auto"/>
              </w:rPr>
            </w:pPr>
          </w:p>
        </w:tc>
        <w:tc>
          <w:tcPr>
            <w:tcW w:w="150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12,819</w:t>
            </w:r>
          </w:p>
        </w:tc>
        <w:tc>
          <w:tcPr>
            <w:tcW w:w="220" w:type="dxa"/>
            <w:vAlign w:val="bottom"/>
          </w:tcPr>
          <w:p>
            <w:pPr>
              <w:spacing w:after="0"/>
              <w:rPr>
                <w:sz w:val="12"/>
                <w:szCs w:val="12"/>
                <w:color w:val="auto"/>
              </w:rPr>
            </w:pPr>
          </w:p>
        </w:tc>
        <w:tc>
          <w:tcPr>
            <w:tcW w:w="150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23,277</w:t>
            </w:r>
          </w:p>
        </w:tc>
        <w:tc>
          <w:tcPr>
            <w:tcW w:w="2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446,054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Development</w:t>
            </w:r>
          </w:p>
        </w:tc>
        <w:tc>
          <w:tcPr>
            <w:tcW w:w="720" w:type="dxa"/>
            <w:vAlign w:val="bottom"/>
            <w:gridSpan w:val="2"/>
          </w:tcPr>
          <w:p>
            <w:pPr>
              <w:jc w:val="center"/>
              <w:ind w:left="32"/>
              <w:spacing w:after="0"/>
              <w:rPr>
                <w:sz w:val="20"/>
                <w:szCs w:val="20"/>
                <w:color w:val="auto"/>
              </w:rPr>
            </w:pPr>
            <w:r>
              <w:rPr>
                <w:rFonts w:ascii="Arial" w:cs="Arial" w:eastAsia="Arial" w:hAnsi="Arial"/>
                <w:sz w:val="14"/>
                <w:szCs w:val="14"/>
                <w:color w:val="auto"/>
                <w:w w:val="83"/>
              </w:rPr>
              <w:t>2007</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6"/>
              </w:rPr>
              <w:t>236,646</w:t>
            </w:r>
          </w:p>
        </w:tc>
        <w:tc>
          <w:tcPr>
            <w:tcW w:w="22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137,440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47,790</w:t>
            </w:r>
          </w:p>
        </w:tc>
        <w:tc>
          <w:tcPr>
            <w:tcW w:w="240" w:type="dxa"/>
            <w:vAlign w:val="bottom"/>
          </w:tcPr>
          <w:p>
            <w:pPr>
              <w:spacing w:after="0"/>
              <w:rPr>
                <w:sz w:val="16"/>
                <w:szCs w:val="16"/>
                <w:color w:val="auto"/>
              </w:rPr>
            </w:pPr>
          </w:p>
        </w:tc>
        <w:tc>
          <w:tcPr>
            <w:tcW w:w="1500" w:type="dxa"/>
            <w:vAlign w:val="bottom"/>
          </w:tcPr>
          <w:p>
            <w:pPr>
              <w:jc w:val="right"/>
              <w:ind w:right="213"/>
              <w:spacing w:after="0"/>
              <w:rPr>
                <w:sz w:val="20"/>
                <w:szCs w:val="20"/>
                <w:color w:val="auto"/>
              </w:rPr>
            </w:pPr>
            <w:r>
              <w:rPr>
                <w:rFonts w:ascii="Arial" w:cs="Arial" w:eastAsia="Arial" w:hAnsi="Arial"/>
                <w:sz w:val="14"/>
                <w:szCs w:val="14"/>
                <w:color w:val="auto"/>
              </w:rPr>
              <w:t>155,829</w:t>
            </w:r>
          </w:p>
        </w:tc>
        <w:tc>
          <w:tcPr>
            <w:tcW w:w="22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color w:val="auto"/>
              </w:rPr>
              <w:t>27,186</w:t>
            </w:r>
          </w:p>
        </w:tc>
        <w:tc>
          <w:tcPr>
            <w:tcW w:w="2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604,891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4"/>
                <w:szCs w:val="14"/>
                <w:color w:val="auto"/>
              </w:rPr>
              <w:t>Sarah N. Nielsen</w:t>
            </w:r>
          </w:p>
        </w:tc>
        <w:tc>
          <w:tcPr>
            <w:tcW w:w="720" w:type="dxa"/>
            <w:vAlign w:val="bottom"/>
            <w:gridSpan w:val="2"/>
            <w:shd w:val="clear" w:color="auto" w:fill="D6F3E8"/>
          </w:tcPr>
          <w:p>
            <w:pPr>
              <w:jc w:val="center"/>
              <w:ind w:left="32"/>
              <w:spacing w:after="0"/>
              <w:rPr>
                <w:sz w:val="20"/>
                <w:szCs w:val="20"/>
                <w:color w:val="auto"/>
              </w:rPr>
            </w:pPr>
            <w:r>
              <w:rPr>
                <w:rFonts w:ascii="Arial" w:cs="Arial" w:eastAsia="Arial" w:hAnsi="Arial"/>
                <w:sz w:val="14"/>
                <w:szCs w:val="14"/>
                <w:color w:val="auto"/>
                <w:w w:val="83"/>
              </w:rPr>
              <w:t>2009</w:t>
            </w:r>
          </w:p>
        </w:tc>
        <w:tc>
          <w:tcPr>
            <w:tcW w:w="220" w:type="dxa"/>
            <w:vAlign w:val="bottom"/>
            <w:shd w:val="clear" w:color="auto" w:fill="D6F3E8"/>
          </w:tcPr>
          <w:p>
            <w:pPr>
              <w:spacing w:after="0"/>
              <w:rPr>
                <w:sz w:val="14"/>
                <w:szCs w:val="14"/>
                <w:color w:val="auto"/>
              </w:rPr>
            </w:pPr>
          </w:p>
        </w:tc>
        <w:tc>
          <w:tcPr>
            <w:tcW w:w="740" w:type="dxa"/>
            <w:vAlign w:val="bottom"/>
            <w:shd w:val="clear" w:color="auto" w:fill="D6F3E8"/>
          </w:tcPr>
          <w:p>
            <w:pPr>
              <w:jc w:val="center"/>
              <w:spacing w:after="0"/>
              <w:rPr>
                <w:sz w:val="20"/>
                <w:szCs w:val="20"/>
                <w:color w:val="auto"/>
              </w:rPr>
            </w:pPr>
            <w:r>
              <w:rPr>
                <w:rFonts w:ascii="Arial" w:cs="Arial" w:eastAsia="Arial" w:hAnsi="Arial"/>
                <w:sz w:val="14"/>
                <w:szCs w:val="14"/>
                <w:color w:val="auto"/>
                <w:w w:val="86"/>
              </w:rPr>
              <w:t>224,675</w:t>
            </w:r>
          </w:p>
        </w:tc>
        <w:tc>
          <w:tcPr>
            <w:tcW w:w="220" w:type="dxa"/>
            <w:vAlign w:val="bottom"/>
            <w:shd w:val="clear" w:color="auto" w:fill="D6F3E8"/>
          </w:tcPr>
          <w:p>
            <w:pPr>
              <w:spacing w:after="0"/>
              <w:rPr>
                <w:sz w:val="14"/>
                <w:szCs w:val="14"/>
                <w:color w:val="auto"/>
              </w:rPr>
            </w:pPr>
          </w:p>
        </w:tc>
        <w:tc>
          <w:tcPr>
            <w:tcW w:w="1000" w:type="dxa"/>
            <w:vAlign w:val="bottom"/>
            <w:shd w:val="clear" w:color="auto" w:fill="D6F3E8"/>
          </w:tcPr>
          <w:p>
            <w:pPr>
              <w:jc w:val="right"/>
              <w:ind w:right="13"/>
              <w:spacing w:after="0"/>
              <w:rPr>
                <w:sz w:val="20"/>
                <w:szCs w:val="20"/>
                <w:color w:val="auto"/>
              </w:rPr>
            </w:pPr>
            <w:r>
              <w:rPr>
                <w:rFonts w:ascii="Arial" w:cs="Arial" w:eastAsia="Arial" w:hAnsi="Arial"/>
                <w:sz w:val="14"/>
                <w:szCs w:val="14"/>
                <w:color w:val="auto"/>
              </w:rPr>
              <w:t>97,176</w:t>
            </w:r>
          </w:p>
        </w:tc>
        <w:tc>
          <w:tcPr>
            <w:tcW w:w="220" w:type="dxa"/>
            <w:vAlign w:val="bottom"/>
            <w:shd w:val="clear" w:color="auto" w:fill="D6F3E8"/>
          </w:tcPr>
          <w:p>
            <w:pPr>
              <w:spacing w:after="0"/>
              <w:rPr>
                <w:sz w:val="14"/>
                <w:szCs w:val="14"/>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4"/>
                <w:szCs w:val="14"/>
                <w:color w:val="auto"/>
              </w:rPr>
              <w:t>8,813</w:t>
            </w:r>
          </w:p>
        </w:tc>
        <w:tc>
          <w:tcPr>
            <w:tcW w:w="240" w:type="dxa"/>
            <w:vAlign w:val="bottom"/>
            <w:shd w:val="clear" w:color="auto" w:fill="D6F3E8"/>
          </w:tcPr>
          <w:p>
            <w:pPr>
              <w:spacing w:after="0"/>
              <w:rPr>
                <w:sz w:val="14"/>
                <w:szCs w:val="14"/>
                <w:color w:val="auto"/>
              </w:rPr>
            </w:pPr>
          </w:p>
        </w:tc>
        <w:tc>
          <w:tcPr>
            <w:tcW w:w="1720" w:type="dxa"/>
            <w:vAlign w:val="bottom"/>
            <w:gridSpan w:val="2"/>
            <w:shd w:val="clear" w:color="auto" w:fill="D6F3E8"/>
          </w:tcPr>
          <w:p>
            <w:pPr>
              <w:jc w:val="right"/>
              <w:ind w:right="5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D6F3E8"/>
          </w:tcPr>
          <w:p>
            <w:pPr>
              <w:jc w:val="right"/>
              <w:ind w:right="193"/>
              <w:spacing w:after="0"/>
              <w:rPr>
                <w:sz w:val="20"/>
                <w:szCs w:val="20"/>
                <w:color w:val="auto"/>
              </w:rPr>
            </w:pPr>
            <w:r>
              <w:rPr>
                <w:rFonts w:ascii="Arial" w:cs="Arial" w:eastAsia="Arial" w:hAnsi="Arial"/>
                <w:sz w:val="14"/>
                <w:szCs w:val="14"/>
                <w:color w:val="auto"/>
              </w:rPr>
              <w:t>4,664</w:t>
            </w:r>
          </w:p>
        </w:tc>
        <w:tc>
          <w:tcPr>
            <w:tcW w:w="240" w:type="dxa"/>
            <w:vAlign w:val="bottom"/>
            <w:shd w:val="clear" w:color="auto" w:fill="D6F3E8"/>
          </w:tcPr>
          <w:p>
            <w:pPr>
              <w:spacing w:after="0"/>
              <w:rPr>
                <w:sz w:val="14"/>
                <w:szCs w:val="14"/>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335,328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D6F3E8"/>
          </w:tcPr>
          <w:p>
            <w:pPr>
              <w:ind w:left="160"/>
              <w:spacing w:after="0" w:line="138" w:lineRule="exact"/>
              <w:rPr>
                <w:sz w:val="20"/>
                <w:szCs w:val="20"/>
                <w:color w:val="auto"/>
              </w:rPr>
            </w:pPr>
            <w:r>
              <w:rPr>
                <w:rFonts w:ascii="Arial" w:cs="Arial" w:eastAsia="Arial" w:hAnsi="Arial"/>
                <w:sz w:val="14"/>
                <w:szCs w:val="14"/>
                <w:color w:val="auto"/>
              </w:rPr>
              <w:t>Vice President, Chief</w:t>
            </w:r>
          </w:p>
        </w:tc>
        <w:tc>
          <w:tcPr>
            <w:tcW w:w="100" w:type="dxa"/>
            <w:vAlign w:val="bottom"/>
            <w:shd w:val="clear" w:color="auto" w:fill="D6F3E8"/>
          </w:tcPr>
          <w:p>
            <w:pPr>
              <w:spacing w:after="0"/>
              <w:rPr>
                <w:sz w:val="11"/>
                <w:szCs w:val="11"/>
                <w:color w:val="auto"/>
              </w:rPr>
            </w:pPr>
          </w:p>
        </w:tc>
        <w:tc>
          <w:tcPr>
            <w:tcW w:w="620" w:type="dxa"/>
            <w:vAlign w:val="bottom"/>
            <w:shd w:val="clear" w:color="auto" w:fill="D6F3E8"/>
          </w:tcPr>
          <w:p>
            <w:pPr>
              <w:jc w:val="center"/>
              <w:spacing w:after="0" w:line="138" w:lineRule="exact"/>
              <w:rPr>
                <w:sz w:val="20"/>
                <w:szCs w:val="20"/>
                <w:color w:val="auto"/>
              </w:rPr>
            </w:pPr>
            <w:r>
              <w:rPr>
                <w:rFonts w:ascii="Arial" w:cs="Arial" w:eastAsia="Arial" w:hAnsi="Arial"/>
                <w:sz w:val="14"/>
                <w:szCs w:val="14"/>
                <w:color w:val="auto"/>
                <w:w w:val="83"/>
              </w:rPr>
              <w:t>2008</w:t>
            </w:r>
          </w:p>
        </w:tc>
        <w:tc>
          <w:tcPr>
            <w:tcW w:w="220" w:type="dxa"/>
            <w:vAlign w:val="bottom"/>
            <w:shd w:val="clear" w:color="auto" w:fill="D6F3E8"/>
          </w:tcPr>
          <w:p>
            <w:pPr>
              <w:spacing w:after="0"/>
              <w:rPr>
                <w:sz w:val="11"/>
                <w:szCs w:val="11"/>
                <w:color w:val="auto"/>
              </w:rPr>
            </w:pPr>
          </w:p>
        </w:tc>
        <w:tc>
          <w:tcPr>
            <w:tcW w:w="740" w:type="dxa"/>
            <w:vAlign w:val="bottom"/>
            <w:shd w:val="clear" w:color="auto" w:fill="D6F3E8"/>
          </w:tcPr>
          <w:p>
            <w:pPr>
              <w:jc w:val="center"/>
              <w:spacing w:after="0" w:line="138" w:lineRule="exact"/>
              <w:rPr>
                <w:sz w:val="20"/>
                <w:szCs w:val="20"/>
                <w:color w:val="auto"/>
              </w:rPr>
            </w:pPr>
            <w:r>
              <w:rPr>
                <w:rFonts w:ascii="Arial" w:cs="Arial" w:eastAsia="Arial" w:hAnsi="Arial"/>
                <w:sz w:val="14"/>
                <w:szCs w:val="14"/>
                <w:color w:val="auto"/>
                <w:w w:val="86"/>
              </w:rPr>
              <w:t>243,667</w:t>
            </w:r>
          </w:p>
        </w:tc>
        <w:tc>
          <w:tcPr>
            <w:tcW w:w="220" w:type="dxa"/>
            <w:vAlign w:val="bottom"/>
            <w:shd w:val="clear" w:color="auto" w:fill="D6F3E8"/>
          </w:tcPr>
          <w:p>
            <w:pPr>
              <w:spacing w:after="0"/>
              <w:rPr>
                <w:sz w:val="11"/>
                <w:szCs w:val="11"/>
                <w:color w:val="auto"/>
              </w:rPr>
            </w:pPr>
          </w:p>
        </w:tc>
        <w:tc>
          <w:tcPr>
            <w:tcW w:w="1000" w:type="dxa"/>
            <w:vAlign w:val="bottom"/>
            <w:shd w:val="clear" w:color="auto" w:fill="D6F3E8"/>
          </w:tcPr>
          <w:p>
            <w:pPr>
              <w:jc w:val="right"/>
              <w:ind w:right="13"/>
              <w:spacing w:after="0" w:line="138" w:lineRule="exact"/>
              <w:rPr>
                <w:sz w:val="20"/>
                <w:szCs w:val="20"/>
                <w:color w:val="auto"/>
              </w:rPr>
            </w:pPr>
            <w:r>
              <w:rPr>
                <w:rFonts w:ascii="Arial" w:cs="Arial" w:eastAsia="Arial" w:hAnsi="Arial"/>
                <w:sz w:val="14"/>
                <w:szCs w:val="14"/>
                <w:color w:val="auto"/>
              </w:rPr>
              <w:t>92,532</w:t>
            </w:r>
          </w:p>
        </w:tc>
        <w:tc>
          <w:tcPr>
            <w:tcW w:w="220" w:type="dxa"/>
            <w:vAlign w:val="bottom"/>
            <w:shd w:val="clear" w:color="auto" w:fill="D6F3E8"/>
          </w:tcPr>
          <w:p>
            <w:pPr>
              <w:spacing w:after="0"/>
              <w:rPr>
                <w:sz w:val="11"/>
                <w:szCs w:val="11"/>
                <w:color w:val="auto"/>
              </w:rPr>
            </w:pPr>
          </w:p>
        </w:tc>
        <w:tc>
          <w:tcPr>
            <w:tcW w:w="740" w:type="dxa"/>
            <w:vAlign w:val="bottom"/>
            <w:shd w:val="clear" w:color="auto" w:fill="D6F3E8"/>
          </w:tcPr>
          <w:p>
            <w:pPr>
              <w:jc w:val="right"/>
              <w:spacing w:after="0" w:line="138" w:lineRule="exact"/>
              <w:rPr>
                <w:sz w:val="20"/>
                <w:szCs w:val="20"/>
                <w:color w:val="auto"/>
              </w:rPr>
            </w:pPr>
            <w:r>
              <w:rPr>
                <w:rFonts w:ascii="Arial" w:cs="Arial" w:eastAsia="Arial" w:hAnsi="Arial"/>
                <w:sz w:val="14"/>
                <w:szCs w:val="14"/>
                <w:color w:val="auto"/>
              </w:rPr>
              <w:t>43,019</w:t>
            </w:r>
          </w:p>
        </w:tc>
        <w:tc>
          <w:tcPr>
            <w:tcW w:w="240" w:type="dxa"/>
            <w:vAlign w:val="bottom"/>
            <w:shd w:val="clear" w:color="auto" w:fill="D6F3E8"/>
          </w:tcPr>
          <w:p>
            <w:pPr>
              <w:spacing w:after="0"/>
              <w:rPr>
                <w:sz w:val="11"/>
                <w:szCs w:val="11"/>
                <w:color w:val="auto"/>
              </w:rPr>
            </w:pPr>
          </w:p>
        </w:tc>
        <w:tc>
          <w:tcPr>
            <w:tcW w:w="1500" w:type="dxa"/>
            <w:vAlign w:val="bottom"/>
            <w:shd w:val="clear" w:color="auto" w:fill="D6F3E8"/>
          </w:tcPr>
          <w:p>
            <w:pPr>
              <w:jc w:val="right"/>
              <w:ind w:right="213"/>
              <w:spacing w:after="0" w:line="138" w:lineRule="exact"/>
              <w:rPr>
                <w:sz w:val="20"/>
                <w:szCs w:val="20"/>
                <w:color w:val="auto"/>
              </w:rPr>
            </w:pPr>
            <w:r>
              <w:rPr>
                <w:rFonts w:ascii="Arial" w:cs="Arial" w:eastAsia="Arial" w:hAnsi="Arial"/>
                <w:sz w:val="14"/>
                <w:szCs w:val="14"/>
                <w:color w:val="auto"/>
              </w:rPr>
              <w:t>12,182</w:t>
            </w:r>
          </w:p>
        </w:tc>
        <w:tc>
          <w:tcPr>
            <w:tcW w:w="220" w:type="dxa"/>
            <w:vAlign w:val="bottom"/>
            <w:shd w:val="clear" w:color="auto" w:fill="D6F3E8"/>
          </w:tcPr>
          <w:p>
            <w:pPr>
              <w:spacing w:after="0"/>
              <w:rPr>
                <w:sz w:val="11"/>
                <w:szCs w:val="11"/>
                <w:color w:val="auto"/>
              </w:rPr>
            </w:pPr>
          </w:p>
        </w:tc>
        <w:tc>
          <w:tcPr>
            <w:tcW w:w="1500" w:type="dxa"/>
            <w:vAlign w:val="bottom"/>
            <w:shd w:val="clear" w:color="auto" w:fill="D6F3E8"/>
          </w:tcPr>
          <w:p>
            <w:pPr>
              <w:jc w:val="right"/>
              <w:ind w:right="193"/>
              <w:spacing w:after="0" w:line="138" w:lineRule="exact"/>
              <w:rPr>
                <w:sz w:val="20"/>
                <w:szCs w:val="20"/>
                <w:color w:val="auto"/>
              </w:rPr>
            </w:pPr>
            <w:r>
              <w:rPr>
                <w:rFonts w:ascii="Arial" w:cs="Arial" w:eastAsia="Arial" w:hAnsi="Arial"/>
                <w:sz w:val="14"/>
                <w:szCs w:val="14"/>
                <w:color w:val="auto"/>
              </w:rPr>
              <w:t>17,111</w:t>
            </w:r>
          </w:p>
        </w:tc>
        <w:tc>
          <w:tcPr>
            <w:tcW w:w="240" w:type="dxa"/>
            <w:vAlign w:val="bottom"/>
            <w:shd w:val="clear" w:color="auto" w:fill="D6F3E8"/>
          </w:tcPr>
          <w:p>
            <w:pPr>
              <w:spacing w:after="0"/>
              <w:rPr>
                <w:sz w:val="11"/>
                <w:szCs w:val="11"/>
                <w:color w:val="auto"/>
              </w:rPr>
            </w:pPr>
          </w:p>
        </w:tc>
        <w:tc>
          <w:tcPr>
            <w:tcW w:w="760" w:type="dxa"/>
            <w:vAlign w:val="bottom"/>
            <w:shd w:val="clear" w:color="auto" w:fill="D6F3E8"/>
          </w:tcPr>
          <w:p>
            <w:pPr>
              <w:jc w:val="right"/>
              <w:spacing w:after="0" w:line="138" w:lineRule="exact"/>
              <w:rPr>
                <w:sz w:val="20"/>
                <w:szCs w:val="20"/>
                <w:color w:val="auto"/>
              </w:rPr>
            </w:pPr>
            <w:r>
              <w:rPr>
                <w:rFonts w:ascii="Arial" w:cs="Arial" w:eastAsia="Arial" w:hAnsi="Arial"/>
                <w:sz w:val="14"/>
                <w:szCs w:val="14"/>
                <w:color w:val="auto"/>
              </w:rPr>
              <w:t>408,511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shd w:val="clear" w:color="auto" w:fill="D6F3E8"/>
          </w:tcPr>
          <w:p>
            <w:pPr>
              <w:ind w:left="160"/>
              <w:spacing w:after="0"/>
              <w:rPr>
                <w:sz w:val="20"/>
                <w:szCs w:val="20"/>
                <w:color w:val="auto"/>
              </w:rPr>
            </w:pPr>
            <w:r>
              <w:rPr>
                <w:rFonts w:ascii="Arial" w:cs="Arial" w:eastAsia="Arial" w:hAnsi="Arial"/>
                <w:sz w:val="14"/>
                <w:szCs w:val="14"/>
                <w:color w:val="auto"/>
              </w:rPr>
              <w:t>Financial Officer</w:t>
            </w:r>
          </w:p>
        </w:tc>
        <w:tc>
          <w:tcPr>
            <w:tcW w:w="100" w:type="dxa"/>
            <w:vAlign w:val="bottom"/>
            <w:shd w:val="clear" w:color="auto" w:fill="D6F3E8"/>
          </w:tcPr>
          <w:p>
            <w:pPr>
              <w:spacing w:after="0"/>
              <w:rPr>
                <w:sz w:val="16"/>
                <w:szCs w:val="16"/>
                <w:color w:val="auto"/>
              </w:rPr>
            </w:pPr>
          </w:p>
        </w:tc>
        <w:tc>
          <w:tcPr>
            <w:tcW w:w="620" w:type="dxa"/>
            <w:vAlign w:val="bottom"/>
            <w:shd w:val="clear" w:color="auto" w:fill="D6F3E8"/>
          </w:tcPr>
          <w:p>
            <w:pPr>
              <w:jc w:val="center"/>
              <w:spacing w:after="0"/>
              <w:rPr>
                <w:sz w:val="20"/>
                <w:szCs w:val="20"/>
                <w:color w:val="auto"/>
              </w:rPr>
            </w:pPr>
            <w:r>
              <w:rPr>
                <w:rFonts w:ascii="Arial" w:cs="Arial" w:eastAsia="Arial" w:hAnsi="Arial"/>
                <w:sz w:val="14"/>
                <w:szCs w:val="14"/>
                <w:color w:val="auto"/>
                <w:w w:val="83"/>
              </w:rPr>
              <w:t>2007</w:t>
            </w:r>
          </w:p>
        </w:tc>
        <w:tc>
          <w:tcPr>
            <w:tcW w:w="220" w:type="dxa"/>
            <w:vAlign w:val="bottom"/>
            <w:shd w:val="clear" w:color="auto" w:fill="D6F3E8"/>
          </w:tcPr>
          <w:p>
            <w:pPr>
              <w:spacing w:after="0"/>
              <w:rPr>
                <w:sz w:val="16"/>
                <w:szCs w:val="16"/>
                <w:color w:val="auto"/>
              </w:rPr>
            </w:pPr>
          </w:p>
        </w:tc>
        <w:tc>
          <w:tcPr>
            <w:tcW w:w="740" w:type="dxa"/>
            <w:vAlign w:val="bottom"/>
            <w:shd w:val="clear" w:color="auto" w:fill="D6F3E8"/>
          </w:tcPr>
          <w:p>
            <w:pPr>
              <w:jc w:val="center"/>
              <w:spacing w:after="0"/>
              <w:rPr>
                <w:sz w:val="20"/>
                <w:szCs w:val="20"/>
                <w:color w:val="auto"/>
              </w:rPr>
            </w:pPr>
            <w:r>
              <w:rPr>
                <w:rFonts w:ascii="Arial" w:cs="Arial" w:eastAsia="Arial" w:hAnsi="Arial"/>
                <w:sz w:val="14"/>
                <w:szCs w:val="14"/>
                <w:color w:val="auto"/>
                <w:w w:val="86"/>
              </w:rPr>
              <w:t>222,579</w:t>
            </w:r>
          </w:p>
        </w:tc>
        <w:tc>
          <w:tcPr>
            <w:tcW w:w="220" w:type="dxa"/>
            <w:vAlign w:val="bottom"/>
            <w:shd w:val="clear" w:color="auto" w:fill="D6F3E8"/>
          </w:tcPr>
          <w:p>
            <w:pPr>
              <w:spacing w:after="0"/>
              <w:rPr>
                <w:sz w:val="16"/>
                <w:szCs w:val="16"/>
                <w:color w:val="auto"/>
              </w:rPr>
            </w:pPr>
          </w:p>
        </w:tc>
        <w:tc>
          <w:tcPr>
            <w:tcW w:w="1000" w:type="dxa"/>
            <w:vAlign w:val="bottom"/>
            <w:shd w:val="clear" w:color="auto" w:fill="D6F3E8"/>
          </w:tcPr>
          <w:p>
            <w:pPr>
              <w:jc w:val="right"/>
              <w:ind w:right="13"/>
              <w:spacing w:after="0"/>
              <w:rPr>
                <w:sz w:val="20"/>
                <w:szCs w:val="20"/>
                <w:color w:val="auto"/>
              </w:rPr>
            </w:pPr>
            <w:r>
              <w:rPr>
                <w:rFonts w:ascii="Arial" w:cs="Arial" w:eastAsia="Arial" w:hAnsi="Arial"/>
                <w:sz w:val="14"/>
                <w:szCs w:val="14"/>
                <w:color w:val="auto"/>
              </w:rPr>
              <w:t>36,366</w:t>
            </w:r>
          </w:p>
        </w:tc>
        <w:tc>
          <w:tcPr>
            <w:tcW w:w="220" w:type="dxa"/>
            <w:vAlign w:val="bottom"/>
            <w:shd w:val="clear" w:color="auto" w:fill="D6F3E8"/>
          </w:tcPr>
          <w:p>
            <w:pPr>
              <w:spacing w:after="0"/>
              <w:rPr>
                <w:sz w:val="16"/>
                <w:szCs w:val="16"/>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4"/>
                <w:szCs w:val="14"/>
                <w:color w:val="auto"/>
              </w:rPr>
              <w:t>38,961</w:t>
            </w:r>
          </w:p>
        </w:tc>
        <w:tc>
          <w:tcPr>
            <w:tcW w:w="240" w:type="dxa"/>
            <w:vAlign w:val="bottom"/>
            <w:shd w:val="clear" w:color="auto" w:fill="D6F3E8"/>
          </w:tcPr>
          <w:p>
            <w:pPr>
              <w:spacing w:after="0"/>
              <w:rPr>
                <w:sz w:val="16"/>
                <w:szCs w:val="16"/>
                <w:color w:val="auto"/>
              </w:rPr>
            </w:pPr>
          </w:p>
        </w:tc>
        <w:tc>
          <w:tcPr>
            <w:tcW w:w="1500" w:type="dxa"/>
            <w:vAlign w:val="bottom"/>
            <w:shd w:val="clear" w:color="auto" w:fill="D6F3E8"/>
          </w:tcPr>
          <w:p>
            <w:pPr>
              <w:jc w:val="right"/>
              <w:ind w:right="213"/>
              <w:spacing w:after="0"/>
              <w:rPr>
                <w:sz w:val="20"/>
                <w:szCs w:val="20"/>
                <w:color w:val="auto"/>
              </w:rPr>
            </w:pPr>
            <w:r>
              <w:rPr>
                <w:rFonts w:ascii="Arial" w:cs="Arial" w:eastAsia="Arial" w:hAnsi="Arial"/>
                <w:sz w:val="14"/>
                <w:szCs w:val="14"/>
                <w:color w:val="auto"/>
              </w:rPr>
              <w:t>146,566</w:t>
            </w:r>
          </w:p>
        </w:tc>
        <w:tc>
          <w:tcPr>
            <w:tcW w:w="220" w:type="dxa"/>
            <w:vAlign w:val="bottom"/>
            <w:shd w:val="clear" w:color="auto" w:fill="D6F3E8"/>
          </w:tcPr>
          <w:p>
            <w:pPr>
              <w:spacing w:after="0"/>
              <w:rPr>
                <w:sz w:val="16"/>
                <w:szCs w:val="16"/>
                <w:color w:val="auto"/>
              </w:rPr>
            </w:pPr>
          </w:p>
        </w:tc>
        <w:tc>
          <w:tcPr>
            <w:tcW w:w="1500" w:type="dxa"/>
            <w:vAlign w:val="bottom"/>
            <w:shd w:val="clear" w:color="auto" w:fill="D6F3E8"/>
          </w:tcPr>
          <w:p>
            <w:pPr>
              <w:jc w:val="right"/>
              <w:ind w:right="193"/>
              <w:spacing w:after="0"/>
              <w:rPr>
                <w:sz w:val="20"/>
                <w:szCs w:val="20"/>
                <w:color w:val="auto"/>
              </w:rPr>
            </w:pPr>
            <w:r>
              <w:rPr>
                <w:rFonts w:ascii="Arial" w:cs="Arial" w:eastAsia="Arial" w:hAnsi="Arial"/>
                <w:sz w:val="14"/>
                <w:szCs w:val="14"/>
                <w:color w:val="auto"/>
              </w:rPr>
              <w:t>21,128</w:t>
            </w:r>
          </w:p>
        </w:tc>
        <w:tc>
          <w:tcPr>
            <w:tcW w:w="240" w:type="dxa"/>
            <w:vAlign w:val="bottom"/>
            <w:shd w:val="clear" w:color="auto" w:fill="D6F3E8"/>
          </w:tcPr>
          <w:p>
            <w:pPr>
              <w:spacing w:after="0"/>
              <w:rPr>
                <w:sz w:val="16"/>
                <w:szCs w:val="16"/>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465,600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color w:val="auto"/>
        </w:rPr>
        <w:t>__________________</w:t>
      </w:r>
    </w:p>
    <w:p>
      <w:pPr>
        <w:spacing w:after="0" w:line="2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“Compensation Discussion and Analysis–Base Salary” for information relating to certain base salary adjustments in Fiscal 2009.</w:t>
      </w:r>
    </w:p>
    <w:p>
      <w:pPr>
        <w:spacing w:after="0" w:line="117"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column represents the dollar amount recognized for financial statement reporting purposes with respect to Fiscal 2007 through Fiscal 2009 for the fair value of restricted stock granted in Fiscal 2008 and Fiscal 2007 pursuant to the 2004 Plan in accordance with FAS 123(R) and without regard to estimated forfeitures related to service-based vesting conditions. For additional information, refer to Note 13 of the consolidated financial statements in the 2009 Form 10-K. These amounts reflect the Company’s accounting expense for these awards and do not correspond to the actual value that will be recognized by the Named Executive Officers.</w:t>
      </w:r>
    </w:p>
    <w:p>
      <w:pPr>
        <w:spacing w:after="0" w:line="88"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Under FAS 123(R), restricted stock awards are generally recognized over the vesting period of the awards, except for retirement-eligible executives, whose awards are expensed immediately upon grant. Each of the Named Executive Officers, with the exception of Mr. Martin and Ms. Nielsen, is retirement-eligible.</w:t>
      </w:r>
    </w:p>
    <w:p>
      <w:pPr>
        <w:spacing w:after="0" w:line="86" w:lineRule="exact"/>
        <w:rPr>
          <w:rFonts w:ascii="Arial" w:cs="Arial" w:eastAsia="Arial" w:hAnsi="Arial"/>
          <w:sz w:val="18"/>
          <w:szCs w:val="18"/>
          <w:color w:val="auto"/>
        </w:rPr>
      </w:pPr>
    </w:p>
    <w:p>
      <w:pPr>
        <w:jc w:val="both"/>
        <w:ind w:left="460"/>
        <w:spacing w:after="0" w:line="294" w:lineRule="auto"/>
        <w:rPr>
          <w:rFonts w:ascii="Arial" w:cs="Arial" w:eastAsia="Arial" w:hAnsi="Arial"/>
          <w:sz w:val="18"/>
          <w:szCs w:val="18"/>
          <w:color w:val="auto"/>
        </w:rPr>
      </w:pPr>
      <w:r>
        <w:rPr>
          <w:rFonts w:ascii="Arial" w:cs="Arial" w:eastAsia="Arial" w:hAnsi="Arial"/>
          <w:sz w:val="16"/>
          <w:szCs w:val="16"/>
          <w:color w:val="auto"/>
        </w:rPr>
        <w:t>For Fiscal 2009, the Company was not required to recognize for financial statement reporting purposes the potential for restricted stock awards payable under the Company’s Long-Term Incentive Plan 2009-2011. The performance period under the Officers Long-Term Incentive Plan 2009-2011 will not end until August 27, 2011, and, as such, the actual value of restricted stock grants, if any, will generally depend on the Company’s achievement of certain performance measures during these periods. For information regarding the terms of the awards, the description of performance based vesting conditions, and the criteria for determining the amounts payable, see “Compensation Discussion and Analysis-Long–Term Incentive Plan Fiscal 2009-2011.”</w:t>
      </w:r>
    </w:p>
    <w:p>
      <w:pPr>
        <w:spacing w:after="0" w:line="6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 restricted stock awards were made to Named Executive Officers in Fiscal 2009 under the Officers Incentive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46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of stock option awards recognized for financial statement reporting purposes for Fiscal 2007 through Fiscal 2009 pursuant to the 2004 Plan and the Winnebago Industries, Inc. 1997 Stock Option Plan (the “1997 Plan”), in accordance with FAS 123(R), and include amounts from options granted in prior fiscal years. The assumptions used in the calculation of these amounts are included in Note 13 to the Company’s audited financial statements for the fiscal year ended August 29, 2009 included in the 2009 Form 10-K. The amounts reported in this column reflect our accounting cost for these options and do not correspond to the actual economic value that may be received by the Named Executive Officers from exercising options. At August 29, 2009, all option exercise prices exceeded the price of the Company’s Common Stock, as quoted on the NYSE. See the Outstanding Equity Awards at the Fiscal Year End Table below.</w:t>
      </w:r>
    </w:p>
    <w:p>
      <w:pPr>
        <w:sectPr>
          <w:pgSz w:w="11900" w:h="16838" w:orient="portrait"/>
          <w:cols w:equalWidth="0" w:num="1">
            <w:col w:w="11420"/>
          </w:cols>
          <w:pgMar w:left="240" w:top="131" w:right="239" w:bottom="0" w:gutter="0" w:footer="0" w:header="0"/>
        </w:sectPr>
      </w:pPr>
    </w:p>
    <w:bookmarkStart w:id="24" w:name="page25"/>
    <w:bookmarkEnd w:id="24"/>
    <w:p>
      <w:pPr>
        <w:jc w:val="both"/>
        <w:ind w:left="4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represent annual incentive plan award payouts under the Officers Incentive Compensation Plan for Fiscal 2008 and Fiscal 2007. Awards consisted of cash and are calculated as a percentage of the Named Executive Officer’s base salary in accordance with the Officers Incentive Compensation Plan. No cash awards were made to Named Executive Officers in Fiscal 2009 under the 2009 Officer Incentive Compensation Plan and the 2007-2009 Long-Term Incentive Plan (the “2007-2009 Plan”). See “Compensation Discussion and Analysis” for further discussion on how amounts were determined for Fiscal 2009.</w:t>
      </w:r>
    </w:p>
    <w:p>
      <w:pPr>
        <w:spacing w:after="0" w:line="8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all of the Named Executive Officers, “All Other Compensation” for Fiscal 2009 includes the Company match to the 401(k) Plan, restricted stock dividends, and the cost of executive physical examinations.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GRANTS OF PLAN-BASED AWARDS TABLE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additional information relating to plan-based awards granted to our Named Executive Officers during Fiscal 2009.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Estimated Future Payouts Under</w:t>
            </w:r>
          </w:p>
        </w:tc>
        <w:tc>
          <w:tcPr>
            <w:tcW w:w="3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 Payments Under</w:t>
            </w:r>
          </w:p>
        </w:tc>
      </w:t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Non-Equity Incentive Plan Awards</w:t>
            </w:r>
          </w:p>
        </w:tc>
        <w:tc>
          <w:tcPr>
            <w:tcW w:w="220" w:type="dxa"/>
            <w:vAlign w:val="bottom"/>
          </w:tcPr>
          <w:p>
            <w:pPr>
              <w:spacing w:after="0"/>
              <w:rPr>
                <w:sz w:val="14"/>
                <w:szCs w:val="14"/>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Equity Incentive Plan Awards</w:t>
            </w:r>
          </w:p>
        </w:tc>
      </w:tr>
      <w:tr>
        <w:trPr>
          <w:trHeight w:val="196"/>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Plan</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Grant</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Threshold</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Target</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Target</w:t>
            </w:r>
          </w:p>
        </w:tc>
        <w:tc>
          <w:tcPr>
            <w:tcW w:w="900" w:type="dxa"/>
            <w:vAlign w:val="bottom"/>
          </w:tcPr>
          <w:p>
            <w:pPr>
              <w:jc w:val="right"/>
              <w:ind w:right="72"/>
              <w:spacing w:after="0"/>
              <w:rPr>
                <w:sz w:val="20"/>
                <w:szCs w:val="20"/>
                <w:color w:val="auto"/>
              </w:rPr>
            </w:pPr>
            <w:r>
              <w:rPr>
                <w:rFonts w:ascii="Arial" w:cs="Arial" w:eastAsia="Arial" w:hAnsi="Arial"/>
                <w:sz w:val="14"/>
                <w:szCs w:val="14"/>
                <w:b w:val="1"/>
                <w:bCs w:val="1"/>
                <w:color w:val="auto"/>
              </w:rPr>
              <w:t>Maximum</w:t>
            </w:r>
          </w:p>
        </w:tc>
      </w:tr>
      <w:tr>
        <w:trPr>
          <w:trHeight w:val="176"/>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D6F3E8"/>
            </w:tcBorders>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Name</w:t>
            </w:r>
            <w:r>
              <w:rPr>
                <w:rFonts w:ascii="Arial" w:cs="Arial" w:eastAsia="Arial" w:hAnsi="Arial"/>
                <w:sz w:val="9"/>
                <w:szCs w:val="9"/>
                <w:b w:val="1"/>
                <w:bCs w:val="1"/>
                <w:color w:val="auto"/>
              </w:rPr>
              <w:t>(1)(2)</w:t>
            </w:r>
          </w:p>
        </w:tc>
        <w:tc>
          <w:tcPr>
            <w:tcW w:w="240" w:type="dxa"/>
            <w:vAlign w:val="bottom"/>
            <w:tcBorders>
              <w:bottom w:val="single" w:sz="8" w:color="D6F3E8"/>
            </w:tcBorders>
          </w:tcPr>
          <w:p>
            <w:pPr>
              <w:spacing w:after="0"/>
              <w:rPr>
                <w:sz w:val="15"/>
                <w:szCs w:val="15"/>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Date</w:t>
            </w:r>
          </w:p>
        </w:tc>
        <w:tc>
          <w:tcPr>
            <w:tcW w:w="220" w:type="dxa"/>
            <w:vAlign w:val="bottom"/>
            <w:tcBorders>
              <w:bottom w:val="single" w:sz="8" w:color="D6F3E8"/>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F3E8"/>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40" w:type="dxa"/>
            <w:vAlign w:val="bottom"/>
            <w:tcBorders>
              <w:bottom w:val="single" w:sz="8" w:color="D6F3E8"/>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F3E8"/>
            </w:tcBorders>
          </w:tcPr>
          <w:p>
            <w:pPr>
              <w:spacing w:after="0"/>
              <w:rPr>
                <w:sz w:val="15"/>
                <w:szCs w:val="15"/>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F3E8"/>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D6F3E8"/>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r>
      <w:tr>
        <w:trPr>
          <w:trHeight w:val="183"/>
        </w:trPr>
        <w:tc>
          <w:tcPr>
            <w:tcW w:w="24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Robert J. Olson</w:t>
            </w:r>
          </w:p>
        </w:tc>
        <w:tc>
          <w:tcPr>
            <w:tcW w:w="1460" w:type="dxa"/>
            <w:vAlign w:val="bottom"/>
            <w:gridSpan w:val="2"/>
            <w:shd w:val="clear" w:color="auto" w:fill="D6F3E8"/>
          </w:tcPr>
          <w:p>
            <w:pPr>
              <w:jc w:val="center"/>
              <w:ind w:right="240"/>
              <w:spacing w:after="0"/>
              <w:rPr>
                <w:sz w:val="20"/>
                <w:szCs w:val="20"/>
                <w:color w:val="auto"/>
              </w:rPr>
            </w:pPr>
            <w:r>
              <w:rPr>
                <w:rFonts w:ascii="Arial" w:cs="Arial" w:eastAsia="Arial" w:hAnsi="Arial"/>
                <w:sz w:val="14"/>
                <w:szCs w:val="14"/>
                <w:color w:val="auto"/>
                <w:w w:val="89"/>
              </w:rPr>
              <w:t>2009 OICP</w:t>
            </w:r>
          </w:p>
        </w:tc>
        <w:tc>
          <w:tcPr>
            <w:tcW w:w="860" w:type="dxa"/>
            <w:vAlign w:val="bottom"/>
            <w:shd w:val="clear" w:color="auto" w:fill="D6F3E8"/>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shd w:val="clear" w:color="auto" w:fill="D6F3E8"/>
          </w:tcPr>
          <w:p>
            <w:pPr>
              <w:spacing w:after="0"/>
              <w:rPr>
                <w:sz w:val="15"/>
                <w:szCs w:val="15"/>
                <w:color w:val="auto"/>
              </w:rPr>
            </w:pPr>
          </w:p>
        </w:tc>
        <w:tc>
          <w:tcPr>
            <w:tcW w:w="86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39,150</w:t>
            </w:r>
          </w:p>
        </w:tc>
        <w:tc>
          <w:tcPr>
            <w:tcW w:w="240" w:type="dxa"/>
            <w:vAlign w:val="bottom"/>
            <w:shd w:val="clear" w:color="auto" w:fill="D6F3E8"/>
          </w:tcPr>
          <w:p>
            <w:pPr>
              <w:spacing w:after="0"/>
              <w:rPr>
                <w:sz w:val="15"/>
                <w:szCs w:val="15"/>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240,922</w:t>
            </w:r>
          </w:p>
        </w:tc>
        <w:tc>
          <w:tcPr>
            <w:tcW w:w="240" w:type="dxa"/>
            <w:vAlign w:val="bottom"/>
            <w:shd w:val="clear" w:color="auto" w:fill="D6F3E8"/>
          </w:tcPr>
          <w:p>
            <w:pPr>
              <w:spacing w:after="0"/>
              <w:rPr>
                <w:sz w:val="15"/>
                <w:szCs w:val="15"/>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481,845</w:t>
            </w:r>
          </w:p>
        </w:tc>
        <w:tc>
          <w:tcPr>
            <w:tcW w:w="220" w:type="dxa"/>
            <w:vAlign w:val="bottom"/>
            <w:shd w:val="clear" w:color="auto" w:fill="D6F3E8"/>
          </w:tcPr>
          <w:p>
            <w:pPr>
              <w:spacing w:after="0"/>
              <w:rPr>
                <w:sz w:val="15"/>
                <w:szCs w:val="15"/>
                <w:color w:val="auto"/>
              </w:rPr>
            </w:pPr>
          </w:p>
        </w:tc>
        <w:tc>
          <w:tcPr>
            <w:tcW w:w="88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19,575</w:t>
            </w:r>
          </w:p>
        </w:tc>
        <w:tc>
          <w:tcPr>
            <w:tcW w:w="240" w:type="dxa"/>
            <w:vAlign w:val="bottom"/>
            <w:shd w:val="clear" w:color="auto" w:fill="D6F3E8"/>
          </w:tcPr>
          <w:p>
            <w:pPr>
              <w:spacing w:after="0"/>
              <w:rPr>
                <w:sz w:val="15"/>
                <w:szCs w:val="15"/>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4"/>
                <w:szCs w:val="14"/>
                <w:color w:val="auto"/>
              </w:rPr>
              <w:t>120,462</w:t>
            </w:r>
          </w:p>
        </w:tc>
        <w:tc>
          <w:tcPr>
            <w:tcW w:w="240" w:type="dxa"/>
            <w:vAlign w:val="bottom"/>
            <w:shd w:val="clear" w:color="auto" w:fill="D6F3E8"/>
          </w:tcPr>
          <w:p>
            <w:pPr>
              <w:spacing w:after="0"/>
              <w:rPr>
                <w:sz w:val="15"/>
                <w:szCs w:val="15"/>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240,923</w:t>
            </w: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2011 LTIP</w:t>
            </w:r>
          </w:p>
        </w:tc>
        <w:tc>
          <w:tcPr>
            <w:tcW w:w="860" w:type="dxa"/>
            <w:vAlign w:val="bottom"/>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18,850</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115,999</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173,999</w:t>
            </w:r>
          </w:p>
        </w:tc>
      </w:tr>
      <w:tr>
        <w:trPr>
          <w:trHeight w:val="216"/>
        </w:trPr>
        <w:tc>
          <w:tcPr>
            <w:tcW w:w="24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Raymond M. Beebe</w:t>
            </w:r>
          </w:p>
        </w:tc>
        <w:tc>
          <w:tcPr>
            <w:tcW w:w="1460" w:type="dxa"/>
            <w:vAlign w:val="bottom"/>
            <w:gridSpan w:val="2"/>
            <w:shd w:val="clear" w:color="auto" w:fill="D6F3E8"/>
          </w:tcPr>
          <w:p>
            <w:pPr>
              <w:jc w:val="center"/>
              <w:ind w:right="240"/>
              <w:spacing w:after="0"/>
              <w:rPr>
                <w:sz w:val="20"/>
                <w:szCs w:val="20"/>
                <w:color w:val="auto"/>
              </w:rPr>
            </w:pPr>
            <w:r>
              <w:rPr>
                <w:rFonts w:ascii="Arial" w:cs="Arial" w:eastAsia="Arial" w:hAnsi="Arial"/>
                <w:sz w:val="14"/>
                <w:szCs w:val="14"/>
                <w:color w:val="auto"/>
                <w:w w:val="89"/>
              </w:rPr>
              <w:t>2009 OICP</w:t>
            </w:r>
          </w:p>
        </w:tc>
        <w:tc>
          <w:tcPr>
            <w:tcW w:w="860" w:type="dxa"/>
            <w:vAlign w:val="bottom"/>
            <w:shd w:val="clear" w:color="auto" w:fill="D6F3E8"/>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15,366</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94,562</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189,127</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7,683</w:t>
            </w:r>
          </w:p>
        </w:tc>
        <w:tc>
          <w:tcPr>
            <w:tcW w:w="24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47,282</w:t>
            </w: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94,563</w:t>
            </w: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2011 LTIP</w:t>
            </w:r>
          </w:p>
        </w:tc>
        <w:tc>
          <w:tcPr>
            <w:tcW w:w="860" w:type="dxa"/>
            <w:vAlign w:val="bottom"/>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10,514</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64,701</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97,052</w:t>
            </w:r>
          </w:p>
        </w:tc>
      </w:tr>
      <w:tr>
        <w:trPr>
          <w:trHeight w:val="216"/>
        </w:trPr>
        <w:tc>
          <w:tcPr>
            <w:tcW w:w="24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Roger W. Martin</w:t>
            </w:r>
          </w:p>
        </w:tc>
        <w:tc>
          <w:tcPr>
            <w:tcW w:w="1460" w:type="dxa"/>
            <w:vAlign w:val="bottom"/>
            <w:gridSpan w:val="2"/>
            <w:shd w:val="clear" w:color="auto" w:fill="D6F3E8"/>
          </w:tcPr>
          <w:p>
            <w:pPr>
              <w:jc w:val="center"/>
              <w:ind w:right="240"/>
              <w:spacing w:after="0"/>
              <w:rPr>
                <w:sz w:val="20"/>
                <w:szCs w:val="20"/>
                <w:color w:val="auto"/>
              </w:rPr>
            </w:pPr>
            <w:r>
              <w:rPr>
                <w:rFonts w:ascii="Arial" w:cs="Arial" w:eastAsia="Arial" w:hAnsi="Arial"/>
                <w:sz w:val="14"/>
                <w:szCs w:val="14"/>
                <w:color w:val="auto"/>
                <w:w w:val="89"/>
              </w:rPr>
              <w:t>2009 OICP</w:t>
            </w:r>
          </w:p>
        </w:tc>
        <w:tc>
          <w:tcPr>
            <w:tcW w:w="860" w:type="dxa"/>
            <w:vAlign w:val="bottom"/>
            <w:shd w:val="clear" w:color="auto" w:fill="D6F3E8"/>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14,734</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90,668</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181,336</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7,366</w:t>
            </w:r>
          </w:p>
        </w:tc>
        <w:tc>
          <w:tcPr>
            <w:tcW w:w="24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45,334</w:t>
            </w: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90,668</w:t>
            </w: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2011 LTIP</w:t>
            </w:r>
          </w:p>
        </w:tc>
        <w:tc>
          <w:tcPr>
            <w:tcW w:w="860" w:type="dxa"/>
            <w:vAlign w:val="bottom"/>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10,081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62,036</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93,054</w:t>
            </w:r>
          </w:p>
        </w:tc>
      </w:tr>
      <w:tr>
        <w:trPr>
          <w:trHeight w:val="216"/>
        </w:trPr>
        <w:tc>
          <w:tcPr>
            <w:tcW w:w="24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William J. O'Leary</w:t>
            </w:r>
          </w:p>
        </w:tc>
        <w:tc>
          <w:tcPr>
            <w:tcW w:w="1460" w:type="dxa"/>
            <w:vAlign w:val="bottom"/>
            <w:gridSpan w:val="2"/>
            <w:shd w:val="clear" w:color="auto" w:fill="D6F3E8"/>
          </w:tcPr>
          <w:p>
            <w:pPr>
              <w:jc w:val="center"/>
              <w:ind w:right="240"/>
              <w:spacing w:after="0"/>
              <w:rPr>
                <w:sz w:val="20"/>
                <w:szCs w:val="20"/>
                <w:color w:val="auto"/>
              </w:rPr>
            </w:pPr>
            <w:r>
              <w:rPr>
                <w:rFonts w:ascii="Arial" w:cs="Arial" w:eastAsia="Arial" w:hAnsi="Arial"/>
                <w:sz w:val="14"/>
                <w:szCs w:val="14"/>
                <w:color w:val="auto"/>
                <w:w w:val="89"/>
              </w:rPr>
              <w:t>2009 OICP</w:t>
            </w:r>
          </w:p>
        </w:tc>
        <w:tc>
          <w:tcPr>
            <w:tcW w:w="860" w:type="dxa"/>
            <w:vAlign w:val="bottom"/>
            <w:shd w:val="clear" w:color="auto" w:fill="D6F3E8"/>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14,656</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90,192</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180,385</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7,327</w:t>
            </w:r>
          </w:p>
        </w:tc>
        <w:tc>
          <w:tcPr>
            <w:tcW w:w="24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45,096</w:t>
            </w: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90,193</w:t>
            </w: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2011 LTIP</w:t>
            </w:r>
          </w:p>
        </w:tc>
        <w:tc>
          <w:tcPr>
            <w:tcW w:w="860" w:type="dxa"/>
            <w:vAlign w:val="bottom"/>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10,028</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61,711</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92,567</w:t>
            </w:r>
          </w:p>
        </w:tc>
      </w:tr>
      <w:tr>
        <w:trPr>
          <w:trHeight w:val="216"/>
        </w:trPr>
        <w:tc>
          <w:tcPr>
            <w:tcW w:w="24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Sarah N. Nielsen</w:t>
            </w:r>
          </w:p>
        </w:tc>
        <w:tc>
          <w:tcPr>
            <w:tcW w:w="1460" w:type="dxa"/>
            <w:vAlign w:val="bottom"/>
            <w:gridSpan w:val="2"/>
            <w:shd w:val="clear" w:color="auto" w:fill="D6F3E8"/>
          </w:tcPr>
          <w:p>
            <w:pPr>
              <w:jc w:val="center"/>
              <w:ind w:right="240"/>
              <w:spacing w:after="0"/>
              <w:rPr>
                <w:sz w:val="20"/>
                <w:szCs w:val="20"/>
                <w:color w:val="auto"/>
              </w:rPr>
            </w:pPr>
            <w:r>
              <w:rPr>
                <w:rFonts w:ascii="Arial" w:cs="Arial" w:eastAsia="Arial" w:hAnsi="Arial"/>
                <w:sz w:val="14"/>
                <w:szCs w:val="14"/>
                <w:color w:val="auto"/>
                <w:w w:val="89"/>
              </w:rPr>
              <w:t>2009 OICP</w:t>
            </w:r>
          </w:p>
        </w:tc>
        <w:tc>
          <w:tcPr>
            <w:tcW w:w="860" w:type="dxa"/>
            <w:vAlign w:val="bottom"/>
            <w:shd w:val="clear" w:color="auto" w:fill="D6F3E8"/>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shd w:val="clear" w:color="auto" w:fill="D6F3E8"/>
          </w:tcPr>
          <w:p>
            <w:pPr>
              <w:spacing w:after="0"/>
              <w:rPr>
                <w:sz w:val="18"/>
                <w:szCs w:val="18"/>
                <w:color w:val="auto"/>
              </w:rPr>
            </w:pPr>
          </w:p>
        </w:tc>
        <w:tc>
          <w:tcPr>
            <w:tcW w:w="86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14,604</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89,870</w:t>
            </w:r>
          </w:p>
        </w:tc>
        <w:tc>
          <w:tcPr>
            <w:tcW w:w="2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4"/>
                <w:szCs w:val="14"/>
                <w:color w:val="auto"/>
              </w:rPr>
              <w:t>179,740</w:t>
            </w:r>
          </w:p>
        </w:tc>
        <w:tc>
          <w:tcPr>
            <w:tcW w:w="220" w:type="dxa"/>
            <w:vAlign w:val="bottom"/>
            <w:shd w:val="clear" w:color="auto" w:fill="D6F3E8"/>
          </w:tcPr>
          <w:p>
            <w:pPr>
              <w:spacing w:after="0"/>
              <w:rPr>
                <w:sz w:val="18"/>
                <w:szCs w:val="18"/>
                <w:color w:val="auto"/>
              </w:rPr>
            </w:pPr>
          </w:p>
        </w:tc>
        <w:tc>
          <w:tcPr>
            <w:tcW w:w="880" w:type="dxa"/>
            <w:vAlign w:val="bottom"/>
            <w:shd w:val="clear" w:color="auto" w:fill="D6F3E8"/>
          </w:tcPr>
          <w:p>
            <w:pPr>
              <w:jc w:val="right"/>
              <w:ind w:right="32"/>
              <w:spacing w:after="0"/>
              <w:rPr>
                <w:sz w:val="20"/>
                <w:szCs w:val="20"/>
                <w:color w:val="auto"/>
              </w:rPr>
            </w:pPr>
            <w:r>
              <w:rPr>
                <w:rFonts w:ascii="Arial" w:cs="Arial" w:eastAsia="Arial" w:hAnsi="Arial"/>
                <w:sz w:val="14"/>
                <w:szCs w:val="14"/>
                <w:color w:val="auto"/>
              </w:rPr>
              <w:t>7,302</w:t>
            </w:r>
          </w:p>
        </w:tc>
        <w:tc>
          <w:tcPr>
            <w:tcW w:w="24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4"/>
                <w:szCs w:val="14"/>
                <w:color w:val="auto"/>
              </w:rPr>
              <w:t>44,936</w:t>
            </w: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89,871</w:t>
            </w:r>
          </w:p>
        </w:tc>
      </w:tr>
      <w:tr>
        <w:trPr>
          <w:trHeight w:val="168"/>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2011 LTIP</w:t>
            </w:r>
          </w:p>
        </w:tc>
        <w:tc>
          <w:tcPr>
            <w:tcW w:w="860" w:type="dxa"/>
            <w:vAlign w:val="bottom"/>
          </w:tcPr>
          <w:p>
            <w:pPr>
              <w:ind w:left="220"/>
              <w:spacing w:after="0"/>
              <w:rPr>
                <w:sz w:val="20"/>
                <w:szCs w:val="20"/>
                <w:color w:val="auto"/>
              </w:rPr>
            </w:pPr>
            <w:r>
              <w:rPr>
                <w:rFonts w:ascii="Arial" w:cs="Arial" w:eastAsia="Arial" w:hAnsi="Arial"/>
                <w:sz w:val="14"/>
                <w:szCs w:val="14"/>
                <w:color w:val="auto"/>
              </w:rPr>
              <w:t>8/30/08</w:t>
            </w:r>
          </w:p>
        </w:tc>
        <w:tc>
          <w:tcPr>
            <w:tcW w:w="2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9,992</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61,490</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92,235</w:t>
            </w:r>
          </w:p>
        </w:tc>
      </w:tr>
    </w:tbl>
    <w:p>
      <w:pPr>
        <w:ind w:left="40"/>
        <w:spacing w:after="0"/>
        <w:rPr>
          <w:sz w:val="20"/>
          <w:szCs w:val="20"/>
          <w:color w:val="auto"/>
        </w:rPr>
      </w:pPr>
      <w:r>
        <w:rPr>
          <w:rFonts w:ascii="Arial" w:cs="Arial" w:eastAsia="Arial" w:hAnsi="Arial"/>
          <w:sz w:val="18"/>
          <w:szCs w:val="18"/>
          <w:color w:val="auto"/>
        </w:rPr>
        <w:t>__________________</w:t>
      </w:r>
    </w:p>
    <w:p>
      <w:pPr>
        <w:spacing w:after="0" w:line="22" w:lineRule="exact"/>
        <w:rPr>
          <w:sz w:val="20"/>
          <w:szCs w:val="20"/>
          <w:color w:val="auto"/>
        </w:rPr>
      </w:pPr>
    </w:p>
    <w:p>
      <w:pPr>
        <w:jc w:val="both"/>
        <w:ind w:left="460" w:hanging="452"/>
        <w:spacing w:after="0" w:line="318"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2009 OICP refers to the Company’s Officers Incentive Compensation Plan Fiscal Period 2009, which targets quarterly and annual performance against goals established by the Committee. Awards under the 2009 OICP are payable in cash and restricted stock. The applicable Threshold, Target and Maximum amounts presented above represent such cash and dollar value of restricted stock for the 2009 OICP. Under the 2009 OICP, the Committee has discretionary authority to modify the financial factors used in determining amounts payable by plus or minus 20% based upon strategic priorities. No actual payouts were made to the Named Executive Officers under the 2009 OICP, as described under “Compensation Discussion and Analysis–Annual Incentive Plan” above.</w:t>
      </w:r>
    </w:p>
    <w:p>
      <w:pPr>
        <w:spacing w:after="0" w:line="45" w:lineRule="exact"/>
        <w:rPr>
          <w:rFonts w:ascii="Arial" w:cs="Arial" w:eastAsia="Arial" w:hAnsi="Arial"/>
          <w:sz w:val="15"/>
          <w:szCs w:val="15"/>
          <w:color w:val="auto"/>
        </w:rPr>
      </w:pPr>
    </w:p>
    <w:p>
      <w:pPr>
        <w:jc w:val="both"/>
        <w:ind w:left="46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2011 LTIP refers to the Company’s Officers Long-Term Incentive Plan 2009-2011. For each of the Named Executive Officers, the Threshold, Target and Maximum amounts under the 2011 LTIP represent potential restricted stock payments that are measured over a three-year performance period from August 30, 2008 through August 27, 2011. See “Compensation Discussion and Analysis–Long Term Incentive Plans Fiscal 2009-2011” for information regarding the terms of the restricted stock awards, the description of the performance-based vesting conditions and the criteria for determining the amounts payable.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Arrangements</w:t>
      </w:r>
    </w:p>
    <w:p>
      <w:pPr>
        <w:spacing w:after="0" w:line="117"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None of the Named Executive Officers has an employment agreement. However, each Named Executive Officer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 For Fiscal 2009, the Committee elected to reduce base salaries for Named Executive Officers as part of overall cost reduction initiatives in response to declining economic conditions. For Fiscal 2009, base salaries (including amounts deferred to the 401(k) Plan) as a percentage of total compensation shown in the Summary Compensation Table, were approximately 99 percent for Mr. Olson, 92 percent for Mr. Beebe, 97 percent for Mr. O’Leary, 68 percent for Mr. Martin and 67 percent for Ms. Nielsen.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No restricted stock awards or stock options were granted during Fiscal 2009 to any Named Executive Officer. Stock-based grants under the 2004 Plan were previously made as restricted stock in Fiscal 2008 and Fiscal 2007 and stock options grants in prior years. Descriptions of these types of grants and the reason for these types of grants are discussed in “Compensation Discussion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and Analysis—2004 Incentive Compensation Plan.” Grants of restricted stock and stock options, the FAS 123(R) expense which is disclosed in the Summary Compensation Table, begin vesting in annual increments of one-third after one year from the date of grant for restricted stock grants and generally vest and are exercisable over a three-year period for stock options. Restricted Stock grants and stock option awards are subject to earlier vesting in the event of a Change of Control or termination of employment, as set forth in the section “Potential Payment upon Termination or Change of Control” below.</w:t>
      </w:r>
    </w:p>
    <w:p>
      <w:pPr>
        <w:sectPr>
          <w:pgSz w:w="11900" w:h="16838" w:orient="portrait"/>
          <w:cols w:equalWidth="0" w:num="1">
            <w:col w:w="11420"/>
          </w:cols>
          <w:pgMar w:left="240" w:top="13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Annual Incentive Plan</w:t>
      </w:r>
    </w:p>
    <w:p>
      <w:pPr>
        <w:spacing w:after="0" w:line="117"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In addition to base salary, each Named Executive Officer is eligible to receive, subject to certain financial performance metrics, a target annual incentive bonus equal to a percentage of his or her annual base salary, as follows: Mr. Olson — 90 percent; Mr. Beebe, Mr. Martin, Ms. Nielsen and Mr. O’Leary— 60 percent. This element of compensation is carried out through the Officers Incentive Compensation Plan Fiscal Period 2009, which is discussed in the “Compensation Discussion and Analysis—Annual Incentive Plan” above. As indicated in the Summary Compensation Table above, no payouts were made to Named Executive Officers under this plan in Fiscal 2009.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Plans</w:t>
      </w:r>
    </w:p>
    <w:p>
      <w:pPr>
        <w:spacing w:after="0" w:line="117"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8"/>
          <w:szCs w:val="18"/>
          <w:color w:val="auto"/>
        </w:rPr>
        <w:t>This element of compensation is described in the “Compensation Discussion and Analysis—Long-Term Incentives” above. As indicated in the Summary Compensation Table above, no payouts were made to Named Executive Officers under the 2007-2009 Plan.</w:t>
      </w:r>
    </w:p>
    <w:p>
      <w:pPr>
        <w:spacing w:after="0" w:line="78" w:lineRule="exact"/>
        <w:rPr>
          <w:sz w:val="20"/>
          <w:szCs w:val="20"/>
          <w:color w:val="auto"/>
        </w:rPr>
      </w:pPr>
    </w:p>
    <w:p>
      <w:pPr>
        <w:jc w:val="both"/>
        <w:ind w:right="20" w:firstLine="458"/>
        <w:spacing w:after="0" w:line="259" w:lineRule="auto"/>
        <w:rPr>
          <w:sz w:val="20"/>
          <w:szCs w:val="20"/>
          <w:color w:val="auto"/>
        </w:rPr>
      </w:pPr>
      <w:r>
        <w:rPr>
          <w:rFonts w:ascii="Arial" w:cs="Arial" w:eastAsia="Arial" w:hAnsi="Arial"/>
          <w:sz w:val="18"/>
          <w:szCs w:val="18"/>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OUTSTANDING EQUITY AWARDS AT FISCAL YEAR END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Named Executive Officers as of August 29, 2009.</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6"/>
              </w:rPr>
              <w:t>Option Awards</w:t>
            </w:r>
            <w:r>
              <w:rPr>
                <w:rFonts w:ascii="Arial" w:cs="Arial" w:eastAsia="Arial" w:hAnsi="Arial"/>
                <w:sz w:val="22"/>
                <w:szCs w:val="22"/>
                <w:b w:val="1"/>
                <w:bCs w:val="1"/>
                <w:color w:val="auto"/>
                <w:w w:val="86"/>
                <w:vertAlign w:val="superscript"/>
              </w:rPr>
              <w:t>(1)</w:t>
            </w:r>
          </w:p>
        </w:tc>
        <w:tc>
          <w:tcPr>
            <w:tcW w:w="10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 Awards</w:t>
            </w:r>
            <w:r>
              <w:rPr>
                <w:rFonts w:ascii="Arial" w:cs="Arial" w:eastAsia="Arial" w:hAnsi="Arial"/>
                <w:sz w:val="22"/>
                <w:szCs w:val="22"/>
                <w:b w:val="1"/>
                <w:bCs w:val="1"/>
                <w:color w:val="auto"/>
                <w:w w:val="83"/>
                <w:vertAlign w:val="superscript"/>
              </w:rPr>
              <w:t>(2)</w:t>
            </w:r>
          </w:p>
        </w:tc>
      </w:tr>
      <w:tr>
        <w:trPr>
          <w:trHeight w:val="197"/>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Number</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of Shares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Units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of Stock</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60" w:type="dxa"/>
            <w:vAlign w:val="bottom"/>
          </w:tcPr>
          <w:p>
            <w:pPr>
              <w:spacing w:after="0"/>
              <w:rPr>
                <w:sz w:val="12"/>
                <w:szCs w:val="12"/>
                <w:color w:val="auto"/>
              </w:rPr>
            </w:pPr>
          </w:p>
        </w:tc>
        <w:tc>
          <w:tcPr>
            <w:tcW w:w="18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That Have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2"/>
                <w:szCs w:val="12"/>
                <w:color w:val="auto"/>
              </w:rPr>
            </w:pPr>
          </w:p>
        </w:tc>
        <w:tc>
          <w:tcPr>
            <w:tcW w:w="18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Option</w:t>
            </w: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63"/>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1820" w:type="dxa"/>
            <w:vAlign w:val="bottom"/>
            <w:gridSpan w:val="3"/>
          </w:tcPr>
          <w:p>
            <w:pPr>
              <w:jc w:val="center"/>
              <w:ind w:right="700"/>
              <w:spacing w:after="0" w:line="163" w:lineRule="exact"/>
              <w:rPr>
                <w:sz w:val="20"/>
                <w:szCs w:val="20"/>
                <w:color w:val="auto"/>
              </w:rPr>
            </w:pPr>
            <w:r>
              <w:rPr>
                <w:rFonts w:ascii="Arial" w:cs="Arial" w:eastAsia="Arial" w:hAnsi="Arial"/>
                <w:sz w:val="12"/>
                <w:szCs w:val="12"/>
                <w:b w:val="1"/>
                <w:bCs w:val="1"/>
                <w:color w:val="auto"/>
                <w:w w:val="99"/>
              </w:rPr>
              <w:t>Price</w:t>
            </w:r>
            <w:r>
              <w:rPr>
                <w:rFonts w:ascii="Arial" w:cs="Arial" w:eastAsia="Arial" w:hAnsi="Arial"/>
                <w:sz w:val="18"/>
                <w:szCs w:val="18"/>
                <w:b w:val="1"/>
                <w:bCs w:val="1"/>
                <w:color w:val="auto"/>
                <w:w w:val="99"/>
                <w:vertAlign w:val="superscript"/>
              </w:rPr>
              <w:t>(3)</w:t>
            </w: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Expiration</w:t>
            </w:r>
          </w:p>
        </w:tc>
        <w:tc>
          <w:tcPr>
            <w:tcW w:w="1460" w:type="dxa"/>
            <w:vAlign w:val="bottom"/>
            <w:gridSpan w:val="2"/>
          </w:tcPr>
          <w:p>
            <w:pPr>
              <w:jc w:val="center"/>
              <w:ind w:right="360"/>
              <w:spacing w:after="0" w:line="163"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8"/>
                <w:szCs w:val="18"/>
                <w:b w:val="1"/>
                <w:bCs w:val="1"/>
                <w:color w:val="auto"/>
                <w:w w:val="92"/>
                <w:vertAlign w:val="superscript"/>
              </w:rPr>
              <w:t>(4)</w:t>
            </w:r>
          </w:p>
        </w:tc>
        <w:tc>
          <w:tcPr>
            <w:tcW w:w="176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6"/>
              </w:rPr>
              <w:t>Vested</w:t>
            </w:r>
            <w:r>
              <w:rPr>
                <w:rFonts w:ascii="Arial" w:cs="Arial" w:eastAsia="Arial" w:hAnsi="Arial"/>
                <w:sz w:val="18"/>
                <w:szCs w:val="18"/>
                <w:b w:val="1"/>
                <w:bCs w:val="1"/>
                <w:color w:val="auto"/>
                <w:w w:val="96"/>
                <w:vertAlign w:val="superscript"/>
              </w:rPr>
              <w:t>(5)</w:t>
            </w:r>
          </w:p>
        </w:tc>
      </w:tr>
      <w:tr>
        <w:trPr>
          <w:trHeight w:val="16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D6F3E8"/>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60" w:type="dxa"/>
            <w:vAlign w:val="bottom"/>
            <w:tcBorders>
              <w:bottom w:val="single" w:sz="8" w:color="D6F3E8"/>
            </w:tcBorders>
          </w:tcPr>
          <w:p>
            <w:pPr>
              <w:spacing w:after="0"/>
              <w:rPr>
                <w:sz w:val="14"/>
                <w:szCs w:val="14"/>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6F3E8"/>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5"/>
              </w:rPr>
              <w:t>Date</w:t>
            </w:r>
          </w:p>
        </w:tc>
        <w:tc>
          <w:tcPr>
            <w:tcW w:w="380" w:type="dxa"/>
            <w:vAlign w:val="bottom"/>
            <w:tcBorders>
              <w:bottom w:val="single" w:sz="8" w:color="D6F3E8"/>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D6F3E8"/>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0"/>
        </w:trPr>
        <w:tc>
          <w:tcPr>
            <w:tcW w:w="32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8,746</w:t>
            </w:r>
          </w:p>
        </w:tc>
        <w:tc>
          <w:tcPr>
            <w:tcW w:w="148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18.250</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0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10/8/12</w:t>
            </w:r>
          </w:p>
        </w:tc>
        <w:tc>
          <w:tcPr>
            <w:tcW w:w="380" w:type="dxa"/>
            <w:vAlign w:val="bottom"/>
            <w:shd w:val="clear" w:color="auto" w:fill="D6F3E8"/>
          </w:tcPr>
          <w:p>
            <w:pPr>
              <w:spacing w:after="0"/>
              <w:rPr>
                <w:sz w:val="21"/>
                <w:szCs w:val="21"/>
                <w:color w:val="auto"/>
              </w:rPr>
            </w:pPr>
          </w:p>
        </w:tc>
        <w:tc>
          <w:tcPr>
            <w:tcW w:w="110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760" w:type="dxa"/>
            <w:vAlign w:val="bottom"/>
            <w:shd w:val="clear" w:color="auto" w:fill="D6F3E8"/>
          </w:tcPr>
          <w:p>
            <w:pPr>
              <w:spacing w:after="0"/>
              <w:rPr>
                <w:sz w:val="21"/>
                <w:szCs w:val="21"/>
                <w:color w:val="auto"/>
              </w:rPr>
            </w:pPr>
          </w:p>
        </w:tc>
      </w:tr>
      <w:tr>
        <w:trPr>
          <w:trHeight w:val="226"/>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15,000</w:t>
            </w: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26.495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10/15/13</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3"/>
        </w:trPr>
        <w:tc>
          <w:tcPr>
            <w:tcW w:w="31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31.475</w:t>
            </w:r>
          </w:p>
        </w:tc>
        <w:tc>
          <w:tcPr>
            <w:tcW w:w="36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0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10/13/14</w:t>
            </w:r>
          </w:p>
        </w:tc>
        <w:tc>
          <w:tcPr>
            <w:tcW w:w="380" w:type="dxa"/>
            <w:vAlign w:val="bottom"/>
            <w:shd w:val="clear" w:color="auto" w:fill="D6F3E8"/>
          </w:tcPr>
          <w:p>
            <w:pPr>
              <w:spacing w:after="0"/>
              <w:rPr>
                <w:sz w:val="20"/>
                <w:szCs w:val="20"/>
                <w:color w:val="auto"/>
              </w:rPr>
            </w:pPr>
          </w:p>
        </w:tc>
        <w:tc>
          <w:tcPr>
            <w:tcW w:w="110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760" w:type="dxa"/>
            <w:vAlign w:val="bottom"/>
            <w:shd w:val="clear" w:color="auto" w:fill="D6F3E8"/>
          </w:tcPr>
          <w:p>
            <w:pPr>
              <w:spacing w:after="0"/>
              <w:rPr>
                <w:sz w:val="20"/>
                <w:szCs w:val="20"/>
                <w:color w:val="auto"/>
              </w:rPr>
            </w:pPr>
          </w:p>
        </w:tc>
      </w:tr>
      <w:tr>
        <w:trPr>
          <w:trHeight w:val="237"/>
        </w:trPr>
        <w:tc>
          <w:tcPr>
            <w:tcW w:w="3180" w:type="dxa"/>
            <w:vAlign w:val="bottom"/>
            <w:tcBorders>
              <w:bottom w:val="single" w:sz="8" w:color="D6F3E8"/>
            </w:tcBorders>
          </w:tcPr>
          <w:p>
            <w:pPr>
              <w:spacing w:after="0"/>
              <w:rPr>
                <w:sz w:val="20"/>
                <w:szCs w:val="20"/>
                <w:color w:val="auto"/>
              </w:rPr>
            </w:pPr>
          </w:p>
        </w:tc>
        <w:tc>
          <w:tcPr>
            <w:tcW w:w="100" w:type="dxa"/>
            <w:vAlign w:val="bottom"/>
            <w:tcBorders>
              <w:bottom w:val="single" w:sz="8" w:color="D6F3E8"/>
            </w:tcBorders>
          </w:tcPr>
          <w:p>
            <w:pPr>
              <w:spacing w:after="0"/>
              <w:rPr>
                <w:sz w:val="20"/>
                <w:szCs w:val="20"/>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tcBorders>
              <w:bottom w:val="single" w:sz="8" w:color="D6F3E8"/>
            </w:tcBorders>
            <w:gridSpan w:val="2"/>
          </w:tcPr>
          <w:p>
            <w:pPr>
              <w:ind w:left="860"/>
              <w:spacing w:after="0"/>
              <w:rPr>
                <w:sz w:val="20"/>
                <w:szCs w:val="20"/>
                <w:color w:val="auto"/>
              </w:rPr>
            </w:pPr>
            <w:r>
              <w:rPr>
                <w:rFonts w:ascii="Arial" w:cs="Arial" w:eastAsia="Arial" w:hAnsi="Arial"/>
                <w:sz w:val="18"/>
                <w:szCs w:val="18"/>
                <w:color w:val="auto"/>
              </w:rPr>
              <w:t>26.930</w:t>
            </w:r>
          </w:p>
        </w:tc>
        <w:tc>
          <w:tcPr>
            <w:tcW w:w="360" w:type="dxa"/>
            <w:vAlign w:val="bottom"/>
            <w:tcBorders>
              <w:bottom w:val="single" w:sz="8" w:color="D6F3E8"/>
            </w:tcBorders>
          </w:tcPr>
          <w:p>
            <w:pPr>
              <w:spacing w:after="0"/>
              <w:rPr>
                <w:sz w:val="20"/>
                <w:szCs w:val="20"/>
                <w:color w:val="auto"/>
              </w:rPr>
            </w:pPr>
          </w:p>
        </w:tc>
        <w:tc>
          <w:tcPr>
            <w:tcW w:w="340" w:type="dxa"/>
            <w:vAlign w:val="bottom"/>
            <w:tcBorders>
              <w:bottom w:val="single" w:sz="8" w:color="D6F3E8"/>
            </w:tcBorders>
          </w:tcPr>
          <w:p>
            <w:pPr>
              <w:spacing w:after="0"/>
              <w:rPr>
                <w:sz w:val="20"/>
                <w:szCs w:val="20"/>
                <w:color w:val="auto"/>
              </w:rPr>
            </w:pPr>
          </w:p>
        </w:tc>
        <w:tc>
          <w:tcPr>
            <w:tcW w:w="1000" w:type="dxa"/>
            <w:vAlign w:val="bottom"/>
            <w:tcBorders>
              <w:bottom w:val="single" w:sz="8" w:color="D6F3E8"/>
            </w:tcBorders>
          </w:tcPr>
          <w:p>
            <w:pPr>
              <w:jc w:val="right"/>
              <w:ind w:right="36"/>
              <w:spacing w:after="0"/>
              <w:rPr>
                <w:sz w:val="20"/>
                <w:szCs w:val="20"/>
                <w:color w:val="auto"/>
              </w:rPr>
            </w:pPr>
            <w:r>
              <w:rPr>
                <w:rFonts w:ascii="Arial" w:cs="Arial" w:eastAsia="Arial" w:hAnsi="Arial"/>
                <w:sz w:val="18"/>
                <w:szCs w:val="18"/>
                <w:color w:val="auto"/>
              </w:rPr>
              <w:t>10/12/15</w:t>
            </w:r>
          </w:p>
        </w:tc>
        <w:tc>
          <w:tcPr>
            <w:tcW w:w="380" w:type="dxa"/>
            <w:vAlign w:val="bottom"/>
            <w:tcBorders>
              <w:bottom w:val="single" w:sz="8" w:color="D6F3E8"/>
            </w:tcBorders>
          </w:tcPr>
          <w:p>
            <w:pPr>
              <w:spacing w:after="0"/>
              <w:rPr>
                <w:sz w:val="20"/>
                <w:szCs w:val="20"/>
                <w:color w:val="auto"/>
              </w:rPr>
            </w:pPr>
          </w:p>
        </w:tc>
        <w:tc>
          <w:tcPr>
            <w:tcW w:w="1100" w:type="dxa"/>
            <w:vAlign w:val="bottom"/>
            <w:tcBorders>
              <w:bottom w:val="single" w:sz="8" w:color="D6F3E8"/>
            </w:tcBorders>
          </w:tcPr>
          <w:p>
            <w:pPr>
              <w:spacing w:after="0"/>
              <w:rPr>
                <w:sz w:val="20"/>
                <w:szCs w:val="20"/>
                <w:color w:val="auto"/>
              </w:rPr>
            </w:pPr>
          </w:p>
        </w:tc>
        <w:tc>
          <w:tcPr>
            <w:tcW w:w="360" w:type="dxa"/>
            <w:vAlign w:val="bottom"/>
            <w:tcBorders>
              <w:bottom w:val="single" w:sz="8" w:color="D6F3E8"/>
            </w:tcBorders>
          </w:tcPr>
          <w:p>
            <w:pPr>
              <w:spacing w:after="0"/>
              <w:rPr>
                <w:sz w:val="20"/>
                <w:szCs w:val="20"/>
                <w:color w:val="auto"/>
              </w:rPr>
            </w:pPr>
          </w:p>
        </w:tc>
        <w:tc>
          <w:tcPr>
            <w:tcW w:w="1760" w:type="dxa"/>
            <w:vAlign w:val="bottom"/>
            <w:tcBorders>
              <w:bottom w:val="single" w:sz="8" w:color="D6F3E8"/>
            </w:tcBorders>
          </w:tcPr>
          <w:p>
            <w:pPr>
              <w:spacing w:after="0"/>
              <w:rPr>
                <w:sz w:val="20"/>
                <w:szCs w:val="20"/>
                <w:color w:val="auto"/>
              </w:rPr>
            </w:pPr>
          </w:p>
        </w:tc>
      </w:tr>
      <w:tr>
        <w:trPr>
          <w:trHeight w:val="230"/>
        </w:trPr>
        <w:tc>
          <w:tcPr>
            <w:tcW w:w="3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48,746</w:t>
            </w:r>
          </w:p>
        </w:tc>
        <w:tc>
          <w:tcPr>
            <w:tcW w:w="360" w:type="dxa"/>
            <w:vAlign w:val="bottom"/>
            <w:shd w:val="clear" w:color="auto" w:fill="D6F3E8"/>
          </w:tcPr>
          <w:p>
            <w:pPr>
              <w:spacing w:after="0"/>
              <w:rPr>
                <w:sz w:val="19"/>
                <w:szCs w:val="19"/>
                <w:color w:val="auto"/>
              </w:rPr>
            </w:pPr>
          </w:p>
        </w:tc>
        <w:tc>
          <w:tcPr>
            <w:tcW w:w="1120" w:type="dxa"/>
            <w:vAlign w:val="bottom"/>
            <w:shd w:val="clear" w:color="auto" w:fill="D6F3E8"/>
          </w:tcPr>
          <w:p>
            <w:pPr>
              <w:spacing w:after="0"/>
              <w:rPr>
                <w:sz w:val="19"/>
                <w:szCs w:val="19"/>
                <w:color w:val="auto"/>
              </w:rPr>
            </w:pPr>
          </w:p>
        </w:tc>
        <w:tc>
          <w:tcPr>
            <w:tcW w:w="36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1000" w:type="dxa"/>
            <w:vAlign w:val="bottom"/>
            <w:shd w:val="clear" w:color="auto" w:fill="D6F3E8"/>
          </w:tcPr>
          <w:p>
            <w:pPr>
              <w:spacing w:after="0"/>
              <w:rPr>
                <w:sz w:val="19"/>
                <w:szCs w:val="19"/>
                <w:color w:val="auto"/>
              </w:rPr>
            </w:pPr>
          </w:p>
        </w:tc>
        <w:tc>
          <w:tcPr>
            <w:tcW w:w="380" w:type="dxa"/>
            <w:vAlign w:val="bottom"/>
            <w:shd w:val="clear" w:color="auto" w:fill="D6F3E8"/>
          </w:tcPr>
          <w:p>
            <w:pPr>
              <w:spacing w:after="0"/>
              <w:rPr>
                <w:sz w:val="19"/>
                <w:szCs w:val="19"/>
                <w:color w:val="auto"/>
              </w:rPr>
            </w:pPr>
          </w:p>
        </w:tc>
        <w:tc>
          <w:tcPr>
            <w:tcW w:w="1100" w:type="dxa"/>
            <w:vAlign w:val="bottom"/>
            <w:shd w:val="clear" w:color="auto" w:fill="D6F3E8"/>
          </w:tcPr>
          <w:p>
            <w:pPr>
              <w:jc w:val="right"/>
              <w:ind w:right="45"/>
              <w:spacing w:after="0"/>
              <w:rPr>
                <w:sz w:val="20"/>
                <w:szCs w:val="20"/>
                <w:color w:val="auto"/>
              </w:rPr>
            </w:pPr>
            <w:r>
              <w:rPr>
                <w:rFonts w:ascii="Arial" w:cs="Arial" w:eastAsia="Arial" w:hAnsi="Arial"/>
                <w:sz w:val="18"/>
                <w:szCs w:val="18"/>
                <w:color w:val="auto"/>
              </w:rPr>
              <w:t>8,667</w:t>
            </w:r>
          </w:p>
        </w:tc>
        <w:tc>
          <w:tcPr>
            <w:tcW w:w="360" w:type="dxa"/>
            <w:vAlign w:val="bottom"/>
            <w:shd w:val="clear" w:color="auto" w:fill="D6F3E8"/>
          </w:tcPr>
          <w:p>
            <w:pPr>
              <w:spacing w:after="0"/>
              <w:rPr>
                <w:sz w:val="19"/>
                <w:szCs w:val="19"/>
                <w:color w:val="auto"/>
              </w:rPr>
            </w:pPr>
          </w:p>
        </w:tc>
        <w:tc>
          <w:tcPr>
            <w:tcW w:w="1760" w:type="dxa"/>
            <w:vAlign w:val="bottom"/>
            <w:shd w:val="clear" w:color="auto" w:fill="D6F3E8"/>
          </w:tcPr>
          <w:p>
            <w:pPr>
              <w:jc w:val="right"/>
              <w:ind w:right="246"/>
              <w:spacing w:after="0"/>
              <w:rPr>
                <w:sz w:val="20"/>
                <w:szCs w:val="20"/>
                <w:color w:val="auto"/>
              </w:rPr>
            </w:pPr>
            <w:r>
              <w:rPr>
                <w:rFonts w:ascii="Arial" w:cs="Arial" w:eastAsia="Arial" w:hAnsi="Arial"/>
                <w:sz w:val="18"/>
                <w:szCs w:val="18"/>
                <w:color w:val="auto"/>
              </w:rPr>
              <w:t>100,711</w:t>
            </w:r>
          </w:p>
        </w:tc>
      </w:tr>
      <w:tr>
        <w:trPr>
          <w:trHeight w:val="384"/>
        </w:trPr>
        <w:tc>
          <w:tcPr>
            <w:tcW w:w="328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15,000</w:t>
            </w: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26.495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10/15/13</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31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31.475</w:t>
            </w:r>
          </w:p>
        </w:tc>
        <w:tc>
          <w:tcPr>
            <w:tcW w:w="36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0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10/13/14</w:t>
            </w:r>
          </w:p>
        </w:tc>
        <w:tc>
          <w:tcPr>
            <w:tcW w:w="380" w:type="dxa"/>
            <w:vAlign w:val="bottom"/>
            <w:shd w:val="clear" w:color="auto" w:fill="D6F3E8"/>
          </w:tcPr>
          <w:p>
            <w:pPr>
              <w:spacing w:after="0"/>
              <w:rPr>
                <w:sz w:val="20"/>
                <w:szCs w:val="20"/>
                <w:color w:val="auto"/>
              </w:rPr>
            </w:pPr>
          </w:p>
        </w:tc>
        <w:tc>
          <w:tcPr>
            <w:tcW w:w="110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760" w:type="dxa"/>
            <w:vAlign w:val="bottom"/>
            <w:shd w:val="clear" w:color="auto" w:fill="D6F3E8"/>
          </w:tcPr>
          <w:p>
            <w:pPr>
              <w:spacing w:after="0"/>
              <w:rPr>
                <w:sz w:val="20"/>
                <w:szCs w:val="20"/>
                <w:color w:val="auto"/>
              </w:rPr>
            </w:pPr>
          </w:p>
        </w:tc>
      </w:tr>
      <w:tr>
        <w:trPr>
          <w:trHeight w:val="237"/>
        </w:trPr>
        <w:tc>
          <w:tcPr>
            <w:tcW w:w="3180" w:type="dxa"/>
            <w:vAlign w:val="bottom"/>
            <w:tcBorders>
              <w:bottom w:val="single" w:sz="8" w:color="D6F3E8"/>
            </w:tcBorders>
          </w:tcPr>
          <w:p>
            <w:pPr>
              <w:spacing w:after="0"/>
              <w:rPr>
                <w:sz w:val="20"/>
                <w:szCs w:val="20"/>
                <w:color w:val="auto"/>
              </w:rPr>
            </w:pPr>
          </w:p>
        </w:tc>
        <w:tc>
          <w:tcPr>
            <w:tcW w:w="100" w:type="dxa"/>
            <w:vAlign w:val="bottom"/>
            <w:tcBorders>
              <w:bottom w:val="single" w:sz="8" w:color="D6F3E8"/>
            </w:tcBorders>
          </w:tcPr>
          <w:p>
            <w:pPr>
              <w:spacing w:after="0"/>
              <w:rPr>
                <w:sz w:val="20"/>
                <w:szCs w:val="20"/>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tcBorders>
              <w:bottom w:val="single" w:sz="8" w:color="D6F3E8"/>
            </w:tcBorders>
            <w:gridSpan w:val="2"/>
          </w:tcPr>
          <w:p>
            <w:pPr>
              <w:ind w:left="860"/>
              <w:spacing w:after="0"/>
              <w:rPr>
                <w:sz w:val="20"/>
                <w:szCs w:val="20"/>
                <w:color w:val="auto"/>
              </w:rPr>
            </w:pPr>
            <w:r>
              <w:rPr>
                <w:rFonts w:ascii="Arial" w:cs="Arial" w:eastAsia="Arial" w:hAnsi="Arial"/>
                <w:sz w:val="18"/>
                <w:szCs w:val="18"/>
                <w:color w:val="auto"/>
              </w:rPr>
              <w:t>26.930</w:t>
            </w:r>
          </w:p>
        </w:tc>
        <w:tc>
          <w:tcPr>
            <w:tcW w:w="360" w:type="dxa"/>
            <w:vAlign w:val="bottom"/>
            <w:tcBorders>
              <w:bottom w:val="single" w:sz="8" w:color="D6F3E8"/>
            </w:tcBorders>
          </w:tcPr>
          <w:p>
            <w:pPr>
              <w:spacing w:after="0"/>
              <w:rPr>
                <w:sz w:val="20"/>
                <w:szCs w:val="20"/>
                <w:color w:val="auto"/>
              </w:rPr>
            </w:pPr>
          </w:p>
        </w:tc>
        <w:tc>
          <w:tcPr>
            <w:tcW w:w="340" w:type="dxa"/>
            <w:vAlign w:val="bottom"/>
            <w:tcBorders>
              <w:bottom w:val="single" w:sz="8" w:color="D6F3E8"/>
            </w:tcBorders>
          </w:tcPr>
          <w:p>
            <w:pPr>
              <w:spacing w:after="0"/>
              <w:rPr>
                <w:sz w:val="20"/>
                <w:szCs w:val="20"/>
                <w:color w:val="auto"/>
              </w:rPr>
            </w:pPr>
          </w:p>
        </w:tc>
        <w:tc>
          <w:tcPr>
            <w:tcW w:w="1000" w:type="dxa"/>
            <w:vAlign w:val="bottom"/>
            <w:tcBorders>
              <w:bottom w:val="single" w:sz="8" w:color="D6F3E8"/>
            </w:tcBorders>
          </w:tcPr>
          <w:p>
            <w:pPr>
              <w:jc w:val="right"/>
              <w:ind w:right="36"/>
              <w:spacing w:after="0"/>
              <w:rPr>
                <w:sz w:val="20"/>
                <w:szCs w:val="20"/>
                <w:color w:val="auto"/>
              </w:rPr>
            </w:pPr>
            <w:r>
              <w:rPr>
                <w:rFonts w:ascii="Arial" w:cs="Arial" w:eastAsia="Arial" w:hAnsi="Arial"/>
                <w:sz w:val="18"/>
                <w:szCs w:val="18"/>
                <w:color w:val="auto"/>
              </w:rPr>
              <w:t>10/12/15</w:t>
            </w:r>
          </w:p>
        </w:tc>
        <w:tc>
          <w:tcPr>
            <w:tcW w:w="380" w:type="dxa"/>
            <w:vAlign w:val="bottom"/>
            <w:tcBorders>
              <w:bottom w:val="single" w:sz="8" w:color="D6F3E8"/>
            </w:tcBorders>
          </w:tcPr>
          <w:p>
            <w:pPr>
              <w:spacing w:after="0"/>
              <w:rPr>
                <w:sz w:val="20"/>
                <w:szCs w:val="20"/>
                <w:color w:val="auto"/>
              </w:rPr>
            </w:pPr>
          </w:p>
        </w:tc>
        <w:tc>
          <w:tcPr>
            <w:tcW w:w="1100" w:type="dxa"/>
            <w:vAlign w:val="bottom"/>
            <w:tcBorders>
              <w:bottom w:val="single" w:sz="8" w:color="D6F3E8"/>
            </w:tcBorders>
          </w:tcPr>
          <w:p>
            <w:pPr>
              <w:spacing w:after="0"/>
              <w:rPr>
                <w:sz w:val="20"/>
                <w:szCs w:val="20"/>
                <w:color w:val="auto"/>
              </w:rPr>
            </w:pPr>
          </w:p>
        </w:tc>
        <w:tc>
          <w:tcPr>
            <w:tcW w:w="360" w:type="dxa"/>
            <w:vAlign w:val="bottom"/>
            <w:tcBorders>
              <w:bottom w:val="single" w:sz="8" w:color="D6F3E8"/>
            </w:tcBorders>
          </w:tcPr>
          <w:p>
            <w:pPr>
              <w:spacing w:after="0"/>
              <w:rPr>
                <w:sz w:val="20"/>
                <w:szCs w:val="20"/>
                <w:color w:val="auto"/>
              </w:rPr>
            </w:pPr>
          </w:p>
        </w:tc>
        <w:tc>
          <w:tcPr>
            <w:tcW w:w="1760" w:type="dxa"/>
            <w:vAlign w:val="bottom"/>
            <w:tcBorders>
              <w:bottom w:val="single" w:sz="8" w:color="D6F3E8"/>
            </w:tcBorders>
          </w:tcPr>
          <w:p>
            <w:pPr>
              <w:spacing w:after="0"/>
              <w:rPr>
                <w:sz w:val="20"/>
                <w:szCs w:val="20"/>
                <w:color w:val="auto"/>
              </w:rPr>
            </w:pPr>
          </w:p>
        </w:tc>
      </w:tr>
      <w:tr>
        <w:trPr>
          <w:trHeight w:val="230"/>
        </w:trPr>
        <w:tc>
          <w:tcPr>
            <w:tcW w:w="3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D6F3E8"/>
          </w:tcPr>
          <w:p>
            <w:pPr>
              <w:spacing w:after="0"/>
              <w:rPr>
                <w:sz w:val="19"/>
                <w:szCs w:val="19"/>
                <w:color w:val="auto"/>
              </w:rPr>
            </w:pPr>
          </w:p>
        </w:tc>
        <w:tc>
          <w:tcPr>
            <w:tcW w:w="1120" w:type="dxa"/>
            <w:vAlign w:val="bottom"/>
            <w:shd w:val="clear" w:color="auto" w:fill="D6F3E8"/>
          </w:tcPr>
          <w:p>
            <w:pPr>
              <w:spacing w:after="0"/>
              <w:rPr>
                <w:sz w:val="19"/>
                <w:szCs w:val="19"/>
                <w:color w:val="auto"/>
              </w:rPr>
            </w:pPr>
          </w:p>
        </w:tc>
        <w:tc>
          <w:tcPr>
            <w:tcW w:w="36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1000" w:type="dxa"/>
            <w:vAlign w:val="bottom"/>
            <w:shd w:val="clear" w:color="auto" w:fill="D6F3E8"/>
          </w:tcPr>
          <w:p>
            <w:pPr>
              <w:spacing w:after="0"/>
              <w:rPr>
                <w:sz w:val="19"/>
                <w:szCs w:val="19"/>
                <w:color w:val="auto"/>
              </w:rPr>
            </w:pPr>
          </w:p>
        </w:tc>
        <w:tc>
          <w:tcPr>
            <w:tcW w:w="380" w:type="dxa"/>
            <w:vAlign w:val="bottom"/>
            <w:shd w:val="clear" w:color="auto" w:fill="D6F3E8"/>
          </w:tcPr>
          <w:p>
            <w:pPr>
              <w:spacing w:after="0"/>
              <w:rPr>
                <w:sz w:val="19"/>
                <w:szCs w:val="19"/>
                <w:color w:val="auto"/>
              </w:rPr>
            </w:pPr>
          </w:p>
        </w:tc>
        <w:tc>
          <w:tcPr>
            <w:tcW w:w="1100" w:type="dxa"/>
            <w:vAlign w:val="bottom"/>
            <w:shd w:val="clear" w:color="auto" w:fill="D6F3E8"/>
          </w:tcPr>
          <w:p>
            <w:pPr>
              <w:jc w:val="right"/>
              <w:ind w:right="45"/>
              <w:spacing w:after="0"/>
              <w:rPr>
                <w:sz w:val="20"/>
                <w:szCs w:val="20"/>
                <w:color w:val="auto"/>
              </w:rPr>
            </w:pPr>
            <w:r>
              <w:rPr>
                <w:rFonts w:ascii="Arial" w:cs="Arial" w:eastAsia="Arial" w:hAnsi="Arial"/>
                <w:sz w:val="18"/>
                <w:szCs w:val="18"/>
                <w:color w:val="auto"/>
              </w:rPr>
              <w:t>5,001</w:t>
            </w:r>
          </w:p>
        </w:tc>
        <w:tc>
          <w:tcPr>
            <w:tcW w:w="360" w:type="dxa"/>
            <w:vAlign w:val="bottom"/>
            <w:shd w:val="clear" w:color="auto" w:fill="D6F3E8"/>
          </w:tcPr>
          <w:p>
            <w:pPr>
              <w:spacing w:after="0"/>
              <w:rPr>
                <w:sz w:val="19"/>
                <w:szCs w:val="19"/>
                <w:color w:val="auto"/>
              </w:rPr>
            </w:pPr>
          </w:p>
        </w:tc>
        <w:tc>
          <w:tcPr>
            <w:tcW w:w="1760" w:type="dxa"/>
            <w:vAlign w:val="bottom"/>
            <w:shd w:val="clear" w:color="auto" w:fill="D6F3E8"/>
          </w:tcPr>
          <w:p>
            <w:pPr>
              <w:jc w:val="right"/>
              <w:ind w:right="246"/>
              <w:spacing w:after="0"/>
              <w:rPr>
                <w:sz w:val="20"/>
                <w:szCs w:val="20"/>
                <w:color w:val="auto"/>
              </w:rPr>
            </w:pPr>
            <w:r>
              <w:rPr>
                <w:rFonts w:ascii="Arial" w:cs="Arial" w:eastAsia="Arial" w:hAnsi="Arial"/>
                <w:sz w:val="18"/>
                <w:szCs w:val="18"/>
                <w:color w:val="auto"/>
              </w:rPr>
              <w:t>58,112</w:t>
            </w:r>
          </w:p>
        </w:tc>
      </w:tr>
      <w:tr>
        <w:trPr>
          <w:trHeight w:val="384"/>
        </w:trPr>
        <w:tc>
          <w:tcPr>
            <w:tcW w:w="3280" w:type="dxa"/>
            <w:vAlign w:val="bottom"/>
            <w:gridSpan w:val="2"/>
          </w:tcPr>
          <w:p>
            <w:pPr>
              <w:spacing w:after="0"/>
              <w:rPr>
                <w:sz w:val="20"/>
                <w:szCs w:val="20"/>
                <w:color w:val="auto"/>
              </w:rPr>
            </w:pPr>
            <w:r>
              <w:rPr>
                <w:rFonts w:ascii="Arial" w:cs="Arial" w:eastAsia="Arial" w:hAnsi="Arial"/>
                <w:sz w:val="18"/>
                <w:szCs w:val="18"/>
                <w:color w:val="auto"/>
              </w:rPr>
              <w:t>Roger W. Martin</w:t>
            </w: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15,000</w:t>
            </w: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26.495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10/15/13</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318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31.475</w:t>
            </w:r>
          </w:p>
        </w:tc>
        <w:tc>
          <w:tcPr>
            <w:tcW w:w="360" w:type="dxa"/>
            <w:vAlign w:val="bottom"/>
            <w:shd w:val="clear" w:color="auto" w:fill="D6F3E8"/>
          </w:tcPr>
          <w:p>
            <w:pPr>
              <w:spacing w:after="0"/>
              <w:rPr>
                <w:sz w:val="20"/>
                <w:szCs w:val="20"/>
                <w:color w:val="auto"/>
              </w:rPr>
            </w:pPr>
          </w:p>
        </w:tc>
        <w:tc>
          <w:tcPr>
            <w:tcW w:w="340" w:type="dxa"/>
            <w:vAlign w:val="bottom"/>
            <w:shd w:val="clear" w:color="auto" w:fill="D6F3E8"/>
          </w:tcPr>
          <w:p>
            <w:pPr>
              <w:spacing w:after="0"/>
              <w:rPr>
                <w:sz w:val="20"/>
                <w:szCs w:val="20"/>
                <w:color w:val="auto"/>
              </w:rPr>
            </w:pPr>
          </w:p>
        </w:tc>
        <w:tc>
          <w:tcPr>
            <w:tcW w:w="10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10/13/14</w:t>
            </w:r>
          </w:p>
        </w:tc>
        <w:tc>
          <w:tcPr>
            <w:tcW w:w="380" w:type="dxa"/>
            <w:vAlign w:val="bottom"/>
            <w:shd w:val="clear" w:color="auto" w:fill="D6F3E8"/>
          </w:tcPr>
          <w:p>
            <w:pPr>
              <w:spacing w:after="0"/>
              <w:rPr>
                <w:sz w:val="20"/>
                <w:szCs w:val="20"/>
                <w:color w:val="auto"/>
              </w:rPr>
            </w:pPr>
          </w:p>
        </w:tc>
        <w:tc>
          <w:tcPr>
            <w:tcW w:w="1100" w:type="dxa"/>
            <w:vAlign w:val="bottom"/>
            <w:shd w:val="clear" w:color="auto" w:fill="D6F3E8"/>
          </w:tcPr>
          <w:p>
            <w:pPr>
              <w:spacing w:after="0"/>
              <w:rPr>
                <w:sz w:val="20"/>
                <w:szCs w:val="20"/>
                <w:color w:val="auto"/>
              </w:rPr>
            </w:pPr>
          </w:p>
        </w:tc>
        <w:tc>
          <w:tcPr>
            <w:tcW w:w="360" w:type="dxa"/>
            <w:vAlign w:val="bottom"/>
            <w:shd w:val="clear" w:color="auto" w:fill="D6F3E8"/>
          </w:tcPr>
          <w:p>
            <w:pPr>
              <w:spacing w:after="0"/>
              <w:rPr>
                <w:sz w:val="20"/>
                <w:szCs w:val="20"/>
                <w:color w:val="auto"/>
              </w:rPr>
            </w:pPr>
          </w:p>
        </w:tc>
        <w:tc>
          <w:tcPr>
            <w:tcW w:w="1760" w:type="dxa"/>
            <w:vAlign w:val="bottom"/>
            <w:shd w:val="clear" w:color="auto" w:fill="D6F3E8"/>
          </w:tcPr>
          <w:p>
            <w:pPr>
              <w:spacing w:after="0"/>
              <w:rPr>
                <w:sz w:val="20"/>
                <w:szCs w:val="20"/>
                <w:color w:val="auto"/>
              </w:rPr>
            </w:pPr>
          </w:p>
        </w:tc>
      </w:tr>
      <w:tr>
        <w:trPr>
          <w:trHeight w:val="237"/>
        </w:trPr>
        <w:tc>
          <w:tcPr>
            <w:tcW w:w="3180" w:type="dxa"/>
            <w:vAlign w:val="bottom"/>
            <w:tcBorders>
              <w:bottom w:val="single" w:sz="8" w:color="D6F3E8"/>
            </w:tcBorders>
          </w:tcPr>
          <w:p>
            <w:pPr>
              <w:spacing w:after="0"/>
              <w:rPr>
                <w:sz w:val="20"/>
                <w:szCs w:val="20"/>
                <w:color w:val="auto"/>
              </w:rPr>
            </w:pPr>
          </w:p>
        </w:tc>
        <w:tc>
          <w:tcPr>
            <w:tcW w:w="100" w:type="dxa"/>
            <w:vAlign w:val="bottom"/>
            <w:tcBorders>
              <w:bottom w:val="single" w:sz="8" w:color="D6F3E8"/>
            </w:tcBorders>
          </w:tcPr>
          <w:p>
            <w:pPr>
              <w:spacing w:after="0"/>
              <w:rPr>
                <w:sz w:val="20"/>
                <w:szCs w:val="20"/>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tcBorders>
              <w:bottom w:val="single" w:sz="8" w:color="D6F3E8"/>
            </w:tcBorders>
            <w:gridSpan w:val="2"/>
          </w:tcPr>
          <w:p>
            <w:pPr>
              <w:ind w:left="860"/>
              <w:spacing w:after="0"/>
              <w:rPr>
                <w:sz w:val="20"/>
                <w:szCs w:val="20"/>
                <w:color w:val="auto"/>
              </w:rPr>
            </w:pPr>
            <w:r>
              <w:rPr>
                <w:rFonts w:ascii="Arial" w:cs="Arial" w:eastAsia="Arial" w:hAnsi="Arial"/>
                <w:sz w:val="18"/>
                <w:szCs w:val="18"/>
                <w:color w:val="auto"/>
              </w:rPr>
              <w:t>26.930</w:t>
            </w:r>
          </w:p>
        </w:tc>
        <w:tc>
          <w:tcPr>
            <w:tcW w:w="360" w:type="dxa"/>
            <w:vAlign w:val="bottom"/>
            <w:tcBorders>
              <w:bottom w:val="single" w:sz="8" w:color="D6F3E8"/>
            </w:tcBorders>
          </w:tcPr>
          <w:p>
            <w:pPr>
              <w:spacing w:after="0"/>
              <w:rPr>
                <w:sz w:val="20"/>
                <w:szCs w:val="20"/>
                <w:color w:val="auto"/>
              </w:rPr>
            </w:pPr>
          </w:p>
        </w:tc>
        <w:tc>
          <w:tcPr>
            <w:tcW w:w="340" w:type="dxa"/>
            <w:vAlign w:val="bottom"/>
            <w:tcBorders>
              <w:bottom w:val="single" w:sz="8" w:color="D6F3E8"/>
            </w:tcBorders>
          </w:tcPr>
          <w:p>
            <w:pPr>
              <w:spacing w:after="0"/>
              <w:rPr>
                <w:sz w:val="20"/>
                <w:szCs w:val="20"/>
                <w:color w:val="auto"/>
              </w:rPr>
            </w:pPr>
          </w:p>
        </w:tc>
        <w:tc>
          <w:tcPr>
            <w:tcW w:w="1000" w:type="dxa"/>
            <w:vAlign w:val="bottom"/>
            <w:tcBorders>
              <w:bottom w:val="single" w:sz="8" w:color="D6F3E8"/>
            </w:tcBorders>
          </w:tcPr>
          <w:p>
            <w:pPr>
              <w:jc w:val="right"/>
              <w:ind w:right="36"/>
              <w:spacing w:after="0"/>
              <w:rPr>
                <w:sz w:val="20"/>
                <w:szCs w:val="20"/>
                <w:color w:val="auto"/>
              </w:rPr>
            </w:pPr>
            <w:r>
              <w:rPr>
                <w:rFonts w:ascii="Arial" w:cs="Arial" w:eastAsia="Arial" w:hAnsi="Arial"/>
                <w:sz w:val="18"/>
                <w:szCs w:val="18"/>
                <w:color w:val="auto"/>
              </w:rPr>
              <w:t>10/12/15</w:t>
            </w:r>
          </w:p>
        </w:tc>
        <w:tc>
          <w:tcPr>
            <w:tcW w:w="380" w:type="dxa"/>
            <w:vAlign w:val="bottom"/>
            <w:tcBorders>
              <w:bottom w:val="single" w:sz="8" w:color="D6F3E8"/>
            </w:tcBorders>
          </w:tcPr>
          <w:p>
            <w:pPr>
              <w:spacing w:after="0"/>
              <w:rPr>
                <w:sz w:val="20"/>
                <w:szCs w:val="20"/>
                <w:color w:val="auto"/>
              </w:rPr>
            </w:pPr>
          </w:p>
        </w:tc>
        <w:tc>
          <w:tcPr>
            <w:tcW w:w="1100" w:type="dxa"/>
            <w:vAlign w:val="bottom"/>
            <w:tcBorders>
              <w:bottom w:val="single" w:sz="8" w:color="D6F3E8"/>
            </w:tcBorders>
          </w:tcPr>
          <w:p>
            <w:pPr>
              <w:spacing w:after="0"/>
              <w:rPr>
                <w:sz w:val="20"/>
                <w:szCs w:val="20"/>
                <w:color w:val="auto"/>
              </w:rPr>
            </w:pPr>
          </w:p>
        </w:tc>
        <w:tc>
          <w:tcPr>
            <w:tcW w:w="360" w:type="dxa"/>
            <w:vAlign w:val="bottom"/>
            <w:tcBorders>
              <w:bottom w:val="single" w:sz="8" w:color="D6F3E8"/>
            </w:tcBorders>
          </w:tcPr>
          <w:p>
            <w:pPr>
              <w:spacing w:after="0"/>
              <w:rPr>
                <w:sz w:val="20"/>
                <w:szCs w:val="20"/>
                <w:color w:val="auto"/>
              </w:rPr>
            </w:pPr>
          </w:p>
        </w:tc>
        <w:tc>
          <w:tcPr>
            <w:tcW w:w="1760" w:type="dxa"/>
            <w:vAlign w:val="bottom"/>
            <w:tcBorders>
              <w:bottom w:val="single" w:sz="8" w:color="D6F3E8"/>
            </w:tcBorders>
          </w:tcPr>
          <w:p>
            <w:pPr>
              <w:spacing w:after="0"/>
              <w:rPr>
                <w:sz w:val="20"/>
                <w:szCs w:val="20"/>
                <w:color w:val="auto"/>
              </w:rPr>
            </w:pPr>
          </w:p>
        </w:tc>
      </w:tr>
      <w:tr>
        <w:trPr>
          <w:trHeight w:val="230"/>
        </w:trPr>
        <w:tc>
          <w:tcPr>
            <w:tcW w:w="318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D6F3E8"/>
          </w:tcPr>
          <w:p>
            <w:pPr>
              <w:spacing w:after="0"/>
              <w:rPr>
                <w:sz w:val="19"/>
                <w:szCs w:val="19"/>
                <w:color w:val="auto"/>
              </w:rPr>
            </w:pPr>
          </w:p>
        </w:tc>
        <w:tc>
          <w:tcPr>
            <w:tcW w:w="1120" w:type="dxa"/>
            <w:vAlign w:val="bottom"/>
            <w:shd w:val="clear" w:color="auto" w:fill="D6F3E8"/>
          </w:tcPr>
          <w:p>
            <w:pPr>
              <w:spacing w:after="0"/>
              <w:rPr>
                <w:sz w:val="19"/>
                <w:szCs w:val="19"/>
                <w:color w:val="auto"/>
              </w:rPr>
            </w:pPr>
          </w:p>
        </w:tc>
        <w:tc>
          <w:tcPr>
            <w:tcW w:w="36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1000" w:type="dxa"/>
            <w:vAlign w:val="bottom"/>
            <w:shd w:val="clear" w:color="auto" w:fill="D6F3E8"/>
          </w:tcPr>
          <w:p>
            <w:pPr>
              <w:spacing w:after="0"/>
              <w:rPr>
                <w:sz w:val="19"/>
                <w:szCs w:val="19"/>
                <w:color w:val="auto"/>
              </w:rPr>
            </w:pPr>
          </w:p>
        </w:tc>
        <w:tc>
          <w:tcPr>
            <w:tcW w:w="380" w:type="dxa"/>
            <w:vAlign w:val="bottom"/>
            <w:shd w:val="clear" w:color="auto" w:fill="D6F3E8"/>
          </w:tcPr>
          <w:p>
            <w:pPr>
              <w:spacing w:after="0"/>
              <w:rPr>
                <w:sz w:val="19"/>
                <w:szCs w:val="19"/>
                <w:color w:val="auto"/>
              </w:rPr>
            </w:pPr>
          </w:p>
        </w:tc>
        <w:tc>
          <w:tcPr>
            <w:tcW w:w="1100" w:type="dxa"/>
            <w:vAlign w:val="bottom"/>
            <w:shd w:val="clear" w:color="auto" w:fill="D6F3E8"/>
          </w:tcPr>
          <w:p>
            <w:pPr>
              <w:jc w:val="right"/>
              <w:ind w:right="45"/>
              <w:spacing w:after="0"/>
              <w:rPr>
                <w:sz w:val="20"/>
                <w:szCs w:val="20"/>
                <w:color w:val="auto"/>
              </w:rPr>
            </w:pPr>
            <w:r>
              <w:rPr>
                <w:rFonts w:ascii="Arial" w:cs="Arial" w:eastAsia="Arial" w:hAnsi="Arial"/>
                <w:sz w:val="18"/>
                <w:szCs w:val="18"/>
                <w:color w:val="auto"/>
              </w:rPr>
              <w:t>5,001</w:t>
            </w:r>
          </w:p>
        </w:tc>
        <w:tc>
          <w:tcPr>
            <w:tcW w:w="360" w:type="dxa"/>
            <w:vAlign w:val="bottom"/>
            <w:shd w:val="clear" w:color="auto" w:fill="D6F3E8"/>
          </w:tcPr>
          <w:p>
            <w:pPr>
              <w:spacing w:after="0"/>
              <w:rPr>
                <w:sz w:val="19"/>
                <w:szCs w:val="19"/>
                <w:color w:val="auto"/>
              </w:rPr>
            </w:pPr>
          </w:p>
        </w:tc>
        <w:tc>
          <w:tcPr>
            <w:tcW w:w="1760" w:type="dxa"/>
            <w:vAlign w:val="bottom"/>
            <w:shd w:val="clear" w:color="auto" w:fill="D6F3E8"/>
          </w:tcPr>
          <w:p>
            <w:pPr>
              <w:jc w:val="right"/>
              <w:ind w:right="246"/>
              <w:spacing w:after="0"/>
              <w:rPr>
                <w:sz w:val="20"/>
                <w:szCs w:val="20"/>
                <w:color w:val="auto"/>
              </w:rPr>
            </w:pPr>
            <w:r>
              <w:rPr>
                <w:rFonts w:ascii="Arial" w:cs="Arial" w:eastAsia="Arial" w:hAnsi="Arial"/>
                <w:sz w:val="18"/>
                <w:szCs w:val="18"/>
                <w:color w:val="auto"/>
              </w:rPr>
              <w:t>58,112</w:t>
            </w:r>
          </w:p>
        </w:tc>
      </w:tr>
      <w:tr>
        <w:trPr>
          <w:trHeight w:val="376"/>
        </w:trPr>
        <w:tc>
          <w:tcPr>
            <w:tcW w:w="3280" w:type="dxa"/>
            <w:vAlign w:val="bottom"/>
            <w:gridSpan w:val="2"/>
          </w:tcPr>
          <w:p>
            <w:pPr>
              <w:spacing w:after="0"/>
              <w:rPr>
                <w:sz w:val="20"/>
                <w:szCs w:val="20"/>
                <w:color w:val="auto"/>
              </w:rPr>
            </w:pPr>
            <w:r>
              <w:rPr>
                <w:rFonts w:ascii="Arial" w:cs="Arial" w:eastAsia="Arial" w:hAnsi="Arial"/>
                <w:sz w:val="18"/>
                <w:szCs w:val="18"/>
                <w:color w:val="auto"/>
              </w:rPr>
              <w:t>Sarah N. Nielsen</w:t>
            </w: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32.345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11/14/15</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5"/>
              <w:spacing w:after="0"/>
              <w:rPr>
                <w:sz w:val="20"/>
                <w:szCs w:val="20"/>
                <w:color w:val="auto"/>
              </w:rPr>
            </w:pPr>
            <w:r>
              <w:rPr>
                <w:rFonts w:ascii="Arial" w:cs="Arial" w:eastAsia="Arial" w:hAnsi="Arial"/>
                <w:sz w:val="18"/>
                <w:szCs w:val="18"/>
                <w:color w:val="auto"/>
              </w:rPr>
              <w:t>5,001</w:t>
            </w:r>
          </w:p>
        </w:tc>
        <w:tc>
          <w:tcPr>
            <w:tcW w:w="360" w:type="dxa"/>
            <w:vAlign w:val="bottom"/>
          </w:tcPr>
          <w:p>
            <w:pPr>
              <w:spacing w:after="0"/>
              <w:rPr>
                <w:sz w:val="19"/>
                <w:szCs w:val="19"/>
                <w:color w:val="auto"/>
              </w:rPr>
            </w:pPr>
          </w:p>
        </w:tc>
        <w:tc>
          <w:tcPr>
            <w:tcW w:w="1760" w:type="dxa"/>
            <w:vAlign w:val="bottom"/>
          </w:tcPr>
          <w:p>
            <w:pPr>
              <w:jc w:val="right"/>
              <w:ind w:right="246"/>
              <w:spacing w:after="0"/>
              <w:rPr>
                <w:sz w:val="20"/>
                <w:szCs w:val="20"/>
                <w:color w:val="auto"/>
              </w:rPr>
            </w:pPr>
            <w:r>
              <w:rPr>
                <w:rFonts w:ascii="Arial" w:cs="Arial" w:eastAsia="Arial" w:hAnsi="Arial"/>
                <w:sz w:val="18"/>
                <w:szCs w:val="18"/>
                <w:color w:val="auto"/>
              </w:rPr>
              <w:t>58,112</w:t>
            </w:r>
          </w:p>
        </w:tc>
      </w:tr>
      <w:tr>
        <w:trPr>
          <w:trHeight w:val="245"/>
        </w:trPr>
        <w:tc>
          <w:tcPr>
            <w:tcW w:w="32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36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15,000</w:t>
            </w:r>
          </w:p>
        </w:tc>
        <w:tc>
          <w:tcPr>
            <w:tcW w:w="148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26.495</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0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10/15/13</w:t>
            </w:r>
          </w:p>
        </w:tc>
        <w:tc>
          <w:tcPr>
            <w:tcW w:w="380" w:type="dxa"/>
            <w:vAlign w:val="bottom"/>
            <w:shd w:val="clear" w:color="auto" w:fill="D6F3E8"/>
          </w:tcPr>
          <w:p>
            <w:pPr>
              <w:spacing w:after="0"/>
              <w:rPr>
                <w:sz w:val="21"/>
                <w:szCs w:val="21"/>
                <w:color w:val="auto"/>
              </w:rPr>
            </w:pPr>
          </w:p>
        </w:tc>
        <w:tc>
          <w:tcPr>
            <w:tcW w:w="110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760" w:type="dxa"/>
            <w:vAlign w:val="bottom"/>
            <w:shd w:val="clear" w:color="auto" w:fill="D6F3E8"/>
          </w:tcPr>
          <w:p>
            <w:pPr>
              <w:spacing w:after="0"/>
              <w:rPr>
                <w:sz w:val="21"/>
                <w:szCs w:val="21"/>
                <w:color w:val="auto"/>
              </w:rPr>
            </w:pPr>
          </w:p>
        </w:tc>
      </w:tr>
      <w:tr>
        <w:trPr>
          <w:trHeight w:val="226"/>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gridSpan w:val="2"/>
          </w:tcPr>
          <w:p>
            <w:pPr>
              <w:ind w:left="860"/>
              <w:spacing w:after="0"/>
              <w:rPr>
                <w:sz w:val="20"/>
                <w:szCs w:val="20"/>
                <w:color w:val="auto"/>
              </w:rPr>
            </w:pPr>
            <w:r>
              <w:rPr>
                <w:rFonts w:ascii="Arial" w:cs="Arial" w:eastAsia="Arial" w:hAnsi="Arial"/>
                <w:sz w:val="18"/>
                <w:szCs w:val="18"/>
                <w:color w:val="auto"/>
              </w:rPr>
              <w:t>31.475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10/13/14</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7"/>
        </w:trPr>
        <w:tc>
          <w:tcPr>
            <w:tcW w:w="318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360" w:type="dxa"/>
            <w:vAlign w:val="bottom"/>
            <w:tcBorders>
              <w:bottom w:val="single" w:sz="8" w:color="auto"/>
            </w:tcBorders>
            <w:shd w:val="clear" w:color="auto" w:fill="D6F3E8"/>
          </w:tcPr>
          <w:p>
            <w:pPr>
              <w:jc w:val="right"/>
              <w:ind w:right="118"/>
              <w:spacing w:after="0"/>
              <w:rPr>
                <w:sz w:val="20"/>
                <w:szCs w:val="20"/>
                <w:color w:val="auto"/>
              </w:rPr>
            </w:pPr>
            <w:r>
              <w:rPr>
                <w:rFonts w:ascii="Arial" w:cs="Arial" w:eastAsia="Arial" w:hAnsi="Arial"/>
                <w:sz w:val="18"/>
                <w:szCs w:val="18"/>
                <w:color w:val="auto"/>
              </w:rPr>
              <w:t>12,500</w:t>
            </w:r>
          </w:p>
        </w:tc>
        <w:tc>
          <w:tcPr>
            <w:tcW w:w="1480" w:type="dxa"/>
            <w:vAlign w:val="bottom"/>
            <w:gridSpan w:val="2"/>
            <w:shd w:val="clear" w:color="auto" w:fill="D6F3E8"/>
          </w:tcPr>
          <w:p>
            <w:pPr>
              <w:ind w:left="860"/>
              <w:spacing w:after="0"/>
              <w:rPr>
                <w:sz w:val="20"/>
                <w:szCs w:val="20"/>
                <w:color w:val="auto"/>
              </w:rPr>
            </w:pPr>
            <w:r>
              <w:rPr>
                <w:rFonts w:ascii="Arial" w:cs="Arial" w:eastAsia="Arial" w:hAnsi="Arial"/>
                <w:sz w:val="18"/>
                <w:szCs w:val="18"/>
                <w:color w:val="auto"/>
              </w:rPr>
              <w:t>26.930</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0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10/12/15</w:t>
            </w:r>
          </w:p>
        </w:tc>
        <w:tc>
          <w:tcPr>
            <w:tcW w:w="380" w:type="dxa"/>
            <w:vAlign w:val="bottom"/>
            <w:shd w:val="clear" w:color="auto" w:fill="D6F3E8"/>
          </w:tcPr>
          <w:p>
            <w:pPr>
              <w:spacing w:after="0"/>
              <w:rPr>
                <w:sz w:val="21"/>
                <w:szCs w:val="21"/>
                <w:color w:val="auto"/>
              </w:rPr>
            </w:pPr>
          </w:p>
        </w:tc>
        <w:tc>
          <w:tcPr>
            <w:tcW w:w="1100" w:type="dxa"/>
            <w:vAlign w:val="bottom"/>
            <w:shd w:val="clear" w:color="auto" w:fill="D6F3E8"/>
          </w:tcPr>
          <w:p>
            <w:pPr>
              <w:spacing w:after="0"/>
              <w:rPr>
                <w:sz w:val="21"/>
                <w:szCs w:val="21"/>
                <w:color w:val="auto"/>
              </w:rPr>
            </w:pPr>
          </w:p>
        </w:tc>
        <w:tc>
          <w:tcPr>
            <w:tcW w:w="360" w:type="dxa"/>
            <w:vAlign w:val="bottom"/>
            <w:shd w:val="clear" w:color="auto" w:fill="D6F3E8"/>
          </w:tcPr>
          <w:p>
            <w:pPr>
              <w:spacing w:after="0"/>
              <w:rPr>
                <w:sz w:val="21"/>
                <w:szCs w:val="21"/>
                <w:color w:val="auto"/>
              </w:rPr>
            </w:pPr>
          </w:p>
        </w:tc>
        <w:tc>
          <w:tcPr>
            <w:tcW w:w="1760" w:type="dxa"/>
            <w:vAlign w:val="bottom"/>
            <w:shd w:val="clear" w:color="auto" w:fill="D6F3E8"/>
          </w:tcPr>
          <w:p>
            <w:pPr>
              <w:spacing w:after="0"/>
              <w:rPr>
                <w:sz w:val="21"/>
                <w:szCs w:val="21"/>
                <w:color w:val="auto"/>
              </w:rPr>
            </w:pPr>
          </w:p>
        </w:tc>
      </w:t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18"/>
              <w:spacing w:after="0"/>
              <w:rPr>
                <w:sz w:val="20"/>
                <w:szCs w:val="20"/>
                <w:color w:val="auto"/>
              </w:rPr>
            </w:pPr>
            <w:r>
              <w:rPr>
                <w:rFonts w:ascii="Arial" w:cs="Arial" w:eastAsia="Arial" w:hAnsi="Arial"/>
                <w:sz w:val="18"/>
                <w:szCs w:val="18"/>
                <w:color w:val="auto"/>
              </w:rPr>
              <w:t>40,000</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45"/>
              <w:spacing w:after="0" w:line="202" w:lineRule="exact"/>
              <w:rPr>
                <w:sz w:val="20"/>
                <w:szCs w:val="20"/>
                <w:color w:val="auto"/>
              </w:rPr>
            </w:pPr>
            <w:r>
              <w:rPr>
                <w:rFonts w:ascii="Arial" w:cs="Arial" w:eastAsia="Arial" w:hAnsi="Arial"/>
                <w:sz w:val="18"/>
                <w:szCs w:val="18"/>
                <w:color w:val="auto"/>
              </w:rPr>
              <w:t>5,001</w:t>
            </w:r>
          </w:p>
        </w:tc>
        <w:tc>
          <w:tcPr>
            <w:tcW w:w="360" w:type="dxa"/>
            <w:vAlign w:val="bottom"/>
          </w:tcPr>
          <w:p>
            <w:pPr>
              <w:spacing w:after="0"/>
              <w:rPr>
                <w:sz w:val="18"/>
                <w:szCs w:val="18"/>
                <w:color w:val="auto"/>
              </w:rPr>
            </w:pPr>
          </w:p>
        </w:tc>
        <w:tc>
          <w:tcPr>
            <w:tcW w:w="1760" w:type="dxa"/>
            <w:vAlign w:val="bottom"/>
          </w:tcPr>
          <w:p>
            <w:pPr>
              <w:jc w:val="right"/>
              <w:ind w:right="246"/>
              <w:spacing w:after="0" w:line="202" w:lineRule="exact"/>
              <w:rPr>
                <w:sz w:val="20"/>
                <w:szCs w:val="20"/>
                <w:color w:val="auto"/>
              </w:rPr>
            </w:pPr>
            <w:r>
              <w:rPr>
                <w:rFonts w:ascii="Arial" w:cs="Arial" w:eastAsia="Arial" w:hAnsi="Arial"/>
                <w:sz w:val="18"/>
                <w:szCs w:val="18"/>
                <w:color w:val="auto"/>
              </w:rPr>
              <w:t>58,112</w:t>
            </w:r>
          </w:p>
        </w:tc>
      </w:tr>
      <w:tr>
        <w:trPr>
          <w:trHeight w:val="222"/>
        </w:trPr>
        <w:tc>
          <w:tcPr>
            <w:tcW w:w="3180" w:type="dxa"/>
            <w:vAlign w:val="bottom"/>
          </w:tcPr>
          <w:p>
            <w:pPr>
              <w:ind w:left="40"/>
              <w:spacing w:after="0"/>
              <w:rPr>
                <w:sz w:val="20"/>
                <w:szCs w:val="20"/>
                <w:color w:val="auto"/>
              </w:rPr>
            </w:pPr>
            <w:r>
              <w:rPr>
                <w:rFonts w:ascii="Arial" w:cs="Arial" w:eastAsia="Arial" w:hAnsi="Arial"/>
                <w:sz w:val="18"/>
                <w:szCs w:val="18"/>
                <w:color w:val="auto"/>
              </w:rPr>
              <w:t>__________________</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1" w:lineRule="exact"/>
        <w:rPr>
          <w:sz w:val="20"/>
          <w:szCs w:val="20"/>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Company stock options awarded to Named Executive Officers prior to Fiscal 2007 under the 2004 Plan and the 1997 Plan. No stock options were awarded to Named Executive Officers in Fiscal 2009.</w:t>
      </w:r>
    </w:p>
    <w:p>
      <w:pPr>
        <w:spacing w:after="0" w:line="77"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Unvested restricted stock awarded to Named Executive Officers in Fiscal 2008 and Fiscal 2007 pursuant to the 2004 Plan.</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Fiscal 2007, stock options were granted by the Company at a price equal to the mean of the highest and lowest price of the Company’s Common Stock, as quoted on the NYSE, on the date of the grant.</w:t>
      </w:r>
    </w:p>
    <w:p>
      <w:pPr>
        <w:spacing w:after="0" w:line="77"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3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is calculated by multiplying the number of restricted shares that have not vested by the closing price of the Company’s Common Stock ($11.62) as quoted on the NYSE on August 28, 2009, the last trading day of Fiscal 2009.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OPTION EXERCISES AND STOCK VESTED TABLE</w:t>
      </w:r>
    </w:p>
    <w:p>
      <w:pPr>
        <w:sectPr>
          <w:pgSz w:w="11900" w:h="16838" w:orient="portrait"/>
          <w:cols w:equalWidth="0" w:num="1">
            <w:col w:w="11420"/>
          </w:cols>
          <w:pgMar w:left="240" w:top="131" w:right="239" w:bottom="0" w:gutter="0" w:footer="0" w:header="0"/>
          <w:type w:val="continuous"/>
        </w:sectPr>
      </w:pPr>
    </w:p>
    <w:bookmarkStart w:id="26" w:name="page27"/>
    <w:bookmarkEnd w:id="26"/>
    <w:p>
      <w:pPr>
        <w:ind w:firstLine="458"/>
        <w:spacing w:after="0" w:line="268" w:lineRule="auto"/>
        <w:rPr>
          <w:sz w:val="20"/>
          <w:szCs w:val="20"/>
          <w:color w:val="auto"/>
        </w:rPr>
      </w:pPr>
      <w:r>
        <w:rPr>
          <w:rFonts w:ascii="Arial" w:cs="Arial" w:eastAsia="Arial" w:hAnsi="Arial"/>
          <w:sz w:val="18"/>
          <w:szCs w:val="18"/>
          <w:color w:val="auto"/>
        </w:rPr>
        <w:t>The following table provides the amounts received upon the exercise of options or similar instruments or the vesting of stock or similar instruments during the most recent fiscal year.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88"/>
              </w:rPr>
              <w:t>Option Awards</w:t>
            </w:r>
            <w:r>
              <w:rPr>
                <w:rFonts w:ascii="Arial" w:cs="Arial" w:eastAsia="Arial" w:hAnsi="Arial"/>
                <w:sz w:val="22"/>
                <w:szCs w:val="22"/>
                <w:b w:val="1"/>
                <w:bCs w:val="1"/>
                <w:color w:val="auto"/>
                <w:w w:val="88"/>
                <w:vertAlign w:val="superscript"/>
              </w:rPr>
              <w:t>(1)</w:t>
            </w:r>
          </w:p>
        </w:tc>
        <w:tc>
          <w:tcPr>
            <w:tcW w:w="11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0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20" w:type="dxa"/>
            <w:vAlign w:val="bottom"/>
            <w:gridSpan w:val="4"/>
          </w:tcPr>
          <w:p>
            <w:pPr>
              <w:jc w:val="center"/>
              <w:ind w:right="1712"/>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300" w:type="dxa"/>
            <w:vAlign w:val="bottom"/>
          </w:tcPr>
          <w:p>
            <w:pPr>
              <w:jc w:val="center"/>
              <w:ind w:left="378"/>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300" w:type="dxa"/>
            <w:vAlign w:val="bottom"/>
          </w:tcPr>
          <w:p>
            <w:pPr>
              <w:jc w:val="center"/>
              <w:ind w:left="358"/>
              <w:spacing w:after="0" w:line="149" w:lineRule="exact"/>
              <w:rPr>
                <w:sz w:val="20"/>
                <w:szCs w:val="20"/>
                <w:color w:val="auto"/>
              </w:rPr>
            </w:pPr>
            <w:r>
              <w:rPr>
                <w:rFonts w:ascii="Arial" w:cs="Arial" w:eastAsia="Arial" w:hAnsi="Arial"/>
                <w:sz w:val="14"/>
                <w:szCs w:val="14"/>
                <w:b w:val="1"/>
                <w:bCs w:val="1"/>
                <w:color w:val="auto"/>
                <w:w w:val="82"/>
              </w:rPr>
              <w:t>Vesting</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D6F3E8"/>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D6F3E8"/>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D6F3E8"/>
            </w:tcBorders>
          </w:tcPr>
          <w:p>
            <w:pPr>
              <w:spacing w:after="0"/>
              <w:rPr>
                <w:sz w:val="14"/>
                <w:szCs w:val="14"/>
                <w:color w:val="auto"/>
              </w:rPr>
            </w:pPr>
          </w:p>
        </w:tc>
        <w:tc>
          <w:tcPr>
            <w:tcW w:w="1300" w:type="dxa"/>
            <w:vAlign w:val="bottom"/>
            <w:tcBorders>
              <w:bottom w:val="single" w:sz="8" w:color="auto"/>
            </w:tcBorders>
          </w:tcPr>
          <w:p>
            <w:pPr>
              <w:jc w:val="center"/>
              <w:ind w:left="378"/>
              <w:spacing w:after="0"/>
              <w:rPr>
                <w:sz w:val="20"/>
                <w:szCs w:val="20"/>
                <w:color w:val="auto"/>
              </w:rPr>
            </w:pPr>
            <w:r>
              <w:rPr>
                <w:rFonts w:ascii="Arial" w:cs="Arial" w:eastAsia="Arial" w:hAnsi="Arial"/>
                <w:sz w:val="14"/>
                <w:szCs w:val="14"/>
                <w:b w:val="1"/>
                <w:bCs w:val="1"/>
                <w:color w:val="auto"/>
                <w:w w:val="93"/>
              </w:rPr>
              <w:t>(#)</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D6F3E8"/>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291"/>
        </w:trPr>
        <w:tc>
          <w:tcPr>
            <w:tcW w:w="4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2300" w:type="dxa"/>
            <w:vAlign w:val="bottom"/>
            <w:gridSpan w:val="3"/>
            <w:shd w:val="clear" w:color="auto" w:fill="D6F3E8"/>
          </w:tcPr>
          <w:p>
            <w:pPr>
              <w:jc w:val="center"/>
              <w:ind w:righ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6F3E8"/>
          </w:tcPr>
          <w:p>
            <w:pPr>
              <w:jc w:val="center"/>
              <w:ind w:right="5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6F3E8"/>
          </w:tcPr>
          <w:p>
            <w:pPr>
              <w:jc w:val="center"/>
              <w:ind w:left="378"/>
              <w:spacing w:after="0"/>
              <w:rPr>
                <w:sz w:val="20"/>
                <w:szCs w:val="20"/>
                <w:color w:val="auto"/>
              </w:rPr>
            </w:pPr>
            <w:r>
              <w:rPr>
                <w:rFonts w:ascii="Arial" w:cs="Arial" w:eastAsia="Arial" w:hAnsi="Arial"/>
                <w:sz w:val="18"/>
                <w:szCs w:val="18"/>
                <w:color w:val="auto"/>
                <w:w w:val="88"/>
              </w:rPr>
              <w:t>3,333</w:t>
            </w:r>
          </w:p>
        </w:tc>
        <w:tc>
          <w:tcPr>
            <w:tcW w:w="2220" w:type="dxa"/>
            <w:vAlign w:val="bottom"/>
            <w:gridSpan w:val="3"/>
            <w:shd w:val="clear" w:color="auto" w:fill="D6F3E8"/>
          </w:tcPr>
          <w:p>
            <w:pPr>
              <w:jc w:val="center"/>
              <w:ind w:left="714"/>
              <w:spacing w:after="0" w:line="291" w:lineRule="exact"/>
              <w:rPr>
                <w:sz w:val="20"/>
                <w:szCs w:val="20"/>
                <w:color w:val="auto"/>
              </w:rPr>
            </w:pPr>
            <w:r>
              <w:rPr>
                <w:rFonts w:ascii="Arial" w:cs="Arial" w:eastAsia="Arial" w:hAnsi="Arial"/>
                <w:sz w:val="18"/>
                <w:szCs w:val="18"/>
                <w:color w:val="auto"/>
                <w:w w:val="83"/>
              </w:rPr>
              <w:t>36,030</w:t>
            </w:r>
            <w:r>
              <w:rPr>
                <w:rFonts w:ascii="Arial" w:cs="Arial" w:eastAsia="Arial" w:hAnsi="Arial"/>
                <w:sz w:val="29"/>
                <w:szCs w:val="29"/>
                <w:color w:val="auto"/>
                <w:w w:val="83"/>
                <w:vertAlign w:val="superscript"/>
              </w:rPr>
              <w:t>(2)</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center"/>
              <w:ind w:left="378"/>
              <w:spacing w:after="0"/>
              <w:rPr>
                <w:sz w:val="20"/>
                <w:szCs w:val="20"/>
                <w:color w:val="auto"/>
              </w:rPr>
            </w:pPr>
            <w:r>
              <w:rPr>
                <w:rFonts w:ascii="Arial" w:cs="Arial" w:eastAsia="Arial" w:hAnsi="Arial"/>
                <w:sz w:val="18"/>
                <w:szCs w:val="18"/>
                <w:color w:val="auto"/>
                <w:w w:val="88"/>
              </w:rPr>
              <w:t>2,000</w:t>
            </w:r>
          </w:p>
        </w:tc>
        <w:tc>
          <w:tcPr>
            <w:tcW w:w="2220" w:type="dxa"/>
            <w:vAlign w:val="bottom"/>
            <w:gridSpan w:val="3"/>
          </w:tcPr>
          <w:p>
            <w:pPr>
              <w:jc w:val="center"/>
              <w:ind w:left="714"/>
              <w:spacing w:after="0" w:line="270" w:lineRule="exact"/>
              <w:rPr>
                <w:sz w:val="20"/>
                <w:szCs w:val="20"/>
                <w:color w:val="auto"/>
              </w:rPr>
            </w:pPr>
            <w:r>
              <w:rPr>
                <w:rFonts w:ascii="Arial" w:cs="Arial" w:eastAsia="Arial" w:hAnsi="Arial"/>
                <w:sz w:val="18"/>
                <w:szCs w:val="18"/>
                <w:color w:val="auto"/>
                <w:w w:val="83"/>
              </w:rPr>
              <w:t>22,180</w:t>
            </w:r>
            <w:r>
              <w:rPr>
                <w:rFonts w:ascii="Arial" w:cs="Arial" w:eastAsia="Arial" w:hAnsi="Arial"/>
                <w:sz w:val="29"/>
                <w:szCs w:val="29"/>
                <w:color w:val="auto"/>
                <w:w w:val="83"/>
                <w:vertAlign w:val="superscript"/>
              </w:rPr>
              <w:t>(3)</w:t>
            </w:r>
          </w:p>
        </w:tc>
        <w:tc>
          <w:tcPr>
            <w:tcW w:w="0" w:type="dxa"/>
            <w:vAlign w:val="bottom"/>
          </w:tcPr>
          <w:p>
            <w:pPr>
              <w:spacing w:after="0"/>
              <w:rPr>
                <w:sz w:val="1"/>
                <w:szCs w:val="1"/>
                <w:color w:val="auto"/>
              </w:rPr>
            </w:pPr>
          </w:p>
        </w:tc>
      </w:tr>
      <w:tr>
        <w:trPr>
          <w:trHeight w:val="378"/>
        </w:trPr>
        <w:tc>
          <w:tcPr>
            <w:tcW w:w="4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2300" w:type="dxa"/>
            <w:vAlign w:val="bottom"/>
            <w:gridSpan w:val="3"/>
            <w:shd w:val="clear" w:color="auto" w:fill="D6F3E8"/>
          </w:tcPr>
          <w:p>
            <w:pPr>
              <w:jc w:val="center"/>
              <w:ind w:righ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6F3E8"/>
          </w:tcPr>
          <w:p>
            <w:pPr>
              <w:jc w:val="center"/>
              <w:ind w:right="5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6F3E8"/>
          </w:tcPr>
          <w:p>
            <w:pPr>
              <w:jc w:val="center"/>
              <w:ind w:left="378"/>
              <w:spacing w:after="0"/>
              <w:rPr>
                <w:sz w:val="20"/>
                <w:szCs w:val="20"/>
                <w:color w:val="auto"/>
              </w:rPr>
            </w:pPr>
            <w:r>
              <w:rPr>
                <w:rFonts w:ascii="Arial" w:cs="Arial" w:eastAsia="Arial" w:hAnsi="Arial"/>
                <w:sz w:val="18"/>
                <w:szCs w:val="18"/>
                <w:color w:val="auto"/>
                <w:w w:val="88"/>
              </w:rPr>
              <w:t>1,833</w:t>
            </w:r>
          </w:p>
        </w:tc>
        <w:tc>
          <w:tcPr>
            <w:tcW w:w="2220" w:type="dxa"/>
            <w:vAlign w:val="bottom"/>
            <w:gridSpan w:val="3"/>
            <w:shd w:val="clear" w:color="auto" w:fill="D6F3E8"/>
          </w:tcPr>
          <w:p>
            <w:pPr>
              <w:jc w:val="center"/>
              <w:ind w:left="714"/>
              <w:spacing w:after="0"/>
              <w:rPr>
                <w:sz w:val="20"/>
                <w:szCs w:val="20"/>
                <w:color w:val="auto"/>
              </w:rPr>
            </w:pPr>
            <w:r>
              <w:rPr>
                <w:rFonts w:ascii="Arial" w:cs="Arial" w:eastAsia="Arial" w:hAnsi="Arial"/>
                <w:sz w:val="18"/>
                <w:szCs w:val="18"/>
                <w:color w:val="auto"/>
                <w:w w:val="83"/>
              </w:rPr>
              <w:t>19,815</w:t>
            </w:r>
            <w:r>
              <w:rPr>
                <w:rFonts w:ascii="Arial" w:cs="Arial" w:eastAsia="Arial" w:hAnsi="Arial"/>
                <w:sz w:val="29"/>
                <w:szCs w:val="29"/>
                <w:color w:val="auto"/>
                <w:w w:val="83"/>
                <w:vertAlign w:val="superscript"/>
              </w:rPr>
              <w:t>(2)</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center"/>
              <w:ind w:left="378"/>
              <w:spacing w:after="0"/>
              <w:rPr>
                <w:sz w:val="20"/>
                <w:szCs w:val="20"/>
                <w:color w:val="auto"/>
              </w:rPr>
            </w:pPr>
            <w:r>
              <w:rPr>
                <w:rFonts w:ascii="Arial" w:cs="Arial" w:eastAsia="Arial" w:hAnsi="Arial"/>
                <w:sz w:val="18"/>
                <w:szCs w:val="18"/>
                <w:color w:val="auto"/>
                <w:w w:val="88"/>
              </w:rPr>
              <w:t>1,333</w:t>
            </w:r>
          </w:p>
        </w:tc>
        <w:tc>
          <w:tcPr>
            <w:tcW w:w="2220" w:type="dxa"/>
            <w:vAlign w:val="bottom"/>
            <w:gridSpan w:val="3"/>
          </w:tcPr>
          <w:p>
            <w:pPr>
              <w:jc w:val="center"/>
              <w:ind w:left="714"/>
              <w:spacing w:after="0" w:line="296" w:lineRule="exact"/>
              <w:rPr>
                <w:sz w:val="20"/>
                <w:szCs w:val="20"/>
                <w:color w:val="auto"/>
              </w:rPr>
            </w:pPr>
            <w:r>
              <w:rPr>
                <w:rFonts w:ascii="Arial" w:cs="Arial" w:eastAsia="Arial" w:hAnsi="Arial"/>
                <w:sz w:val="18"/>
                <w:szCs w:val="18"/>
                <w:color w:val="auto"/>
                <w:w w:val="83"/>
              </w:rPr>
              <w:t>14,783</w:t>
            </w:r>
            <w:r>
              <w:rPr>
                <w:rFonts w:ascii="Arial" w:cs="Arial" w:eastAsia="Arial" w:hAnsi="Arial"/>
                <w:sz w:val="29"/>
                <w:szCs w:val="29"/>
                <w:color w:val="auto"/>
                <w:w w:val="83"/>
                <w:vertAlign w:val="superscript"/>
              </w:rPr>
              <w:t>(3)</w:t>
            </w:r>
          </w:p>
        </w:tc>
        <w:tc>
          <w:tcPr>
            <w:tcW w:w="0" w:type="dxa"/>
            <w:vAlign w:val="bottom"/>
          </w:tcPr>
          <w:p>
            <w:pPr>
              <w:spacing w:after="0"/>
              <w:rPr>
                <w:sz w:val="1"/>
                <w:szCs w:val="1"/>
                <w:color w:val="auto"/>
              </w:rPr>
            </w:pPr>
          </w:p>
        </w:tc>
      </w:tr>
      <w:tr>
        <w:trPr>
          <w:trHeight w:val="378"/>
        </w:trPr>
        <w:tc>
          <w:tcPr>
            <w:tcW w:w="4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Roger W. Martin</w:t>
            </w:r>
          </w:p>
        </w:tc>
        <w:tc>
          <w:tcPr>
            <w:tcW w:w="2300" w:type="dxa"/>
            <w:vAlign w:val="bottom"/>
            <w:gridSpan w:val="3"/>
            <w:shd w:val="clear" w:color="auto" w:fill="D6F3E8"/>
          </w:tcPr>
          <w:p>
            <w:pPr>
              <w:jc w:val="center"/>
              <w:ind w:righ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6F3E8"/>
          </w:tcPr>
          <w:p>
            <w:pPr>
              <w:jc w:val="center"/>
              <w:ind w:right="5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6F3E8"/>
          </w:tcPr>
          <w:p>
            <w:pPr>
              <w:jc w:val="center"/>
              <w:ind w:left="378"/>
              <w:spacing w:after="0"/>
              <w:rPr>
                <w:sz w:val="20"/>
                <w:szCs w:val="20"/>
                <w:color w:val="auto"/>
              </w:rPr>
            </w:pPr>
            <w:r>
              <w:rPr>
                <w:rFonts w:ascii="Arial" w:cs="Arial" w:eastAsia="Arial" w:hAnsi="Arial"/>
                <w:sz w:val="18"/>
                <w:szCs w:val="18"/>
                <w:color w:val="auto"/>
                <w:w w:val="88"/>
              </w:rPr>
              <w:t>1,833</w:t>
            </w:r>
          </w:p>
        </w:tc>
        <w:tc>
          <w:tcPr>
            <w:tcW w:w="2220" w:type="dxa"/>
            <w:vAlign w:val="bottom"/>
            <w:gridSpan w:val="3"/>
            <w:shd w:val="clear" w:color="auto" w:fill="D6F3E8"/>
          </w:tcPr>
          <w:p>
            <w:pPr>
              <w:jc w:val="center"/>
              <w:ind w:left="714"/>
              <w:spacing w:after="0"/>
              <w:rPr>
                <w:sz w:val="20"/>
                <w:szCs w:val="20"/>
                <w:color w:val="auto"/>
              </w:rPr>
            </w:pPr>
            <w:r>
              <w:rPr>
                <w:rFonts w:ascii="Arial" w:cs="Arial" w:eastAsia="Arial" w:hAnsi="Arial"/>
                <w:sz w:val="18"/>
                <w:szCs w:val="18"/>
                <w:color w:val="auto"/>
                <w:w w:val="83"/>
              </w:rPr>
              <w:t>19,815</w:t>
            </w:r>
            <w:r>
              <w:rPr>
                <w:rFonts w:ascii="Arial" w:cs="Arial" w:eastAsia="Arial" w:hAnsi="Arial"/>
                <w:sz w:val="29"/>
                <w:szCs w:val="29"/>
                <w:color w:val="auto"/>
                <w:w w:val="83"/>
                <w:vertAlign w:val="superscript"/>
              </w:rPr>
              <w:t>(2)</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center"/>
              <w:ind w:left="378"/>
              <w:spacing w:after="0"/>
              <w:rPr>
                <w:sz w:val="20"/>
                <w:szCs w:val="20"/>
                <w:color w:val="auto"/>
              </w:rPr>
            </w:pPr>
            <w:r>
              <w:rPr>
                <w:rFonts w:ascii="Arial" w:cs="Arial" w:eastAsia="Arial" w:hAnsi="Arial"/>
                <w:sz w:val="18"/>
                <w:szCs w:val="18"/>
                <w:color w:val="auto"/>
                <w:w w:val="88"/>
              </w:rPr>
              <w:t>1,333</w:t>
            </w:r>
          </w:p>
        </w:tc>
        <w:tc>
          <w:tcPr>
            <w:tcW w:w="2220" w:type="dxa"/>
            <w:vAlign w:val="bottom"/>
            <w:gridSpan w:val="3"/>
          </w:tcPr>
          <w:p>
            <w:pPr>
              <w:jc w:val="center"/>
              <w:ind w:left="714"/>
              <w:spacing w:after="0" w:line="296" w:lineRule="exact"/>
              <w:rPr>
                <w:sz w:val="20"/>
                <w:szCs w:val="20"/>
                <w:color w:val="auto"/>
              </w:rPr>
            </w:pPr>
            <w:r>
              <w:rPr>
                <w:rFonts w:ascii="Arial" w:cs="Arial" w:eastAsia="Arial" w:hAnsi="Arial"/>
                <w:sz w:val="18"/>
                <w:szCs w:val="18"/>
                <w:color w:val="auto"/>
                <w:w w:val="83"/>
              </w:rPr>
              <w:t>14,783</w:t>
            </w:r>
            <w:r>
              <w:rPr>
                <w:rFonts w:ascii="Arial" w:cs="Arial" w:eastAsia="Arial" w:hAnsi="Arial"/>
                <w:sz w:val="29"/>
                <w:szCs w:val="29"/>
                <w:color w:val="auto"/>
                <w:w w:val="83"/>
                <w:vertAlign w:val="superscript"/>
              </w:rPr>
              <w:t>(3)</w:t>
            </w:r>
          </w:p>
        </w:tc>
        <w:tc>
          <w:tcPr>
            <w:tcW w:w="0" w:type="dxa"/>
            <w:vAlign w:val="bottom"/>
          </w:tcPr>
          <w:p>
            <w:pPr>
              <w:spacing w:after="0"/>
              <w:rPr>
                <w:sz w:val="1"/>
                <w:szCs w:val="1"/>
                <w:color w:val="auto"/>
              </w:rPr>
            </w:pPr>
          </w:p>
        </w:tc>
      </w:tr>
      <w:tr>
        <w:trPr>
          <w:trHeight w:val="378"/>
        </w:trPr>
        <w:tc>
          <w:tcPr>
            <w:tcW w:w="4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2300" w:type="dxa"/>
            <w:vAlign w:val="bottom"/>
            <w:gridSpan w:val="3"/>
            <w:shd w:val="clear" w:color="auto" w:fill="D6F3E8"/>
          </w:tcPr>
          <w:p>
            <w:pPr>
              <w:jc w:val="center"/>
              <w:ind w:righ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6F3E8"/>
          </w:tcPr>
          <w:p>
            <w:pPr>
              <w:jc w:val="center"/>
              <w:ind w:right="5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6F3E8"/>
          </w:tcPr>
          <w:p>
            <w:pPr>
              <w:jc w:val="center"/>
              <w:ind w:left="378"/>
              <w:spacing w:after="0"/>
              <w:rPr>
                <w:sz w:val="20"/>
                <w:szCs w:val="20"/>
                <w:color w:val="auto"/>
              </w:rPr>
            </w:pPr>
            <w:r>
              <w:rPr>
                <w:rFonts w:ascii="Arial" w:cs="Arial" w:eastAsia="Arial" w:hAnsi="Arial"/>
                <w:sz w:val="18"/>
                <w:szCs w:val="18"/>
                <w:color w:val="auto"/>
                <w:w w:val="88"/>
              </w:rPr>
              <w:t>1,833</w:t>
            </w:r>
          </w:p>
        </w:tc>
        <w:tc>
          <w:tcPr>
            <w:tcW w:w="2220" w:type="dxa"/>
            <w:vAlign w:val="bottom"/>
            <w:gridSpan w:val="3"/>
            <w:shd w:val="clear" w:color="auto" w:fill="D6F3E8"/>
          </w:tcPr>
          <w:p>
            <w:pPr>
              <w:jc w:val="center"/>
              <w:ind w:left="714"/>
              <w:spacing w:after="0"/>
              <w:rPr>
                <w:sz w:val="20"/>
                <w:szCs w:val="20"/>
                <w:color w:val="auto"/>
              </w:rPr>
            </w:pPr>
            <w:r>
              <w:rPr>
                <w:rFonts w:ascii="Arial" w:cs="Arial" w:eastAsia="Arial" w:hAnsi="Arial"/>
                <w:sz w:val="18"/>
                <w:szCs w:val="18"/>
                <w:color w:val="auto"/>
                <w:w w:val="83"/>
              </w:rPr>
              <w:t>19,815</w:t>
            </w:r>
            <w:r>
              <w:rPr>
                <w:rFonts w:ascii="Arial" w:cs="Arial" w:eastAsia="Arial" w:hAnsi="Arial"/>
                <w:sz w:val="29"/>
                <w:szCs w:val="29"/>
                <w:color w:val="auto"/>
                <w:w w:val="83"/>
                <w:vertAlign w:val="superscript"/>
              </w:rPr>
              <w:t>(2)</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center"/>
              <w:ind w:left="378"/>
              <w:spacing w:after="0"/>
              <w:rPr>
                <w:sz w:val="20"/>
                <w:szCs w:val="20"/>
                <w:color w:val="auto"/>
              </w:rPr>
            </w:pPr>
            <w:r>
              <w:rPr>
                <w:rFonts w:ascii="Arial" w:cs="Arial" w:eastAsia="Arial" w:hAnsi="Arial"/>
                <w:sz w:val="18"/>
                <w:szCs w:val="18"/>
                <w:color w:val="auto"/>
                <w:w w:val="88"/>
              </w:rPr>
              <w:t>1,333</w:t>
            </w:r>
          </w:p>
        </w:tc>
        <w:tc>
          <w:tcPr>
            <w:tcW w:w="2220" w:type="dxa"/>
            <w:vAlign w:val="bottom"/>
            <w:gridSpan w:val="3"/>
          </w:tcPr>
          <w:p>
            <w:pPr>
              <w:jc w:val="center"/>
              <w:ind w:left="714"/>
              <w:spacing w:after="0" w:line="296" w:lineRule="exact"/>
              <w:rPr>
                <w:sz w:val="20"/>
                <w:szCs w:val="20"/>
                <w:color w:val="auto"/>
              </w:rPr>
            </w:pPr>
            <w:r>
              <w:rPr>
                <w:rFonts w:ascii="Arial" w:cs="Arial" w:eastAsia="Arial" w:hAnsi="Arial"/>
                <w:sz w:val="18"/>
                <w:szCs w:val="18"/>
                <w:color w:val="auto"/>
                <w:w w:val="83"/>
              </w:rPr>
              <w:t>14,783</w:t>
            </w:r>
            <w:r>
              <w:rPr>
                <w:rFonts w:ascii="Arial" w:cs="Arial" w:eastAsia="Arial" w:hAnsi="Arial"/>
                <w:sz w:val="29"/>
                <w:szCs w:val="29"/>
                <w:color w:val="auto"/>
                <w:w w:val="83"/>
                <w:vertAlign w:val="superscript"/>
              </w:rPr>
              <w:t>(3)</w:t>
            </w:r>
          </w:p>
        </w:tc>
        <w:tc>
          <w:tcPr>
            <w:tcW w:w="0" w:type="dxa"/>
            <w:vAlign w:val="bottom"/>
          </w:tcPr>
          <w:p>
            <w:pPr>
              <w:spacing w:after="0"/>
              <w:rPr>
                <w:sz w:val="1"/>
                <w:szCs w:val="1"/>
                <w:color w:val="auto"/>
              </w:rPr>
            </w:pPr>
          </w:p>
        </w:tc>
      </w:tr>
      <w:tr>
        <w:trPr>
          <w:trHeight w:val="378"/>
        </w:trPr>
        <w:tc>
          <w:tcPr>
            <w:tcW w:w="4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2300" w:type="dxa"/>
            <w:vAlign w:val="bottom"/>
            <w:gridSpan w:val="3"/>
            <w:shd w:val="clear" w:color="auto" w:fill="D6F3E8"/>
          </w:tcPr>
          <w:p>
            <w:pPr>
              <w:jc w:val="center"/>
              <w:ind w:righ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6F3E8"/>
          </w:tcPr>
          <w:p>
            <w:pPr>
              <w:jc w:val="center"/>
              <w:ind w:right="5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6F3E8"/>
          </w:tcPr>
          <w:p>
            <w:pPr>
              <w:jc w:val="center"/>
              <w:ind w:left="378"/>
              <w:spacing w:after="0"/>
              <w:rPr>
                <w:sz w:val="20"/>
                <w:szCs w:val="20"/>
                <w:color w:val="auto"/>
              </w:rPr>
            </w:pPr>
            <w:r>
              <w:rPr>
                <w:rFonts w:ascii="Arial" w:cs="Arial" w:eastAsia="Arial" w:hAnsi="Arial"/>
                <w:sz w:val="18"/>
                <w:szCs w:val="18"/>
                <w:color w:val="auto"/>
                <w:w w:val="88"/>
              </w:rPr>
              <w:t>1,833</w:t>
            </w:r>
          </w:p>
        </w:tc>
        <w:tc>
          <w:tcPr>
            <w:tcW w:w="2220" w:type="dxa"/>
            <w:vAlign w:val="bottom"/>
            <w:gridSpan w:val="3"/>
            <w:shd w:val="clear" w:color="auto" w:fill="D6F3E8"/>
          </w:tcPr>
          <w:p>
            <w:pPr>
              <w:jc w:val="center"/>
              <w:ind w:left="714"/>
              <w:spacing w:after="0"/>
              <w:rPr>
                <w:sz w:val="20"/>
                <w:szCs w:val="20"/>
                <w:color w:val="auto"/>
              </w:rPr>
            </w:pPr>
            <w:r>
              <w:rPr>
                <w:rFonts w:ascii="Arial" w:cs="Arial" w:eastAsia="Arial" w:hAnsi="Arial"/>
                <w:sz w:val="18"/>
                <w:szCs w:val="18"/>
                <w:color w:val="auto"/>
                <w:w w:val="83"/>
              </w:rPr>
              <w:t>19,815</w:t>
            </w:r>
            <w:r>
              <w:rPr>
                <w:rFonts w:ascii="Arial" w:cs="Arial" w:eastAsia="Arial" w:hAnsi="Arial"/>
                <w:sz w:val="29"/>
                <w:szCs w:val="29"/>
                <w:color w:val="auto"/>
                <w:w w:val="83"/>
                <w:vertAlign w:val="superscript"/>
              </w:rPr>
              <w:t>(2)</w:t>
            </w:r>
          </w:p>
        </w:tc>
        <w:tc>
          <w:tcPr>
            <w:tcW w:w="0" w:type="dxa"/>
            <w:vAlign w:val="bottom"/>
          </w:tcPr>
          <w:p>
            <w:pPr>
              <w:spacing w:after="0"/>
              <w:rPr>
                <w:sz w:val="1"/>
                <w:szCs w:val="1"/>
                <w:color w:val="auto"/>
              </w:rPr>
            </w:pPr>
          </w:p>
        </w:tc>
      </w:tr>
      <w:tr>
        <w:trPr>
          <w:trHeight w:val="415"/>
        </w:trPr>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__________________</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center"/>
              <w:ind w:left="378"/>
              <w:spacing w:after="0"/>
              <w:rPr>
                <w:sz w:val="20"/>
                <w:szCs w:val="20"/>
                <w:color w:val="auto"/>
              </w:rPr>
            </w:pPr>
            <w:r>
              <w:rPr>
                <w:rFonts w:ascii="Arial" w:cs="Arial" w:eastAsia="Arial" w:hAnsi="Arial"/>
                <w:sz w:val="18"/>
                <w:szCs w:val="18"/>
                <w:color w:val="auto"/>
                <w:w w:val="88"/>
              </w:rPr>
              <w:t>1,333</w:t>
            </w:r>
          </w:p>
        </w:tc>
        <w:tc>
          <w:tcPr>
            <w:tcW w:w="2220" w:type="dxa"/>
            <w:vAlign w:val="bottom"/>
            <w:gridSpan w:val="3"/>
          </w:tcPr>
          <w:p>
            <w:pPr>
              <w:jc w:val="center"/>
              <w:ind w:left="714"/>
              <w:spacing w:after="0"/>
              <w:rPr>
                <w:sz w:val="20"/>
                <w:szCs w:val="20"/>
                <w:color w:val="auto"/>
              </w:rPr>
            </w:pPr>
            <w:r>
              <w:rPr>
                <w:rFonts w:ascii="Arial" w:cs="Arial" w:eastAsia="Arial" w:hAnsi="Arial"/>
                <w:sz w:val="18"/>
                <w:szCs w:val="18"/>
                <w:color w:val="auto"/>
                <w:w w:val="83"/>
              </w:rPr>
              <w:t>14,783</w:t>
            </w:r>
            <w:r>
              <w:rPr>
                <w:rFonts w:ascii="Arial" w:cs="Arial" w:eastAsia="Arial" w:hAnsi="Arial"/>
                <w:sz w:val="29"/>
                <w:szCs w:val="29"/>
                <w:color w:val="auto"/>
                <w:w w:val="83"/>
                <w:vertAlign w:val="superscript"/>
              </w:rPr>
              <w:t>(3)</w:t>
            </w:r>
          </w:p>
        </w:tc>
        <w:tc>
          <w:tcPr>
            <w:tcW w:w="0" w:type="dxa"/>
            <w:vAlign w:val="bottom"/>
          </w:tcPr>
          <w:p>
            <w:pPr>
              <w:spacing w:after="0"/>
              <w:rPr>
                <w:sz w:val="1"/>
                <w:szCs w:val="1"/>
                <w:color w:val="auto"/>
              </w:rPr>
            </w:pPr>
          </w:p>
        </w:tc>
      </w:tr>
      <w:tr>
        <w:trPr>
          <w:trHeight w:val="96"/>
        </w:trPr>
        <w:tc>
          <w:tcPr>
            <w:tcW w:w="37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the Named Executive Officers exercised stock options to purchase shares of the Company’s Common Stock in Fiscal 2009.</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is calculated by multiplying the number of restricted shares vested by the closing market price of $10.81 the Company’s Common Stock as quoted on the NYSE on October 10, 2008, the vesting date.</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is calculated by multiplying the number of restricted shares vested by the closing market price of $11.09 the Company’s Common Stock as quoted on the NYSE on October 13, 2008, the vesting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DEFERRED COMPENSATION TABLE</w:t>
      </w:r>
    </w:p>
    <w:p>
      <w:pPr>
        <w:spacing w:after="0" w:line="110" w:lineRule="exact"/>
        <w:rPr>
          <w:sz w:val="20"/>
          <w:szCs w:val="20"/>
          <w:color w:val="auto"/>
        </w:rPr>
      </w:pPr>
    </w:p>
    <w:p>
      <w:pPr>
        <w:jc w:val="both"/>
        <w:ind w:firstLine="914"/>
        <w:spacing w:after="0" w:line="255" w:lineRule="auto"/>
        <w:rPr>
          <w:sz w:val="20"/>
          <w:szCs w:val="20"/>
          <w:color w:val="auto"/>
        </w:rPr>
      </w:pPr>
      <w:r>
        <w:rPr>
          <w:rFonts w:ascii="Arial" w:cs="Arial" w:eastAsia="Arial" w:hAnsi="Arial"/>
          <w:sz w:val="18"/>
          <w:szCs w:val="18"/>
          <w:color w:val="auto"/>
        </w:rPr>
        <w:t>The following table discloses contributions, earnings and balances under non-qualified deferred compensation plans for each Named Executive Officer. For fiscal years prior to Fiscal 2007, amounts deferred under the Company’s Executive Share Option Program and the Executive Deferred Compensation Plan by each Named Executive Officer were not reported separately from such Named Executive Officer’s reported compensation and no above-market earnings were realized or reported, but Company contributions to the plans were included in “All Other Compensation” in the Summary Compensation Tables for prior fiscal years.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Executive</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Aggregate</w:t>
            </w:r>
          </w:p>
        </w:tc>
      </w:tr>
      <w:tr>
        <w:trPr>
          <w:trHeight w:val="149"/>
        </w:trPr>
        <w:tc>
          <w:tcPr>
            <w:tcW w:w="2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Earnings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r>
      <w:tr>
        <w:trPr>
          <w:trHeight w:val="161"/>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60" w:type="dxa"/>
            <w:vAlign w:val="bottom"/>
            <w:gridSpan w:val="2"/>
          </w:tcPr>
          <w:p>
            <w:pPr>
              <w:ind w:left="2140"/>
              <w:spacing w:after="0"/>
              <w:rPr>
                <w:sz w:val="20"/>
                <w:szCs w:val="20"/>
                <w:color w:val="auto"/>
              </w:rPr>
            </w:pPr>
            <w:r>
              <w:rPr>
                <w:rFonts w:ascii="Arial" w:cs="Arial" w:eastAsia="Arial" w:hAnsi="Arial"/>
                <w:sz w:val="14"/>
                <w:szCs w:val="14"/>
                <w:b w:val="1"/>
                <w:bCs w:val="1"/>
                <w:color w:val="auto"/>
              </w:rPr>
              <w:t>Plan</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Last FY</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Last FY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at Last FYE</w:t>
            </w:r>
          </w:p>
        </w:tc>
      </w:tr>
      <w:tr>
        <w:trPr>
          <w:trHeight w:val="176"/>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bottom w:val="single" w:sz="8" w:color="D6F3E8"/>
            </w:tcBorders>
          </w:tcPr>
          <w:p>
            <w:pPr>
              <w:spacing w:after="0"/>
              <w:rPr>
                <w:sz w:val="15"/>
                <w:szCs w:val="15"/>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D6F3E8"/>
            </w:tcBorders>
          </w:tcPr>
          <w:p>
            <w:pPr>
              <w:spacing w:after="0"/>
              <w:rPr>
                <w:sz w:val="15"/>
                <w:szCs w:val="15"/>
                <w:color w:val="auto"/>
              </w:rPr>
            </w:pPr>
          </w:p>
        </w:tc>
        <w:tc>
          <w:tcPr>
            <w:tcW w:w="13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20" w:type="dxa"/>
            <w:vAlign w:val="bottom"/>
            <w:tcBorders>
              <w:bottom w:val="single" w:sz="8" w:color="D6F3E8"/>
            </w:tcBorders>
          </w:tcPr>
          <w:p>
            <w:pPr>
              <w:spacing w:after="0"/>
              <w:rPr>
                <w:sz w:val="15"/>
                <w:szCs w:val="15"/>
                <w:color w:val="auto"/>
              </w:rPr>
            </w:pPr>
          </w:p>
        </w:tc>
        <w:tc>
          <w:tcPr>
            <w:tcW w:w="10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220" w:type="dxa"/>
            <w:vAlign w:val="bottom"/>
            <w:tcBorders>
              <w:bottom w:val="single" w:sz="8" w:color="D6F3E8"/>
            </w:tcBorders>
          </w:tcPr>
          <w:p>
            <w:pPr>
              <w:spacing w:after="0"/>
              <w:rPr>
                <w:sz w:val="15"/>
                <w:szCs w:val="15"/>
                <w:color w:val="auto"/>
              </w:rPr>
            </w:pPr>
          </w:p>
        </w:tc>
        <w:tc>
          <w:tcPr>
            <w:tcW w:w="11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(3)</w:t>
            </w:r>
          </w:p>
        </w:tc>
      </w:tr>
      <w:tr>
        <w:trPr>
          <w:trHeight w:val="183"/>
        </w:trPr>
        <w:tc>
          <w:tcPr>
            <w:tcW w:w="280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Robert J. Olson</w:t>
            </w: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Deferred Compensation Plan (1981)</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74"/>
              <w:spacing w:after="0"/>
              <w:rPr>
                <w:sz w:val="20"/>
                <w:szCs w:val="20"/>
                <w:color w:val="auto"/>
              </w:rPr>
            </w:pPr>
            <w:r>
              <w:rPr>
                <w:rFonts w:ascii="Arial" w:cs="Arial" w:eastAsia="Arial" w:hAnsi="Arial"/>
                <w:sz w:val="14"/>
                <w:szCs w:val="14"/>
                <w:color w:val="auto"/>
              </w:rPr>
              <w:t>46,471</w:t>
            </w:r>
          </w:p>
        </w:tc>
        <w:tc>
          <w:tcPr>
            <w:tcW w:w="220" w:type="dxa"/>
            <w:vAlign w:val="bottom"/>
            <w:shd w:val="clear" w:color="auto" w:fill="D6F3E8"/>
          </w:tcPr>
          <w:p>
            <w:pPr>
              <w:spacing w:after="0"/>
              <w:rPr>
                <w:sz w:val="15"/>
                <w:szCs w:val="15"/>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819,829</w:t>
            </w:r>
          </w:p>
        </w:tc>
      </w:tr>
      <w:tr>
        <w:trPr>
          <w:trHeight w:val="162"/>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Supplemental Executive Retirement Plan (SERP)</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41,223</w:t>
            </w:r>
          </w:p>
        </w:tc>
        <w:tc>
          <w:tcPr>
            <w:tcW w:w="22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136,161</w:t>
            </w:r>
          </w:p>
        </w:tc>
      </w:tr>
      <w:tr>
        <w:trPr>
          <w:trHeight w:val="162"/>
        </w:trPr>
        <w:tc>
          <w:tcPr>
            <w:tcW w:w="2280" w:type="dxa"/>
            <w:vAlign w:val="bottom"/>
            <w:shd w:val="clear" w:color="auto" w:fill="D6F3E8"/>
          </w:tcPr>
          <w:p>
            <w:pPr>
              <w:spacing w:after="0"/>
              <w:rPr>
                <w:sz w:val="14"/>
                <w:szCs w:val="14"/>
                <w:color w:val="auto"/>
              </w:rPr>
            </w:pPr>
          </w:p>
        </w:tc>
        <w:tc>
          <w:tcPr>
            <w:tcW w:w="520" w:type="dxa"/>
            <w:vAlign w:val="bottom"/>
            <w:shd w:val="clear" w:color="auto" w:fill="D6F3E8"/>
          </w:tcPr>
          <w:p>
            <w:pPr>
              <w:spacing w:after="0"/>
              <w:rPr>
                <w:sz w:val="14"/>
                <w:szCs w:val="14"/>
                <w:color w:val="auto"/>
              </w:rPr>
            </w:pP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Executive Share Option Program</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(180,085)</w:t>
            </w:r>
          </w:p>
        </w:tc>
        <w:tc>
          <w:tcPr>
            <w:tcW w:w="220" w:type="dxa"/>
            <w:vAlign w:val="bottom"/>
            <w:shd w:val="clear" w:color="auto" w:fill="D6F3E8"/>
          </w:tcPr>
          <w:p>
            <w:pPr>
              <w:spacing w:after="0"/>
              <w:rPr>
                <w:sz w:val="14"/>
                <w:szCs w:val="14"/>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807,363</w:t>
            </w:r>
          </w:p>
        </w:tc>
      </w:tr>
      <w:tr>
        <w:trPr>
          <w:trHeight w:val="364"/>
        </w:trPr>
        <w:tc>
          <w:tcPr>
            <w:tcW w:w="2800" w:type="dxa"/>
            <w:vAlign w:val="bottom"/>
            <w:gridSpan w:val="2"/>
          </w:tcPr>
          <w:p>
            <w:pPr>
              <w:spacing w:after="0"/>
              <w:rPr>
                <w:sz w:val="20"/>
                <w:szCs w:val="20"/>
                <w:color w:val="auto"/>
              </w:rPr>
            </w:pPr>
            <w:r>
              <w:rPr>
                <w:rFonts w:ascii="Arial" w:cs="Arial" w:eastAsia="Arial" w:hAnsi="Arial"/>
                <w:sz w:val="14"/>
                <w:szCs w:val="14"/>
                <w:color w:val="auto"/>
              </w:rPr>
              <w:t>Raymond M. Beebe</w:t>
            </w:r>
          </w:p>
        </w:tc>
        <w:tc>
          <w:tcPr>
            <w:tcW w:w="4660" w:type="dxa"/>
            <w:vAlign w:val="bottom"/>
            <w:gridSpan w:val="2"/>
          </w:tcPr>
          <w:p>
            <w:pPr>
              <w:spacing w:after="0"/>
              <w:rPr>
                <w:sz w:val="20"/>
                <w:szCs w:val="20"/>
                <w:color w:val="auto"/>
              </w:rPr>
            </w:pPr>
            <w:r>
              <w:rPr>
                <w:rFonts w:ascii="Arial" w:cs="Arial" w:eastAsia="Arial" w:hAnsi="Arial"/>
                <w:sz w:val="14"/>
                <w:szCs w:val="14"/>
                <w:color w:val="auto"/>
              </w:rPr>
              <w:t>Deferred Compensation Plan (1981)</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156,019</w:t>
            </w:r>
          </w:p>
        </w:tc>
        <w:tc>
          <w:tcPr>
            <w:tcW w:w="22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2,756,385</w:t>
            </w:r>
          </w:p>
        </w:tc>
      </w:tr>
      <w:tr>
        <w:trPr>
          <w:trHeight w:val="162"/>
        </w:trPr>
        <w:tc>
          <w:tcPr>
            <w:tcW w:w="2280" w:type="dxa"/>
            <w:vAlign w:val="bottom"/>
            <w:shd w:val="clear" w:color="auto" w:fill="D6F3E8"/>
          </w:tcPr>
          <w:p>
            <w:pPr>
              <w:spacing w:after="0"/>
              <w:rPr>
                <w:sz w:val="14"/>
                <w:szCs w:val="14"/>
                <w:color w:val="auto"/>
              </w:rPr>
            </w:pPr>
          </w:p>
        </w:tc>
        <w:tc>
          <w:tcPr>
            <w:tcW w:w="520" w:type="dxa"/>
            <w:vAlign w:val="bottom"/>
            <w:shd w:val="clear" w:color="auto" w:fill="D6F3E8"/>
          </w:tcPr>
          <w:p>
            <w:pPr>
              <w:spacing w:after="0"/>
              <w:rPr>
                <w:sz w:val="14"/>
                <w:szCs w:val="14"/>
                <w:color w:val="auto"/>
              </w:rPr>
            </w:pP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Supplemental Executive Retirement Plan (SERP)</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74"/>
              <w:spacing w:after="0"/>
              <w:rPr>
                <w:sz w:val="20"/>
                <w:szCs w:val="20"/>
                <w:color w:val="auto"/>
              </w:rPr>
            </w:pPr>
            <w:r>
              <w:rPr>
                <w:rFonts w:ascii="Arial" w:cs="Arial" w:eastAsia="Arial" w:hAnsi="Arial"/>
                <w:sz w:val="14"/>
                <w:szCs w:val="14"/>
                <w:color w:val="auto"/>
              </w:rPr>
              <w:t>49,366</w:t>
            </w:r>
          </w:p>
        </w:tc>
        <w:tc>
          <w:tcPr>
            <w:tcW w:w="220" w:type="dxa"/>
            <w:vAlign w:val="bottom"/>
            <w:shd w:val="clear" w:color="auto" w:fill="D6F3E8"/>
          </w:tcPr>
          <w:p>
            <w:pPr>
              <w:spacing w:after="0"/>
              <w:rPr>
                <w:sz w:val="14"/>
                <w:szCs w:val="14"/>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435,366</w:t>
            </w:r>
          </w:p>
        </w:tc>
      </w:tr>
      <w:tr>
        <w:trPr>
          <w:trHeight w:val="162"/>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Executive Deferred Compensation Plan 2007</w:t>
            </w:r>
          </w:p>
        </w:tc>
        <w:tc>
          <w:tcPr>
            <w:tcW w:w="1360" w:type="dxa"/>
            <w:vAlign w:val="bottom"/>
          </w:tcPr>
          <w:p>
            <w:pPr>
              <w:jc w:val="right"/>
              <w:ind w:right="314"/>
              <w:spacing w:after="0"/>
              <w:rPr>
                <w:sz w:val="20"/>
                <w:szCs w:val="20"/>
                <w:color w:val="auto"/>
              </w:rPr>
            </w:pPr>
            <w:r>
              <w:rPr>
                <w:rFonts w:ascii="Arial" w:cs="Arial" w:eastAsia="Arial" w:hAnsi="Arial"/>
                <w:sz w:val="14"/>
                <w:szCs w:val="14"/>
                <w:color w:val="auto"/>
              </w:rPr>
              <w:t>9,900</w:t>
            </w:r>
          </w:p>
        </w:tc>
        <w:tc>
          <w:tcPr>
            <w:tcW w:w="220" w:type="dxa"/>
            <w:vAlign w:val="bottom"/>
          </w:tcPr>
          <w:p>
            <w:pPr>
              <w:spacing w:after="0"/>
              <w:rPr>
                <w:sz w:val="14"/>
                <w:szCs w:val="14"/>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(5,657)</w:t>
            </w:r>
          </w:p>
        </w:tc>
        <w:tc>
          <w:tcPr>
            <w:tcW w:w="22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34,783</w:t>
            </w:r>
          </w:p>
        </w:tc>
      </w:tr>
      <w:tr>
        <w:trPr>
          <w:trHeight w:val="162"/>
        </w:trPr>
        <w:tc>
          <w:tcPr>
            <w:tcW w:w="2280" w:type="dxa"/>
            <w:vAlign w:val="bottom"/>
            <w:shd w:val="clear" w:color="auto" w:fill="D6F3E8"/>
          </w:tcPr>
          <w:p>
            <w:pPr>
              <w:spacing w:after="0"/>
              <w:rPr>
                <w:sz w:val="14"/>
                <w:szCs w:val="14"/>
                <w:color w:val="auto"/>
              </w:rPr>
            </w:pPr>
          </w:p>
        </w:tc>
        <w:tc>
          <w:tcPr>
            <w:tcW w:w="520" w:type="dxa"/>
            <w:vAlign w:val="bottom"/>
            <w:shd w:val="clear" w:color="auto" w:fill="D6F3E8"/>
          </w:tcPr>
          <w:p>
            <w:pPr>
              <w:spacing w:after="0"/>
              <w:rPr>
                <w:sz w:val="14"/>
                <w:szCs w:val="14"/>
                <w:color w:val="auto"/>
              </w:rPr>
            </w:pP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Executive Share Option Program</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(197,070)</w:t>
            </w:r>
          </w:p>
        </w:tc>
        <w:tc>
          <w:tcPr>
            <w:tcW w:w="220" w:type="dxa"/>
            <w:vAlign w:val="bottom"/>
            <w:shd w:val="clear" w:color="auto" w:fill="D6F3E8"/>
          </w:tcPr>
          <w:p>
            <w:pPr>
              <w:spacing w:after="0"/>
              <w:rPr>
                <w:sz w:val="14"/>
                <w:szCs w:val="14"/>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805,823</w:t>
            </w:r>
          </w:p>
        </w:tc>
      </w:tr>
      <w:tr>
        <w:trPr>
          <w:trHeight w:val="364"/>
        </w:trPr>
        <w:tc>
          <w:tcPr>
            <w:tcW w:w="2800" w:type="dxa"/>
            <w:vAlign w:val="bottom"/>
            <w:gridSpan w:val="2"/>
          </w:tcPr>
          <w:p>
            <w:pPr>
              <w:spacing w:after="0"/>
              <w:rPr>
                <w:sz w:val="20"/>
                <w:szCs w:val="20"/>
                <w:color w:val="auto"/>
              </w:rPr>
            </w:pPr>
            <w:r>
              <w:rPr>
                <w:rFonts w:ascii="Arial" w:cs="Arial" w:eastAsia="Arial" w:hAnsi="Arial"/>
                <w:sz w:val="14"/>
                <w:szCs w:val="14"/>
                <w:color w:val="auto"/>
              </w:rPr>
              <w:t>Roger W. Martin</w:t>
            </w:r>
          </w:p>
        </w:tc>
        <w:tc>
          <w:tcPr>
            <w:tcW w:w="4660" w:type="dxa"/>
            <w:vAlign w:val="bottom"/>
            <w:gridSpan w:val="2"/>
          </w:tcPr>
          <w:p>
            <w:pPr>
              <w:spacing w:after="0"/>
              <w:rPr>
                <w:sz w:val="20"/>
                <w:szCs w:val="20"/>
                <w:color w:val="auto"/>
              </w:rPr>
            </w:pPr>
            <w:r>
              <w:rPr>
                <w:rFonts w:ascii="Arial" w:cs="Arial" w:eastAsia="Arial" w:hAnsi="Arial"/>
                <w:sz w:val="14"/>
                <w:szCs w:val="14"/>
                <w:color w:val="auto"/>
              </w:rPr>
              <w:t>Deferred Compensation Plan (1981)</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72,000</w:t>
            </w:r>
          </w:p>
        </w:tc>
      </w:tr>
      <w:tr>
        <w:trPr>
          <w:trHeight w:val="162"/>
        </w:trPr>
        <w:tc>
          <w:tcPr>
            <w:tcW w:w="2280" w:type="dxa"/>
            <w:vAlign w:val="bottom"/>
            <w:shd w:val="clear" w:color="auto" w:fill="D6F3E8"/>
          </w:tcPr>
          <w:p>
            <w:pPr>
              <w:spacing w:after="0"/>
              <w:rPr>
                <w:sz w:val="14"/>
                <w:szCs w:val="14"/>
                <w:color w:val="auto"/>
              </w:rPr>
            </w:pPr>
          </w:p>
        </w:tc>
        <w:tc>
          <w:tcPr>
            <w:tcW w:w="520" w:type="dxa"/>
            <w:vAlign w:val="bottom"/>
            <w:shd w:val="clear" w:color="auto" w:fill="D6F3E8"/>
          </w:tcPr>
          <w:p>
            <w:pPr>
              <w:spacing w:after="0"/>
              <w:rPr>
                <w:sz w:val="14"/>
                <w:szCs w:val="14"/>
                <w:color w:val="auto"/>
              </w:rPr>
            </w:pP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Supplemental Executive Retirement Plan (SERP)</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74"/>
              <w:spacing w:after="0"/>
              <w:rPr>
                <w:sz w:val="20"/>
                <w:szCs w:val="20"/>
                <w:color w:val="auto"/>
              </w:rPr>
            </w:pPr>
            <w:r>
              <w:rPr>
                <w:rFonts w:ascii="Arial" w:cs="Arial" w:eastAsia="Arial" w:hAnsi="Arial"/>
                <w:sz w:val="14"/>
                <w:szCs w:val="14"/>
                <w:color w:val="auto"/>
              </w:rPr>
              <w:t>7,651</w:t>
            </w:r>
          </w:p>
        </w:tc>
        <w:tc>
          <w:tcPr>
            <w:tcW w:w="220" w:type="dxa"/>
            <w:vAlign w:val="bottom"/>
            <w:shd w:val="clear" w:color="auto" w:fill="D6F3E8"/>
          </w:tcPr>
          <w:p>
            <w:pPr>
              <w:spacing w:after="0"/>
              <w:rPr>
                <w:sz w:val="14"/>
                <w:szCs w:val="14"/>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20,135</w:t>
            </w:r>
          </w:p>
        </w:tc>
      </w:tr>
      <w:tr>
        <w:trPr>
          <w:trHeight w:val="162"/>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color w:val="auto"/>
              </w:rPr>
              <w:t>Executive Share Option Program</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(8,136)</w:t>
            </w:r>
          </w:p>
        </w:tc>
        <w:tc>
          <w:tcPr>
            <w:tcW w:w="22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57,721</w:t>
            </w:r>
          </w:p>
        </w:tc>
      </w:tr>
      <w:tr>
        <w:trPr>
          <w:trHeight w:val="243"/>
        </w:trPr>
        <w:tc>
          <w:tcPr>
            <w:tcW w:w="2800" w:type="dxa"/>
            <w:vAlign w:val="bottom"/>
            <w:gridSpan w:val="2"/>
            <w:shd w:val="clear" w:color="auto" w:fill="D6F3E8"/>
          </w:tcPr>
          <w:p>
            <w:pPr>
              <w:spacing w:after="0" w:line="243" w:lineRule="exact"/>
              <w:rPr>
                <w:sz w:val="20"/>
                <w:szCs w:val="20"/>
                <w:color w:val="auto"/>
              </w:rPr>
            </w:pPr>
            <w:r>
              <w:rPr>
                <w:rFonts w:ascii="Arial" w:cs="Arial" w:eastAsia="Arial" w:hAnsi="Arial"/>
                <w:sz w:val="14"/>
                <w:szCs w:val="14"/>
                <w:color w:val="auto"/>
              </w:rPr>
              <w:t>Sarah N. Nielsen</w:t>
            </w:r>
            <w:r>
              <w:rPr>
                <w:rFonts w:ascii="Arial" w:cs="Arial" w:eastAsia="Arial" w:hAnsi="Arial"/>
                <w:sz w:val="22"/>
                <w:szCs w:val="22"/>
                <w:color w:val="auto"/>
                <w:vertAlign w:val="superscript"/>
              </w:rPr>
              <w:t>(4)</w:t>
            </w: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Executive Deferred Compensation Plan 2007</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(374)</w:t>
            </w:r>
          </w:p>
        </w:tc>
        <w:tc>
          <w:tcPr>
            <w:tcW w:w="220" w:type="dxa"/>
            <w:vAlign w:val="bottom"/>
            <w:shd w:val="clear" w:color="auto" w:fill="D6F3E8"/>
          </w:tcPr>
          <w:p>
            <w:pPr>
              <w:spacing w:after="0"/>
              <w:rPr>
                <w:sz w:val="21"/>
                <w:szCs w:val="21"/>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1,188</w:t>
            </w:r>
          </w:p>
        </w:tc>
      </w:tr>
      <w:tr>
        <w:trPr>
          <w:trHeight w:val="243"/>
        </w:trPr>
        <w:tc>
          <w:tcPr>
            <w:tcW w:w="2800" w:type="dxa"/>
            <w:vAlign w:val="bottom"/>
            <w:gridSpan w:val="2"/>
          </w:tcPr>
          <w:p>
            <w:pPr>
              <w:spacing w:after="0" w:line="243" w:lineRule="exact"/>
              <w:rPr>
                <w:sz w:val="20"/>
                <w:szCs w:val="20"/>
                <w:color w:val="auto"/>
              </w:rPr>
            </w:pPr>
            <w:r>
              <w:rPr>
                <w:rFonts w:ascii="Arial" w:cs="Arial" w:eastAsia="Arial" w:hAnsi="Arial"/>
                <w:sz w:val="14"/>
                <w:szCs w:val="14"/>
                <w:color w:val="auto"/>
              </w:rPr>
              <w:t>William J. O’Leary</w:t>
            </w:r>
            <w:r>
              <w:rPr>
                <w:rFonts w:ascii="Arial" w:cs="Arial" w:eastAsia="Arial" w:hAnsi="Arial"/>
                <w:sz w:val="22"/>
                <w:szCs w:val="22"/>
                <w:color w:val="auto"/>
                <w:vertAlign w:val="superscript"/>
              </w:rPr>
              <w:t>(4)</w:t>
            </w:r>
          </w:p>
        </w:tc>
        <w:tc>
          <w:tcPr>
            <w:tcW w:w="4660" w:type="dxa"/>
            <w:vAlign w:val="bottom"/>
            <w:gridSpan w:val="2"/>
          </w:tcPr>
          <w:p>
            <w:pPr>
              <w:spacing w:after="0"/>
              <w:rPr>
                <w:sz w:val="20"/>
                <w:szCs w:val="20"/>
                <w:color w:val="auto"/>
              </w:rPr>
            </w:pPr>
            <w:r>
              <w:rPr>
                <w:rFonts w:ascii="Arial" w:cs="Arial" w:eastAsia="Arial" w:hAnsi="Arial"/>
                <w:sz w:val="14"/>
                <w:szCs w:val="14"/>
                <w:color w:val="auto"/>
              </w:rPr>
              <w:t>Supplemental Executive Retirement Plan (SERP)</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42,722</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151,838</w:t>
            </w:r>
          </w:p>
        </w:tc>
      </w:tr>
      <w:tr>
        <w:trPr>
          <w:trHeight w:val="162"/>
        </w:trPr>
        <w:tc>
          <w:tcPr>
            <w:tcW w:w="2280" w:type="dxa"/>
            <w:vAlign w:val="bottom"/>
            <w:shd w:val="clear" w:color="auto" w:fill="D6F3E8"/>
          </w:tcPr>
          <w:p>
            <w:pPr>
              <w:spacing w:after="0"/>
              <w:rPr>
                <w:sz w:val="14"/>
                <w:szCs w:val="14"/>
                <w:color w:val="auto"/>
              </w:rPr>
            </w:pPr>
          </w:p>
        </w:tc>
        <w:tc>
          <w:tcPr>
            <w:tcW w:w="520" w:type="dxa"/>
            <w:vAlign w:val="bottom"/>
            <w:shd w:val="clear" w:color="auto" w:fill="D6F3E8"/>
          </w:tcPr>
          <w:p>
            <w:pPr>
              <w:spacing w:after="0"/>
              <w:rPr>
                <w:sz w:val="14"/>
                <w:szCs w:val="14"/>
                <w:color w:val="auto"/>
              </w:rPr>
            </w:pPr>
          </w:p>
        </w:tc>
        <w:tc>
          <w:tcPr>
            <w:tcW w:w="4660" w:type="dxa"/>
            <w:vAlign w:val="bottom"/>
            <w:gridSpan w:val="2"/>
            <w:shd w:val="clear" w:color="auto" w:fill="D6F3E8"/>
          </w:tcPr>
          <w:p>
            <w:pPr>
              <w:spacing w:after="0"/>
              <w:rPr>
                <w:sz w:val="20"/>
                <w:szCs w:val="20"/>
                <w:color w:val="auto"/>
              </w:rPr>
            </w:pPr>
            <w:r>
              <w:rPr>
                <w:rFonts w:ascii="Arial" w:cs="Arial" w:eastAsia="Arial" w:hAnsi="Arial"/>
                <w:sz w:val="14"/>
                <w:szCs w:val="14"/>
                <w:color w:val="auto"/>
              </w:rPr>
              <w:t>Executive Share Option Program</w:t>
            </w:r>
          </w:p>
        </w:tc>
        <w:tc>
          <w:tcPr>
            <w:tcW w:w="1580" w:type="dxa"/>
            <w:vAlign w:val="bottom"/>
            <w:gridSpan w:val="2"/>
            <w:shd w:val="clear" w:color="auto" w:fill="D6F3E8"/>
          </w:tcPr>
          <w:p>
            <w:pPr>
              <w:jc w:val="right"/>
              <w:ind w:righ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(25,196)</w:t>
            </w:r>
          </w:p>
        </w:tc>
        <w:tc>
          <w:tcPr>
            <w:tcW w:w="220" w:type="dxa"/>
            <w:vAlign w:val="bottom"/>
            <w:shd w:val="clear" w:color="auto" w:fill="D6F3E8"/>
          </w:tcPr>
          <w:p>
            <w:pPr>
              <w:spacing w:after="0"/>
              <w:rPr>
                <w:sz w:val="14"/>
                <w:szCs w:val="14"/>
                <w:color w:val="auto"/>
              </w:rPr>
            </w:pPr>
          </w:p>
        </w:tc>
        <w:tc>
          <w:tcPr>
            <w:tcW w:w="1140" w:type="dxa"/>
            <w:vAlign w:val="bottom"/>
            <w:shd w:val="clear" w:color="auto" w:fill="D6F3E8"/>
          </w:tcPr>
          <w:p>
            <w:pPr>
              <w:jc w:val="right"/>
              <w:ind w:right="34"/>
              <w:spacing w:after="0"/>
              <w:rPr>
                <w:sz w:val="20"/>
                <w:szCs w:val="20"/>
                <w:color w:val="auto"/>
              </w:rPr>
            </w:pPr>
            <w:r>
              <w:rPr>
                <w:rFonts w:ascii="Arial" w:cs="Arial" w:eastAsia="Arial" w:hAnsi="Arial"/>
                <w:sz w:val="14"/>
                <w:szCs w:val="14"/>
                <w:color w:val="auto"/>
              </w:rPr>
              <w:t>142,906</w:t>
            </w:r>
          </w:p>
        </w:tc>
      </w:tr>
    </w:tbl>
    <w:p>
      <w:pPr>
        <w:ind w:left="40"/>
        <w:spacing w:after="0"/>
        <w:rPr>
          <w:sz w:val="20"/>
          <w:szCs w:val="20"/>
          <w:color w:val="auto"/>
        </w:rPr>
      </w:pPr>
      <w:r>
        <w:rPr>
          <w:rFonts w:ascii="Arial" w:cs="Arial" w:eastAsia="Arial" w:hAnsi="Arial"/>
          <w:sz w:val="18"/>
          <w:szCs w:val="18"/>
          <w:color w:val="auto"/>
        </w:rPr>
        <w:t>__________________</w:t>
      </w:r>
    </w:p>
    <w:p>
      <w:pPr>
        <w:spacing w:after="0" w:line="28" w:lineRule="exact"/>
        <w:rPr>
          <w:sz w:val="20"/>
          <w:szCs w:val="20"/>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Fiscal 2009, Mr. Beebe was the only Named Executive Officer that contributed to the Executive Deferred Compensation Plan 2007. This amount is also included in the amount designated as “Salary” in the Summary Compensation Table.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460" w:hanging="452"/>
        <w:spacing w:after="0" w:line="29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amount under the Deferred Compensation Plan (1981) represents the additional vesting earned in Fiscal 2009. As of August 29, 2009, because Mr. Martin had not qualified for early retirement under the Deferred Compensation Plan (1981), his age 65 benefits are included in the table. As of August 29, 2009, the change under the Supplemental Executive Retirement Plan (SERP) represents additional vesting earned in Fiscal 2009 from benefits converted from the redesign of the Executive Split Dollar Life program to comply with all current regulations. The amount under the Executive Deferred Compensation Plan 2007 represents the change in the market price of the underlying investments from August 30, 2008 to August 29, 2009. The credit under the Executive Share Option Program represents the change in the market price of the financial instruments from August 30, 2008 to August 29, 2009 in each of the Named Executive Officer’s account.</w:t>
      </w:r>
    </w:p>
    <w:p>
      <w:pPr>
        <w:spacing w:after="0" w:line="64" w:lineRule="exact"/>
        <w:rPr>
          <w:rFonts w:ascii="Arial" w:cs="Arial" w:eastAsia="Arial" w:hAnsi="Arial"/>
          <w:sz w:val="16"/>
          <w:szCs w:val="16"/>
          <w:color w:val="auto"/>
        </w:rPr>
      </w:pPr>
    </w:p>
    <w:p>
      <w:pPr>
        <w:jc w:val="both"/>
        <w:ind w:left="460" w:hanging="452"/>
        <w:spacing w:after="0" w:line="29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amount under the Deferred Compensation Plan (1981) represents the total 15 year payout for the Named Executive Officer based on their respective Early Retirement Benefit except for Mr. Beebe, who is of retirement age and, therefore, his benefit is based on the Normal Retirement Benefit. Mr. Martin had not qualified for early retirement under the Deferred Compensation Plan (1981); however, his age 65 benefit is included in this column. The dollar amount under SERP represents the present value of the benefit earned by the Named Executive Officer as of August 29, 2009. The dollar amount</w:t>
      </w:r>
    </w:p>
    <w:p>
      <w:pPr>
        <w:sectPr>
          <w:pgSz w:w="11900" w:h="16838" w:orient="portrait"/>
          <w:cols w:equalWidth="0" w:num="1">
            <w:col w:w="11420"/>
          </w:cols>
          <w:pgMar w:left="240" w:top="131" w:right="239" w:bottom="0" w:gutter="0" w:footer="0" w:header="0"/>
        </w:sectPr>
      </w:pPr>
    </w:p>
    <w:bookmarkStart w:id="27" w:name="page28"/>
    <w:bookmarkEnd w:id="27"/>
    <w:p>
      <w:pPr>
        <w:spacing w:after="0" w:line="87"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under the Executive Share Option Program represents the market price of the financial instruments as of August 29, 2009 in each of the Named Executive Officer’s account.</w:t>
      </w:r>
    </w:p>
    <w:p>
      <w:pPr>
        <w:spacing w:after="0" w:line="78" w:lineRule="exact"/>
        <w:rPr>
          <w:sz w:val="20"/>
          <w:szCs w:val="20"/>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O’Leary elected not to participate in the Deferred Compensation Plan (1981). The Board of Directors elected to freeze this plan to additional participants in 2001; therefore, Ms. Nielsen, who joined the Company after 2001, is not a participant in this plan.</w:t>
      </w:r>
    </w:p>
    <w:p>
      <w:pPr>
        <w:spacing w:after="0" w:line="78"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Company’s Executive Share Option Program was established in 1997 to provide executives with an opportunity to defer a portion of their compensation in the form of options to purchase mutual funds invested in companies other than the Company. The Executive Share Option Program was frozen effective December 31, 2004. Accordingly, no new deferrals or contributions to the Executive Share Option Program have been made after that date and no new participants may enter the plan.</w:t>
      </w:r>
    </w:p>
    <w:p>
      <w:pPr>
        <w:spacing w:after="0" w:line="89"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The Company’s Non-Qualified Deferred Compensation Program (1981)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To assist in funding the deferred compensation liability, the Company invested in corporate-owned life insurance policies. See “Compensation Discussion and Analysis—Deferred Compensation Plan (1981)” above for a description of this plan.</w:t>
      </w:r>
    </w:p>
    <w:p>
      <w:pPr>
        <w:spacing w:after="0" w:line="89"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Company’s Executive Deferred Compensation Plan permits Named Executive Officers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89"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i w:val="1"/>
          <w:iCs w:val="1"/>
          <w:color w:val="auto"/>
        </w:rPr>
        <w:t xml:space="preserve">Supplemental Executive Retirement Plan (SERP) </w:t>
      </w:r>
      <w:r>
        <w:rPr>
          <w:rFonts w:ascii="Arial" w:cs="Arial" w:eastAsia="Arial" w:hAnsi="Arial"/>
          <w:sz w:val="16"/>
          <w:szCs w:val="16"/>
          <w:color w:val="auto"/>
        </w:rPr>
        <w:t>— In 1988, the Board of Directors approved the adoption of an Executive Split Dollar Life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with respect to certain executives of the Company. In October 2008, the Board of Directors took action to convert the Executive Split Dollar Life Insurance Program to the SERP as a result of changes in the tax and accounting regulations and rising administrative costs to the Company. See “Compensation Discussion and Analysis–Supplemental Executive Retirement Plan (SERP)/Split Dollar Life Insurance” above for a description of this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Change of Control Agreements</w:t>
      </w:r>
    </w:p>
    <w:p>
      <w:pPr>
        <w:spacing w:after="0" w:line="117"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During Fiscal 2001, the Board of Directors approved Executive Change of Control Agreements for certain executive officers of the Company and, at later dates, approved agreements for certain other executive officers, including Named Executive Officers,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amendments generally clarify the timing of certain payments to be made under the agreements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add certain provisions that are required under Section 409A to be included in agreements between a public company and its officers. The deadline for bringing agreements in full documentary compliance with Section 409A was December 31, 2008 (the Executive Change of Control Agreements, as amended are hereinafter referred to as the “Agreements”).</w:t>
      </w:r>
    </w:p>
    <w:p>
      <w:pPr>
        <w:spacing w:after="0" w:line="86"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The purpose of the Agreements is to reinforce and encourage executives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This multiple was arrived at through an analysis of certain Compensation Peers change of control agreements at the time these agreements were developed.</w:t>
      </w:r>
    </w:p>
    <w:p>
      <w:pPr>
        <w:spacing w:after="0" w:line="64"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In addition, under the Agreements, if it is determined that any payment or distribution made by the Company to the executive would be subject to a federal excise tax, the Company would pay to the executive an additional payment (a “gross-up benefit”) so that he or she would not be subject to a net reduction in compensation due to the imposition of the excise tax.</w:t>
      </w:r>
    </w:p>
    <w:p>
      <w:pPr>
        <w:spacing w:after="0" w:line="86" w:lineRule="exact"/>
        <w:rPr>
          <w:sz w:val="20"/>
          <w:szCs w:val="20"/>
          <w:color w:val="auto"/>
        </w:rPr>
      </w:pPr>
    </w:p>
    <w:p>
      <w:pPr>
        <w:jc w:val="both"/>
        <w:ind w:firstLine="458"/>
        <w:spacing w:after="0" w:line="309" w:lineRule="auto"/>
        <w:rPr>
          <w:sz w:val="20"/>
          <w:szCs w:val="20"/>
          <w:color w:val="auto"/>
        </w:rPr>
      </w:pPr>
      <w:r>
        <w:rPr>
          <w:rFonts w:ascii="Arial" w:cs="Arial" w:eastAsia="Arial" w:hAnsi="Arial"/>
          <w:sz w:val="15"/>
          <w:szCs w:val="15"/>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the Company’s Board of Directors, while such person is a member of the Board, who is not an affiliate or associate of any person or group described in clause (i) of the preceding sentence (an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 Payments</w:t>
      </w:r>
    </w:p>
    <w:p>
      <w:pPr>
        <w:spacing w:after="0" w:line="117" w:lineRule="exact"/>
        <w:rPr>
          <w:sz w:val="20"/>
          <w:szCs w:val="20"/>
          <w:color w:val="auto"/>
        </w:rPr>
      </w:pPr>
    </w:p>
    <w:p>
      <w:pPr>
        <w:jc w:val="both"/>
        <w:ind w:firstLine="458"/>
        <w:spacing w:after="0" w:line="298"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the Company’s financial performance through the end of the fiscal year in which such Change in Control occurs. A participant must be employed by the Company at the end of the fiscal year to be eligible for any previous quarterly holdback allocations, except for a Change in Control as described above or as waived by the Committee for normal retirement, disability and death.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Payments</w:t>
      </w:r>
    </w:p>
    <w:p>
      <w:pPr>
        <w:spacing w:after="0" w:line="117"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the Company’s financial performance through the end of the Long-Term</w:t>
      </w:r>
    </w:p>
    <w:p>
      <w:pPr>
        <w:sectPr>
          <w:pgSz w:w="11900" w:h="16925" w:orient="portrait"/>
          <w:cols w:equalWidth="0" w:num="1">
            <w:col w:w="11420"/>
          </w:cols>
          <w:pgMar w:left="240" w:top="131" w:right="239" w:bottom="0" w:gutter="0" w:footer="0" w:header="0"/>
        </w:sectPr>
      </w:pPr>
    </w:p>
    <w:bookmarkStart w:id="28" w:name="page29"/>
    <w:bookmarkEnd w:id="28"/>
    <w:p>
      <w:pPr>
        <w:spacing w:after="0" w:line="332" w:lineRule="auto"/>
        <w:rPr>
          <w:sz w:val="20"/>
          <w:szCs w:val="20"/>
          <w:color w:val="auto"/>
        </w:rPr>
      </w:pPr>
      <w:r>
        <w:rPr>
          <w:rFonts w:ascii="Arial" w:cs="Arial" w:eastAsia="Arial" w:hAnsi="Arial"/>
          <w:sz w:val="16"/>
          <w:szCs w:val="16"/>
          <w:color w:val="auto"/>
        </w:rPr>
        <w:t>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Incentive Compensation Plan Payments</w:t>
      </w:r>
    </w:p>
    <w:p>
      <w:pPr>
        <w:spacing w:after="0" w:line="117" w:lineRule="exact"/>
        <w:rPr>
          <w:sz w:val="20"/>
          <w:szCs w:val="20"/>
          <w:color w:val="auto"/>
        </w:rPr>
      </w:pPr>
    </w:p>
    <w:p>
      <w:pPr>
        <w:ind w:firstLine="458"/>
        <w:spacing w:after="0" w:line="268"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Pursuant to restricted award agreements entered into by each Named Executive Officer, unvested awards of restricted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vest to Named Executive Officers under the following circumstances:</w:t>
      </w:r>
    </w:p>
    <w:p>
      <w:pPr>
        <w:sectPr>
          <w:pgSz w:w="11900" w:h="16838" w:orient="portrait"/>
          <w:cols w:equalWidth="0" w:num="1">
            <w:col w:w="11420"/>
          </w:cols>
          <w:pgMar w:left="240" w:top="131" w:right="239" w:bottom="127" w:gutter="0" w:footer="0" w:header="0"/>
        </w:sectPr>
      </w:pPr>
    </w:p>
    <w:p>
      <w:pPr>
        <w:spacing w:after="0" w:line="31"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a Named Executive Officer’s termination of employment is due to his or her retirement and occurs after at least five consecutive years of employment with the Company, any unvested awards of restricted stock immediately vest if the participant is at least 55 years of age;</w:t>
      </w:r>
    </w:p>
    <w:p>
      <w:pPr>
        <w:spacing w:after="0" w:line="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the Named Executive Officer’s termination of employment is due to his or her disability (as defined in the 2004 Plan) and occurs after at least five consecutive years of employment with the Company, any unvested awards of restricted stock immediately vest; and</w:t>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Named Executive Officer’s termination of employment is due to his or her death and occurs after at least five consecutive years of employment with the Company or any subsidiary, any unvested awards of restricted stock shall immediately vest.</w:t>
      </w:r>
    </w:p>
    <w:p>
      <w:pPr>
        <w:spacing w:after="0" w:line="78" w:lineRule="exact"/>
        <w:rPr>
          <w:sz w:val="20"/>
          <w:szCs w:val="20"/>
          <w:color w:val="auto"/>
        </w:rPr>
      </w:pPr>
    </w:p>
    <w:p>
      <w:pPr>
        <w:sectPr>
          <w:pgSz w:w="11900" w:h="16838" w:orient="portrait"/>
          <w:cols w:equalWidth="0" w:num="2">
            <w:col w:w="540" w:space="360"/>
            <w:col w:w="10520"/>
          </w:cols>
          <w:pgMar w:left="240" w:top="131" w:right="239" w:bottom="127" w:gutter="0" w:footer="0" w:header="0"/>
          <w:type w:val="continuous"/>
        </w:sectPr>
      </w:pPr>
    </w:p>
    <w:p>
      <w:pPr>
        <w:jc w:val="both"/>
        <w:ind w:firstLine="458"/>
        <w:spacing w:after="0" w:line="259" w:lineRule="auto"/>
        <w:rPr>
          <w:sz w:val="20"/>
          <w:szCs w:val="20"/>
          <w:color w:val="auto"/>
        </w:rPr>
      </w:pPr>
      <w:r>
        <w:rPr>
          <w:rFonts w:ascii="Arial" w:cs="Arial" w:eastAsia="Arial" w:hAnsi="Arial"/>
          <w:sz w:val="18"/>
          <w:szCs w:val="18"/>
          <w:color w:val="auto"/>
        </w:rPr>
        <w:t>In addition, any restricted shares that are not vested under the 2004 Plan will vest upon a “Change of Control” (as defined in the 2004 Plan) of the Company. In all other circumstances, in the event that a Named Executive Officer ceases to be employed by the Company or any subsidiary, any awards held by such grantee will terminate and thereafter, be null and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Any options not vested under the 2004 Plan will vest upon a “Change of Control” (as defined in the 2004 Plan) of the Company, pursuant to the terms of the 2004 Plan. In the event that a Named Executive Officer ceases to be employed by the Company, stock options held by such Named Executive Officer will vest as follows:</w:t>
      </w:r>
    </w:p>
    <w:p>
      <w:pPr>
        <w:spacing w:after="0" w:line="86" w:lineRule="exact"/>
        <w:rPr>
          <w:sz w:val="20"/>
          <w:szCs w:val="20"/>
          <w:color w:val="auto"/>
        </w:rPr>
      </w:pPr>
    </w:p>
    <w:p>
      <w:pPr>
        <w:jc w:val="both"/>
        <w:ind w:left="900" w:hanging="446"/>
        <w:spacing w:after="0" w:line="258" w:lineRule="auto"/>
        <w:tabs>
          <w:tab w:leader="none" w:pos="900" w:val="left"/>
        </w:tabs>
        <w:numPr>
          <w:ilvl w:val="0"/>
          <w:numId w:val="39"/>
        </w:numPr>
        <w:rPr>
          <w:rFonts w:ascii="Arial" w:cs="Arial" w:eastAsia="Arial" w:hAnsi="Arial"/>
          <w:sz w:val="22"/>
          <w:szCs w:val="22"/>
          <w:b w:val="1"/>
          <w:bCs w:val="1"/>
          <w:color w:val="auto"/>
        </w:rPr>
      </w:pPr>
      <w:r>
        <w:rPr>
          <w:rFonts w:ascii="Arial" w:cs="Arial" w:eastAsia="Arial" w:hAnsi="Arial"/>
          <w:sz w:val="16"/>
          <w:szCs w:val="16"/>
          <w:color w:val="auto"/>
        </w:rPr>
        <w:t>if the Named Executive Officer’s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88" w:lineRule="exact"/>
        <w:rPr>
          <w:rFonts w:ascii="Arial" w:cs="Arial" w:eastAsia="Arial" w:hAnsi="Arial"/>
          <w:sz w:val="22"/>
          <w:szCs w:val="22"/>
          <w:b w:val="1"/>
          <w:bCs w:val="1"/>
          <w:color w:val="auto"/>
        </w:rPr>
      </w:pPr>
    </w:p>
    <w:p>
      <w:pPr>
        <w:jc w:val="both"/>
        <w:ind w:left="900" w:hanging="446"/>
        <w:spacing w:after="0" w:line="232" w:lineRule="auto"/>
        <w:tabs>
          <w:tab w:leader="none" w:pos="900" w:val="left"/>
        </w:tabs>
        <w:numPr>
          <w:ilvl w:val="0"/>
          <w:numId w:val="39"/>
        </w:numPr>
        <w:rPr>
          <w:rFonts w:ascii="Arial" w:cs="Arial" w:eastAsia="Arial" w:hAnsi="Arial"/>
          <w:sz w:val="24"/>
          <w:szCs w:val="24"/>
          <w:b w:val="1"/>
          <w:bCs w:val="1"/>
          <w:color w:val="auto"/>
        </w:rPr>
      </w:pPr>
      <w:r>
        <w:rPr>
          <w:rFonts w:ascii="Arial" w:cs="Arial" w:eastAsia="Arial" w:hAnsi="Arial"/>
          <w:sz w:val="18"/>
          <w:szCs w:val="18"/>
          <w:color w:val="auto"/>
        </w:rPr>
        <w:t>if the Named Executive Officer’s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105" w:lineRule="exact"/>
        <w:rPr>
          <w:rFonts w:ascii="Arial" w:cs="Arial" w:eastAsia="Arial" w:hAnsi="Arial"/>
          <w:sz w:val="24"/>
          <w:szCs w:val="24"/>
          <w:b w:val="1"/>
          <w:bCs w:val="1"/>
          <w:color w:val="auto"/>
        </w:rPr>
      </w:pPr>
    </w:p>
    <w:p>
      <w:pPr>
        <w:jc w:val="both"/>
        <w:ind w:left="900" w:hanging="446"/>
        <w:spacing w:after="0" w:line="232" w:lineRule="auto"/>
        <w:tabs>
          <w:tab w:leader="none" w:pos="900" w:val="left"/>
        </w:tabs>
        <w:numPr>
          <w:ilvl w:val="0"/>
          <w:numId w:val="39"/>
        </w:numPr>
        <w:rPr>
          <w:rFonts w:ascii="Arial" w:cs="Arial" w:eastAsia="Arial" w:hAnsi="Arial"/>
          <w:sz w:val="24"/>
          <w:szCs w:val="24"/>
          <w:b w:val="1"/>
          <w:bCs w:val="1"/>
          <w:color w:val="auto"/>
        </w:rPr>
      </w:pPr>
      <w:r>
        <w:rPr>
          <w:rFonts w:ascii="Arial" w:cs="Arial" w:eastAsia="Arial" w:hAnsi="Arial"/>
          <w:sz w:val="18"/>
          <w:szCs w:val="18"/>
          <w:color w:val="auto"/>
        </w:rPr>
        <w:t>if the Named Executive Officer’s termination of employment is due to his or her death and occurs after at least five consecutive years of employment with the Company, the options shall become vested in full and immediately exercisable by the Named Executive Officer’s estate or legal representative for a period of one year following such termination of employment and shall thereafter, terminate, for both incentive and non-qualified stock options.</w:t>
      </w:r>
    </w:p>
    <w:p>
      <w:pPr>
        <w:spacing w:after="0" w:line="105"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In the event that a Named Executive Officer ceases to be employed by the Company other than because of retirement, disability or death or if retirement, disability or death occurs before the Named Executive Officer has completed five consecutive years of employment with the Company, any outstanding stock options held by the Named Executive Officer which have not vested as of the date of termination of employment will terminate and the Named Executive Officer may exercise any options in which he or she is vested at the date of termination of employment for a period of three months following such date of termination of employment.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ESTIMATED CHANGE OF CONTROL OR TERMINATION PAYMENTS AND</w:t>
      </w:r>
    </w:p>
    <w:p>
      <w:pPr>
        <w:spacing w:after="0" w:line="2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 xml:space="preserve">BENEFITS AT THE END OF FISCAL </w:t>
      </w:r>
      <w:r>
        <w:rPr>
          <w:rFonts w:ascii="Arial" w:cs="Arial" w:eastAsia="Arial" w:hAnsi="Arial"/>
          <w:sz w:val="21"/>
          <w:szCs w:val="21"/>
          <w:color w:val="auto"/>
        </w:rPr>
        <w:t>2009</w:t>
      </w:r>
    </w:p>
    <w:p>
      <w:pPr>
        <w:spacing w:after="0" w:line="105"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The tables below reflect the payments and benefits payable to each of the Named Executive Officers in the event of a termination of the executive’s employment under several different circumstances. The amounts shown assume that termination was effective as of August 29, 2009, at the executive’s compensation and service levels as of that date, and are estimates of the amounts that would be payable to the Named Executive Officers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64"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Payments relating to the Officers Incentive Compensation Plan and the Long-Term Incentive Plan are not currently applicable, as the Company did not meet the applicable threshold requirements of these plans as of the end of Fiscal 2009. Also, no amounts would be realized with respect to any outstanding unvested stock options, as the exercise prices of the stock options held by the Named Executive Officers were greater than the closing price of the Company’s Common Stock on August 28,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ROBERT J. OLSON</w:t>
      </w:r>
    </w:p>
    <w:p>
      <w:pPr>
        <w:sectPr>
          <w:pgSz w:w="11900" w:h="16838" w:orient="portrait"/>
          <w:cols w:equalWidth="0" w:num="1">
            <w:col w:w="11420"/>
          </w:cols>
          <w:pgMar w:left="240" w:top="131" w:right="239" w:bottom="127" w:gutter="0" w:footer="0" w:header="0"/>
          <w:type w:val="continuous"/>
        </w:sectPr>
      </w:pPr>
    </w:p>
    <w:p>
      <w:pPr>
        <w:spacing w:after="0" w:line="65" w:lineRule="exact"/>
        <w:rPr>
          <w:sz w:val="20"/>
          <w:szCs w:val="20"/>
          <w:color w:val="auto"/>
        </w:rPr>
      </w:pPr>
    </w:p>
    <w:p>
      <w:pPr>
        <w:ind w:left="7480"/>
        <w:spacing w:after="0"/>
        <w:rPr>
          <w:sz w:val="20"/>
          <w:szCs w:val="20"/>
          <w:color w:val="auto"/>
        </w:rPr>
      </w:pPr>
      <w:r>
        <w:rPr>
          <w:rFonts w:ascii="Arial" w:cs="Arial" w:eastAsia="Arial" w:hAnsi="Arial"/>
          <w:sz w:val="12"/>
          <w:szCs w:val="12"/>
          <w:b w:val="1"/>
          <w:bCs w:val="1"/>
          <w:color w:val="auto"/>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16554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1420"/>
          </w:cols>
          <w:pgMar w:left="240" w:top="131" w:right="239" w:bottom="127"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Involuntary</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Termination</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5"/>
              </w:rPr>
              <w:t>Retirement</w:t>
            </w:r>
            <w:r>
              <w:rPr>
                <w:rFonts w:ascii="Arial" w:cs="Arial" w:eastAsia="Arial" w:hAnsi="Arial"/>
                <w:sz w:val="22"/>
                <w:szCs w:val="22"/>
                <w:b w:val="1"/>
                <w:bCs w:val="1"/>
                <w:color w:val="auto"/>
                <w:w w:val="85"/>
                <w:vertAlign w:val="superscript"/>
              </w:rPr>
              <w:t>(1)</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Without</w:t>
            </w:r>
          </w:p>
        </w:tc>
        <w:tc>
          <w:tcPr>
            <w:tcW w:w="1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Without Cause /</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Payments and</w:t>
            </w:r>
          </w:p>
        </w:tc>
        <w:tc>
          <w:tcPr>
            <w:tcW w:w="13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Cause</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Good Reason</w:t>
            </w:r>
          </w:p>
        </w:tc>
        <w:tc>
          <w:tcPr>
            <w:tcW w:w="82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rPr>
              <w:t>Death</w:t>
            </w:r>
          </w:p>
        </w:tc>
        <w:tc>
          <w:tcPr>
            <w:tcW w:w="110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line="115" w:lineRule="exact"/>
              <w:rPr>
                <w:sz w:val="20"/>
                <w:szCs w:val="20"/>
                <w:color w:val="auto"/>
              </w:rPr>
            </w:pPr>
            <w:r>
              <w:rPr>
                <w:rFonts w:ascii="Arial" w:cs="Arial" w:eastAsia="Arial" w:hAnsi="Arial"/>
                <w:sz w:val="12"/>
                <w:szCs w:val="12"/>
                <w:b w:val="1"/>
                <w:bCs w:val="1"/>
                <w:color w:val="auto"/>
              </w:rPr>
              <w:t>Benefits Upon</w:t>
            </w:r>
          </w:p>
        </w:tc>
        <w:tc>
          <w:tcPr>
            <w:tcW w:w="1200" w:type="dxa"/>
            <w:vAlign w:val="bottom"/>
            <w:gridSpan w:val="2"/>
          </w:tcPr>
          <w:p>
            <w:pPr>
              <w:jc w:val="right"/>
              <w:ind w:right="41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center"/>
              <w:ind w:left="354"/>
              <w:spacing w:after="0" w:line="115" w:lineRule="exact"/>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left="573"/>
              <w:spacing w:after="0" w:line="115"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292"/>
              <w:spacing w:after="0" w:line="12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312"/>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40" w:type="dxa"/>
            <w:vAlign w:val="bottom"/>
          </w:tcPr>
          <w:p>
            <w:pPr>
              <w:spacing w:after="0" w:line="107" w:lineRule="exact"/>
              <w:rPr>
                <w:sz w:val="20"/>
                <w:szCs w:val="20"/>
                <w:color w:val="auto"/>
              </w:rPr>
            </w:pPr>
            <w:r>
              <w:rPr>
                <w:rFonts w:ascii="Arial" w:cs="Arial" w:eastAsia="Arial" w:hAnsi="Arial"/>
                <w:sz w:val="12"/>
                <w:szCs w:val="12"/>
                <w:color w:val="auto"/>
              </w:rPr>
              <w:t>Compensation:</w:t>
            </w: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tcPr>
          <w:p>
            <w:pPr>
              <w:ind w:left="160"/>
              <w:spacing w:after="0" w:line="205" w:lineRule="exact"/>
              <w:rPr>
                <w:sz w:val="20"/>
                <w:szCs w:val="20"/>
                <w:color w:val="auto"/>
              </w:rPr>
            </w:pPr>
            <w:r>
              <w:rPr>
                <w:rFonts w:ascii="Arial" w:cs="Arial" w:eastAsia="Arial" w:hAnsi="Arial"/>
                <w:sz w:val="14"/>
                <w:szCs w:val="14"/>
                <w:color w:val="auto"/>
              </w:rPr>
              <w:t>Severance Benefit (Change of Control)</w:t>
            </w:r>
            <w:r>
              <w:rPr>
                <w:rFonts w:ascii="Arial" w:cs="Arial" w:eastAsia="Arial" w:hAnsi="Arial"/>
                <w:sz w:val="22"/>
                <w:szCs w:val="22"/>
                <w:color w:val="auto"/>
                <w:vertAlign w:val="superscript"/>
              </w:rPr>
              <w:t>(2)</w:t>
            </w:r>
          </w:p>
        </w:tc>
        <w:tc>
          <w:tcPr>
            <w:tcW w:w="6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80"/>
              <w:spacing w:after="0"/>
              <w:rPr>
                <w:sz w:val="20"/>
                <w:szCs w:val="20"/>
                <w:color w:val="auto"/>
              </w:rPr>
            </w:pPr>
            <w:r>
              <w:rPr>
                <w:rFonts w:ascii="Arial" w:cs="Arial" w:eastAsia="Arial" w:hAnsi="Arial"/>
                <w:sz w:val="14"/>
                <w:szCs w:val="14"/>
                <w:color w:val="auto"/>
              </w:rPr>
              <w:t>1,311,744</w:t>
            </w: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D6F3E8"/>
          </w:tcPr>
          <w:p>
            <w:pPr>
              <w:spacing w:after="0"/>
              <w:rPr>
                <w:sz w:val="20"/>
                <w:szCs w:val="20"/>
                <w:color w:val="auto"/>
              </w:rPr>
            </w:pPr>
            <w:r>
              <w:rPr>
                <w:rFonts w:ascii="Arial" w:cs="Arial" w:eastAsia="Arial" w:hAnsi="Arial"/>
                <w:sz w:val="14"/>
                <w:szCs w:val="14"/>
                <w:color w:val="auto"/>
              </w:rPr>
              <w:t>Long-Term Incentives:</w:t>
            </w:r>
          </w:p>
        </w:tc>
        <w:tc>
          <w:tcPr>
            <w:tcW w:w="66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40" w:type="dxa"/>
            <w:vAlign w:val="bottom"/>
            <w:shd w:val="clear" w:color="auto" w:fill="D6F3E8"/>
          </w:tcPr>
          <w:p>
            <w:pPr>
              <w:spacing w:after="0"/>
              <w:rPr>
                <w:sz w:val="16"/>
                <w:szCs w:val="16"/>
                <w:color w:val="auto"/>
              </w:rPr>
            </w:pPr>
          </w:p>
        </w:tc>
        <w:tc>
          <w:tcPr>
            <w:tcW w:w="500" w:type="dxa"/>
            <w:vAlign w:val="bottom"/>
            <w:shd w:val="clear" w:color="auto" w:fill="D6F3E8"/>
          </w:tcPr>
          <w:p>
            <w:pPr>
              <w:spacing w:after="0"/>
              <w:rPr>
                <w:sz w:val="16"/>
                <w:szCs w:val="16"/>
                <w:color w:val="auto"/>
              </w:rPr>
            </w:pPr>
          </w:p>
        </w:tc>
        <w:tc>
          <w:tcPr>
            <w:tcW w:w="50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620" w:type="dxa"/>
            <w:vAlign w:val="bottom"/>
            <w:shd w:val="clear" w:color="auto" w:fill="D6F3E8"/>
          </w:tcPr>
          <w:p>
            <w:pPr>
              <w:spacing w:after="0"/>
              <w:rPr>
                <w:sz w:val="16"/>
                <w:szCs w:val="16"/>
                <w:color w:val="auto"/>
              </w:rPr>
            </w:pPr>
          </w:p>
        </w:tc>
        <w:tc>
          <w:tcPr>
            <w:tcW w:w="420" w:type="dxa"/>
            <w:vAlign w:val="bottom"/>
            <w:shd w:val="clear" w:color="auto" w:fill="D6F3E8"/>
          </w:tcPr>
          <w:p>
            <w:pPr>
              <w:spacing w:after="0"/>
              <w:rPr>
                <w:sz w:val="16"/>
                <w:szCs w:val="16"/>
                <w:color w:val="auto"/>
              </w:rPr>
            </w:pPr>
          </w:p>
        </w:tc>
        <w:tc>
          <w:tcPr>
            <w:tcW w:w="104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28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48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60"/>
              <w:spacing w:after="0" w:line="189" w:lineRule="exact"/>
              <w:rPr>
                <w:sz w:val="20"/>
                <w:szCs w:val="20"/>
                <w:color w:val="auto"/>
              </w:rPr>
            </w:pPr>
            <w:r>
              <w:rPr>
                <w:rFonts w:ascii="Arial" w:cs="Arial" w:eastAsia="Arial" w:hAnsi="Arial"/>
                <w:sz w:val="13"/>
                <w:szCs w:val="13"/>
                <w:color w:val="auto"/>
              </w:rPr>
              <w:t>Restricted Stock:</w:t>
            </w:r>
            <w:r>
              <w:rPr>
                <w:rFonts w:ascii="Arial" w:cs="Arial" w:eastAsia="Arial" w:hAnsi="Arial"/>
                <w:sz w:val="21"/>
                <w:szCs w:val="21"/>
                <w:color w:val="auto"/>
                <w:vertAlign w:val="superscript"/>
              </w:rPr>
              <w:t>(3)(4)</w:t>
            </w: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D6F3E8"/>
          </w:tcPr>
          <w:p>
            <w:pPr>
              <w:ind w:left="480"/>
              <w:spacing w:after="0"/>
              <w:rPr>
                <w:sz w:val="20"/>
                <w:szCs w:val="20"/>
                <w:color w:val="auto"/>
              </w:rPr>
            </w:pPr>
            <w:r>
              <w:rPr>
                <w:rFonts w:ascii="Arial" w:cs="Arial" w:eastAsia="Arial" w:hAnsi="Arial"/>
                <w:sz w:val="14"/>
                <w:szCs w:val="14"/>
                <w:color w:val="auto"/>
              </w:rPr>
              <w:t>Accelerated Vesting</w:t>
            </w:r>
          </w:p>
        </w:tc>
        <w:tc>
          <w:tcPr>
            <w:tcW w:w="1340" w:type="dxa"/>
            <w:vAlign w:val="bottom"/>
            <w:gridSpan w:val="3"/>
            <w:shd w:val="clear" w:color="auto" w:fill="D6F3E8"/>
          </w:tcPr>
          <w:p>
            <w:pPr>
              <w:jc w:val="right"/>
              <w:ind w:right="140"/>
              <w:spacing w:after="0"/>
              <w:rPr>
                <w:sz w:val="20"/>
                <w:szCs w:val="20"/>
                <w:color w:val="auto"/>
              </w:rPr>
            </w:pPr>
            <w:r>
              <w:rPr>
                <w:rFonts w:ascii="Arial" w:cs="Arial" w:eastAsia="Arial" w:hAnsi="Arial"/>
                <w:sz w:val="14"/>
                <w:szCs w:val="14"/>
                <w:color w:val="auto"/>
              </w:rPr>
              <w:t>100,711</w:t>
            </w:r>
          </w:p>
        </w:tc>
        <w:tc>
          <w:tcPr>
            <w:tcW w:w="1100" w:type="dxa"/>
            <w:vAlign w:val="bottom"/>
            <w:gridSpan w:val="3"/>
            <w:shd w:val="clear" w:color="auto" w:fill="D6F3E8"/>
          </w:tcPr>
          <w:p>
            <w:pPr>
              <w:jc w:val="right"/>
              <w:ind w:right="100"/>
              <w:spacing w:after="0"/>
              <w:rPr>
                <w:sz w:val="20"/>
                <w:szCs w:val="20"/>
                <w:color w:val="auto"/>
              </w:rPr>
            </w:pPr>
            <w:r>
              <w:rPr>
                <w:rFonts w:ascii="Arial" w:cs="Arial" w:eastAsia="Arial" w:hAnsi="Arial"/>
                <w:sz w:val="14"/>
                <w:szCs w:val="14"/>
                <w:color w:val="auto"/>
              </w:rPr>
              <w:t>100,711</w:t>
            </w:r>
          </w:p>
        </w:tc>
        <w:tc>
          <w:tcPr>
            <w:tcW w:w="620" w:type="dxa"/>
            <w:vAlign w:val="bottom"/>
            <w:shd w:val="clear" w:color="auto" w:fill="D6F3E8"/>
          </w:tcPr>
          <w:p>
            <w:pPr>
              <w:spacing w:after="0"/>
              <w:rPr>
                <w:sz w:val="16"/>
                <w:szCs w:val="16"/>
                <w:color w:val="auto"/>
              </w:rPr>
            </w:pPr>
          </w:p>
        </w:tc>
        <w:tc>
          <w:tcPr>
            <w:tcW w:w="42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100,711</w:t>
            </w: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100,711</w:t>
            </w:r>
          </w:p>
        </w:tc>
        <w:tc>
          <w:tcPr>
            <w:tcW w:w="110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100,711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Deferred Comp Plans:</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shd w:val="clear" w:color="auto" w:fill="D6F3E8"/>
          </w:tcPr>
          <w:p>
            <w:pPr>
              <w:ind w:left="160"/>
              <w:spacing w:after="0" w:line="141" w:lineRule="exact"/>
              <w:rPr>
                <w:sz w:val="20"/>
                <w:szCs w:val="20"/>
                <w:color w:val="auto"/>
              </w:rPr>
            </w:pPr>
            <w:r>
              <w:rPr>
                <w:rFonts w:ascii="Arial" w:cs="Arial" w:eastAsia="Arial" w:hAnsi="Arial"/>
                <w:sz w:val="14"/>
                <w:szCs w:val="14"/>
                <w:color w:val="auto"/>
              </w:rPr>
              <w:t>Deferred Compensation Plan</w:t>
            </w:r>
          </w:p>
        </w:tc>
        <w:tc>
          <w:tcPr>
            <w:tcW w:w="660" w:type="dxa"/>
            <w:vAlign w:val="bottom"/>
            <w:shd w:val="clear" w:color="auto" w:fill="D6F3E8"/>
          </w:tcPr>
          <w:p>
            <w:pPr>
              <w:spacing w:after="0"/>
              <w:rPr>
                <w:sz w:val="12"/>
                <w:szCs w:val="12"/>
                <w:color w:val="auto"/>
              </w:rPr>
            </w:pPr>
          </w:p>
        </w:tc>
        <w:tc>
          <w:tcPr>
            <w:tcW w:w="540" w:type="dxa"/>
            <w:vAlign w:val="bottom"/>
            <w:shd w:val="clear" w:color="auto" w:fill="D6F3E8"/>
          </w:tcPr>
          <w:p>
            <w:pPr>
              <w:spacing w:after="0"/>
              <w:rPr>
                <w:sz w:val="12"/>
                <w:szCs w:val="12"/>
                <w:color w:val="auto"/>
              </w:rPr>
            </w:pPr>
          </w:p>
        </w:tc>
        <w:tc>
          <w:tcPr>
            <w:tcW w:w="14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620" w:type="dxa"/>
            <w:vAlign w:val="bottom"/>
            <w:shd w:val="clear" w:color="auto" w:fill="D6F3E8"/>
          </w:tcPr>
          <w:p>
            <w:pPr>
              <w:spacing w:after="0"/>
              <w:rPr>
                <w:sz w:val="12"/>
                <w:szCs w:val="12"/>
                <w:color w:val="auto"/>
              </w:rPr>
            </w:pPr>
          </w:p>
        </w:tc>
        <w:tc>
          <w:tcPr>
            <w:tcW w:w="420" w:type="dxa"/>
            <w:vAlign w:val="bottom"/>
            <w:shd w:val="clear" w:color="auto" w:fill="D6F3E8"/>
          </w:tcPr>
          <w:p>
            <w:pPr>
              <w:spacing w:after="0"/>
              <w:rPr>
                <w:sz w:val="12"/>
                <w:szCs w:val="12"/>
                <w:color w:val="auto"/>
              </w:rPr>
            </w:pPr>
          </w:p>
        </w:tc>
        <w:tc>
          <w:tcPr>
            <w:tcW w:w="1040" w:type="dxa"/>
            <w:vAlign w:val="bottom"/>
            <w:shd w:val="clear" w:color="auto" w:fill="D6F3E8"/>
          </w:tcPr>
          <w:p>
            <w:pPr>
              <w:spacing w:after="0"/>
              <w:rPr>
                <w:sz w:val="12"/>
                <w:szCs w:val="12"/>
                <w:color w:val="auto"/>
              </w:rPr>
            </w:pPr>
          </w:p>
        </w:tc>
        <w:tc>
          <w:tcPr>
            <w:tcW w:w="540" w:type="dxa"/>
            <w:vAlign w:val="bottom"/>
            <w:shd w:val="clear" w:color="auto" w:fill="D6F3E8"/>
          </w:tcPr>
          <w:p>
            <w:pPr>
              <w:spacing w:after="0"/>
              <w:rPr>
                <w:sz w:val="12"/>
                <w:szCs w:val="12"/>
                <w:color w:val="auto"/>
              </w:rPr>
            </w:pPr>
          </w:p>
        </w:tc>
        <w:tc>
          <w:tcPr>
            <w:tcW w:w="180" w:type="dxa"/>
            <w:vAlign w:val="bottom"/>
            <w:shd w:val="clear" w:color="auto" w:fill="D6F3E8"/>
          </w:tcPr>
          <w:p>
            <w:pPr>
              <w:spacing w:after="0"/>
              <w:rPr>
                <w:sz w:val="12"/>
                <w:szCs w:val="12"/>
                <w:color w:val="auto"/>
              </w:rPr>
            </w:pPr>
          </w:p>
        </w:tc>
        <w:tc>
          <w:tcPr>
            <w:tcW w:w="280" w:type="dxa"/>
            <w:vAlign w:val="bottom"/>
            <w:shd w:val="clear" w:color="auto" w:fill="D6F3E8"/>
          </w:tcPr>
          <w:p>
            <w:pPr>
              <w:spacing w:after="0"/>
              <w:rPr>
                <w:sz w:val="12"/>
                <w:szCs w:val="12"/>
                <w:color w:val="auto"/>
              </w:rPr>
            </w:pPr>
          </w:p>
        </w:tc>
        <w:tc>
          <w:tcPr>
            <w:tcW w:w="54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54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shd w:val="clear" w:color="auto" w:fill="D6F3E8"/>
          </w:tcPr>
          <w:p>
            <w:pPr>
              <w:ind w:left="320"/>
              <w:spacing w:after="0" w:line="205" w:lineRule="exact"/>
              <w:rPr>
                <w:sz w:val="20"/>
                <w:szCs w:val="20"/>
                <w:color w:val="auto"/>
              </w:rPr>
            </w:pPr>
            <w:r>
              <w:rPr>
                <w:rFonts w:ascii="Arial" w:cs="Arial" w:eastAsia="Arial" w:hAnsi="Arial"/>
                <w:sz w:val="14"/>
                <w:szCs w:val="14"/>
                <w:color w:val="auto"/>
              </w:rPr>
              <w:t>(1981)</w:t>
            </w:r>
            <w:r>
              <w:rPr>
                <w:rFonts w:ascii="Arial" w:cs="Arial" w:eastAsia="Arial" w:hAnsi="Arial"/>
                <w:sz w:val="22"/>
                <w:szCs w:val="22"/>
                <w:color w:val="auto"/>
                <w:vertAlign w:val="superscript"/>
              </w:rPr>
              <w:t>(5)</w:t>
            </w:r>
          </w:p>
        </w:tc>
        <w:tc>
          <w:tcPr>
            <w:tcW w:w="1340" w:type="dxa"/>
            <w:vAlign w:val="bottom"/>
            <w:gridSpan w:val="3"/>
            <w:shd w:val="clear" w:color="auto" w:fill="D6F3E8"/>
          </w:tcPr>
          <w:p>
            <w:pPr>
              <w:jc w:val="right"/>
              <w:ind w:right="140"/>
              <w:spacing w:after="0"/>
              <w:rPr>
                <w:sz w:val="20"/>
                <w:szCs w:val="20"/>
                <w:color w:val="auto"/>
              </w:rPr>
            </w:pPr>
            <w:r>
              <w:rPr>
                <w:rFonts w:ascii="Arial" w:cs="Arial" w:eastAsia="Arial" w:hAnsi="Arial"/>
                <w:sz w:val="14"/>
                <w:szCs w:val="14"/>
                <w:color w:val="auto"/>
              </w:rPr>
              <w:t>819,829</w:t>
            </w:r>
          </w:p>
        </w:tc>
        <w:tc>
          <w:tcPr>
            <w:tcW w:w="1100" w:type="dxa"/>
            <w:vAlign w:val="bottom"/>
            <w:gridSpan w:val="3"/>
            <w:shd w:val="clear" w:color="auto" w:fill="D6F3E8"/>
          </w:tcPr>
          <w:p>
            <w:pPr>
              <w:jc w:val="right"/>
              <w:ind w:right="100"/>
              <w:spacing w:after="0"/>
              <w:rPr>
                <w:sz w:val="20"/>
                <w:szCs w:val="20"/>
                <w:color w:val="auto"/>
              </w:rPr>
            </w:pPr>
            <w:r>
              <w:rPr>
                <w:rFonts w:ascii="Arial" w:cs="Arial" w:eastAsia="Arial" w:hAnsi="Arial"/>
                <w:sz w:val="14"/>
                <w:szCs w:val="14"/>
                <w:color w:val="auto"/>
              </w:rPr>
              <w:t>819,829</w:t>
            </w:r>
          </w:p>
        </w:tc>
        <w:tc>
          <w:tcPr>
            <w:tcW w:w="620" w:type="dxa"/>
            <w:vAlign w:val="bottom"/>
            <w:shd w:val="clear" w:color="auto" w:fill="D6F3E8"/>
          </w:tcPr>
          <w:p>
            <w:pPr>
              <w:spacing w:after="0"/>
              <w:rPr>
                <w:sz w:val="17"/>
                <w:szCs w:val="17"/>
                <w:color w:val="auto"/>
              </w:rPr>
            </w:pPr>
          </w:p>
        </w:tc>
        <w:tc>
          <w:tcPr>
            <w:tcW w:w="42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819,829</w:t>
            </w: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819,829</w:t>
            </w:r>
          </w:p>
        </w:tc>
        <w:tc>
          <w:tcPr>
            <w:tcW w:w="110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819,829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SERP </w:t>
            </w:r>
            <w:r>
              <w:rPr>
                <w:rFonts w:ascii="Arial" w:cs="Arial" w:eastAsia="Arial" w:hAnsi="Arial"/>
                <w:sz w:val="21"/>
                <w:szCs w:val="21"/>
                <w:color w:val="auto"/>
                <w:vertAlign w:val="superscript"/>
              </w:rPr>
              <w:t>(6)</w:t>
            </w:r>
          </w:p>
        </w:tc>
        <w:tc>
          <w:tcPr>
            <w:tcW w:w="1340" w:type="dxa"/>
            <w:vAlign w:val="bottom"/>
            <w:gridSpan w:val="3"/>
          </w:tcPr>
          <w:p>
            <w:pPr>
              <w:jc w:val="right"/>
              <w:ind w:right="140"/>
              <w:spacing w:after="0"/>
              <w:rPr>
                <w:sz w:val="20"/>
                <w:szCs w:val="20"/>
                <w:color w:val="auto"/>
              </w:rPr>
            </w:pPr>
            <w:r>
              <w:rPr>
                <w:rFonts w:ascii="Arial" w:cs="Arial" w:eastAsia="Arial" w:hAnsi="Arial"/>
                <w:sz w:val="14"/>
                <w:szCs w:val="14"/>
                <w:color w:val="auto"/>
              </w:rPr>
              <w:t>313,980</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313,980</w:t>
            </w:r>
          </w:p>
        </w:tc>
        <w:tc>
          <w:tcPr>
            <w:tcW w:w="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80"/>
              <w:spacing w:after="0"/>
              <w:rPr>
                <w:sz w:val="20"/>
                <w:szCs w:val="20"/>
                <w:color w:val="auto"/>
              </w:rPr>
            </w:pPr>
            <w:r>
              <w:rPr>
                <w:rFonts w:ascii="Arial" w:cs="Arial" w:eastAsia="Arial" w:hAnsi="Arial"/>
                <w:sz w:val="14"/>
                <w:szCs w:val="14"/>
                <w:color w:val="auto"/>
              </w:rPr>
              <w:t>313,980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313,980</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313,980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shd w:val="clear" w:color="auto" w:fill="D6F3E8"/>
          </w:tcPr>
          <w:p>
            <w:pPr>
              <w:ind w:left="160"/>
              <w:spacing w:after="0" w:line="133" w:lineRule="exact"/>
              <w:rPr>
                <w:sz w:val="20"/>
                <w:szCs w:val="20"/>
                <w:color w:val="auto"/>
              </w:rPr>
            </w:pPr>
            <w:r>
              <w:rPr>
                <w:rFonts w:ascii="Arial" w:cs="Arial" w:eastAsia="Arial" w:hAnsi="Arial"/>
                <w:sz w:val="14"/>
                <w:szCs w:val="14"/>
                <w:color w:val="auto"/>
              </w:rPr>
              <w:t>Executive Share Option</w:t>
            </w:r>
          </w:p>
        </w:tc>
        <w:tc>
          <w:tcPr>
            <w:tcW w:w="66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140" w:type="dxa"/>
            <w:vAlign w:val="bottom"/>
            <w:shd w:val="clear" w:color="auto" w:fill="D6F3E8"/>
          </w:tcPr>
          <w:p>
            <w:pPr>
              <w:spacing w:after="0"/>
              <w:rPr>
                <w:sz w:val="11"/>
                <w:szCs w:val="11"/>
                <w:color w:val="auto"/>
              </w:rPr>
            </w:pPr>
          </w:p>
        </w:tc>
        <w:tc>
          <w:tcPr>
            <w:tcW w:w="500" w:type="dxa"/>
            <w:vAlign w:val="bottom"/>
            <w:shd w:val="clear" w:color="auto" w:fill="D6F3E8"/>
          </w:tcPr>
          <w:p>
            <w:pPr>
              <w:spacing w:after="0"/>
              <w:rPr>
                <w:sz w:val="11"/>
                <w:szCs w:val="11"/>
                <w:color w:val="auto"/>
              </w:rPr>
            </w:pPr>
          </w:p>
        </w:tc>
        <w:tc>
          <w:tcPr>
            <w:tcW w:w="500" w:type="dxa"/>
            <w:vAlign w:val="bottom"/>
            <w:shd w:val="clear" w:color="auto" w:fill="D6F3E8"/>
          </w:tcPr>
          <w:p>
            <w:pPr>
              <w:spacing w:after="0"/>
              <w:rPr>
                <w:sz w:val="11"/>
                <w:szCs w:val="11"/>
                <w:color w:val="auto"/>
              </w:rPr>
            </w:pPr>
          </w:p>
        </w:tc>
        <w:tc>
          <w:tcPr>
            <w:tcW w:w="100" w:type="dxa"/>
            <w:vAlign w:val="bottom"/>
            <w:shd w:val="clear" w:color="auto" w:fill="D6F3E8"/>
          </w:tcPr>
          <w:p>
            <w:pPr>
              <w:spacing w:after="0"/>
              <w:rPr>
                <w:sz w:val="11"/>
                <w:szCs w:val="11"/>
                <w:color w:val="auto"/>
              </w:rPr>
            </w:pPr>
          </w:p>
        </w:tc>
        <w:tc>
          <w:tcPr>
            <w:tcW w:w="620" w:type="dxa"/>
            <w:vAlign w:val="bottom"/>
            <w:shd w:val="clear" w:color="auto" w:fill="D6F3E8"/>
          </w:tcPr>
          <w:p>
            <w:pPr>
              <w:spacing w:after="0"/>
              <w:rPr>
                <w:sz w:val="11"/>
                <w:szCs w:val="11"/>
                <w:color w:val="auto"/>
              </w:rPr>
            </w:pPr>
          </w:p>
        </w:tc>
        <w:tc>
          <w:tcPr>
            <w:tcW w:w="420" w:type="dxa"/>
            <w:vAlign w:val="bottom"/>
            <w:shd w:val="clear" w:color="auto" w:fill="D6F3E8"/>
          </w:tcPr>
          <w:p>
            <w:pPr>
              <w:spacing w:after="0"/>
              <w:rPr>
                <w:sz w:val="11"/>
                <w:szCs w:val="11"/>
                <w:color w:val="auto"/>
              </w:rPr>
            </w:pPr>
          </w:p>
        </w:tc>
        <w:tc>
          <w:tcPr>
            <w:tcW w:w="104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180" w:type="dxa"/>
            <w:vAlign w:val="bottom"/>
            <w:shd w:val="clear" w:color="auto" w:fill="D6F3E8"/>
          </w:tcPr>
          <w:p>
            <w:pPr>
              <w:spacing w:after="0"/>
              <w:rPr>
                <w:sz w:val="11"/>
                <w:szCs w:val="11"/>
                <w:color w:val="auto"/>
              </w:rPr>
            </w:pPr>
          </w:p>
        </w:tc>
        <w:tc>
          <w:tcPr>
            <w:tcW w:w="28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48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80" w:type="dxa"/>
            <w:vAlign w:val="bottom"/>
            <w:shd w:val="clear" w:color="auto" w:fill="D6F3E8"/>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40" w:type="dxa"/>
            <w:vAlign w:val="bottom"/>
            <w:shd w:val="clear" w:color="auto" w:fill="D6F3E8"/>
          </w:tcPr>
          <w:p>
            <w:pPr>
              <w:ind w:left="320"/>
              <w:spacing w:after="0" w:line="205" w:lineRule="exact"/>
              <w:rPr>
                <w:sz w:val="20"/>
                <w:szCs w:val="20"/>
                <w:color w:val="auto"/>
              </w:rPr>
            </w:pPr>
            <w:r>
              <w:rPr>
                <w:rFonts w:ascii="Arial" w:cs="Arial" w:eastAsia="Arial" w:hAnsi="Arial"/>
                <w:sz w:val="14"/>
                <w:szCs w:val="14"/>
                <w:color w:val="auto"/>
              </w:rPr>
              <w:t>Program</w:t>
            </w:r>
            <w:r>
              <w:rPr>
                <w:rFonts w:ascii="Arial" w:cs="Arial" w:eastAsia="Arial" w:hAnsi="Arial"/>
                <w:sz w:val="22"/>
                <w:szCs w:val="22"/>
                <w:color w:val="auto"/>
                <w:vertAlign w:val="superscript"/>
              </w:rPr>
              <w:t>(7)</w:t>
            </w:r>
          </w:p>
        </w:tc>
        <w:tc>
          <w:tcPr>
            <w:tcW w:w="1340" w:type="dxa"/>
            <w:vAlign w:val="bottom"/>
            <w:gridSpan w:val="3"/>
            <w:shd w:val="clear" w:color="auto" w:fill="D6F3E8"/>
          </w:tcPr>
          <w:p>
            <w:pPr>
              <w:jc w:val="right"/>
              <w:ind w:right="140"/>
              <w:spacing w:after="0"/>
              <w:rPr>
                <w:sz w:val="20"/>
                <w:szCs w:val="20"/>
                <w:color w:val="auto"/>
              </w:rPr>
            </w:pPr>
            <w:r>
              <w:rPr>
                <w:rFonts w:ascii="Arial" w:cs="Arial" w:eastAsia="Arial" w:hAnsi="Arial"/>
                <w:sz w:val="14"/>
                <w:szCs w:val="14"/>
                <w:color w:val="auto"/>
              </w:rPr>
              <w:t>807,363</w:t>
            </w:r>
          </w:p>
        </w:tc>
        <w:tc>
          <w:tcPr>
            <w:tcW w:w="1100" w:type="dxa"/>
            <w:vAlign w:val="bottom"/>
            <w:gridSpan w:val="3"/>
            <w:shd w:val="clear" w:color="auto" w:fill="D6F3E8"/>
          </w:tcPr>
          <w:p>
            <w:pPr>
              <w:jc w:val="right"/>
              <w:ind w:right="100"/>
              <w:spacing w:after="0"/>
              <w:rPr>
                <w:sz w:val="20"/>
                <w:szCs w:val="20"/>
                <w:color w:val="auto"/>
              </w:rPr>
            </w:pPr>
            <w:r>
              <w:rPr>
                <w:rFonts w:ascii="Arial" w:cs="Arial" w:eastAsia="Arial" w:hAnsi="Arial"/>
                <w:sz w:val="14"/>
                <w:szCs w:val="14"/>
                <w:color w:val="auto"/>
              </w:rPr>
              <w:t>807,363</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807,363</w:t>
            </w:r>
          </w:p>
        </w:tc>
        <w:tc>
          <w:tcPr>
            <w:tcW w:w="176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807,363</w:t>
            </w: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807,363</w:t>
            </w:r>
          </w:p>
        </w:tc>
        <w:tc>
          <w:tcPr>
            <w:tcW w:w="110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807,363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Other Benefits:</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40" w:type="dxa"/>
            <w:vAlign w:val="bottom"/>
            <w:shd w:val="clear" w:color="auto" w:fill="D6F3E8"/>
          </w:tcPr>
          <w:p>
            <w:pPr>
              <w:ind w:left="160"/>
              <w:spacing w:after="0" w:line="184" w:lineRule="exact"/>
              <w:rPr>
                <w:sz w:val="20"/>
                <w:szCs w:val="20"/>
                <w:color w:val="auto"/>
              </w:rPr>
            </w:pPr>
            <w:r>
              <w:rPr>
                <w:rFonts w:ascii="Arial" w:cs="Arial" w:eastAsia="Arial" w:hAnsi="Arial"/>
                <w:sz w:val="13"/>
                <w:szCs w:val="13"/>
                <w:color w:val="auto"/>
              </w:rPr>
              <w:t>Health and Welfare</w:t>
            </w:r>
            <w:r>
              <w:rPr>
                <w:rFonts w:ascii="Arial" w:cs="Arial" w:eastAsia="Arial" w:hAnsi="Arial"/>
                <w:sz w:val="21"/>
                <w:szCs w:val="21"/>
                <w:color w:val="auto"/>
                <w:vertAlign w:val="superscript"/>
              </w:rPr>
              <w:t>(8)</w:t>
            </w:r>
          </w:p>
        </w:tc>
        <w:tc>
          <w:tcPr>
            <w:tcW w:w="660" w:type="dxa"/>
            <w:vAlign w:val="bottom"/>
            <w:shd w:val="clear" w:color="auto" w:fill="D6F3E8"/>
          </w:tcPr>
          <w:p>
            <w:pPr>
              <w:spacing w:after="0"/>
              <w:rPr>
                <w:sz w:val="15"/>
                <w:szCs w:val="15"/>
                <w:color w:val="auto"/>
              </w:rPr>
            </w:pPr>
          </w:p>
        </w:tc>
        <w:tc>
          <w:tcPr>
            <w:tcW w:w="680" w:type="dxa"/>
            <w:vAlign w:val="bottom"/>
            <w:gridSpan w:val="2"/>
            <w:shd w:val="clear" w:color="auto" w:fill="D6F3E8"/>
          </w:tcPr>
          <w:p>
            <w:pPr>
              <w:jc w:val="right"/>
              <w:ind w:right="140"/>
              <w:spacing w:after="0"/>
              <w:rPr>
                <w:sz w:val="20"/>
                <w:szCs w:val="20"/>
                <w:color w:val="auto"/>
              </w:rPr>
            </w:pPr>
            <w:r>
              <w:rPr>
                <w:rFonts w:ascii="Arial" w:cs="Arial" w:eastAsia="Arial" w:hAnsi="Arial"/>
                <w:sz w:val="14"/>
                <w:szCs w:val="14"/>
                <w:color w:val="auto"/>
              </w:rPr>
              <w:t>9,000</w:t>
            </w:r>
          </w:p>
        </w:tc>
        <w:tc>
          <w:tcPr>
            <w:tcW w:w="500" w:type="dxa"/>
            <w:vAlign w:val="bottom"/>
            <w:shd w:val="clear" w:color="auto" w:fill="D6F3E8"/>
          </w:tcPr>
          <w:p>
            <w:pPr>
              <w:spacing w:after="0"/>
              <w:rPr>
                <w:sz w:val="15"/>
                <w:szCs w:val="15"/>
                <w:color w:val="auto"/>
              </w:rPr>
            </w:pPr>
          </w:p>
        </w:tc>
        <w:tc>
          <w:tcPr>
            <w:tcW w:w="600" w:type="dxa"/>
            <w:vAlign w:val="bottom"/>
            <w:gridSpan w:val="2"/>
            <w:shd w:val="clear" w:color="auto" w:fill="D6F3E8"/>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D6F3E8"/>
          </w:tcPr>
          <w:p>
            <w:pPr>
              <w:spacing w:after="0"/>
              <w:rPr>
                <w:sz w:val="15"/>
                <w:szCs w:val="15"/>
                <w:color w:val="auto"/>
              </w:rPr>
            </w:pPr>
          </w:p>
        </w:tc>
        <w:tc>
          <w:tcPr>
            <w:tcW w:w="42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20,280</w:t>
            </w: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4,500</w:t>
            </w:r>
          </w:p>
        </w:tc>
        <w:tc>
          <w:tcPr>
            <w:tcW w:w="110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D6F3E8"/>
          </w:tcPr>
          <w:p>
            <w:pPr>
              <w:spacing w:after="0" w:line="20" w:lineRule="exact"/>
              <w:rPr>
                <w:sz w:val="1"/>
                <w:szCs w:val="1"/>
                <w:color w:val="auto"/>
              </w:rPr>
            </w:pPr>
          </w:p>
        </w:tc>
        <w:tc>
          <w:tcPr>
            <w:tcW w:w="66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500" w:type="dxa"/>
            <w:vAlign w:val="bottom"/>
            <w:shd w:val="clear" w:color="auto" w:fill="D6F3E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6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28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Benefits</w:t>
            </w:r>
          </w:p>
        </w:tc>
        <w:tc>
          <w:tcPr>
            <w:tcW w:w="66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83"/>
              </w:rPr>
              <w:t>2,050,883</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2,041,883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807,363</w:t>
            </w:r>
          </w:p>
        </w:tc>
        <w:tc>
          <w:tcPr>
            <w:tcW w:w="1760" w:type="dxa"/>
            <w:vAlign w:val="bottom"/>
            <w:gridSpan w:val="3"/>
          </w:tcPr>
          <w:p>
            <w:pPr>
              <w:jc w:val="right"/>
              <w:ind w:right="180"/>
              <w:spacing w:after="0"/>
              <w:rPr>
                <w:sz w:val="20"/>
                <w:szCs w:val="20"/>
                <w:color w:val="auto"/>
              </w:rPr>
            </w:pPr>
            <w:r>
              <w:rPr>
                <w:rFonts w:ascii="Arial" w:cs="Arial" w:eastAsia="Arial" w:hAnsi="Arial"/>
                <w:sz w:val="14"/>
                <w:szCs w:val="14"/>
                <w:color w:val="auto"/>
              </w:rPr>
              <w:t>3,373,907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2,046,383</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2,050,883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4411345</wp:posOffset>
            </wp:positionH>
            <wp:positionV relativeFrom="page">
              <wp:posOffset>88900</wp:posOffset>
            </wp:positionV>
            <wp:extent cx="16554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5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-1640840</wp:posOffset>
            </wp:positionV>
            <wp:extent cx="72466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__________________</w:t>
      </w:r>
    </w:p>
    <w:p>
      <w:pPr>
        <w:spacing w:after="0" w:line="2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August 29, 2009, Mr. Olson had qualified for early retirement.</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Severance upon a Change of Control for Mr. Olson equals severance pay in lump-sum, an amount equal to three times the average of the aggregate annual compensation paid during the three fiscal years of the Company immediately preceding the Change of Control.</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$11.62 per share on August 28, 2009, the last trading day of Fiscal 2009.</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plan was frozen as of 2001. This amount reflects the total of the 15 years of payout based on Early Retirement Benefit. See “Deferred Compensation Plan (1981).”</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2009 for the Supplemental Executive Retirement Plan (frozen program).</w:t>
      </w:r>
    </w:p>
    <w:p>
      <w:pPr>
        <w:spacing w:after="0" w:line="77"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market value balance as of August 28, 2009 for the Executive Share Option Program reduced by the exercise price (frozen program).</w:t>
      </w:r>
    </w:p>
    <w:p>
      <w:pPr>
        <w:spacing w:after="0" w:line="140"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benefits, including, health, dental, life insurance and long-term disability.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RAYMOND M. BEEBE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Change of Control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4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Retirement</w:t>
            </w:r>
            <w:r>
              <w:rPr>
                <w:rFonts w:ascii="Arial" w:cs="Arial" w:eastAsia="Arial" w:hAnsi="Arial"/>
                <w:sz w:val="22"/>
                <w:szCs w:val="22"/>
                <w:b w:val="1"/>
                <w:bCs w:val="1"/>
                <w:color w:val="auto"/>
                <w:vertAlign w:val="superscript"/>
              </w:rPr>
              <w:t>(1)</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Without</w:t>
            </w:r>
          </w:p>
        </w:tc>
        <w:tc>
          <w:tcPr>
            <w:tcW w:w="1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Without Cause /</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Executive Payments and</w:t>
            </w:r>
          </w:p>
        </w:tc>
        <w:tc>
          <w:tcPr>
            <w:tcW w:w="1840" w:type="dxa"/>
            <w:vAlign w:val="bottom"/>
            <w:gridSpan w:val="2"/>
            <w:vMerge w:val="continue"/>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For Cause</w:t>
            </w: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5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Good Reason</w:t>
            </w:r>
          </w:p>
        </w:tc>
        <w:tc>
          <w:tcPr>
            <w:tcW w:w="8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Death</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Benefits Upon</w:t>
            </w:r>
          </w:p>
        </w:tc>
        <w:tc>
          <w:tcPr>
            <w:tcW w:w="184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Compensation:</w:t>
            </w:r>
          </w:p>
        </w:tc>
        <w:tc>
          <w:tcPr>
            <w:tcW w:w="1300" w:type="dxa"/>
            <w:vAlign w:val="bottom"/>
            <w:shd w:val="clear" w:color="auto" w:fill="D6F3E8"/>
          </w:tcPr>
          <w:p>
            <w:pPr>
              <w:spacing w:after="0"/>
              <w:rPr>
                <w:sz w:val="15"/>
                <w:szCs w:val="15"/>
                <w:color w:val="auto"/>
              </w:rPr>
            </w:pPr>
          </w:p>
        </w:tc>
        <w:tc>
          <w:tcPr>
            <w:tcW w:w="540" w:type="dxa"/>
            <w:vAlign w:val="bottom"/>
            <w:shd w:val="clear" w:color="auto" w:fill="D6F3E8"/>
          </w:tcPr>
          <w:p>
            <w:pPr>
              <w:spacing w:after="0"/>
              <w:rPr>
                <w:sz w:val="15"/>
                <w:szCs w:val="15"/>
                <w:color w:val="auto"/>
              </w:rPr>
            </w:pPr>
          </w:p>
        </w:tc>
        <w:tc>
          <w:tcPr>
            <w:tcW w:w="740" w:type="dxa"/>
            <w:vAlign w:val="bottom"/>
            <w:shd w:val="clear" w:color="auto" w:fill="D6F3E8"/>
          </w:tcPr>
          <w:p>
            <w:pPr>
              <w:spacing w:after="0"/>
              <w:rPr>
                <w:sz w:val="15"/>
                <w:szCs w:val="15"/>
                <w:color w:val="auto"/>
              </w:rPr>
            </w:pPr>
          </w:p>
        </w:tc>
        <w:tc>
          <w:tcPr>
            <w:tcW w:w="500" w:type="dxa"/>
            <w:vAlign w:val="bottom"/>
            <w:shd w:val="clear" w:color="auto" w:fill="D6F3E8"/>
          </w:tcPr>
          <w:p>
            <w:pPr>
              <w:spacing w:after="0"/>
              <w:rPr>
                <w:sz w:val="15"/>
                <w:szCs w:val="15"/>
                <w:color w:val="auto"/>
              </w:rPr>
            </w:pPr>
          </w:p>
        </w:tc>
        <w:tc>
          <w:tcPr>
            <w:tcW w:w="120" w:type="dxa"/>
            <w:vAlign w:val="bottom"/>
            <w:shd w:val="clear" w:color="auto" w:fill="D6F3E8"/>
          </w:tcPr>
          <w:p>
            <w:pPr>
              <w:spacing w:after="0"/>
              <w:rPr>
                <w:sz w:val="15"/>
                <w:szCs w:val="15"/>
                <w:color w:val="auto"/>
              </w:rPr>
            </w:pPr>
          </w:p>
        </w:tc>
        <w:tc>
          <w:tcPr>
            <w:tcW w:w="620" w:type="dxa"/>
            <w:vAlign w:val="bottom"/>
            <w:shd w:val="clear" w:color="auto" w:fill="D6F3E8"/>
          </w:tcPr>
          <w:p>
            <w:pPr>
              <w:spacing w:after="0"/>
              <w:rPr>
                <w:sz w:val="15"/>
                <w:szCs w:val="15"/>
                <w:color w:val="auto"/>
              </w:rPr>
            </w:pPr>
          </w:p>
        </w:tc>
        <w:tc>
          <w:tcPr>
            <w:tcW w:w="520" w:type="dxa"/>
            <w:vAlign w:val="bottom"/>
            <w:shd w:val="clear" w:color="auto" w:fill="D6F3E8"/>
          </w:tcPr>
          <w:p>
            <w:pPr>
              <w:spacing w:after="0"/>
              <w:rPr>
                <w:sz w:val="15"/>
                <w:szCs w:val="15"/>
                <w:color w:val="auto"/>
              </w:rPr>
            </w:pPr>
          </w:p>
        </w:tc>
        <w:tc>
          <w:tcPr>
            <w:tcW w:w="180" w:type="dxa"/>
            <w:vAlign w:val="bottom"/>
            <w:shd w:val="clear" w:color="auto" w:fill="D6F3E8"/>
          </w:tcPr>
          <w:p>
            <w:pPr>
              <w:spacing w:after="0"/>
              <w:rPr>
                <w:sz w:val="15"/>
                <w:szCs w:val="15"/>
                <w:color w:val="auto"/>
              </w:rPr>
            </w:pPr>
          </w:p>
        </w:tc>
        <w:tc>
          <w:tcPr>
            <w:tcW w:w="860" w:type="dxa"/>
            <w:vAlign w:val="bottom"/>
            <w:shd w:val="clear" w:color="auto" w:fill="D6F3E8"/>
          </w:tcPr>
          <w:p>
            <w:pPr>
              <w:spacing w:after="0"/>
              <w:rPr>
                <w:sz w:val="15"/>
                <w:szCs w:val="15"/>
                <w:color w:val="auto"/>
              </w:rPr>
            </w:pPr>
          </w:p>
        </w:tc>
        <w:tc>
          <w:tcPr>
            <w:tcW w:w="540" w:type="dxa"/>
            <w:vAlign w:val="bottom"/>
            <w:shd w:val="clear" w:color="auto" w:fill="D6F3E8"/>
          </w:tcPr>
          <w:p>
            <w:pPr>
              <w:spacing w:after="0"/>
              <w:rPr>
                <w:sz w:val="15"/>
                <w:szCs w:val="15"/>
                <w:color w:val="auto"/>
              </w:rPr>
            </w:pPr>
          </w:p>
        </w:tc>
        <w:tc>
          <w:tcPr>
            <w:tcW w:w="160" w:type="dxa"/>
            <w:vAlign w:val="bottom"/>
            <w:shd w:val="clear" w:color="auto" w:fill="D6F3E8"/>
          </w:tcPr>
          <w:p>
            <w:pPr>
              <w:spacing w:after="0"/>
              <w:rPr>
                <w:sz w:val="15"/>
                <w:szCs w:val="15"/>
                <w:color w:val="auto"/>
              </w:rPr>
            </w:pPr>
          </w:p>
        </w:tc>
        <w:tc>
          <w:tcPr>
            <w:tcW w:w="200" w:type="dxa"/>
            <w:vAlign w:val="bottom"/>
            <w:shd w:val="clear" w:color="auto" w:fill="D6F3E8"/>
          </w:tcPr>
          <w:p>
            <w:pPr>
              <w:spacing w:after="0"/>
              <w:rPr>
                <w:sz w:val="15"/>
                <w:szCs w:val="15"/>
                <w:color w:val="auto"/>
              </w:rPr>
            </w:pPr>
          </w:p>
        </w:tc>
        <w:tc>
          <w:tcPr>
            <w:tcW w:w="540" w:type="dxa"/>
            <w:vAlign w:val="bottom"/>
            <w:shd w:val="clear" w:color="auto" w:fill="D6F3E8"/>
          </w:tcPr>
          <w:p>
            <w:pPr>
              <w:spacing w:after="0"/>
              <w:rPr>
                <w:sz w:val="15"/>
                <w:szCs w:val="15"/>
                <w:color w:val="auto"/>
              </w:rPr>
            </w:pPr>
          </w:p>
        </w:tc>
        <w:tc>
          <w:tcPr>
            <w:tcW w:w="120" w:type="dxa"/>
            <w:vAlign w:val="bottom"/>
            <w:shd w:val="clear" w:color="auto" w:fill="D6F3E8"/>
          </w:tcPr>
          <w:p>
            <w:pPr>
              <w:spacing w:after="0"/>
              <w:rPr>
                <w:sz w:val="15"/>
                <w:szCs w:val="15"/>
                <w:color w:val="auto"/>
              </w:rPr>
            </w:pPr>
          </w:p>
        </w:tc>
        <w:tc>
          <w:tcPr>
            <w:tcW w:w="240" w:type="dxa"/>
            <w:vAlign w:val="bottom"/>
            <w:shd w:val="clear" w:color="auto" w:fill="D6F3E8"/>
          </w:tcPr>
          <w:p>
            <w:pPr>
              <w:spacing w:after="0"/>
              <w:rPr>
                <w:sz w:val="15"/>
                <w:szCs w:val="15"/>
                <w:color w:val="auto"/>
              </w:rPr>
            </w:pPr>
          </w:p>
        </w:tc>
        <w:tc>
          <w:tcPr>
            <w:tcW w:w="540" w:type="dxa"/>
            <w:vAlign w:val="bottom"/>
            <w:shd w:val="clear" w:color="auto" w:fill="D6F3E8"/>
          </w:tcPr>
          <w:p>
            <w:pPr>
              <w:spacing w:after="0"/>
              <w:rPr>
                <w:sz w:val="15"/>
                <w:szCs w:val="15"/>
                <w:color w:val="auto"/>
              </w:rPr>
            </w:pPr>
          </w:p>
        </w:tc>
        <w:tc>
          <w:tcPr>
            <w:tcW w:w="38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80"/>
              <w:spacing w:after="0" w:line="189" w:lineRule="exact"/>
              <w:rPr>
                <w:sz w:val="20"/>
                <w:szCs w:val="20"/>
                <w:color w:val="auto"/>
              </w:rPr>
            </w:pPr>
            <w:r>
              <w:rPr>
                <w:rFonts w:ascii="Arial" w:cs="Arial" w:eastAsia="Arial" w:hAnsi="Arial"/>
                <w:sz w:val="13"/>
                <w:szCs w:val="13"/>
                <w:color w:val="auto"/>
              </w:rPr>
              <w:t>Severance Benefit (Change of Control)</w:t>
            </w:r>
            <w:r>
              <w:rPr>
                <w:rFonts w:ascii="Arial" w:cs="Arial" w:eastAsia="Arial" w:hAnsi="Arial"/>
                <w:sz w:val="21"/>
                <w:szCs w:val="21"/>
                <w:color w:val="auto"/>
                <w:vertAlign w:val="superscript"/>
              </w:rPr>
              <w:t>(2)</w:t>
            </w:r>
          </w:p>
        </w:tc>
        <w:tc>
          <w:tcPr>
            <w:tcW w:w="1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974,029</w:t>
            </w:r>
          </w:p>
        </w:tc>
        <w:tc>
          <w:tcPr>
            <w:tcW w:w="2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Long-Term Incentives:</w:t>
            </w:r>
          </w:p>
        </w:tc>
        <w:tc>
          <w:tcPr>
            <w:tcW w:w="130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740" w:type="dxa"/>
            <w:vAlign w:val="bottom"/>
            <w:shd w:val="clear" w:color="auto" w:fill="D6F3E8"/>
          </w:tcPr>
          <w:p>
            <w:pPr>
              <w:spacing w:after="0"/>
              <w:rPr>
                <w:sz w:val="16"/>
                <w:szCs w:val="16"/>
                <w:color w:val="auto"/>
              </w:rPr>
            </w:pPr>
          </w:p>
        </w:tc>
        <w:tc>
          <w:tcPr>
            <w:tcW w:w="50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620" w:type="dxa"/>
            <w:vAlign w:val="bottom"/>
            <w:shd w:val="clear" w:color="auto" w:fill="D6F3E8"/>
          </w:tcPr>
          <w:p>
            <w:pPr>
              <w:spacing w:after="0"/>
              <w:rPr>
                <w:sz w:val="16"/>
                <w:szCs w:val="16"/>
                <w:color w:val="auto"/>
              </w:rPr>
            </w:pPr>
          </w:p>
        </w:tc>
        <w:tc>
          <w:tcPr>
            <w:tcW w:w="52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86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20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24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80"/>
              <w:spacing w:after="0" w:line="189" w:lineRule="exact"/>
              <w:rPr>
                <w:sz w:val="20"/>
                <w:szCs w:val="20"/>
                <w:color w:val="auto"/>
              </w:rPr>
            </w:pPr>
            <w:r>
              <w:rPr>
                <w:rFonts w:ascii="Arial" w:cs="Arial" w:eastAsia="Arial" w:hAnsi="Arial"/>
                <w:sz w:val="13"/>
                <w:szCs w:val="13"/>
                <w:color w:val="auto"/>
              </w:rPr>
              <w:t>Restricted Stock:</w:t>
            </w:r>
            <w:r>
              <w:rPr>
                <w:rFonts w:ascii="Arial" w:cs="Arial" w:eastAsia="Arial" w:hAnsi="Arial"/>
                <w:sz w:val="21"/>
                <w:szCs w:val="21"/>
                <w:color w:val="auto"/>
                <w:vertAlign w:val="superscript"/>
              </w:rPr>
              <w:t>(3)(4)</w:t>
            </w: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ind w:left="500"/>
              <w:spacing w:after="0"/>
              <w:rPr>
                <w:sz w:val="20"/>
                <w:szCs w:val="20"/>
                <w:color w:val="auto"/>
              </w:rPr>
            </w:pPr>
            <w:r>
              <w:rPr>
                <w:rFonts w:ascii="Arial" w:cs="Arial" w:eastAsia="Arial" w:hAnsi="Arial"/>
                <w:sz w:val="14"/>
                <w:szCs w:val="14"/>
                <w:color w:val="auto"/>
              </w:rPr>
              <w:t>Accelerated Vesting</w:t>
            </w:r>
          </w:p>
        </w:tc>
        <w:tc>
          <w:tcPr>
            <w:tcW w:w="18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58,112</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58,112</w:t>
            </w:r>
          </w:p>
        </w:tc>
        <w:tc>
          <w:tcPr>
            <w:tcW w:w="620" w:type="dxa"/>
            <w:vAlign w:val="bottom"/>
            <w:shd w:val="clear" w:color="auto" w:fill="D6F3E8"/>
          </w:tcPr>
          <w:p>
            <w:pPr>
              <w:spacing w:after="0"/>
              <w:rPr>
                <w:sz w:val="16"/>
                <w:szCs w:val="16"/>
                <w:color w:val="auto"/>
              </w:rPr>
            </w:pPr>
          </w:p>
        </w:tc>
        <w:tc>
          <w:tcPr>
            <w:tcW w:w="700" w:type="dxa"/>
            <w:vAlign w:val="bottom"/>
            <w:gridSpan w:val="2"/>
            <w:shd w:val="clear" w:color="auto" w:fill="D6F3E8"/>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58,112</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58,112</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58,112</w:t>
            </w: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Arial" w:cs="Arial" w:eastAsia="Arial" w:hAnsi="Arial"/>
                <w:sz w:val="14"/>
                <w:szCs w:val="14"/>
                <w:color w:val="auto"/>
              </w:rPr>
              <w:t>Deferred Comp Plans:</w:t>
            </w: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shd w:val="clear" w:color="auto" w:fill="D6F3E8"/>
          </w:tcPr>
          <w:p>
            <w:pPr>
              <w:ind w:left="180"/>
              <w:spacing w:after="0" w:line="133" w:lineRule="exact"/>
              <w:rPr>
                <w:sz w:val="20"/>
                <w:szCs w:val="20"/>
                <w:color w:val="auto"/>
              </w:rPr>
            </w:pPr>
            <w:r>
              <w:rPr>
                <w:rFonts w:ascii="Arial" w:cs="Arial" w:eastAsia="Arial" w:hAnsi="Arial"/>
                <w:sz w:val="14"/>
                <w:szCs w:val="14"/>
                <w:color w:val="auto"/>
              </w:rPr>
              <w:t>Deferred Compensation Plan</w:t>
            </w:r>
          </w:p>
        </w:tc>
        <w:tc>
          <w:tcPr>
            <w:tcW w:w="130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740" w:type="dxa"/>
            <w:vAlign w:val="bottom"/>
            <w:shd w:val="clear" w:color="auto" w:fill="D6F3E8"/>
          </w:tcPr>
          <w:p>
            <w:pPr>
              <w:spacing w:after="0"/>
              <w:rPr>
                <w:sz w:val="11"/>
                <w:szCs w:val="11"/>
                <w:color w:val="auto"/>
              </w:rPr>
            </w:pPr>
          </w:p>
        </w:tc>
        <w:tc>
          <w:tcPr>
            <w:tcW w:w="500" w:type="dxa"/>
            <w:vAlign w:val="bottom"/>
            <w:shd w:val="clear" w:color="auto" w:fill="D6F3E8"/>
          </w:tcPr>
          <w:p>
            <w:pPr>
              <w:spacing w:after="0"/>
              <w:rPr>
                <w:sz w:val="11"/>
                <w:szCs w:val="11"/>
                <w:color w:val="auto"/>
              </w:rPr>
            </w:pPr>
          </w:p>
        </w:tc>
        <w:tc>
          <w:tcPr>
            <w:tcW w:w="120" w:type="dxa"/>
            <w:vAlign w:val="bottom"/>
            <w:shd w:val="clear" w:color="auto" w:fill="D6F3E8"/>
          </w:tcPr>
          <w:p>
            <w:pPr>
              <w:spacing w:after="0"/>
              <w:rPr>
                <w:sz w:val="11"/>
                <w:szCs w:val="11"/>
                <w:color w:val="auto"/>
              </w:rPr>
            </w:pPr>
          </w:p>
        </w:tc>
        <w:tc>
          <w:tcPr>
            <w:tcW w:w="620" w:type="dxa"/>
            <w:vAlign w:val="bottom"/>
            <w:shd w:val="clear" w:color="auto" w:fill="D6F3E8"/>
          </w:tcPr>
          <w:p>
            <w:pPr>
              <w:spacing w:after="0"/>
              <w:rPr>
                <w:sz w:val="11"/>
                <w:szCs w:val="11"/>
                <w:color w:val="auto"/>
              </w:rPr>
            </w:pPr>
          </w:p>
        </w:tc>
        <w:tc>
          <w:tcPr>
            <w:tcW w:w="520" w:type="dxa"/>
            <w:vAlign w:val="bottom"/>
            <w:shd w:val="clear" w:color="auto" w:fill="D6F3E8"/>
          </w:tcPr>
          <w:p>
            <w:pPr>
              <w:spacing w:after="0"/>
              <w:rPr>
                <w:sz w:val="11"/>
                <w:szCs w:val="11"/>
                <w:color w:val="auto"/>
              </w:rPr>
            </w:pPr>
          </w:p>
        </w:tc>
        <w:tc>
          <w:tcPr>
            <w:tcW w:w="180" w:type="dxa"/>
            <w:vAlign w:val="bottom"/>
            <w:shd w:val="clear" w:color="auto" w:fill="D6F3E8"/>
          </w:tcPr>
          <w:p>
            <w:pPr>
              <w:spacing w:after="0"/>
              <w:rPr>
                <w:sz w:val="11"/>
                <w:szCs w:val="11"/>
                <w:color w:val="auto"/>
              </w:rPr>
            </w:pPr>
          </w:p>
        </w:tc>
        <w:tc>
          <w:tcPr>
            <w:tcW w:w="86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160" w:type="dxa"/>
            <w:vAlign w:val="bottom"/>
            <w:shd w:val="clear" w:color="auto" w:fill="D6F3E8"/>
          </w:tcPr>
          <w:p>
            <w:pPr>
              <w:spacing w:after="0"/>
              <w:rPr>
                <w:sz w:val="11"/>
                <w:szCs w:val="11"/>
                <w:color w:val="auto"/>
              </w:rPr>
            </w:pPr>
          </w:p>
        </w:tc>
        <w:tc>
          <w:tcPr>
            <w:tcW w:w="20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120" w:type="dxa"/>
            <w:vAlign w:val="bottom"/>
            <w:shd w:val="clear" w:color="auto" w:fill="D6F3E8"/>
          </w:tcPr>
          <w:p>
            <w:pPr>
              <w:spacing w:after="0"/>
              <w:rPr>
                <w:sz w:val="11"/>
                <w:szCs w:val="11"/>
                <w:color w:val="auto"/>
              </w:rPr>
            </w:pPr>
          </w:p>
        </w:tc>
        <w:tc>
          <w:tcPr>
            <w:tcW w:w="24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380" w:type="dxa"/>
            <w:vAlign w:val="bottom"/>
            <w:shd w:val="clear" w:color="auto" w:fill="D6F3E8"/>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D6F3E8"/>
          </w:tcPr>
          <w:p>
            <w:pPr>
              <w:ind w:left="340"/>
              <w:spacing w:after="0" w:line="191" w:lineRule="exact"/>
              <w:rPr>
                <w:sz w:val="20"/>
                <w:szCs w:val="20"/>
                <w:color w:val="auto"/>
              </w:rPr>
            </w:pPr>
            <w:r>
              <w:rPr>
                <w:rFonts w:ascii="Arial" w:cs="Arial" w:eastAsia="Arial" w:hAnsi="Arial"/>
                <w:sz w:val="14"/>
                <w:szCs w:val="14"/>
                <w:color w:val="auto"/>
              </w:rPr>
              <w:t>(1981)</w:t>
            </w:r>
            <w:r>
              <w:rPr>
                <w:rFonts w:ascii="Arial" w:cs="Arial" w:eastAsia="Arial" w:hAnsi="Arial"/>
                <w:sz w:val="22"/>
                <w:szCs w:val="22"/>
                <w:color w:val="auto"/>
                <w:vertAlign w:val="superscript"/>
              </w:rPr>
              <w:t>(5)</w:t>
            </w:r>
          </w:p>
        </w:tc>
        <w:tc>
          <w:tcPr>
            <w:tcW w:w="18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2,756,385</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2,756,385</w:t>
            </w:r>
          </w:p>
        </w:tc>
        <w:tc>
          <w:tcPr>
            <w:tcW w:w="620" w:type="dxa"/>
            <w:vAlign w:val="bottom"/>
            <w:shd w:val="clear" w:color="auto" w:fill="D6F3E8"/>
          </w:tcPr>
          <w:p>
            <w:pPr>
              <w:spacing w:after="0"/>
              <w:rPr>
                <w:sz w:val="16"/>
                <w:szCs w:val="16"/>
                <w:color w:val="auto"/>
              </w:rPr>
            </w:pPr>
          </w:p>
        </w:tc>
        <w:tc>
          <w:tcPr>
            <w:tcW w:w="700" w:type="dxa"/>
            <w:vAlign w:val="bottom"/>
            <w:gridSpan w:val="2"/>
            <w:shd w:val="clear" w:color="auto" w:fill="D6F3E8"/>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2,756,385</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2,756,385</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2,756,385</w:t>
            </w: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80"/>
              <w:spacing w:after="0" w:line="189" w:lineRule="exact"/>
              <w:rPr>
                <w:sz w:val="20"/>
                <w:szCs w:val="20"/>
                <w:color w:val="auto"/>
              </w:rPr>
            </w:pPr>
            <w:r>
              <w:rPr>
                <w:rFonts w:ascii="Arial" w:cs="Arial" w:eastAsia="Arial" w:hAnsi="Arial"/>
                <w:sz w:val="13"/>
                <w:szCs w:val="13"/>
                <w:color w:val="auto"/>
              </w:rPr>
              <w:t>SERP</w:t>
            </w:r>
            <w:r>
              <w:rPr>
                <w:rFonts w:ascii="Arial" w:cs="Arial" w:eastAsia="Arial" w:hAnsi="Arial"/>
                <w:sz w:val="21"/>
                <w:szCs w:val="21"/>
                <w:color w:val="auto"/>
                <w:vertAlign w:val="superscript"/>
              </w:rPr>
              <w:t>(6)</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694,890</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color w:val="auto"/>
              </w:rPr>
              <w:t>694,890</w:t>
            </w:r>
          </w:p>
        </w:tc>
        <w:tc>
          <w:tcPr>
            <w:tcW w:w="6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694,890</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694,890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694,890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shd w:val="clear" w:color="auto" w:fill="D6F3E8"/>
          </w:tcPr>
          <w:p>
            <w:pPr>
              <w:ind w:left="180"/>
              <w:spacing w:after="0" w:line="133" w:lineRule="exact"/>
              <w:rPr>
                <w:sz w:val="20"/>
                <w:szCs w:val="20"/>
                <w:color w:val="auto"/>
              </w:rPr>
            </w:pPr>
            <w:r>
              <w:rPr>
                <w:rFonts w:ascii="Arial" w:cs="Arial" w:eastAsia="Arial" w:hAnsi="Arial"/>
                <w:sz w:val="14"/>
                <w:szCs w:val="14"/>
                <w:color w:val="auto"/>
              </w:rPr>
              <w:t>Executive Share Option</w:t>
            </w:r>
          </w:p>
        </w:tc>
        <w:tc>
          <w:tcPr>
            <w:tcW w:w="130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740" w:type="dxa"/>
            <w:vAlign w:val="bottom"/>
            <w:shd w:val="clear" w:color="auto" w:fill="D6F3E8"/>
          </w:tcPr>
          <w:p>
            <w:pPr>
              <w:spacing w:after="0"/>
              <w:rPr>
                <w:sz w:val="11"/>
                <w:szCs w:val="11"/>
                <w:color w:val="auto"/>
              </w:rPr>
            </w:pPr>
          </w:p>
        </w:tc>
        <w:tc>
          <w:tcPr>
            <w:tcW w:w="500" w:type="dxa"/>
            <w:vAlign w:val="bottom"/>
            <w:shd w:val="clear" w:color="auto" w:fill="D6F3E8"/>
          </w:tcPr>
          <w:p>
            <w:pPr>
              <w:spacing w:after="0"/>
              <w:rPr>
                <w:sz w:val="11"/>
                <w:szCs w:val="11"/>
                <w:color w:val="auto"/>
              </w:rPr>
            </w:pPr>
          </w:p>
        </w:tc>
        <w:tc>
          <w:tcPr>
            <w:tcW w:w="120" w:type="dxa"/>
            <w:vAlign w:val="bottom"/>
            <w:shd w:val="clear" w:color="auto" w:fill="D6F3E8"/>
          </w:tcPr>
          <w:p>
            <w:pPr>
              <w:spacing w:after="0"/>
              <w:rPr>
                <w:sz w:val="11"/>
                <w:szCs w:val="11"/>
                <w:color w:val="auto"/>
              </w:rPr>
            </w:pPr>
          </w:p>
        </w:tc>
        <w:tc>
          <w:tcPr>
            <w:tcW w:w="620" w:type="dxa"/>
            <w:vAlign w:val="bottom"/>
            <w:shd w:val="clear" w:color="auto" w:fill="D6F3E8"/>
          </w:tcPr>
          <w:p>
            <w:pPr>
              <w:spacing w:after="0"/>
              <w:rPr>
                <w:sz w:val="11"/>
                <w:szCs w:val="11"/>
                <w:color w:val="auto"/>
              </w:rPr>
            </w:pPr>
          </w:p>
        </w:tc>
        <w:tc>
          <w:tcPr>
            <w:tcW w:w="520" w:type="dxa"/>
            <w:vAlign w:val="bottom"/>
            <w:shd w:val="clear" w:color="auto" w:fill="D6F3E8"/>
          </w:tcPr>
          <w:p>
            <w:pPr>
              <w:spacing w:after="0"/>
              <w:rPr>
                <w:sz w:val="11"/>
                <w:szCs w:val="11"/>
                <w:color w:val="auto"/>
              </w:rPr>
            </w:pPr>
          </w:p>
        </w:tc>
        <w:tc>
          <w:tcPr>
            <w:tcW w:w="180" w:type="dxa"/>
            <w:vAlign w:val="bottom"/>
            <w:shd w:val="clear" w:color="auto" w:fill="D6F3E8"/>
          </w:tcPr>
          <w:p>
            <w:pPr>
              <w:spacing w:after="0"/>
              <w:rPr>
                <w:sz w:val="11"/>
                <w:szCs w:val="11"/>
                <w:color w:val="auto"/>
              </w:rPr>
            </w:pPr>
          </w:p>
        </w:tc>
        <w:tc>
          <w:tcPr>
            <w:tcW w:w="86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160" w:type="dxa"/>
            <w:vAlign w:val="bottom"/>
            <w:shd w:val="clear" w:color="auto" w:fill="D6F3E8"/>
          </w:tcPr>
          <w:p>
            <w:pPr>
              <w:spacing w:after="0"/>
              <w:rPr>
                <w:sz w:val="11"/>
                <w:szCs w:val="11"/>
                <w:color w:val="auto"/>
              </w:rPr>
            </w:pPr>
          </w:p>
        </w:tc>
        <w:tc>
          <w:tcPr>
            <w:tcW w:w="20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120" w:type="dxa"/>
            <w:vAlign w:val="bottom"/>
            <w:shd w:val="clear" w:color="auto" w:fill="D6F3E8"/>
          </w:tcPr>
          <w:p>
            <w:pPr>
              <w:spacing w:after="0"/>
              <w:rPr>
                <w:sz w:val="11"/>
                <w:szCs w:val="11"/>
                <w:color w:val="auto"/>
              </w:rPr>
            </w:pPr>
          </w:p>
        </w:tc>
        <w:tc>
          <w:tcPr>
            <w:tcW w:w="240" w:type="dxa"/>
            <w:vAlign w:val="bottom"/>
            <w:shd w:val="clear" w:color="auto" w:fill="D6F3E8"/>
          </w:tcPr>
          <w:p>
            <w:pPr>
              <w:spacing w:after="0"/>
              <w:rPr>
                <w:sz w:val="11"/>
                <w:szCs w:val="11"/>
                <w:color w:val="auto"/>
              </w:rPr>
            </w:pPr>
          </w:p>
        </w:tc>
        <w:tc>
          <w:tcPr>
            <w:tcW w:w="540" w:type="dxa"/>
            <w:vAlign w:val="bottom"/>
            <w:shd w:val="clear" w:color="auto" w:fill="D6F3E8"/>
          </w:tcPr>
          <w:p>
            <w:pPr>
              <w:spacing w:after="0"/>
              <w:rPr>
                <w:sz w:val="11"/>
                <w:szCs w:val="11"/>
                <w:color w:val="auto"/>
              </w:rPr>
            </w:pPr>
          </w:p>
        </w:tc>
        <w:tc>
          <w:tcPr>
            <w:tcW w:w="380" w:type="dxa"/>
            <w:vAlign w:val="bottom"/>
            <w:shd w:val="clear" w:color="auto" w:fill="D6F3E8"/>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D6F3E8"/>
          </w:tcPr>
          <w:p>
            <w:pPr>
              <w:ind w:left="340"/>
              <w:spacing w:after="0" w:line="191" w:lineRule="exact"/>
              <w:rPr>
                <w:sz w:val="20"/>
                <w:szCs w:val="20"/>
                <w:color w:val="auto"/>
              </w:rPr>
            </w:pPr>
            <w:r>
              <w:rPr>
                <w:rFonts w:ascii="Arial" w:cs="Arial" w:eastAsia="Arial" w:hAnsi="Arial"/>
                <w:sz w:val="14"/>
                <w:szCs w:val="14"/>
                <w:color w:val="auto"/>
              </w:rPr>
              <w:t>Program</w:t>
            </w:r>
            <w:r>
              <w:rPr>
                <w:rFonts w:ascii="Arial" w:cs="Arial" w:eastAsia="Arial" w:hAnsi="Arial"/>
                <w:sz w:val="22"/>
                <w:szCs w:val="22"/>
                <w:color w:val="auto"/>
                <w:vertAlign w:val="superscript"/>
              </w:rPr>
              <w:t>(7)</w:t>
            </w:r>
          </w:p>
        </w:tc>
        <w:tc>
          <w:tcPr>
            <w:tcW w:w="18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805,823</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805,823</w:t>
            </w:r>
          </w:p>
        </w:tc>
        <w:tc>
          <w:tcPr>
            <w:tcW w:w="132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805,823</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805,823</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805,823</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805,823</w:t>
            </w: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Pr>
          <w:p>
            <w:pPr>
              <w:ind w:left="180"/>
              <w:spacing w:after="0" w:line="133" w:lineRule="exact"/>
              <w:rPr>
                <w:sz w:val="20"/>
                <w:szCs w:val="20"/>
                <w:color w:val="auto"/>
              </w:rPr>
            </w:pPr>
            <w:r>
              <w:rPr>
                <w:rFonts w:ascii="Arial" w:cs="Arial" w:eastAsia="Arial" w:hAnsi="Arial"/>
                <w:sz w:val="14"/>
                <w:szCs w:val="14"/>
                <w:color w:val="auto"/>
              </w:rPr>
              <w:t>Executive Deferred Compensation</w:t>
            </w: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340"/>
              <w:spacing w:after="0" w:line="191" w:lineRule="exact"/>
              <w:rPr>
                <w:sz w:val="20"/>
                <w:szCs w:val="20"/>
                <w:color w:val="auto"/>
              </w:rPr>
            </w:pPr>
            <w:r>
              <w:rPr>
                <w:rFonts w:ascii="Arial" w:cs="Arial" w:eastAsia="Arial" w:hAnsi="Arial"/>
                <w:sz w:val="14"/>
                <w:szCs w:val="14"/>
                <w:color w:val="auto"/>
              </w:rPr>
              <w:t>Plan (2007)</w:t>
            </w:r>
            <w:r>
              <w:rPr>
                <w:rFonts w:ascii="Arial" w:cs="Arial" w:eastAsia="Arial" w:hAnsi="Arial"/>
                <w:sz w:val="22"/>
                <w:szCs w:val="22"/>
                <w:color w:val="auto"/>
                <w:vertAlign w:val="superscript"/>
              </w:rPr>
              <w:t>(8)</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34,783</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color w:val="auto"/>
              </w:rPr>
              <w:t>34,783</w:t>
            </w:r>
          </w:p>
        </w:tc>
        <w:tc>
          <w:tcPr>
            <w:tcW w:w="6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34,783</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34,783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34,783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Other Benefits:</w:t>
            </w:r>
          </w:p>
        </w:tc>
        <w:tc>
          <w:tcPr>
            <w:tcW w:w="130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740" w:type="dxa"/>
            <w:vAlign w:val="bottom"/>
            <w:shd w:val="clear" w:color="auto" w:fill="D6F3E8"/>
          </w:tcPr>
          <w:p>
            <w:pPr>
              <w:spacing w:after="0"/>
              <w:rPr>
                <w:sz w:val="16"/>
                <w:szCs w:val="16"/>
                <w:color w:val="auto"/>
              </w:rPr>
            </w:pPr>
          </w:p>
        </w:tc>
        <w:tc>
          <w:tcPr>
            <w:tcW w:w="50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620" w:type="dxa"/>
            <w:vAlign w:val="bottom"/>
            <w:shd w:val="clear" w:color="auto" w:fill="D6F3E8"/>
          </w:tcPr>
          <w:p>
            <w:pPr>
              <w:spacing w:after="0"/>
              <w:rPr>
                <w:sz w:val="16"/>
                <w:szCs w:val="16"/>
                <w:color w:val="auto"/>
              </w:rPr>
            </w:pPr>
          </w:p>
        </w:tc>
        <w:tc>
          <w:tcPr>
            <w:tcW w:w="52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86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20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24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line="176" w:lineRule="exact"/>
              <w:rPr>
                <w:sz w:val="20"/>
                <w:szCs w:val="20"/>
                <w:color w:val="auto"/>
              </w:rPr>
            </w:pPr>
            <w:r>
              <w:rPr>
                <w:rFonts w:ascii="Arial" w:cs="Arial" w:eastAsia="Arial" w:hAnsi="Arial"/>
                <w:sz w:val="13"/>
                <w:szCs w:val="13"/>
                <w:color w:val="auto"/>
              </w:rPr>
              <w:t>Health and Welfare</w:t>
            </w:r>
            <w:r>
              <w:rPr>
                <w:rFonts w:ascii="Arial" w:cs="Arial" w:eastAsia="Arial" w:hAnsi="Arial"/>
                <w:sz w:val="20"/>
                <w:szCs w:val="20"/>
                <w:color w:val="auto"/>
                <w:vertAlign w:val="superscript"/>
              </w:rPr>
              <w:t>(9)</w:t>
            </w:r>
          </w:p>
        </w:tc>
        <w:tc>
          <w:tcPr>
            <w:tcW w:w="1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6,351</w:t>
            </w:r>
          </w:p>
        </w:tc>
        <w:tc>
          <w:tcPr>
            <w:tcW w:w="7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20,280</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4,500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6,351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Total Benefits</w:t>
            </w:r>
          </w:p>
        </w:tc>
        <w:tc>
          <w:tcPr>
            <w:tcW w:w="1300" w:type="dxa"/>
            <w:vAlign w:val="bottom"/>
            <w:shd w:val="clear" w:color="auto" w:fill="D6F3E8"/>
          </w:tcPr>
          <w:p>
            <w:pPr>
              <w:spacing w:after="0"/>
              <w:rPr>
                <w:sz w:val="15"/>
                <w:szCs w:val="15"/>
                <w:color w:val="auto"/>
              </w:rPr>
            </w:pPr>
          </w:p>
        </w:tc>
        <w:tc>
          <w:tcPr>
            <w:tcW w:w="540" w:type="dxa"/>
            <w:vAlign w:val="bottom"/>
            <w:shd w:val="clear" w:color="auto" w:fill="D6F3E8"/>
          </w:tcPr>
          <w:p>
            <w:pPr>
              <w:jc w:val="right"/>
              <w:spacing w:after="0"/>
              <w:rPr>
                <w:sz w:val="20"/>
                <w:szCs w:val="20"/>
                <w:color w:val="auto"/>
              </w:rPr>
            </w:pPr>
            <w:r>
              <w:rPr>
                <w:rFonts w:ascii="Arial" w:cs="Arial" w:eastAsia="Arial" w:hAnsi="Arial"/>
                <w:sz w:val="14"/>
                <w:szCs w:val="14"/>
                <w:color w:val="auto"/>
                <w:w w:val="83"/>
              </w:rPr>
              <w:t>4,356,344</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4,349,993</w:t>
            </w:r>
          </w:p>
        </w:tc>
        <w:tc>
          <w:tcPr>
            <w:tcW w:w="132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805,823</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5,344,302</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4,354,493</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4,356,344</w:t>
            </w:r>
          </w:p>
        </w:tc>
        <w:tc>
          <w:tcPr>
            <w:tcW w:w="38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color w:val="auto"/>
        </w:rPr>
        <w:t>__________________</w:t>
      </w:r>
    </w:p>
    <w:p>
      <w:pPr>
        <w:spacing w:after="0" w:line="2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August 29, 2009, Mr. Beebe is of retirement age.</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Severance upon a Change of Control for Mr. Beebe equals severance pay in lump-sum, an amount equal to three times the average of the aggregate annual compensation paid during the three fiscal years of the Company immediately preceding the Change of Control.</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$11.62 per share on August 28, 2009, the last trading day of Fiscal 2009.</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77"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plan was frozen as of 2001. This amount reflects the total of the 15 years of payout based on the Normal Retirement Benefit, plus a 6% per year crediting rate established by the Board which is applied to each year worked past age 65. See “Deferred Compensation Plan (1981).”</w:t>
      </w:r>
    </w:p>
    <w:p>
      <w:pPr>
        <w:spacing w:after="0" w:line="31"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2009 for the Supplemental Executive Retirement Plan (frozen program). The Normal Retirement Benefit stated in the Participation Agreement shall be increased by 5% for each full year of continuous service performed by the Participant for the Company after the Normal Retirement Date.</w:t>
      </w:r>
    </w:p>
    <w:p>
      <w:pPr>
        <w:sectPr>
          <w:pgSz w:w="11900" w:h="16838" w:orient="portrait"/>
          <w:cols w:equalWidth="0" w:num="1">
            <w:col w:w="11420"/>
          </w:cols>
          <w:pgMar w:left="240" w:top="181" w:right="239" w:bottom="0" w:gutter="0" w:footer="0" w:header="0"/>
        </w:sectPr>
      </w:pPr>
    </w:p>
    <w:bookmarkStart w:id="30" w:name="page31"/>
    <w:bookmarkEnd w:id="30"/>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market value balance as of August 28, 2009 for the Executive Share Option Program reduced by the exercise price (frozen program).</w:t>
      </w:r>
    </w:p>
    <w:p>
      <w:pPr>
        <w:spacing w:after="0" w:line="140"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market value balance as of August 28, 2009.</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benefits including health, dental, life insurance and long-term disability.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NAMED EXECUTIVE: WILLIAM J. O'LEARY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w w:val="96"/>
              </w:rPr>
              <w:t>Change of Control</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Termination</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840" w:type="dxa"/>
            <w:vAlign w:val="bottom"/>
            <w:gridSpan w:val="2"/>
            <w:vMerge w:val="restart"/>
          </w:tcPr>
          <w:p>
            <w:pPr>
              <w:jc w:val="center"/>
              <w:ind w:left="652"/>
              <w:spacing w:after="0"/>
              <w:rPr>
                <w:sz w:val="20"/>
                <w:szCs w:val="20"/>
                <w:color w:val="auto"/>
              </w:rPr>
            </w:pPr>
            <w:r>
              <w:rPr>
                <w:rFonts w:ascii="Arial" w:cs="Arial" w:eastAsia="Arial" w:hAnsi="Arial"/>
                <w:sz w:val="14"/>
                <w:szCs w:val="14"/>
                <w:b w:val="1"/>
                <w:bCs w:val="1"/>
                <w:color w:val="auto"/>
                <w:w w:val="87"/>
              </w:rPr>
              <w:t>Retirement</w:t>
            </w:r>
            <w:r>
              <w:rPr>
                <w:rFonts w:ascii="Arial" w:cs="Arial" w:eastAsia="Arial" w:hAnsi="Arial"/>
                <w:sz w:val="22"/>
                <w:szCs w:val="22"/>
                <w:b w:val="1"/>
                <w:bCs w:val="1"/>
                <w:color w:val="auto"/>
                <w:w w:val="87"/>
                <w:vertAlign w:val="superscript"/>
              </w:rPr>
              <w:t>(1)</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Without</w:t>
            </w:r>
          </w:p>
        </w:tc>
        <w:tc>
          <w:tcPr>
            <w:tcW w:w="1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Without Cause /</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Executive Payments and</w:t>
            </w:r>
          </w:p>
        </w:tc>
        <w:tc>
          <w:tcPr>
            <w:tcW w:w="1840" w:type="dxa"/>
            <w:vAlign w:val="bottom"/>
            <w:gridSpan w:val="2"/>
            <w:vMerge w:val="continue"/>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For Cause</w:t>
            </w: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5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Good Reason</w:t>
            </w:r>
          </w:p>
        </w:tc>
        <w:tc>
          <w:tcPr>
            <w:tcW w:w="86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Death</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Benefits Upon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left="35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Compensation:</w:t>
            </w:r>
          </w:p>
        </w:tc>
        <w:tc>
          <w:tcPr>
            <w:tcW w:w="1400" w:type="dxa"/>
            <w:vAlign w:val="bottom"/>
            <w:shd w:val="clear" w:color="auto" w:fill="D6F3E8"/>
          </w:tcPr>
          <w:p>
            <w:pPr>
              <w:spacing w:after="0"/>
              <w:rPr>
                <w:sz w:val="15"/>
                <w:szCs w:val="15"/>
                <w:color w:val="auto"/>
              </w:rPr>
            </w:pPr>
          </w:p>
        </w:tc>
        <w:tc>
          <w:tcPr>
            <w:tcW w:w="440" w:type="dxa"/>
            <w:vAlign w:val="bottom"/>
            <w:shd w:val="clear" w:color="auto" w:fill="D6F3E8"/>
          </w:tcPr>
          <w:p>
            <w:pPr>
              <w:spacing w:after="0"/>
              <w:rPr>
                <w:sz w:val="15"/>
                <w:szCs w:val="15"/>
                <w:color w:val="auto"/>
              </w:rPr>
            </w:pPr>
          </w:p>
        </w:tc>
        <w:tc>
          <w:tcPr>
            <w:tcW w:w="820" w:type="dxa"/>
            <w:vAlign w:val="bottom"/>
            <w:shd w:val="clear" w:color="auto" w:fill="D6F3E8"/>
          </w:tcPr>
          <w:p>
            <w:pPr>
              <w:spacing w:after="0"/>
              <w:rPr>
                <w:sz w:val="15"/>
                <w:szCs w:val="15"/>
                <w:color w:val="auto"/>
              </w:rPr>
            </w:pPr>
          </w:p>
        </w:tc>
        <w:tc>
          <w:tcPr>
            <w:tcW w:w="420" w:type="dxa"/>
            <w:vAlign w:val="bottom"/>
            <w:shd w:val="clear" w:color="auto" w:fill="D6F3E8"/>
          </w:tcPr>
          <w:p>
            <w:pPr>
              <w:spacing w:after="0"/>
              <w:rPr>
                <w:sz w:val="15"/>
                <w:szCs w:val="15"/>
                <w:color w:val="auto"/>
              </w:rPr>
            </w:pPr>
          </w:p>
        </w:tc>
        <w:tc>
          <w:tcPr>
            <w:tcW w:w="120" w:type="dxa"/>
            <w:vAlign w:val="bottom"/>
            <w:shd w:val="clear" w:color="auto" w:fill="D6F3E8"/>
          </w:tcPr>
          <w:p>
            <w:pPr>
              <w:spacing w:after="0"/>
              <w:rPr>
                <w:sz w:val="15"/>
                <w:szCs w:val="15"/>
                <w:color w:val="auto"/>
              </w:rPr>
            </w:pPr>
          </w:p>
        </w:tc>
        <w:tc>
          <w:tcPr>
            <w:tcW w:w="700" w:type="dxa"/>
            <w:vAlign w:val="bottom"/>
            <w:shd w:val="clear" w:color="auto" w:fill="D6F3E8"/>
          </w:tcPr>
          <w:p>
            <w:pPr>
              <w:spacing w:after="0"/>
              <w:rPr>
                <w:sz w:val="15"/>
                <w:szCs w:val="15"/>
                <w:color w:val="auto"/>
              </w:rPr>
            </w:pPr>
          </w:p>
        </w:tc>
        <w:tc>
          <w:tcPr>
            <w:tcW w:w="440" w:type="dxa"/>
            <w:vAlign w:val="bottom"/>
            <w:shd w:val="clear" w:color="auto" w:fill="D6F3E8"/>
          </w:tcPr>
          <w:p>
            <w:pPr>
              <w:spacing w:after="0"/>
              <w:rPr>
                <w:sz w:val="15"/>
                <w:szCs w:val="15"/>
                <w:color w:val="auto"/>
              </w:rPr>
            </w:pPr>
          </w:p>
        </w:tc>
        <w:tc>
          <w:tcPr>
            <w:tcW w:w="180" w:type="dxa"/>
            <w:vAlign w:val="bottom"/>
            <w:shd w:val="clear" w:color="auto" w:fill="D6F3E8"/>
          </w:tcPr>
          <w:p>
            <w:pPr>
              <w:spacing w:after="0"/>
              <w:rPr>
                <w:sz w:val="15"/>
                <w:szCs w:val="15"/>
                <w:color w:val="auto"/>
              </w:rPr>
            </w:pPr>
          </w:p>
        </w:tc>
        <w:tc>
          <w:tcPr>
            <w:tcW w:w="860" w:type="dxa"/>
            <w:vAlign w:val="bottom"/>
            <w:shd w:val="clear" w:color="auto" w:fill="D6F3E8"/>
          </w:tcPr>
          <w:p>
            <w:pPr>
              <w:spacing w:after="0"/>
              <w:rPr>
                <w:sz w:val="15"/>
                <w:szCs w:val="15"/>
                <w:color w:val="auto"/>
              </w:rPr>
            </w:pPr>
          </w:p>
        </w:tc>
        <w:tc>
          <w:tcPr>
            <w:tcW w:w="540" w:type="dxa"/>
            <w:vAlign w:val="bottom"/>
            <w:shd w:val="clear" w:color="auto" w:fill="D6F3E8"/>
          </w:tcPr>
          <w:p>
            <w:pPr>
              <w:spacing w:after="0"/>
              <w:rPr>
                <w:sz w:val="15"/>
                <w:szCs w:val="15"/>
                <w:color w:val="auto"/>
              </w:rPr>
            </w:pPr>
          </w:p>
        </w:tc>
        <w:tc>
          <w:tcPr>
            <w:tcW w:w="160" w:type="dxa"/>
            <w:vAlign w:val="bottom"/>
            <w:shd w:val="clear" w:color="auto" w:fill="D6F3E8"/>
          </w:tcPr>
          <w:p>
            <w:pPr>
              <w:spacing w:after="0"/>
              <w:rPr>
                <w:sz w:val="15"/>
                <w:szCs w:val="15"/>
                <w:color w:val="auto"/>
              </w:rPr>
            </w:pPr>
          </w:p>
        </w:tc>
        <w:tc>
          <w:tcPr>
            <w:tcW w:w="300" w:type="dxa"/>
            <w:vAlign w:val="bottom"/>
            <w:shd w:val="clear" w:color="auto" w:fill="D6F3E8"/>
          </w:tcPr>
          <w:p>
            <w:pPr>
              <w:spacing w:after="0"/>
              <w:rPr>
                <w:sz w:val="15"/>
                <w:szCs w:val="15"/>
                <w:color w:val="auto"/>
              </w:rPr>
            </w:pPr>
          </w:p>
        </w:tc>
        <w:tc>
          <w:tcPr>
            <w:tcW w:w="440" w:type="dxa"/>
            <w:vAlign w:val="bottom"/>
            <w:shd w:val="clear" w:color="auto" w:fill="D6F3E8"/>
          </w:tcPr>
          <w:p>
            <w:pPr>
              <w:spacing w:after="0"/>
              <w:rPr>
                <w:sz w:val="15"/>
                <w:szCs w:val="15"/>
                <w:color w:val="auto"/>
              </w:rPr>
            </w:pPr>
          </w:p>
        </w:tc>
        <w:tc>
          <w:tcPr>
            <w:tcW w:w="120" w:type="dxa"/>
            <w:vAlign w:val="bottom"/>
            <w:shd w:val="clear" w:color="auto" w:fill="D6F3E8"/>
          </w:tcPr>
          <w:p>
            <w:pPr>
              <w:spacing w:after="0"/>
              <w:rPr>
                <w:sz w:val="15"/>
                <w:szCs w:val="15"/>
                <w:color w:val="auto"/>
              </w:rPr>
            </w:pPr>
          </w:p>
        </w:tc>
        <w:tc>
          <w:tcPr>
            <w:tcW w:w="340" w:type="dxa"/>
            <w:vAlign w:val="bottom"/>
            <w:shd w:val="clear" w:color="auto" w:fill="D6F3E8"/>
          </w:tcPr>
          <w:p>
            <w:pPr>
              <w:spacing w:after="0"/>
              <w:rPr>
                <w:sz w:val="15"/>
                <w:szCs w:val="15"/>
                <w:color w:val="auto"/>
              </w:rPr>
            </w:pPr>
          </w:p>
        </w:tc>
        <w:tc>
          <w:tcPr>
            <w:tcW w:w="440" w:type="dxa"/>
            <w:vAlign w:val="bottom"/>
            <w:shd w:val="clear" w:color="auto" w:fill="D6F3E8"/>
          </w:tcPr>
          <w:p>
            <w:pPr>
              <w:spacing w:after="0"/>
              <w:rPr>
                <w:sz w:val="15"/>
                <w:szCs w:val="15"/>
                <w:color w:val="auto"/>
              </w:rPr>
            </w:pPr>
          </w:p>
        </w:tc>
        <w:tc>
          <w:tcPr>
            <w:tcW w:w="38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80"/>
              <w:spacing w:after="0" w:line="189" w:lineRule="exact"/>
              <w:rPr>
                <w:sz w:val="20"/>
                <w:szCs w:val="20"/>
                <w:color w:val="auto"/>
              </w:rPr>
            </w:pPr>
            <w:r>
              <w:rPr>
                <w:rFonts w:ascii="Arial" w:cs="Arial" w:eastAsia="Arial" w:hAnsi="Arial"/>
                <w:sz w:val="13"/>
                <w:szCs w:val="13"/>
                <w:color w:val="auto"/>
              </w:rPr>
              <w:t>Severance Benefit (Change of Control)</w:t>
            </w:r>
            <w:r>
              <w:rPr>
                <w:rFonts w:ascii="Arial" w:cs="Arial" w:eastAsia="Arial" w:hAnsi="Arial"/>
                <w:sz w:val="21"/>
                <w:szCs w:val="21"/>
                <w:color w:val="auto"/>
                <w:vertAlign w:val="superscript"/>
              </w:rPr>
              <w:t>(2)</w:t>
            </w:r>
          </w:p>
        </w:tc>
        <w:tc>
          <w:tcPr>
            <w:tcW w:w="14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893,157</w:t>
            </w:r>
          </w:p>
        </w:tc>
        <w:tc>
          <w:tcPr>
            <w:tcW w:w="3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Long-Term Incentives:</w:t>
            </w:r>
          </w:p>
        </w:tc>
        <w:tc>
          <w:tcPr>
            <w:tcW w:w="140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820" w:type="dxa"/>
            <w:vAlign w:val="bottom"/>
            <w:shd w:val="clear" w:color="auto" w:fill="D6F3E8"/>
          </w:tcPr>
          <w:p>
            <w:pPr>
              <w:spacing w:after="0"/>
              <w:rPr>
                <w:sz w:val="16"/>
                <w:szCs w:val="16"/>
                <w:color w:val="auto"/>
              </w:rPr>
            </w:pPr>
          </w:p>
        </w:tc>
        <w:tc>
          <w:tcPr>
            <w:tcW w:w="42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70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86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30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34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80"/>
              <w:spacing w:after="0" w:line="189" w:lineRule="exact"/>
              <w:rPr>
                <w:sz w:val="20"/>
                <w:szCs w:val="20"/>
                <w:color w:val="auto"/>
              </w:rPr>
            </w:pPr>
            <w:r>
              <w:rPr>
                <w:rFonts w:ascii="Arial" w:cs="Arial" w:eastAsia="Arial" w:hAnsi="Arial"/>
                <w:sz w:val="13"/>
                <w:szCs w:val="13"/>
                <w:color w:val="auto"/>
              </w:rPr>
              <w:t>Restricted Stock:</w:t>
            </w:r>
            <w:r>
              <w:rPr>
                <w:rFonts w:ascii="Arial" w:cs="Arial" w:eastAsia="Arial" w:hAnsi="Arial"/>
                <w:sz w:val="21"/>
                <w:szCs w:val="21"/>
                <w:color w:val="auto"/>
                <w:vertAlign w:val="superscript"/>
              </w:rPr>
              <w:t>(3)(4)</w:t>
            </w: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ind w:left="500"/>
              <w:spacing w:after="0"/>
              <w:rPr>
                <w:sz w:val="20"/>
                <w:szCs w:val="20"/>
                <w:color w:val="auto"/>
              </w:rPr>
            </w:pPr>
            <w:r>
              <w:rPr>
                <w:rFonts w:ascii="Arial" w:cs="Arial" w:eastAsia="Arial" w:hAnsi="Arial"/>
                <w:sz w:val="14"/>
                <w:szCs w:val="14"/>
                <w:color w:val="auto"/>
              </w:rPr>
              <w:t>Accelerated Vesting</w:t>
            </w:r>
          </w:p>
        </w:tc>
        <w:tc>
          <w:tcPr>
            <w:tcW w:w="18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58,112</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58,112</w:t>
            </w:r>
          </w:p>
        </w:tc>
        <w:tc>
          <w:tcPr>
            <w:tcW w:w="700" w:type="dxa"/>
            <w:vAlign w:val="bottom"/>
            <w:shd w:val="clear" w:color="auto" w:fill="D6F3E8"/>
          </w:tcPr>
          <w:p>
            <w:pPr>
              <w:spacing w:after="0"/>
              <w:rPr>
                <w:sz w:val="16"/>
                <w:szCs w:val="16"/>
                <w:color w:val="auto"/>
              </w:rPr>
            </w:pPr>
          </w:p>
        </w:tc>
        <w:tc>
          <w:tcPr>
            <w:tcW w:w="620" w:type="dxa"/>
            <w:vAlign w:val="bottom"/>
            <w:gridSpan w:val="2"/>
            <w:shd w:val="clear" w:color="auto" w:fill="D6F3E8"/>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58,112</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58,112</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58,112</w:t>
            </w: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Arial" w:cs="Arial" w:eastAsia="Arial" w:hAnsi="Arial"/>
                <w:sz w:val="14"/>
                <w:szCs w:val="14"/>
                <w:color w:val="auto"/>
              </w:rPr>
              <w:t>Deferred Comp Plans:</w:t>
            </w: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ind w:left="180"/>
              <w:spacing w:after="0" w:line="189" w:lineRule="exact"/>
              <w:rPr>
                <w:sz w:val="20"/>
                <w:szCs w:val="20"/>
                <w:color w:val="auto"/>
              </w:rPr>
            </w:pPr>
            <w:r>
              <w:rPr>
                <w:rFonts w:ascii="Arial" w:cs="Arial" w:eastAsia="Arial" w:hAnsi="Arial"/>
                <w:sz w:val="13"/>
                <w:szCs w:val="13"/>
                <w:color w:val="auto"/>
              </w:rPr>
              <w:t>SERP</w:t>
            </w:r>
            <w:r>
              <w:rPr>
                <w:rFonts w:ascii="Arial" w:cs="Arial" w:eastAsia="Arial" w:hAnsi="Arial"/>
                <w:sz w:val="21"/>
                <w:szCs w:val="21"/>
                <w:color w:val="auto"/>
                <w:vertAlign w:val="superscript"/>
              </w:rPr>
              <w:t>(5)</w:t>
            </w:r>
          </w:p>
        </w:tc>
        <w:tc>
          <w:tcPr>
            <w:tcW w:w="18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304,425</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304,425</w:t>
            </w:r>
          </w:p>
        </w:tc>
        <w:tc>
          <w:tcPr>
            <w:tcW w:w="700" w:type="dxa"/>
            <w:vAlign w:val="bottom"/>
            <w:shd w:val="clear" w:color="auto" w:fill="D6F3E8"/>
          </w:tcPr>
          <w:p>
            <w:pPr>
              <w:spacing w:after="0"/>
              <w:rPr>
                <w:sz w:val="16"/>
                <w:szCs w:val="16"/>
                <w:color w:val="auto"/>
              </w:rPr>
            </w:pPr>
          </w:p>
        </w:tc>
        <w:tc>
          <w:tcPr>
            <w:tcW w:w="620" w:type="dxa"/>
            <w:vAlign w:val="bottom"/>
            <w:gridSpan w:val="2"/>
            <w:shd w:val="clear" w:color="auto" w:fill="D6F3E8"/>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304,425</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304,425</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304,425</w:t>
            </w: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Pr>
          <w:p>
            <w:pPr>
              <w:ind w:left="180"/>
              <w:spacing w:after="0" w:line="133" w:lineRule="exact"/>
              <w:rPr>
                <w:sz w:val="20"/>
                <w:szCs w:val="20"/>
                <w:color w:val="auto"/>
              </w:rPr>
            </w:pPr>
            <w:r>
              <w:rPr>
                <w:rFonts w:ascii="Arial" w:cs="Arial" w:eastAsia="Arial" w:hAnsi="Arial"/>
                <w:sz w:val="14"/>
                <w:szCs w:val="14"/>
                <w:color w:val="auto"/>
              </w:rPr>
              <w:t>Executive Share Option</w:t>
            </w: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340"/>
              <w:spacing w:after="0" w:line="191" w:lineRule="exact"/>
              <w:rPr>
                <w:sz w:val="20"/>
                <w:szCs w:val="20"/>
                <w:color w:val="auto"/>
              </w:rPr>
            </w:pPr>
            <w:r>
              <w:rPr>
                <w:rFonts w:ascii="Arial" w:cs="Arial" w:eastAsia="Arial" w:hAnsi="Arial"/>
                <w:sz w:val="14"/>
                <w:szCs w:val="14"/>
                <w:color w:val="auto"/>
              </w:rPr>
              <w:t>Program</w:t>
            </w:r>
            <w:r>
              <w:rPr>
                <w:rFonts w:ascii="Arial" w:cs="Arial" w:eastAsia="Arial" w:hAnsi="Arial"/>
                <w:sz w:val="22"/>
                <w:szCs w:val="22"/>
                <w:color w:val="auto"/>
                <w:vertAlign w:val="superscript"/>
              </w:rPr>
              <w:t>(6)</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142,906</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color w:val="auto"/>
              </w:rPr>
              <w:t>142,906</w:t>
            </w: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142,906</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142,906</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142,906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142,906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Other Benefits:</w:t>
            </w:r>
          </w:p>
        </w:tc>
        <w:tc>
          <w:tcPr>
            <w:tcW w:w="140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820" w:type="dxa"/>
            <w:vAlign w:val="bottom"/>
            <w:shd w:val="clear" w:color="auto" w:fill="D6F3E8"/>
          </w:tcPr>
          <w:p>
            <w:pPr>
              <w:spacing w:after="0"/>
              <w:rPr>
                <w:sz w:val="16"/>
                <w:szCs w:val="16"/>
                <w:color w:val="auto"/>
              </w:rPr>
            </w:pPr>
          </w:p>
        </w:tc>
        <w:tc>
          <w:tcPr>
            <w:tcW w:w="42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70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860" w:type="dxa"/>
            <w:vAlign w:val="bottom"/>
            <w:shd w:val="clear" w:color="auto" w:fill="D6F3E8"/>
          </w:tcPr>
          <w:p>
            <w:pPr>
              <w:spacing w:after="0"/>
              <w:rPr>
                <w:sz w:val="16"/>
                <w:szCs w:val="16"/>
                <w:color w:val="auto"/>
              </w:rPr>
            </w:pPr>
          </w:p>
        </w:tc>
        <w:tc>
          <w:tcPr>
            <w:tcW w:w="540" w:type="dxa"/>
            <w:vAlign w:val="bottom"/>
            <w:shd w:val="clear" w:color="auto" w:fill="D6F3E8"/>
          </w:tcPr>
          <w:p>
            <w:pPr>
              <w:spacing w:after="0"/>
              <w:rPr>
                <w:sz w:val="16"/>
                <w:szCs w:val="16"/>
                <w:color w:val="auto"/>
              </w:rPr>
            </w:pPr>
          </w:p>
        </w:tc>
        <w:tc>
          <w:tcPr>
            <w:tcW w:w="160" w:type="dxa"/>
            <w:vAlign w:val="bottom"/>
            <w:shd w:val="clear" w:color="auto" w:fill="D6F3E8"/>
          </w:tcPr>
          <w:p>
            <w:pPr>
              <w:spacing w:after="0"/>
              <w:rPr>
                <w:sz w:val="16"/>
                <w:szCs w:val="16"/>
                <w:color w:val="auto"/>
              </w:rPr>
            </w:pPr>
          </w:p>
        </w:tc>
        <w:tc>
          <w:tcPr>
            <w:tcW w:w="30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34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3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line="176" w:lineRule="exact"/>
              <w:rPr>
                <w:sz w:val="20"/>
                <w:szCs w:val="20"/>
                <w:color w:val="auto"/>
              </w:rPr>
            </w:pPr>
            <w:r>
              <w:rPr>
                <w:rFonts w:ascii="Arial" w:cs="Arial" w:eastAsia="Arial" w:hAnsi="Arial"/>
                <w:sz w:val="13"/>
                <w:szCs w:val="13"/>
                <w:color w:val="auto"/>
              </w:rPr>
              <w:t>Health and Welfare</w:t>
            </w:r>
            <w:r>
              <w:rPr>
                <w:rFonts w:ascii="Arial" w:cs="Arial" w:eastAsia="Arial" w:hAnsi="Arial"/>
                <w:sz w:val="20"/>
                <w:szCs w:val="20"/>
                <w:color w:val="auto"/>
                <w:vertAlign w:val="superscript"/>
              </w:rPr>
              <w:t>(7)</w:t>
            </w:r>
          </w:p>
        </w:tc>
        <w:tc>
          <w:tcPr>
            <w:tcW w:w="1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9,000</w:t>
            </w:r>
          </w:p>
        </w:tc>
        <w:tc>
          <w:tcPr>
            <w:tcW w:w="82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color w:val="auto"/>
              </w:rPr>
              <w:t>29,796</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4,500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9,000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D6F3E8"/>
          </w:tcPr>
          <w:p>
            <w:pPr>
              <w:spacing w:after="0"/>
              <w:rPr>
                <w:sz w:val="20"/>
                <w:szCs w:val="20"/>
                <w:color w:val="auto"/>
              </w:rPr>
            </w:pPr>
            <w:r>
              <w:rPr>
                <w:rFonts w:ascii="Arial" w:cs="Arial" w:eastAsia="Arial" w:hAnsi="Arial"/>
                <w:sz w:val="14"/>
                <w:szCs w:val="14"/>
                <w:color w:val="auto"/>
              </w:rPr>
              <w:t>Total Benefits</w:t>
            </w:r>
          </w:p>
        </w:tc>
        <w:tc>
          <w:tcPr>
            <w:tcW w:w="1400" w:type="dxa"/>
            <w:vAlign w:val="bottom"/>
            <w:shd w:val="clear" w:color="auto" w:fill="D6F3E8"/>
          </w:tcPr>
          <w:p>
            <w:pPr>
              <w:spacing w:after="0"/>
              <w:rPr>
                <w:sz w:val="15"/>
                <w:szCs w:val="15"/>
                <w:color w:val="auto"/>
              </w:rPr>
            </w:pPr>
          </w:p>
        </w:tc>
        <w:tc>
          <w:tcPr>
            <w:tcW w:w="440" w:type="dxa"/>
            <w:vAlign w:val="bottom"/>
            <w:shd w:val="clear" w:color="auto" w:fill="D6F3E8"/>
          </w:tcPr>
          <w:p>
            <w:pPr>
              <w:jc w:val="right"/>
              <w:spacing w:after="0"/>
              <w:rPr>
                <w:sz w:val="20"/>
                <w:szCs w:val="20"/>
                <w:color w:val="auto"/>
              </w:rPr>
            </w:pPr>
            <w:r>
              <w:rPr>
                <w:rFonts w:ascii="Arial" w:cs="Arial" w:eastAsia="Arial" w:hAnsi="Arial"/>
                <w:sz w:val="14"/>
                <w:szCs w:val="14"/>
                <w:color w:val="auto"/>
                <w:w w:val="82"/>
              </w:rPr>
              <w:t>514,443</w:t>
            </w:r>
          </w:p>
        </w:tc>
        <w:tc>
          <w:tcPr>
            <w:tcW w:w="13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505,443</w:t>
            </w:r>
          </w:p>
        </w:tc>
        <w:tc>
          <w:tcPr>
            <w:tcW w:w="132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142,906</w:t>
            </w:r>
          </w:p>
        </w:tc>
        <w:tc>
          <w:tcPr>
            <w:tcW w:w="1560" w:type="dxa"/>
            <w:vAlign w:val="bottom"/>
            <w:gridSpan w:val="3"/>
            <w:shd w:val="clear" w:color="auto" w:fill="D6F3E8"/>
          </w:tcPr>
          <w:p>
            <w:pPr>
              <w:jc w:val="right"/>
              <w:ind w:right="160"/>
              <w:spacing w:after="0"/>
              <w:rPr>
                <w:sz w:val="20"/>
                <w:szCs w:val="20"/>
                <w:color w:val="auto"/>
              </w:rPr>
            </w:pPr>
            <w:r>
              <w:rPr>
                <w:rFonts w:ascii="Arial" w:cs="Arial" w:eastAsia="Arial" w:hAnsi="Arial"/>
                <w:sz w:val="14"/>
                <w:szCs w:val="14"/>
                <w:color w:val="auto"/>
              </w:rPr>
              <w:t>1,428,396</w:t>
            </w:r>
          </w:p>
        </w:tc>
        <w:tc>
          <w:tcPr>
            <w:tcW w:w="860" w:type="dxa"/>
            <w:vAlign w:val="bottom"/>
            <w:gridSpan w:val="3"/>
            <w:shd w:val="clear" w:color="auto" w:fill="D6F3E8"/>
          </w:tcPr>
          <w:p>
            <w:pPr>
              <w:jc w:val="right"/>
              <w:ind w:right="120"/>
              <w:spacing w:after="0"/>
              <w:rPr>
                <w:sz w:val="20"/>
                <w:szCs w:val="20"/>
                <w:color w:val="auto"/>
              </w:rPr>
            </w:pPr>
            <w:r>
              <w:rPr>
                <w:rFonts w:ascii="Arial" w:cs="Arial" w:eastAsia="Arial" w:hAnsi="Arial"/>
                <w:sz w:val="14"/>
                <w:szCs w:val="14"/>
                <w:color w:val="auto"/>
              </w:rPr>
              <w:t>509,943</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514,443</w:t>
            </w:r>
          </w:p>
        </w:tc>
        <w:tc>
          <w:tcPr>
            <w:tcW w:w="38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20" w:type="dxa"/>
            <w:vAlign w:val="bottom"/>
          </w:tcPr>
          <w:p>
            <w:pPr>
              <w:ind w:left="40"/>
              <w:spacing w:after="0"/>
              <w:rPr>
                <w:sz w:val="20"/>
                <w:szCs w:val="20"/>
                <w:color w:val="auto"/>
              </w:rPr>
            </w:pPr>
            <w:r>
              <w:rPr>
                <w:rFonts w:ascii="Arial" w:cs="Arial" w:eastAsia="Arial" w:hAnsi="Arial"/>
                <w:sz w:val="18"/>
                <w:szCs w:val="18"/>
                <w:color w:val="auto"/>
              </w:rPr>
              <w:t>__________________</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August 29, 2009, Mr. O’Leary had qualified for early retirement.</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Severance upon a Change of Control for Mr. O’Leary equals severance pay in lump-sum, an amount equal to three times the average of the aggregate annual compensation paid during the three fiscal years of the Company immediately preceding the Change of Control.</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$11.62 per share on August 28, 2009, the last trading day of Fiscal 2009.</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2009 for the Supplemental Executive Retirement Plan (frozen program).</w:t>
      </w:r>
    </w:p>
    <w:p>
      <w:pPr>
        <w:spacing w:after="0" w:line="77"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market value balance as of August 28, 2009 for the Executive Share Option Program reduced by the exercise price (frozen program).</w:t>
      </w:r>
    </w:p>
    <w:p>
      <w:pPr>
        <w:spacing w:after="0" w:line="140"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Extension of benefits including health, dental, life insurance and long-term disability.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ROGER W. MARTIN</w:t>
      </w:r>
      <w:r>
        <w:rPr>
          <w:rFonts w:ascii="Arial" w:cs="Arial" w:eastAsia="Arial" w:hAnsi="Arial"/>
          <w:sz w:val="29"/>
          <w:szCs w:val="29"/>
          <w:color w:val="auto"/>
          <w:vertAlign w:val="superscript"/>
        </w:rPr>
        <w:t>(1)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w w:val="91"/>
              </w:rPr>
              <w:t>Change of Control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0" w:type="dxa"/>
            <w:vAlign w:val="bottom"/>
            <w:gridSpan w:val="3"/>
          </w:tcPr>
          <w:p>
            <w:pPr>
              <w:jc w:val="center"/>
              <w:ind w:left="892"/>
              <w:spacing w:after="0"/>
              <w:rPr>
                <w:sz w:val="20"/>
                <w:szCs w:val="20"/>
                <w:color w:val="auto"/>
              </w:rPr>
            </w:pPr>
            <w:r>
              <w:rPr>
                <w:rFonts w:ascii="Arial" w:cs="Arial" w:eastAsia="Arial" w:hAnsi="Arial"/>
                <w:sz w:val="14"/>
                <w:szCs w:val="14"/>
                <w:b w:val="1"/>
                <w:bCs w:val="1"/>
                <w:color w:val="auto"/>
                <w:w w:val="90"/>
              </w:rPr>
              <w:t>Involuntary</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00" w:type="dxa"/>
            <w:vAlign w:val="bottom"/>
            <w:gridSpan w:val="3"/>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Without</w:t>
            </w:r>
          </w:p>
        </w:tc>
        <w:tc>
          <w:tcPr>
            <w:tcW w:w="17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Without Cause /</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Payments and</w:t>
            </w:r>
          </w:p>
        </w:tc>
        <w:tc>
          <w:tcPr>
            <w:tcW w:w="2400" w:type="dxa"/>
            <w:vAlign w:val="bottom"/>
            <w:gridSpan w:val="3"/>
          </w:tcPr>
          <w:p>
            <w:pPr>
              <w:jc w:val="center"/>
              <w:ind w:left="892"/>
              <w:spacing w:after="0" w:line="149" w:lineRule="exact"/>
              <w:rPr>
                <w:sz w:val="20"/>
                <w:szCs w:val="20"/>
                <w:color w:val="auto"/>
              </w:rPr>
            </w:pPr>
            <w:r>
              <w:rPr>
                <w:rFonts w:ascii="Arial" w:cs="Arial" w:eastAsia="Arial" w:hAnsi="Arial"/>
                <w:sz w:val="14"/>
                <w:szCs w:val="14"/>
                <w:b w:val="1"/>
                <w:bCs w:val="1"/>
                <w:color w:val="auto"/>
                <w:w w:val="87"/>
              </w:rPr>
              <w:t>For Cause</w:t>
            </w: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7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Good Reason</w:t>
            </w: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Death</w:t>
            </w:r>
          </w:p>
        </w:tc>
        <w:tc>
          <w:tcPr>
            <w:tcW w:w="10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Benefits Upon</w:t>
            </w:r>
          </w:p>
        </w:tc>
        <w:tc>
          <w:tcPr>
            <w:tcW w:w="1860" w:type="dxa"/>
            <w:vAlign w:val="bottom"/>
          </w:tcPr>
          <w:p>
            <w:pPr>
              <w:jc w:val="center"/>
              <w:ind w:left="143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left="292"/>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4"/>
                <w:szCs w:val="14"/>
                <w:color w:val="auto"/>
              </w:rPr>
              <w:t>Compensation:</w:t>
            </w:r>
          </w:p>
        </w:tc>
        <w:tc>
          <w:tcPr>
            <w:tcW w:w="1860" w:type="dxa"/>
            <w:vAlign w:val="bottom"/>
            <w:tcBorders>
              <w:top w:val="single" w:sz="8" w:color="auto"/>
            </w:tcBorders>
            <w:shd w:val="clear" w:color="auto" w:fill="D6F3E8"/>
          </w:tcPr>
          <w:p>
            <w:pPr>
              <w:spacing w:after="0"/>
              <w:rPr>
                <w:sz w:val="15"/>
                <w:szCs w:val="15"/>
                <w:color w:val="auto"/>
              </w:rPr>
            </w:pPr>
          </w:p>
        </w:tc>
        <w:tc>
          <w:tcPr>
            <w:tcW w:w="440" w:type="dxa"/>
            <w:vAlign w:val="bottom"/>
            <w:tcBorders>
              <w:top w:val="single" w:sz="8" w:color="auto"/>
            </w:tcBorders>
            <w:shd w:val="clear" w:color="auto" w:fill="D6F3E8"/>
          </w:tcPr>
          <w:p>
            <w:pPr>
              <w:spacing w:after="0"/>
              <w:rPr>
                <w:sz w:val="15"/>
                <w:szCs w:val="15"/>
                <w:color w:val="auto"/>
              </w:rPr>
            </w:pPr>
          </w:p>
        </w:tc>
        <w:tc>
          <w:tcPr>
            <w:tcW w:w="100" w:type="dxa"/>
            <w:vAlign w:val="bottom"/>
            <w:tcBorders>
              <w:top w:val="single" w:sz="8" w:color="auto"/>
            </w:tcBorders>
            <w:shd w:val="clear" w:color="auto" w:fill="D6F3E8"/>
          </w:tcPr>
          <w:p>
            <w:pPr>
              <w:spacing w:after="0"/>
              <w:rPr>
                <w:sz w:val="15"/>
                <w:szCs w:val="15"/>
                <w:color w:val="auto"/>
              </w:rPr>
            </w:pPr>
          </w:p>
        </w:tc>
        <w:tc>
          <w:tcPr>
            <w:tcW w:w="880" w:type="dxa"/>
            <w:vAlign w:val="bottom"/>
            <w:tcBorders>
              <w:top w:val="single" w:sz="8" w:color="auto"/>
            </w:tcBorders>
            <w:shd w:val="clear" w:color="auto" w:fill="D6F3E8"/>
          </w:tcPr>
          <w:p>
            <w:pPr>
              <w:spacing w:after="0"/>
              <w:rPr>
                <w:sz w:val="15"/>
                <w:szCs w:val="15"/>
                <w:color w:val="auto"/>
              </w:rPr>
            </w:pPr>
          </w:p>
        </w:tc>
        <w:tc>
          <w:tcPr>
            <w:tcW w:w="360" w:type="dxa"/>
            <w:vAlign w:val="bottom"/>
            <w:tcBorders>
              <w:top w:val="single" w:sz="8" w:color="auto"/>
            </w:tcBorders>
            <w:shd w:val="clear" w:color="auto" w:fill="D6F3E8"/>
          </w:tcPr>
          <w:p>
            <w:pPr>
              <w:spacing w:after="0"/>
              <w:rPr>
                <w:sz w:val="15"/>
                <w:szCs w:val="15"/>
                <w:color w:val="auto"/>
              </w:rPr>
            </w:pPr>
          </w:p>
        </w:tc>
        <w:tc>
          <w:tcPr>
            <w:tcW w:w="220" w:type="dxa"/>
            <w:vAlign w:val="bottom"/>
            <w:tcBorders>
              <w:top w:val="single" w:sz="8" w:color="auto"/>
            </w:tcBorders>
            <w:shd w:val="clear" w:color="auto" w:fill="D6F3E8"/>
          </w:tcPr>
          <w:p>
            <w:pPr>
              <w:spacing w:after="0"/>
              <w:rPr>
                <w:sz w:val="15"/>
                <w:szCs w:val="15"/>
                <w:color w:val="auto"/>
              </w:rPr>
            </w:pPr>
          </w:p>
        </w:tc>
        <w:tc>
          <w:tcPr>
            <w:tcW w:w="940" w:type="dxa"/>
            <w:vAlign w:val="bottom"/>
            <w:tcBorders>
              <w:top w:val="single" w:sz="8" w:color="auto"/>
            </w:tcBorders>
            <w:shd w:val="clear" w:color="auto" w:fill="D6F3E8"/>
          </w:tcPr>
          <w:p>
            <w:pPr>
              <w:spacing w:after="0"/>
              <w:rPr>
                <w:sz w:val="15"/>
                <w:szCs w:val="15"/>
                <w:color w:val="auto"/>
              </w:rPr>
            </w:pPr>
          </w:p>
        </w:tc>
        <w:tc>
          <w:tcPr>
            <w:tcW w:w="560" w:type="dxa"/>
            <w:vAlign w:val="bottom"/>
            <w:tcBorders>
              <w:top w:val="single" w:sz="8" w:color="auto"/>
            </w:tcBorders>
            <w:shd w:val="clear" w:color="auto" w:fill="D6F3E8"/>
          </w:tcPr>
          <w:p>
            <w:pPr>
              <w:spacing w:after="0"/>
              <w:rPr>
                <w:sz w:val="15"/>
                <w:szCs w:val="15"/>
                <w:color w:val="auto"/>
              </w:rPr>
            </w:pPr>
          </w:p>
        </w:tc>
        <w:tc>
          <w:tcPr>
            <w:tcW w:w="220" w:type="dxa"/>
            <w:vAlign w:val="bottom"/>
            <w:tcBorders>
              <w:top w:val="single" w:sz="8" w:color="auto"/>
            </w:tcBorders>
            <w:shd w:val="clear" w:color="auto" w:fill="D6F3E8"/>
          </w:tcPr>
          <w:p>
            <w:pPr>
              <w:spacing w:after="0"/>
              <w:rPr>
                <w:sz w:val="15"/>
                <w:szCs w:val="15"/>
                <w:color w:val="auto"/>
              </w:rPr>
            </w:pPr>
          </w:p>
        </w:tc>
        <w:tc>
          <w:tcPr>
            <w:tcW w:w="460" w:type="dxa"/>
            <w:vAlign w:val="bottom"/>
            <w:tcBorders>
              <w:top w:val="single" w:sz="8" w:color="auto"/>
            </w:tcBorders>
            <w:shd w:val="clear" w:color="auto" w:fill="D6F3E8"/>
          </w:tcPr>
          <w:p>
            <w:pPr>
              <w:spacing w:after="0"/>
              <w:rPr>
                <w:sz w:val="15"/>
                <w:szCs w:val="15"/>
                <w:color w:val="auto"/>
              </w:rPr>
            </w:pPr>
          </w:p>
        </w:tc>
        <w:tc>
          <w:tcPr>
            <w:tcW w:w="440" w:type="dxa"/>
            <w:vAlign w:val="bottom"/>
            <w:tcBorders>
              <w:top w:val="single" w:sz="8" w:color="auto"/>
            </w:tcBorders>
            <w:shd w:val="clear" w:color="auto" w:fill="D6F3E8"/>
          </w:tcPr>
          <w:p>
            <w:pPr>
              <w:spacing w:after="0"/>
              <w:rPr>
                <w:sz w:val="15"/>
                <w:szCs w:val="15"/>
                <w:color w:val="auto"/>
              </w:rPr>
            </w:pPr>
          </w:p>
        </w:tc>
        <w:tc>
          <w:tcPr>
            <w:tcW w:w="180" w:type="dxa"/>
            <w:vAlign w:val="bottom"/>
            <w:tcBorders>
              <w:top w:val="single" w:sz="8" w:color="auto"/>
            </w:tcBorders>
            <w:shd w:val="clear" w:color="auto" w:fill="D6F3E8"/>
          </w:tcPr>
          <w:p>
            <w:pPr>
              <w:spacing w:after="0"/>
              <w:rPr>
                <w:sz w:val="15"/>
                <w:szCs w:val="15"/>
                <w:color w:val="auto"/>
              </w:rPr>
            </w:pPr>
          </w:p>
        </w:tc>
        <w:tc>
          <w:tcPr>
            <w:tcW w:w="520" w:type="dxa"/>
            <w:vAlign w:val="bottom"/>
            <w:tcBorders>
              <w:top w:val="single" w:sz="8" w:color="auto"/>
            </w:tcBorders>
            <w:shd w:val="clear" w:color="auto" w:fill="D6F3E8"/>
          </w:tcPr>
          <w:p>
            <w:pPr>
              <w:spacing w:after="0"/>
              <w:rPr>
                <w:sz w:val="15"/>
                <w:szCs w:val="15"/>
                <w:color w:val="auto"/>
              </w:rPr>
            </w:pPr>
          </w:p>
        </w:tc>
        <w:tc>
          <w:tcPr>
            <w:tcW w:w="440" w:type="dxa"/>
            <w:vAlign w:val="bottom"/>
            <w:tcBorders>
              <w:top w:val="single" w:sz="8" w:color="auto"/>
            </w:tcBorders>
            <w:shd w:val="clear" w:color="auto" w:fill="D6F3E8"/>
          </w:tcPr>
          <w:p>
            <w:pPr>
              <w:spacing w:after="0"/>
              <w:rPr>
                <w:sz w:val="15"/>
                <w:szCs w:val="15"/>
                <w:color w:val="auto"/>
              </w:rPr>
            </w:pPr>
          </w:p>
        </w:tc>
        <w:tc>
          <w:tcPr>
            <w:tcW w:w="80" w:type="dxa"/>
            <w:vAlign w:val="bottom"/>
            <w:tcBorders>
              <w:top w:val="single" w:sz="8" w:color="auto"/>
            </w:tcBorders>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ind w:left="160"/>
              <w:spacing w:after="0" w:line="189" w:lineRule="exact"/>
              <w:rPr>
                <w:sz w:val="20"/>
                <w:szCs w:val="20"/>
                <w:color w:val="auto"/>
              </w:rPr>
            </w:pPr>
            <w:r>
              <w:rPr>
                <w:rFonts w:ascii="Arial" w:cs="Arial" w:eastAsia="Arial" w:hAnsi="Arial"/>
                <w:sz w:val="13"/>
                <w:szCs w:val="13"/>
                <w:color w:val="auto"/>
              </w:rPr>
              <w:t>Severance Benefit (Change of Control)</w:t>
            </w:r>
            <w:r>
              <w:rPr>
                <w:rFonts w:ascii="Arial" w:cs="Arial" w:eastAsia="Arial" w:hAnsi="Arial"/>
                <w:sz w:val="21"/>
                <w:szCs w:val="21"/>
                <w:color w:val="auto"/>
                <w:vertAlign w:val="superscript"/>
              </w:rPr>
              <w:t>(2)</w:t>
            </w:r>
          </w:p>
        </w:tc>
        <w:tc>
          <w:tcPr>
            <w:tcW w:w="186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892,703</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D6F3E8"/>
          </w:tcPr>
          <w:p>
            <w:pPr>
              <w:spacing w:after="0"/>
              <w:rPr>
                <w:sz w:val="20"/>
                <w:szCs w:val="20"/>
                <w:color w:val="auto"/>
              </w:rPr>
            </w:pPr>
            <w:r>
              <w:rPr>
                <w:rFonts w:ascii="Arial" w:cs="Arial" w:eastAsia="Arial" w:hAnsi="Arial"/>
                <w:sz w:val="14"/>
                <w:szCs w:val="14"/>
                <w:color w:val="auto"/>
              </w:rPr>
              <w:t>Long-Term Incentives:</w:t>
            </w:r>
          </w:p>
        </w:tc>
        <w:tc>
          <w:tcPr>
            <w:tcW w:w="186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880" w:type="dxa"/>
            <w:vAlign w:val="bottom"/>
            <w:shd w:val="clear" w:color="auto" w:fill="D6F3E8"/>
          </w:tcPr>
          <w:p>
            <w:pPr>
              <w:spacing w:after="0"/>
              <w:rPr>
                <w:sz w:val="16"/>
                <w:szCs w:val="16"/>
                <w:color w:val="auto"/>
              </w:rPr>
            </w:pPr>
          </w:p>
        </w:tc>
        <w:tc>
          <w:tcPr>
            <w:tcW w:w="360" w:type="dxa"/>
            <w:vAlign w:val="bottom"/>
            <w:shd w:val="clear" w:color="auto" w:fill="D6F3E8"/>
          </w:tcPr>
          <w:p>
            <w:pPr>
              <w:spacing w:after="0"/>
              <w:rPr>
                <w:sz w:val="16"/>
                <w:szCs w:val="16"/>
                <w:color w:val="auto"/>
              </w:rPr>
            </w:pPr>
          </w:p>
        </w:tc>
        <w:tc>
          <w:tcPr>
            <w:tcW w:w="220" w:type="dxa"/>
            <w:vAlign w:val="bottom"/>
            <w:shd w:val="clear" w:color="auto" w:fill="D6F3E8"/>
          </w:tcPr>
          <w:p>
            <w:pPr>
              <w:spacing w:after="0"/>
              <w:rPr>
                <w:sz w:val="16"/>
                <w:szCs w:val="16"/>
                <w:color w:val="auto"/>
              </w:rPr>
            </w:pPr>
          </w:p>
        </w:tc>
        <w:tc>
          <w:tcPr>
            <w:tcW w:w="940" w:type="dxa"/>
            <w:vAlign w:val="bottom"/>
            <w:shd w:val="clear" w:color="auto" w:fill="D6F3E8"/>
          </w:tcPr>
          <w:p>
            <w:pPr>
              <w:spacing w:after="0"/>
              <w:rPr>
                <w:sz w:val="16"/>
                <w:szCs w:val="16"/>
                <w:color w:val="auto"/>
              </w:rPr>
            </w:pPr>
          </w:p>
        </w:tc>
        <w:tc>
          <w:tcPr>
            <w:tcW w:w="560" w:type="dxa"/>
            <w:vAlign w:val="bottom"/>
            <w:shd w:val="clear" w:color="auto" w:fill="D6F3E8"/>
          </w:tcPr>
          <w:p>
            <w:pPr>
              <w:spacing w:after="0"/>
              <w:rPr>
                <w:sz w:val="16"/>
                <w:szCs w:val="16"/>
                <w:color w:val="auto"/>
              </w:rPr>
            </w:pPr>
          </w:p>
        </w:tc>
        <w:tc>
          <w:tcPr>
            <w:tcW w:w="220" w:type="dxa"/>
            <w:vAlign w:val="bottom"/>
            <w:shd w:val="clear" w:color="auto" w:fill="D6F3E8"/>
          </w:tcPr>
          <w:p>
            <w:pPr>
              <w:spacing w:after="0"/>
              <w:rPr>
                <w:sz w:val="16"/>
                <w:szCs w:val="16"/>
                <w:color w:val="auto"/>
              </w:rPr>
            </w:pPr>
          </w:p>
        </w:tc>
        <w:tc>
          <w:tcPr>
            <w:tcW w:w="46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180" w:type="dxa"/>
            <w:vAlign w:val="bottom"/>
            <w:shd w:val="clear" w:color="auto" w:fill="D6F3E8"/>
          </w:tcPr>
          <w:p>
            <w:pPr>
              <w:spacing w:after="0"/>
              <w:rPr>
                <w:sz w:val="16"/>
                <w:szCs w:val="16"/>
                <w:color w:val="auto"/>
              </w:rPr>
            </w:pPr>
          </w:p>
        </w:tc>
        <w:tc>
          <w:tcPr>
            <w:tcW w:w="52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8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tcPr>
          <w:p>
            <w:pPr>
              <w:ind w:left="160"/>
              <w:spacing w:after="0" w:line="189" w:lineRule="exact"/>
              <w:rPr>
                <w:sz w:val="20"/>
                <w:szCs w:val="20"/>
                <w:color w:val="auto"/>
              </w:rPr>
            </w:pPr>
            <w:r>
              <w:rPr>
                <w:rFonts w:ascii="Arial" w:cs="Arial" w:eastAsia="Arial" w:hAnsi="Arial"/>
                <w:sz w:val="13"/>
                <w:szCs w:val="13"/>
                <w:color w:val="auto"/>
              </w:rPr>
              <w:t>Restricted Stock:</w:t>
            </w:r>
            <w:r>
              <w:rPr>
                <w:rFonts w:ascii="Arial" w:cs="Arial" w:eastAsia="Arial" w:hAnsi="Arial"/>
                <w:sz w:val="21"/>
                <w:szCs w:val="21"/>
                <w:color w:val="auto"/>
                <w:vertAlign w:val="superscript"/>
              </w:rPr>
              <w:t>(3)(4)</w:t>
            </w:r>
          </w:p>
        </w:tc>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D6F3E8"/>
          </w:tcPr>
          <w:p>
            <w:pPr>
              <w:ind w:left="480"/>
              <w:spacing w:after="0"/>
              <w:rPr>
                <w:sz w:val="20"/>
                <w:szCs w:val="20"/>
                <w:color w:val="auto"/>
              </w:rPr>
            </w:pPr>
            <w:r>
              <w:rPr>
                <w:rFonts w:ascii="Arial" w:cs="Arial" w:eastAsia="Arial" w:hAnsi="Arial"/>
                <w:sz w:val="14"/>
                <w:szCs w:val="14"/>
                <w:color w:val="auto"/>
              </w:rPr>
              <w:t>Accelerated Vesting</w:t>
            </w:r>
          </w:p>
        </w:tc>
        <w:tc>
          <w:tcPr>
            <w:tcW w:w="2400" w:type="dxa"/>
            <w:vAlign w:val="bottom"/>
            <w:gridSpan w:val="3"/>
            <w:shd w:val="clear" w:color="auto" w:fill="D6F3E8"/>
          </w:tcPr>
          <w:p>
            <w:pPr>
              <w:jc w:val="right"/>
              <w:ind w:right="100"/>
              <w:spacing w:after="0"/>
              <w:rPr>
                <w:sz w:val="20"/>
                <w:szCs w:val="20"/>
                <w:color w:val="auto"/>
              </w:rPr>
            </w:pPr>
            <w:r>
              <w:rPr>
                <w:rFonts w:ascii="Arial" w:cs="Arial" w:eastAsia="Arial" w:hAnsi="Arial"/>
                <w:sz w:val="14"/>
                <w:szCs w:val="14"/>
                <w:color w:val="auto"/>
              </w:rPr>
              <w:t>58,112</w:t>
            </w:r>
          </w:p>
        </w:tc>
        <w:tc>
          <w:tcPr>
            <w:tcW w:w="880" w:type="dxa"/>
            <w:vAlign w:val="bottom"/>
            <w:shd w:val="clear" w:color="auto" w:fill="D6F3E8"/>
          </w:tcPr>
          <w:p>
            <w:pPr>
              <w:spacing w:after="0"/>
              <w:rPr>
                <w:sz w:val="16"/>
                <w:szCs w:val="16"/>
                <w:color w:val="auto"/>
              </w:rPr>
            </w:pPr>
          </w:p>
        </w:tc>
        <w:tc>
          <w:tcPr>
            <w:tcW w:w="580" w:type="dxa"/>
            <w:vAlign w:val="bottom"/>
            <w:gridSpan w:val="2"/>
            <w:shd w:val="clear" w:color="auto" w:fill="D6F3E8"/>
          </w:tcPr>
          <w:p>
            <w:pPr>
              <w:jc w:val="right"/>
              <w:ind w:right="22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D6F3E8"/>
          </w:tcPr>
          <w:p>
            <w:pPr>
              <w:jc w:val="right"/>
              <w:ind w:right="220"/>
              <w:spacing w:after="0"/>
              <w:rPr>
                <w:sz w:val="20"/>
                <w:szCs w:val="20"/>
                <w:color w:val="auto"/>
              </w:rPr>
            </w:pPr>
            <w:r>
              <w:rPr>
                <w:rFonts w:ascii="Arial" w:cs="Arial" w:eastAsia="Arial" w:hAnsi="Arial"/>
                <w:sz w:val="14"/>
                <w:szCs w:val="14"/>
                <w:color w:val="auto"/>
              </w:rPr>
              <w:t>58,112</w:t>
            </w:r>
          </w:p>
        </w:tc>
        <w:tc>
          <w:tcPr>
            <w:tcW w:w="1080" w:type="dxa"/>
            <w:vAlign w:val="bottom"/>
            <w:gridSpan w:val="3"/>
            <w:shd w:val="clear" w:color="auto" w:fill="D6F3E8"/>
          </w:tcPr>
          <w:p>
            <w:pPr>
              <w:jc w:val="right"/>
              <w:ind w:right="180"/>
              <w:spacing w:after="0"/>
              <w:rPr>
                <w:sz w:val="20"/>
                <w:szCs w:val="20"/>
                <w:color w:val="auto"/>
              </w:rPr>
            </w:pPr>
            <w:r>
              <w:rPr>
                <w:rFonts w:ascii="Arial" w:cs="Arial" w:eastAsia="Arial" w:hAnsi="Arial"/>
                <w:sz w:val="14"/>
                <w:szCs w:val="14"/>
                <w:color w:val="auto"/>
              </w:rPr>
              <w:t>58,112</w:t>
            </w:r>
          </w:p>
        </w:tc>
        <w:tc>
          <w:tcPr>
            <w:tcW w:w="104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58,112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Deferred Compensation Plans:</w:t>
            </w: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00" w:type="dxa"/>
            <w:vAlign w:val="bottom"/>
            <w:shd w:val="clear" w:color="auto" w:fill="D6F3E8"/>
          </w:tcPr>
          <w:p>
            <w:pPr>
              <w:ind w:left="160"/>
              <w:spacing w:after="0" w:line="141" w:lineRule="exact"/>
              <w:rPr>
                <w:sz w:val="20"/>
                <w:szCs w:val="20"/>
                <w:color w:val="auto"/>
              </w:rPr>
            </w:pPr>
            <w:r>
              <w:rPr>
                <w:rFonts w:ascii="Arial" w:cs="Arial" w:eastAsia="Arial" w:hAnsi="Arial"/>
                <w:sz w:val="14"/>
                <w:szCs w:val="14"/>
                <w:color w:val="auto"/>
              </w:rPr>
              <w:t>Deferred Compensation Plan</w:t>
            </w:r>
          </w:p>
        </w:tc>
        <w:tc>
          <w:tcPr>
            <w:tcW w:w="186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3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940" w:type="dxa"/>
            <w:vAlign w:val="bottom"/>
            <w:shd w:val="clear" w:color="auto" w:fill="D6F3E8"/>
          </w:tcPr>
          <w:p>
            <w:pPr>
              <w:spacing w:after="0"/>
              <w:rPr>
                <w:sz w:val="12"/>
                <w:szCs w:val="12"/>
                <w:color w:val="auto"/>
              </w:rPr>
            </w:pPr>
          </w:p>
        </w:tc>
        <w:tc>
          <w:tcPr>
            <w:tcW w:w="5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46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80" w:type="dxa"/>
            <w:vAlign w:val="bottom"/>
            <w:shd w:val="clear" w:color="auto" w:fill="D6F3E8"/>
          </w:tcPr>
          <w:p>
            <w:pPr>
              <w:spacing w:after="0"/>
              <w:rPr>
                <w:sz w:val="12"/>
                <w:szCs w:val="12"/>
                <w:color w:val="auto"/>
              </w:rPr>
            </w:pPr>
          </w:p>
        </w:tc>
        <w:tc>
          <w:tcPr>
            <w:tcW w:w="52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8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shd w:val="clear" w:color="auto" w:fill="D6F3E8"/>
          </w:tcPr>
          <w:p>
            <w:pPr>
              <w:ind w:left="320"/>
              <w:spacing w:after="0" w:line="205" w:lineRule="exact"/>
              <w:rPr>
                <w:sz w:val="20"/>
                <w:szCs w:val="20"/>
                <w:color w:val="auto"/>
              </w:rPr>
            </w:pPr>
            <w:r>
              <w:rPr>
                <w:rFonts w:ascii="Arial" w:cs="Arial" w:eastAsia="Arial" w:hAnsi="Arial"/>
                <w:sz w:val="14"/>
                <w:szCs w:val="14"/>
                <w:color w:val="auto"/>
              </w:rPr>
              <w:t>(1981)</w:t>
            </w:r>
            <w:r>
              <w:rPr>
                <w:rFonts w:ascii="Arial" w:cs="Arial" w:eastAsia="Arial" w:hAnsi="Arial"/>
                <w:sz w:val="22"/>
                <w:szCs w:val="22"/>
                <w:color w:val="auto"/>
                <w:vertAlign w:val="superscript"/>
              </w:rPr>
              <w:t>(5)</w:t>
            </w:r>
          </w:p>
        </w:tc>
        <w:tc>
          <w:tcPr>
            <w:tcW w:w="23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72,000</w:t>
            </w:r>
          </w:p>
        </w:tc>
        <w:tc>
          <w:tcPr>
            <w:tcW w:w="10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580" w:type="dxa"/>
            <w:vAlign w:val="bottom"/>
            <w:gridSpan w:val="2"/>
            <w:shd w:val="clear" w:color="auto" w:fill="D6F3E8"/>
          </w:tcPr>
          <w:p>
            <w:pPr>
              <w:jc w:val="right"/>
              <w:ind w:right="2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72,000</w:t>
            </w:r>
          </w:p>
        </w:tc>
        <w:tc>
          <w:tcPr>
            <w:tcW w:w="220" w:type="dxa"/>
            <w:vAlign w:val="bottom"/>
            <w:shd w:val="clear" w:color="auto" w:fill="D6F3E8"/>
          </w:tcPr>
          <w:p>
            <w:pPr>
              <w:spacing w:after="0"/>
              <w:rPr>
                <w:sz w:val="17"/>
                <w:szCs w:val="17"/>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72,000</w:t>
            </w:r>
          </w:p>
        </w:tc>
        <w:tc>
          <w:tcPr>
            <w:tcW w:w="180" w:type="dxa"/>
            <w:vAlign w:val="bottom"/>
            <w:shd w:val="clear" w:color="auto" w:fill="D6F3E8"/>
          </w:tcPr>
          <w:p>
            <w:pPr>
              <w:spacing w:after="0"/>
              <w:rPr>
                <w:sz w:val="17"/>
                <w:szCs w:val="17"/>
                <w:color w:val="auto"/>
              </w:rPr>
            </w:pPr>
          </w:p>
        </w:tc>
        <w:tc>
          <w:tcPr>
            <w:tcW w:w="104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72,000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ind w:left="160"/>
              <w:spacing w:after="0" w:line="133" w:lineRule="exact"/>
              <w:rPr>
                <w:sz w:val="20"/>
                <w:szCs w:val="20"/>
                <w:color w:val="auto"/>
              </w:rPr>
            </w:pPr>
            <w:r>
              <w:rPr>
                <w:rFonts w:ascii="Arial" w:cs="Arial" w:eastAsia="Arial" w:hAnsi="Arial"/>
                <w:sz w:val="14"/>
                <w:szCs w:val="14"/>
                <w:color w:val="auto"/>
              </w:rPr>
              <w:t>Executive Share Option</w:t>
            </w:r>
          </w:p>
        </w:tc>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ind w:left="320"/>
              <w:spacing w:after="0" w:line="205" w:lineRule="exact"/>
              <w:rPr>
                <w:sz w:val="20"/>
                <w:szCs w:val="20"/>
                <w:color w:val="auto"/>
              </w:rPr>
            </w:pPr>
            <w:r>
              <w:rPr>
                <w:rFonts w:ascii="Arial" w:cs="Arial" w:eastAsia="Arial" w:hAnsi="Arial"/>
                <w:sz w:val="14"/>
                <w:szCs w:val="14"/>
                <w:color w:val="auto"/>
              </w:rPr>
              <w:t>Program</w:t>
            </w:r>
            <w:r>
              <w:rPr>
                <w:rFonts w:ascii="Arial" w:cs="Arial" w:eastAsia="Arial" w:hAnsi="Arial"/>
                <w:sz w:val="22"/>
                <w:szCs w:val="22"/>
                <w:color w:val="auto"/>
                <w:vertAlign w:val="superscript"/>
              </w:rPr>
              <w:t>(6)</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57,721</w:t>
            </w:r>
          </w:p>
        </w:tc>
        <w:tc>
          <w:tcPr>
            <w:tcW w:w="10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57,721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57,721</w:t>
            </w: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57,721</w:t>
            </w:r>
          </w:p>
        </w:tc>
        <w:tc>
          <w:tcPr>
            <w:tcW w:w="18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57,721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shd w:val="clear" w:color="auto" w:fill="D6F3E8"/>
          </w:tcPr>
          <w:p>
            <w:pPr>
              <w:ind w:left="160"/>
              <w:spacing w:after="0" w:line="189" w:lineRule="exact"/>
              <w:rPr>
                <w:sz w:val="20"/>
                <w:szCs w:val="20"/>
                <w:color w:val="auto"/>
              </w:rPr>
            </w:pPr>
            <w:r>
              <w:rPr>
                <w:rFonts w:ascii="Arial" w:cs="Arial" w:eastAsia="Arial" w:hAnsi="Arial"/>
                <w:sz w:val="13"/>
                <w:szCs w:val="13"/>
                <w:color w:val="auto"/>
              </w:rPr>
              <w:t xml:space="preserve">SERP </w:t>
            </w:r>
            <w:r>
              <w:rPr>
                <w:rFonts w:ascii="Arial" w:cs="Arial" w:eastAsia="Arial" w:hAnsi="Arial"/>
                <w:sz w:val="21"/>
                <w:szCs w:val="21"/>
                <w:color w:val="auto"/>
                <w:vertAlign w:val="superscript"/>
              </w:rPr>
              <w:t>(7)</w:t>
            </w:r>
          </w:p>
        </w:tc>
        <w:tc>
          <w:tcPr>
            <w:tcW w:w="23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125,520</w:t>
            </w:r>
          </w:p>
        </w:tc>
        <w:tc>
          <w:tcPr>
            <w:tcW w:w="100" w:type="dxa"/>
            <w:vAlign w:val="bottom"/>
            <w:shd w:val="clear" w:color="auto" w:fill="D6F3E8"/>
          </w:tcPr>
          <w:p>
            <w:pPr>
              <w:spacing w:after="0"/>
              <w:rPr>
                <w:sz w:val="16"/>
                <w:szCs w:val="16"/>
                <w:color w:val="auto"/>
              </w:rPr>
            </w:pPr>
          </w:p>
        </w:tc>
        <w:tc>
          <w:tcPr>
            <w:tcW w:w="880" w:type="dxa"/>
            <w:vAlign w:val="bottom"/>
            <w:shd w:val="clear" w:color="auto" w:fill="D6F3E8"/>
          </w:tcPr>
          <w:p>
            <w:pPr>
              <w:spacing w:after="0"/>
              <w:rPr>
                <w:sz w:val="16"/>
                <w:szCs w:val="16"/>
                <w:color w:val="auto"/>
              </w:rPr>
            </w:pPr>
          </w:p>
        </w:tc>
        <w:tc>
          <w:tcPr>
            <w:tcW w:w="580" w:type="dxa"/>
            <w:vAlign w:val="bottom"/>
            <w:gridSpan w:val="2"/>
            <w:shd w:val="clear" w:color="auto" w:fill="D6F3E8"/>
          </w:tcPr>
          <w:p>
            <w:pPr>
              <w:jc w:val="right"/>
              <w:ind w:right="2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125,520</w:t>
            </w:r>
          </w:p>
        </w:tc>
        <w:tc>
          <w:tcPr>
            <w:tcW w:w="220" w:type="dxa"/>
            <w:vAlign w:val="bottom"/>
            <w:shd w:val="clear" w:color="auto" w:fill="D6F3E8"/>
          </w:tcPr>
          <w:p>
            <w:pPr>
              <w:spacing w:after="0"/>
              <w:rPr>
                <w:sz w:val="16"/>
                <w:szCs w:val="16"/>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125,520</w:t>
            </w:r>
          </w:p>
        </w:tc>
        <w:tc>
          <w:tcPr>
            <w:tcW w:w="180" w:type="dxa"/>
            <w:vAlign w:val="bottom"/>
            <w:shd w:val="clear" w:color="auto" w:fill="D6F3E8"/>
          </w:tcPr>
          <w:p>
            <w:pPr>
              <w:spacing w:after="0"/>
              <w:rPr>
                <w:sz w:val="16"/>
                <w:szCs w:val="16"/>
                <w:color w:val="auto"/>
              </w:rPr>
            </w:pPr>
          </w:p>
        </w:tc>
        <w:tc>
          <w:tcPr>
            <w:tcW w:w="104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125,520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Other Benefits:</w:t>
            </w: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D6F3E8"/>
          </w:tcPr>
          <w:p>
            <w:pPr>
              <w:ind w:left="160"/>
              <w:spacing w:after="0" w:line="184" w:lineRule="exact"/>
              <w:rPr>
                <w:sz w:val="20"/>
                <w:szCs w:val="20"/>
                <w:color w:val="auto"/>
              </w:rPr>
            </w:pPr>
            <w:r>
              <w:rPr>
                <w:rFonts w:ascii="Arial" w:cs="Arial" w:eastAsia="Arial" w:hAnsi="Arial"/>
                <w:sz w:val="13"/>
                <w:szCs w:val="13"/>
                <w:color w:val="auto"/>
              </w:rPr>
              <w:t>Health and Welfare</w:t>
            </w:r>
            <w:r>
              <w:rPr>
                <w:rFonts w:ascii="Arial" w:cs="Arial" w:eastAsia="Arial" w:hAnsi="Arial"/>
                <w:sz w:val="21"/>
                <w:szCs w:val="21"/>
                <w:color w:val="auto"/>
                <w:vertAlign w:val="superscript"/>
              </w:rPr>
              <w:t>(8)</w:t>
            </w:r>
          </w:p>
        </w:tc>
        <w:tc>
          <w:tcPr>
            <w:tcW w:w="1860" w:type="dxa"/>
            <w:vAlign w:val="bottom"/>
            <w:shd w:val="clear" w:color="auto" w:fill="D6F3E8"/>
          </w:tcPr>
          <w:p>
            <w:pPr>
              <w:spacing w:after="0"/>
              <w:rPr>
                <w:sz w:val="15"/>
                <w:szCs w:val="15"/>
                <w:color w:val="auto"/>
              </w:rPr>
            </w:pPr>
          </w:p>
        </w:tc>
        <w:tc>
          <w:tcPr>
            <w:tcW w:w="44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5"/>
                <w:szCs w:val="15"/>
                <w:color w:val="auto"/>
              </w:rPr>
            </w:pPr>
          </w:p>
        </w:tc>
        <w:tc>
          <w:tcPr>
            <w:tcW w:w="880" w:type="dxa"/>
            <w:vAlign w:val="bottom"/>
            <w:shd w:val="clear" w:color="auto" w:fill="D6F3E8"/>
          </w:tcPr>
          <w:p>
            <w:pPr>
              <w:spacing w:after="0"/>
              <w:rPr>
                <w:sz w:val="15"/>
                <w:szCs w:val="15"/>
                <w:color w:val="auto"/>
              </w:rPr>
            </w:pPr>
          </w:p>
        </w:tc>
        <w:tc>
          <w:tcPr>
            <w:tcW w:w="580" w:type="dxa"/>
            <w:vAlign w:val="bottom"/>
            <w:gridSpan w:val="2"/>
            <w:shd w:val="clear" w:color="auto" w:fill="D6F3E8"/>
          </w:tcPr>
          <w:p>
            <w:pPr>
              <w:jc w:val="right"/>
              <w:ind w:right="2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29,796</w:t>
            </w:r>
          </w:p>
        </w:tc>
        <w:tc>
          <w:tcPr>
            <w:tcW w:w="220" w:type="dxa"/>
            <w:vAlign w:val="bottom"/>
            <w:shd w:val="clear" w:color="auto" w:fill="D6F3E8"/>
          </w:tcPr>
          <w:p>
            <w:pPr>
              <w:spacing w:after="0"/>
              <w:rPr>
                <w:sz w:val="15"/>
                <w:szCs w:val="15"/>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D6F3E8"/>
          </w:tcPr>
          <w:p>
            <w:pPr>
              <w:spacing w:after="0"/>
              <w:rPr>
                <w:sz w:val="15"/>
                <w:szCs w:val="15"/>
                <w:color w:val="auto"/>
              </w:rPr>
            </w:pPr>
          </w:p>
        </w:tc>
        <w:tc>
          <w:tcPr>
            <w:tcW w:w="1040" w:type="dxa"/>
            <w:vAlign w:val="bottom"/>
            <w:gridSpan w:val="3"/>
            <w:shd w:val="clear" w:color="auto" w:fill="D6F3E8"/>
          </w:tcPr>
          <w:p>
            <w:pPr>
              <w:jc w:val="right"/>
              <w:ind w:right="8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D6F3E8"/>
          </w:tcPr>
          <w:p>
            <w:pPr>
              <w:spacing w:after="0" w:line="20" w:lineRule="exact"/>
              <w:rPr>
                <w:sz w:val="1"/>
                <w:szCs w:val="1"/>
                <w:color w:val="auto"/>
              </w:rPr>
            </w:pPr>
          </w:p>
        </w:tc>
        <w:tc>
          <w:tcPr>
            <w:tcW w:w="186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880" w:type="dxa"/>
            <w:vAlign w:val="bottom"/>
            <w:shd w:val="clear" w:color="auto" w:fill="D6F3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94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6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52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Total Benefits</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313,353</w:t>
            </w:r>
          </w:p>
        </w:tc>
        <w:tc>
          <w:tcPr>
            <w:tcW w:w="100" w:type="dxa"/>
            <w:vAlign w:val="bottom"/>
          </w:tcPr>
          <w:p>
            <w:pPr>
              <w:spacing w:after="0"/>
              <w:rPr>
                <w:sz w:val="16"/>
                <w:szCs w:val="16"/>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57,721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1,235,852</w:t>
            </w:r>
          </w:p>
        </w:tc>
        <w:tc>
          <w:tcPr>
            <w:tcW w:w="2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314,853</w:t>
            </w:r>
          </w:p>
        </w:tc>
        <w:tc>
          <w:tcPr>
            <w:tcW w:w="18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316,353</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color w:val="auto"/>
        </w:rPr>
        <w:t>__________________</w:t>
      </w:r>
    </w:p>
    <w:p>
      <w:pPr>
        <w:spacing w:after="0" w:line="2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August 29, 2009, Mr. Martin had not qualified for early retirement.</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Severance upon a Change of Control for Mr. Martin equals severance pay in lump-sum, an amount equal to three times the average of the aggregate annual compensation paid during the three fiscal years of the Company immediately preceding the Change of Control.</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$11.62 per share on August 28, 2009, the last trading day of Fiscal 2008.</w:t>
      </w:r>
    </w:p>
    <w:p>
      <w:pPr>
        <w:sectPr>
          <w:pgSz w:w="11900" w:h="16838" w:orient="portrait"/>
          <w:cols w:equalWidth="0" w:num="1">
            <w:col w:w="11420"/>
          </w:cols>
          <w:pgMar w:left="240" w:top="131" w:right="239" w:bottom="0" w:gutter="0" w:footer="0" w:header="0"/>
        </w:sectPr>
      </w:pPr>
    </w:p>
    <w:bookmarkStart w:id="31" w:name="page32"/>
    <w:bookmarkEnd w:id="31"/>
    <w:p>
      <w:pPr>
        <w:ind w:left="4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Change of Control, retirement, death or disability.</w:t>
      </w:r>
    </w:p>
    <w:p>
      <w:pPr>
        <w:spacing w:after="0" w:line="7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plan was frozen as of 2001. As Mr. Martin had not qualified for early retirement this amount reflects 15 years of payout based on his age 65 benefit. See “Deferred Compensation Plan (1981).”</w:t>
      </w:r>
    </w:p>
    <w:p>
      <w:pPr>
        <w:spacing w:after="0" w:line="77" w:lineRule="exact"/>
        <w:rPr>
          <w:rFonts w:ascii="Arial" w:cs="Arial" w:eastAsia="Arial" w:hAnsi="Arial"/>
          <w:sz w:val="18"/>
          <w:szCs w:val="18"/>
          <w:color w:val="auto"/>
        </w:rPr>
      </w:pPr>
    </w:p>
    <w:p>
      <w:pPr>
        <w:ind w:left="280" w:hanging="254"/>
        <w:spacing w:after="0"/>
        <w:tabs>
          <w:tab w:leader="none" w:pos="2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Represents market value balance as of August 28, 2009, for the Executive Share Option Program reduced by the exercise price (frozen program).</w:t>
      </w:r>
    </w:p>
    <w:p>
      <w:pPr>
        <w:spacing w:after="0" w:line="140" w:lineRule="exact"/>
        <w:rPr>
          <w:rFonts w:ascii="Arial" w:cs="Arial" w:eastAsia="Arial" w:hAnsi="Arial"/>
          <w:sz w:val="16"/>
          <w:szCs w:val="16"/>
          <w:color w:val="auto"/>
        </w:rPr>
      </w:pPr>
    </w:p>
    <w:p>
      <w:pPr>
        <w:ind w:left="460" w:hanging="434"/>
        <w:spacing w:after="0" w:line="268" w:lineRule="auto"/>
        <w:tabs>
          <w:tab w:leader="none" w:pos="2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2008 for the Supplemental Executive Retirement Plan (frozen program).</w:t>
      </w:r>
    </w:p>
    <w:p>
      <w:pPr>
        <w:spacing w:after="0" w:line="78" w:lineRule="exact"/>
        <w:rPr>
          <w:sz w:val="20"/>
          <w:szCs w:val="20"/>
          <w:color w:val="auto"/>
        </w:rPr>
      </w:pPr>
    </w:p>
    <w:p>
      <w:pPr>
        <w:ind w:left="5620" w:right="4980" w:hanging="5612"/>
        <w:spacing w:after="0" w:line="613" w:lineRule="auto"/>
        <w:tabs>
          <w:tab w:leader="none" w:pos="4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Extension of benefits including health, dental, life insurance and long-term disability.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w:t>
      </w:r>
      <w:r>
        <w:rPr>
          <w:rFonts w:ascii="Arial" w:cs="Arial" w:eastAsia="Arial" w:hAnsi="Arial"/>
          <w:sz w:val="17"/>
          <w:szCs w:val="17"/>
          <w:color w:val="auto"/>
        </w:rPr>
        <w:t>:</w:t>
      </w:r>
      <w:r>
        <w:rPr>
          <w:rFonts w:ascii="Arial" w:cs="Arial" w:eastAsia="Arial" w:hAnsi="Arial"/>
          <w:sz w:val="18"/>
          <w:szCs w:val="18"/>
          <w:color w:val="auto"/>
        </w:rPr>
        <w:t xml:space="preserve"> SARAH N. NIELSEN</w:t>
      </w:r>
      <w:r>
        <w:rPr>
          <w:rFonts w:ascii="Arial" w:cs="Arial" w:eastAsia="Arial" w:hAnsi="Arial"/>
          <w:sz w:val="29"/>
          <w:szCs w:val="29"/>
          <w:color w:val="auto"/>
          <w:vertAlign w:val="superscript"/>
        </w:rPr>
        <w:t>(1)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Change of Control</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40" w:type="dxa"/>
            <w:vAlign w:val="bottom"/>
          </w:tcPr>
          <w:p>
            <w:pPr>
              <w:jc w:val="center"/>
              <w:ind w:left="1532"/>
              <w:spacing w:after="0"/>
              <w:rPr>
                <w:sz w:val="20"/>
                <w:szCs w:val="20"/>
                <w:color w:val="auto"/>
              </w:rPr>
            </w:pPr>
            <w:r>
              <w:rPr>
                <w:rFonts w:ascii="Arial" w:cs="Arial" w:eastAsia="Arial" w:hAnsi="Arial"/>
                <w:sz w:val="14"/>
                <w:szCs w:val="14"/>
                <w:b w:val="1"/>
                <w:bCs w:val="1"/>
                <w:color w:val="auto"/>
                <w:w w:val="92"/>
              </w:rPr>
              <w:t>Involuntary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Termination</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40" w:type="dxa"/>
            <w:vAlign w:val="bottom"/>
          </w:tcPr>
          <w:p>
            <w:pPr>
              <w:jc w:val="center"/>
              <w:ind w:left="1532"/>
              <w:spacing w:after="0" w:line="149" w:lineRule="exact"/>
              <w:rPr>
                <w:sz w:val="20"/>
                <w:szCs w:val="20"/>
                <w:color w:val="auto"/>
              </w:rPr>
            </w:pPr>
            <w:r>
              <w:rPr>
                <w:rFonts w:ascii="Arial" w:cs="Arial" w:eastAsia="Arial" w:hAnsi="Arial"/>
                <w:sz w:val="14"/>
                <w:szCs w:val="14"/>
                <w:b w:val="1"/>
                <w:bCs w:val="1"/>
                <w:color w:val="auto"/>
                <w:w w:val="87"/>
              </w:rPr>
              <w:t>Termination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Without Cause /</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Payments and</w:t>
            </w:r>
          </w:p>
        </w:tc>
        <w:tc>
          <w:tcPr>
            <w:tcW w:w="2340" w:type="dxa"/>
            <w:vAlign w:val="bottom"/>
          </w:tcPr>
          <w:p>
            <w:pPr>
              <w:jc w:val="center"/>
              <w:ind w:left="1532"/>
              <w:spacing w:after="0" w:line="149" w:lineRule="exact"/>
              <w:rPr>
                <w:sz w:val="20"/>
                <w:szCs w:val="20"/>
                <w:color w:val="auto"/>
              </w:rPr>
            </w:pPr>
            <w:r>
              <w:rPr>
                <w:rFonts w:ascii="Arial" w:cs="Arial" w:eastAsia="Arial" w:hAnsi="Arial"/>
                <w:sz w:val="14"/>
                <w:szCs w:val="14"/>
                <w:b w:val="1"/>
                <w:bCs w:val="1"/>
                <w:color w:val="auto"/>
                <w:w w:val="84"/>
              </w:rPr>
              <w:t>For Cause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Good Reason</w:t>
            </w:r>
          </w:p>
        </w:tc>
        <w:tc>
          <w:tcPr>
            <w:tcW w:w="108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Death</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Disability</w:t>
            </w:r>
          </w:p>
        </w:tc>
        <w:tc>
          <w:tcPr>
            <w:tcW w:w="0" w:type="dxa"/>
            <w:vAlign w:val="bottom"/>
          </w:tcPr>
          <w:p>
            <w:pPr>
              <w:spacing w:after="0"/>
              <w:rPr>
                <w:sz w:val="1"/>
                <w:szCs w:val="1"/>
                <w:color w:val="auto"/>
              </w:rPr>
            </w:pPr>
          </w:p>
        </w:tc>
      </w:t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Benefits Upon</w:t>
            </w:r>
          </w:p>
        </w:tc>
        <w:tc>
          <w:tcPr>
            <w:tcW w:w="2340" w:type="dxa"/>
            <w:vAlign w:val="bottom"/>
          </w:tcPr>
          <w:p>
            <w:pPr>
              <w:jc w:val="center"/>
              <w:ind w:left="1532"/>
              <w:spacing w:after="0"/>
              <w:rPr>
                <w:sz w:val="20"/>
                <w:szCs w:val="20"/>
                <w:color w:val="auto"/>
              </w:rPr>
            </w:pPr>
            <w:r>
              <w:rPr>
                <w:rFonts w:ascii="Arial" w:cs="Arial" w:eastAsia="Arial" w:hAnsi="Arial"/>
                <w:sz w:val="14"/>
                <w:szCs w:val="14"/>
                <w:b w:val="1"/>
                <w:bCs w:val="1"/>
                <w:color w:val="auto"/>
                <w:w w:val="81"/>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left="39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4"/>
                <w:szCs w:val="14"/>
                <w:color w:val="auto"/>
              </w:rPr>
              <w:t>Compensation:</w:t>
            </w:r>
          </w:p>
        </w:tc>
        <w:tc>
          <w:tcPr>
            <w:tcW w:w="2340" w:type="dxa"/>
            <w:vAlign w:val="bottom"/>
            <w:tcBorders>
              <w:top w:val="single" w:sz="8" w:color="auto"/>
            </w:tcBorders>
            <w:shd w:val="clear" w:color="auto" w:fill="D6F3E8"/>
          </w:tcPr>
          <w:p>
            <w:pPr>
              <w:spacing w:after="0"/>
              <w:rPr>
                <w:sz w:val="15"/>
                <w:szCs w:val="15"/>
                <w:color w:val="auto"/>
              </w:rPr>
            </w:pPr>
          </w:p>
        </w:tc>
        <w:tc>
          <w:tcPr>
            <w:tcW w:w="320" w:type="dxa"/>
            <w:vAlign w:val="bottom"/>
            <w:tcBorders>
              <w:top w:val="single" w:sz="8" w:color="auto"/>
            </w:tcBorders>
            <w:shd w:val="clear" w:color="auto" w:fill="D6F3E8"/>
          </w:tcPr>
          <w:p>
            <w:pPr>
              <w:spacing w:after="0"/>
              <w:rPr>
                <w:sz w:val="15"/>
                <w:szCs w:val="15"/>
                <w:color w:val="auto"/>
              </w:rPr>
            </w:pPr>
          </w:p>
        </w:tc>
        <w:tc>
          <w:tcPr>
            <w:tcW w:w="100" w:type="dxa"/>
            <w:vAlign w:val="bottom"/>
            <w:tcBorders>
              <w:top w:val="single" w:sz="8" w:color="auto"/>
            </w:tcBorders>
            <w:shd w:val="clear" w:color="auto" w:fill="D6F3E8"/>
          </w:tcPr>
          <w:p>
            <w:pPr>
              <w:spacing w:after="0"/>
              <w:rPr>
                <w:sz w:val="15"/>
                <w:szCs w:val="15"/>
                <w:color w:val="auto"/>
              </w:rPr>
            </w:pPr>
          </w:p>
        </w:tc>
        <w:tc>
          <w:tcPr>
            <w:tcW w:w="1380" w:type="dxa"/>
            <w:vAlign w:val="bottom"/>
            <w:tcBorders>
              <w:top w:val="single" w:sz="8" w:color="auto"/>
            </w:tcBorders>
            <w:shd w:val="clear" w:color="auto" w:fill="D6F3E8"/>
          </w:tcPr>
          <w:p>
            <w:pPr>
              <w:spacing w:after="0"/>
              <w:rPr>
                <w:sz w:val="15"/>
                <w:szCs w:val="15"/>
                <w:color w:val="auto"/>
              </w:rPr>
            </w:pPr>
          </w:p>
        </w:tc>
        <w:tc>
          <w:tcPr>
            <w:tcW w:w="440" w:type="dxa"/>
            <w:vAlign w:val="bottom"/>
            <w:tcBorders>
              <w:top w:val="single" w:sz="8" w:color="auto"/>
            </w:tcBorders>
            <w:shd w:val="clear" w:color="auto" w:fill="D6F3E8"/>
          </w:tcPr>
          <w:p>
            <w:pPr>
              <w:spacing w:after="0"/>
              <w:rPr>
                <w:sz w:val="15"/>
                <w:szCs w:val="15"/>
                <w:color w:val="auto"/>
              </w:rPr>
            </w:pPr>
          </w:p>
        </w:tc>
        <w:tc>
          <w:tcPr>
            <w:tcW w:w="280" w:type="dxa"/>
            <w:vAlign w:val="bottom"/>
            <w:tcBorders>
              <w:top w:val="single" w:sz="8" w:color="auto"/>
            </w:tcBorders>
            <w:shd w:val="clear" w:color="auto" w:fill="D6F3E8"/>
          </w:tcPr>
          <w:p>
            <w:pPr>
              <w:spacing w:after="0"/>
              <w:rPr>
                <w:sz w:val="15"/>
                <w:szCs w:val="15"/>
                <w:color w:val="auto"/>
              </w:rPr>
            </w:pPr>
          </w:p>
        </w:tc>
        <w:tc>
          <w:tcPr>
            <w:tcW w:w="780" w:type="dxa"/>
            <w:vAlign w:val="bottom"/>
            <w:tcBorders>
              <w:top w:val="single" w:sz="8" w:color="auto"/>
            </w:tcBorders>
            <w:shd w:val="clear" w:color="auto" w:fill="D6F3E8"/>
          </w:tcPr>
          <w:p>
            <w:pPr>
              <w:spacing w:after="0"/>
              <w:rPr>
                <w:sz w:val="15"/>
                <w:szCs w:val="15"/>
                <w:color w:val="auto"/>
              </w:rPr>
            </w:pPr>
          </w:p>
        </w:tc>
        <w:tc>
          <w:tcPr>
            <w:tcW w:w="300" w:type="dxa"/>
            <w:vAlign w:val="bottom"/>
            <w:tcBorders>
              <w:top w:val="single" w:sz="8" w:color="auto"/>
            </w:tcBorders>
            <w:shd w:val="clear" w:color="auto" w:fill="D6F3E8"/>
          </w:tcPr>
          <w:p>
            <w:pPr>
              <w:spacing w:after="0"/>
              <w:rPr>
                <w:sz w:val="15"/>
                <w:szCs w:val="15"/>
                <w:color w:val="auto"/>
              </w:rPr>
            </w:pPr>
          </w:p>
        </w:tc>
        <w:tc>
          <w:tcPr>
            <w:tcW w:w="1040" w:type="dxa"/>
            <w:vAlign w:val="bottom"/>
            <w:tcBorders>
              <w:top w:val="single" w:sz="8" w:color="auto"/>
            </w:tcBorders>
            <w:shd w:val="clear" w:color="auto" w:fill="D6F3E8"/>
          </w:tcPr>
          <w:p>
            <w:pPr>
              <w:spacing w:after="0"/>
              <w:rPr>
                <w:sz w:val="15"/>
                <w:szCs w:val="15"/>
                <w:color w:val="auto"/>
              </w:rPr>
            </w:pPr>
          </w:p>
        </w:tc>
        <w:tc>
          <w:tcPr>
            <w:tcW w:w="300" w:type="dxa"/>
            <w:vAlign w:val="bottom"/>
            <w:tcBorders>
              <w:top w:val="single" w:sz="8" w:color="auto"/>
            </w:tcBorders>
            <w:shd w:val="clear" w:color="auto" w:fill="D6F3E8"/>
          </w:tcPr>
          <w:p>
            <w:pPr>
              <w:spacing w:after="0"/>
              <w:rPr>
                <w:sz w:val="15"/>
                <w:szCs w:val="15"/>
                <w:color w:val="auto"/>
              </w:rPr>
            </w:pPr>
          </w:p>
        </w:tc>
        <w:tc>
          <w:tcPr>
            <w:tcW w:w="100" w:type="dxa"/>
            <w:vAlign w:val="bottom"/>
            <w:tcBorders>
              <w:top w:val="single" w:sz="8" w:color="auto"/>
            </w:tcBorders>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160"/>
              <w:spacing w:after="0" w:line="189" w:lineRule="exact"/>
              <w:rPr>
                <w:sz w:val="20"/>
                <w:szCs w:val="20"/>
                <w:color w:val="auto"/>
              </w:rPr>
            </w:pPr>
            <w:r>
              <w:rPr>
                <w:rFonts w:ascii="Arial" w:cs="Arial" w:eastAsia="Arial" w:hAnsi="Arial"/>
                <w:sz w:val="13"/>
                <w:szCs w:val="13"/>
                <w:color w:val="auto"/>
              </w:rPr>
              <w:t>Severance Benefit (Change of Control)</w:t>
            </w:r>
            <w:r>
              <w:rPr>
                <w:rFonts w:ascii="Arial" w:cs="Arial" w:eastAsia="Arial" w:hAnsi="Arial"/>
                <w:sz w:val="21"/>
                <w:szCs w:val="21"/>
                <w:color w:val="auto"/>
                <w:vertAlign w:val="superscript"/>
              </w:rPr>
              <w:t>(2)</w:t>
            </w:r>
          </w:p>
        </w:tc>
        <w:tc>
          <w:tcPr>
            <w:tcW w:w="234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100" w:type="dxa"/>
            <w:vAlign w:val="bottom"/>
            <w:gridSpan w:val="3"/>
          </w:tcPr>
          <w:p>
            <w:pPr>
              <w:jc w:val="right"/>
              <w:ind w:right="280"/>
              <w:spacing w:after="0"/>
              <w:rPr>
                <w:sz w:val="20"/>
                <w:szCs w:val="20"/>
                <w:color w:val="auto"/>
              </w:rPr>
            </w:pPr>
            <w:r>
              <w:rPr>
                <w:rFonts w:ascii="Arial" w:cs="Arial" w:eastAsia="Arial" w:hAnsi="Arial"/>
                <w:sz w:val="14"/>
                <w:szCs w:val="14"/>
                <w:color w:val="auto"/>
              </w:rPr>
              <w:t>849,669</w:t>
            </w:r>
          </w:p>
        </w:tc>
        <w:tc>
          <w:tcPr>
            <w:tcW w:w="7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D6F3E8"/>
          </w:tcPr>
          <w:p>
            <w:pPr>
              <w:spacing w:after="0"/>
              <w:rPr>
                <w:sz w:val="20"/>
                <w:szCs w:val="20"/>
                <w:color w:val="auto"/>
              </w:rPr>
            </w:pPr>
            <w:r>
              <w:rPr>
                <w:rFonts w:ascii="Arial" w:cs="Arial" w:eastAsia="Arial" w:hAnsi="Arial"/>
                <w:sz w:val="14"/>
                <w:szCs w:val="14"/>
                <w:color w:val="auto"/>
              </w:rPr>
              <w:t>Long-Term Incentives:</w:t>
            </w:r>
          </w:p>
        </w:tc>
        <w:tc>
          <w:tcPr>
            <w:tcW w:w="2340" w:type="dxa"/>
            <w:vAlign w:val="bottom"/>
            <w:shd w:val="clear" w:color="auto" w:fill="D6F3E8"/>
          </w:tcPr>
          <w:p>
            <w:pPr>
              <w:spacing w:after="0"/>
              <w:rPr>
                <w:sz w:val="16"/>
                <w:szCs w:val="16"/>
                <w:color w:val="auto"/>
              </w:rPr>
            </w:pPr>
          </w:p>
        </w:tc>
        <w:tc>
          <w:tcPr>
            <w:tcW w:w="32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1380" w:type="dxa"/>
            <w:vAlign w:val="bottom"/>
            <w:shd w:val="clear" w:color="auto" w:fill="D6F3E8"/>
          </w:tcPr>
          <w:p>
            <w:pPr>
              <w:spacing w:after="0"/>
              <w:rPr>
                <w:sz w:val="16"/>
                <w:szCs w:val="16"/>
                <w:color w:val="auto"/>
              </w:rPr>
            </w:pPr>
          </w:p>
        </w:tc>
        <w:tc>
          <w:tcPr>
            <w:tcW w:w="440" w:type="dxa"/>
            <w:vAlign w:val="bottom"/>
            <w:shd w:val="clear" w:color="auto" w:fill="D6F3E8"/>
          </w:tcPr>
          <w:p>
            <w:pPr>
              <w:spacing w:after="0"/>
              <w:rPr>
                <w:sz w:val="16"/>
                <w:szCs w:val="16"/>
                <w:color w:val="auto"/>
              </w:rPr>
            </w:pPr>
          </w:p>
        </w:tc>
        <w:tc>
          <w:tcPr>
            <w:tcW w:w="280" w:type="dxa"/>
            <w:vAlign w:val="bottom"/>
            <w:shd w:val="clear" w:color="auto" w:fill="D6F3E8"/>
          </w:tcPr>
          <w:p>
            <w:pPr>
              <w:spacing w:after="0"/>
              <w:rPr>
                <w:sz w:val="16"/>
                <w:szCs w:val="16"/>
                <w:color w:val="auto"/>
              </w:rPr>
            </w:pPr>
          </w:p>
        </w:tc>
        <w:tc>
          <w:tcPr>
            <w:tcW w:w="780" w:type="dxa"/>
            <w:vAlign w:val="bottom"/>
            <w:shd w:val="clear" w:color="auto" w:fill="D6F3E8"/>
          </w:tcPr>
          <w:p>
            <w:pPr>
              <w:spacing w:after="0"/>
              <w:rPr>
                <w:sz w:val="16"/>
                <w:szCs w:val="16"/>
                <w:color w:val="auto"/>
              </w:rPr>
            </w:pPr>
          </w:p>
        </w:tc>
        <w:tc>
          <w:tcPr>
            <w:tcW w:w="300" w:type="dxa"/>
            <w:vAlign w:val="bottom"/>
            <w:shd w:val="clear" w:color="auto" w:fill="D6F3E8"/>
          </w:tcPr>
          <w:p>
            <w:pPr>
              <w:spacing w:after="0"/>
              <w:rPr>
                <w:sz w:val="16"/>
                <w:szCs w:val="16"/>
                <w:color w:val="auto"/>
              </w:rPr>
            </w:pPr>
          </w:p>
        </w:tc>
        <w:tc>
          <w:tcPr>
            <w:tcW w:w="1040" w:type="dxa"/>
            <w:vAlign w:val="bottom"/>
            <w:shd w:val="clear" w:color="auto" w:fill="D6F3E8"/>
          </w:tcPr>
          <w:p>
            <w:pPr>
              <w:spacing w:after="0"/>
              <w:rPr>
                <w:sz w:val="16"/>
                <w:szCs w:val="16"/>
                <w:color w:val="auto"/>
              </w:rPr>
            </w:pPr>
          </w:p>
        </w:tc>
        <w:tc>
          <w:tcPr>
            <w:tcW w:w="30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tcPr>
          <w:p>
            <w:pPr>
              <w:ind w:left="160"/>
              <w:spacing w:after="0" w:line="189" w:lineRule="exact"/>
              <w:rPr>
                <w:sz w:val="20"/>
                <w:szCs w:val="20"/>
                <w:color w:val="auto"/>
              </w:rPr>
            </w:pPr>
            <w:r>
              <w:rPr>
                <w:rFonts w:ascii="Arial" w:cs="Arial" w:eastAsia="Arial" w:hAnsi="Arial"/>
                <w:sz w:val="13"/>
                <w:szCs w:val="13"/>
                <w:color w:val="auto"/>
              </w:rPr>
              <w:t>Restricted Stock:</w:t>
            </w:r>
            <w:r>
              <w:rPr>
                <w:rFonts w:ascii="Arial" w:cs="Arial" w:eastAsia="Arial" w:hAnsi="Arial"/>
                <w:sz w:val="21"/>
                <w:szCs w:val="21"/>
                <w:color w:val="auto"/>
                <w:vertAlign w:val="superscript"/>
              </w:rPr>
              <w:t>(3)(4)</w:t>
            </w:r>
          </w:p>
        </w:tc>
        <w:tc>
          <w:tcPr>
            <w:tcW w:w="2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shd w:val="clear" w:color="auto" w:fill="D6F3E8"/>
          </w:tcPr>
          <w:p>
            <w:pPr>
              <w:ind w:left="480"/>
              <w:spacing w:after="0"/>
              <w:rPr>
                <w:sz w:val="20"/>
                <w:szCs w:val="20"/>
                <w:color w:val="auto"/>
              </w:rPr>
            </w:pPr>
            <w:r>
              <w:rPr>
                <w:rFonts w:ascii="Arial" w:cs="Arial" w:eastAsia="Arial" w:hAnsi="Arial"/>
                <w:sz w:val="14"/>
                <w:szCs w:val="14"/>
                <w:color w:val="auto"/>
              </w:rPr>
              <w:t>Accelerated Vesting</w:t>
            </w:r>
          </w:p>
        </w:tc>
        <w:tc>
          <w:tcPr>
            <w:tcW w:w="2340" w:type="dxa"/>
            <w:vAlign w:val="bottom"/>
            <w:shd w:val="clear" w:color="auto" w:fill="D6F3E8"/>
          </w:tcPr>
          <w:p>
            <w:pPr>
              <w:spacing w:after="0"/>
              <w:rPr>
                <w:sz w:val="16"/>
                <w:szCs w:val="16"/>
                <w:color w:val="auto"/>
              </w:rPr>
            </w:pPr>
          </w:p>
        </w:tc>
        <w:tc>
          <w:tcPr>
            <w:tcW w:w="420" w:type="dxa"/>
            <w:vAlign w:val="bottom"/>
            <w:gridSpan w:val="2"/>
            <w:shd w:val="clear" w:color="auto" w:fill="D6F3E8"/>
          </w:tcPr>
          <w:p>
            <w:pPr>
              <w:jc w:val="right"/>
              <w:ind w:right="100"/>
              <w:spacing w:after="0"/>
              <w:rPr>
                <w:sz w:val="20"/>
                <w:szCs w:val="20"/>
                <w:color w:val="auto"/>
              </w:rPr>
            </w:pPr>
            <w:r>
              <w:rPr>
                <w:rFonts w:ascii="Arial" w:cs="Arial" w:eastAsia="Arial" w:hAnsi="Arial"/>
                <w:sz w:val="14"/>
                <w:szCs w:val="14"/>
                <w:color w:val="auto"/>
              </w:rPr>
              <w:t>—</w:t>
            </w:r>
          </w:p>
        </w:tc>
        <w:tc>
          <w:tcPr>
            <w:tcW w:w="2100" w:type="dxa"/>
            <w:vAlign w:val="bottom"/>
            <w:gridSpan w:val="3"/>
            <w:shd w:val="clear" w:color="auto" w:fill="D6F3E8"/>
          </w:tcPr>
          <w:p>
            <w:pPr>
              <w:jc w:val="right"/>
              <w:ind w:right="280"/>
              <w:spacing w:after="0"/>
              <w:rPr>
                <w:sz w:val="20"/>
                <w:szCs w:val="20"/>
                <w:color w:val="auto"/>
              </w:rPr>
            </w:pPr>
            <w:r>
              <w:rPr>
                <w:rFonts w:ascii="Arial" w:cs="Arial" w:eastAsia="Arial" w:hAnsi="Arial"/>
                <w:sz w:val="14"/>
                <w:szCs w:val="14"/>
                <w:color w:val="auto"/>
              </w:rPr>
              <w:t>58,112</w:t>
            </w:r>
          </w:p>
        </w:tc>
        <w:tc>
          <w:tcPr>
            <w:tcW w:w="780" w:type="dxa"/>
            <w:vAlign w:val="bottom"/>
            <w:shd w:val="clear" w:color="auto" w:fill="D6F3E8"/>
          </w:tcPr>
          <w:p>
            <w:pPr>
              <w:spacing w:after="0"/>
              <w:rPr>
                <w:sz w:val="16"/>
                <w:szCs w:val="16"/>
                <w:color w:val="auto"/>
              </w:rPr>
            </w:pPr>
          </w:p>
        </w:tc>
        <w:tc>
          <w:tcPr>
            <w:tcW w:w="3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6F3E8"/>
          </w:tcPr>
          <w:p>
            <w:pPr>
              <w:spacing w:after="0"/>
              <w:rPr>
                <w:sz w:val="16"/>
                <w:szCs w:val="16"/>
                <w:color w:val="auto"/>
              </w:rPr>
            </w:pP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Deferred Comp Plans:</w:t>
            </w:r>
          </w:p>
        </w:tc>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20" w:type="dxa"/>
            <w:vAlign w:val="bottom"/>
            <w:shd w:val="clear" w:color="auto" w:fill="D6F3E8"/>
          </w:tcPr>
          <w:p>
            <w:pPr>
              <w:ind w:left="160"/>
              <w:spacing w:after="0" w:line="141" w:lineRule="exact"/>
              <w:rPr>
                <w:sz w:val="20"/>
                <w:szCs w:val="20"/>
                <w:color w:val="auto"/>
              </w:rPr>
            </w:pPr>
            <w:r>
              <w:rPr>
                <w:rFonts w:ascii="Arial" w:cs="Arial" w:eastAsia="Arial" w:hAnsi="Arial"/>
                <w:sz w:val="14"/>
                <w:szCs w:val="14"/>
                <w:color w:val="auto"/>
              </w:rPr>
              <w:t>Executive Deferred Compensation</w:t>
            </w:r>
          </w:p>
        </w:tc>
        <w:tc>
          <w:tcPr>
            <w:tcW w:w="234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280" w:type="dxa"/>
            <w:vAlign w:val="bottom"/>
            <w:shd w:val="clear" w:color="auto" w:fill="D6F3E8"/>
          </w:tcPr>
          <w:p>
            <w:pPr>
              <w:spacing w:after="0"/>
              <w:rPr>
                <w:sz w:val="12"/>
                <w:szCs w:val="12"/>
                <w:color w:val="auto"/>
              </w:rPr>
            </w:pPr>
          </w:p>
        </w:tc>
        <w:tc>
          <w:tcPr>
            <w:tcW w:w="780" w:type="dxa"/>
            <w:vAlign w:val="bottom"/>
            <w:shd w:val="clear" w:color="auto" w:fill="D6F3E8"/>
          </w:tcPr>
          <w:p>
            <w:pPr>
              <w:spacing w:after="0"/>
              <w:rPr>
                <w:sz w:val="12"/>
                <w:szCs w:val="12"/>
                <w:color w:val="auto"/>
              </w:rPr>
            </w:pPr>
          </w:p>
        </w:tc>
        <w:tc>
          <w:tcPr>
            <w:tcW w:w="300" w:type="dxa"/>
            <w:vAlign w:val="bottom"/>
            <w:shd w:val="clear" w:color="auto" w:fill="D6F3E8"/>
          </w:tcPr>
          <w:p>
            <w:pPr>
              <w:spacing w:after="0"/>
              <w:rPr>
                <w:sz w:val="12"/>
                <w:szCs w:val="12"/>
                <w:color w:val="auto"/>
              </w:rPr>
            </w:pPr>
          </w:p>
        </w:tc>
        <w:tc>
          <w:tcPr>
            <w:tcW w:w="1040" w:type="dxa"/>
            <w:vAlign w:val="bottom"/>
            <w:shd w:val="clear" w:color="auto" w:fill="D6F3E8"/>
          </w:tcPr>
          <w:p>
            <w:pPr>
              <w:spacing w:after="0"/>
              <w:rPr>
                <w:sz w:val="12"/>
                <w:szCs w:val="12"/>
                <w:color w:val="auto"/>
              </w:rPr>
            </w:pPr>
          </w:p>
        </w:tc>
        <w:tc>
          <w:tcPr>
            <w:tcW w:w="30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D6F3E8"/>
          </w:tcPr>
          <w:p>
            <w:pPr>
              <w:ind w:left="320"/>
              <w:spacing w:after="0" w:line="205" w:lineRule="exact"/>
              <w:rPr>
                <w:sz w:val="20"/>
                <w:szCs w:val="20"/>
                <w:color w:val="auto"/>
              </w:rPr>
            </w:pPr>
            <w:r>
              <w:rPr>
                <w:rFonts w:ascii="Arial" w:cs="Arial" w:eastAsia="Arial" w:hAnsi="Arial"/>
                <w:sz w:val="14"/>
                <w:szCs w:val="14"/>
                <w:color w:val="auto"/>
              </w:rPr>
              <w:t>Plan (2007)</w:t>
            </w:r>
            <w:r>
              <w:rPr>
                <w:rFonts w:ascii="Arial" w:cs="Arial" w:eastAsia="Arial" w:hAnsi="Arial"/>
                <w:sz w:val="22"/>
                <w:szCs w:val="22"/>
                <w:color w:val="auto"/>
                <w:vertAlign w:val="superscript"/>
              </w:rPr>
              <w:t>(5)</w:t>
            </w:r>
          </w:p>
        </w:tc>
        <w:tc>
          <w:tcPr>
            <w:tcW w:w="2340" w:type="dxa"/>
            <w:vAlign w:val="bottom"/>
            <w:shd w:val="clear" w:color="auto" w:fill="D6F3E8"/>
          </w:tcPr>
          <w:p>
            <w:pPr>
              <w:spacing w:after="0"/>
              <w:rPr>
                <w:sz w:val="17"/>
                <w:szCs w:val="17"/>
                <w:color w:val="auto"/>
              </w:rPr>
            </w:pPr>
          </w:p>
        </w:tc>
        <w:tc>
          <w:tcPr>
            <w:tcW w:w="420" w:type="dxa"/>
            <w:vAlign w:val="bottom"/>
            <w:gridSpan w:val="2"/>
            <w:shd w:val="clear" w:color="auto" w:fill="D6F3E8"/>
          </w:tcPr>
          <w:p>
            <w:pPr>
              <w:jc w:val="right"/>
              <w:ind w:right="100"/>
              <w:spacing w:after="0"/>
              <w:rPr>
                <w:sz w:val="20"/>
                <w:szCs w:val="20"/>
                <w:color w:val="auto"/>
              </w:rPr>
            </w:pPr>
            <w:r>
              <w:rPr>
                <w:rFonts w:ascii="Arial" w:cs="Arial" w:eastAsia="Arial" w:hAnsi="Arial"/>
                <w:sz w:val="14"/>
                <w:szCs w:val="14"/>
                <w:color w:val="auto"/>
                <w:w w:val="85"/>
              </w:rPr>
              <w:t>1,188</w:t>
            </w:r>
          </w:p>
        </w:tc>
        <w:tc>
          <w:tcPr>
            <w:tcW w:w="2100" w:type="dxa"/>
            <w:vAlign w:val="bottom"/>
            <w:gridSpan w:val="3"/>
            <w:shd w:val="clear" w:color="auto" w:fill="D6F3E8"/>
          </w:tcPr>
          <w:p>
            <w:pPr>
              <w:jc w:val="right"/>
              <w:ind w:right="280"/>
              <w:spacing w:after="0"/>
              <w:rPr>
                <w:sz w:val="20"/>
                <w:szCs w:val="20"/>
                <w:color w:val="auto"/>
              </w:rPr>
            </w:pPr>
            <w:r>
              <w:rPr>
                <w:rFonts w:ascii="Arial" w:cs="Arial" w:eastAsia="Arial" w:hAnsi="Arial"/>
                <w:sz w:val="14"/>
                <w:szCs w:val="14"/>
                <w:color w:val="auto"/>
              </w:rPr>
              <w:t>1,188</w:t>
            </w:r>
          </w:p>
        </w:tc>
        <w:tc>
          <w:tcPr>
            <w:tcW w:w="108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1,188</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Other Benefits:</w:t>
            </w:r>
          </w:p>
        </w:tc>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shd w:val="clear" w:color="auto" w:fill="D6F3E8"/>
          </w:tcPr>
          <w:p>
            <w:pPr>
              <w:ind w:left="160"/>
              <w:spacing w:after="0" w:line="150" w:lineRule="exact"/>
              <w:rPr>
                <w:sz w:val="20"/>
                <w:szCs w:val="20"/>
                <w:color w:val="auto"/>
              </w:rPr>
            </w:pPr>
            <w:r>
              <w:rPr>
                <w:rFonts w:ascii="Arial" w:cs="Arial" w:eastAsia="Arial" w:hAnsi="Arial"/>
                <w:sz w:val="11"/>
                <w:szCs w:val="11"/>
                <w:color w:val="auto"/>
              </w:rPr>
              <w:t>Health and Welfare</w:t>
            </w:r>
            <w:r>
              <w:rPr>
                <w:rFonts w:ascii="Arial" w:cs="Arial" w:eastAsia="Arial" w:hAnsi="Arial"/>
                <w:sz w:val="17"/>
                <w:szCs w:val="17"/>
                <w:color w:val="auto"/>
                <w:vertAlign w:val="superscript"/>
              </w:rPr>
              <w:t>(6)</w:t>
            </w:r>
          </w:p>
        </w:tc>
        <w:tc>
          <w:tcPr>
            <w:tcW w:w="2340" w:type="dxa"/>
            <w:vAlign w:val="bottom"/>
            <w:shd w:val="clear" w:color="auto" w:fill="D6F3E8"/>
          </w:tcPr>
          <w:p>
            <w:pPr>
              <w:spacing w:after="0"/>
              <w:rPr>
                <w:sz w:val="14"/>
                <w:szCs w:val="14"/>
                <w:color w:val="auto"/>
              </w:rPr>
            </w:pPr>
          </w:p>
        </w:tc>
        <w:tc>
          <w:tcPr>
            <w:tcW w:w="320" w:type="dxa"/>
            <w:vAlign w:val="bottom"/>
            <w:shd w:val="clear" w:color="auto" w:fill="D6F3E8"/>
          </w:tcPr>
          <w:p>
            <w:pPr>
              <w:jc w:val="right"/>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D6F3E8"/>
          </w:tcPr>
          <w:p>
            <w:pPr>
              <w:spacing w:after="0"/>
              <w:rPr>
                <w:sz w:val="14"/>
                <w:szCs w:val="14"/>
                <w:color w:val="auto"/>
              </w:rPr>
            </w:pPr>
          </w:p>
        </w:tc>
        <w:tc>
          <w:tcPr>
            <w:tcW w:w="1380" w:type="dxa"/>
            <w:vAlign w:val="bottom"/>
            <w:shd w:val="clear" w:color="auto" w:fill="D6F3E8"/>
          </w:tcPr>
          <w:p>
            <w:pPr>
              <w:spacing w:after="0"/>
              <w:rPr>
                <w:sz w:val="14"/>
                <w:szCs w:val="14"/>
                <w:color w:val="auto"/>
              </w:rPr>
            </w:pPr>
          </w:p>
        </w:tc>
        <w:tc>
          <w:tcPr>
            <w:tcW w:w="720" w:type="dxa"/>
            <w:vAlign w:val="bottom"/>
            <w:gridSpan w:val="2"/>
            <w:shd w:val="clear" w:color="auto" w:fill="D6F3E8"/>
          </w:tcPr>
          <w:p>
            <w:pPr>
              <w:jc w:val="right"/>
              <w:ind w:right="280"/>
              <w:spacing w:after="0" w:line="151" w:lineRule="exact"/>
              <w:rPr>
                <w:sz w:val="20"/>
                <w:szCs w:val="20"/>
                <w:color w:val="auto"/>
              </w:rPr>
            </w:pPr>
            <w:r>
              <w:rPr>
                <w:rFonts w:ascii="Arial" w:cs="Arial" w:eastAsia="Arial" w:hAnsi="Arial"/>
                <w:sz w:val="14"/>
                <w:szCs w:val="14"/>
                <w:color w:val="auto"/>
                <w:w w:val="97"/>
              </w:rPr>
              <w:t>31,980</w:t>
            </w:r>
          </w:p>
        </w:tc>
        <w:tc>
          <w:tcPr>
            <w:tcW w:w="780" w:type="dxa"/>
            <w:vAlign w:val="bottom"/>
            <w:shd w:val="clear" w:color="auto" w:fill="D6F3E8"/>
          </w:tcPr>
          <w:p>
            <w:pPr>
              <w:spacing w:after="0"/>
              <w:rPr>
                <w:sz w:val="14"/>
                <w:szCs w:val="14"/>
                <w:color w:val="auto"/>
              </w:rPr>
            </w:pPr>
          </w:p>
        </w:tc>
        <w:tc>
          <w:tcPr>
            <w:tcW w:w="300" w:type="dxa"/>
            <w:vAlign w:val="bottom"/>
            <w:shd w:val="clear" w:color="auto" w:fill="D6F3E8"/>
          </w:tcPr>
          <w:p>
            <w:pPr>
              <w:jc w:val="right"/>
              <w:spacing w:after="0" w:line="151" w:lineRule="exact"/>
              <w:rPr>
                <w:sz w:val="20"/>
                <w:szCs w:val="20"/>
                <w:color w:val="auto"/>
              </w:rPr>
            </w:pPr>
            <w:r>
              <w:rPr>
                <w:rFonts w:ascii="Arial" w:cs="Arial" w:eastAsia="Arial" w:hAnsi="Arial"/>
                <w:sz w:val="14"/>
                <w:szCs w:val="14"/>
                <w:color w:val="auto"/>
              </w:rPr>
              <w:t>—</w:t>
            </w:r>
          </w:p>
        </w:tc>
        <w:tc>
          <w:tcPr>
            <w:tcW w:w="1040" w:type="dxa"/>
            <w:vAlign w:val="bottom"/>
            <w:shd w:val="clear" w:color="auto" w:fill="D6F3E8"/>
          </w:tcPr>
          <w:p>
            <w:pPr>
              <w:spacing w:after="0"/>
              <w:rPr>
                <w:sz w:val="14"/>
                <w:szCs w:val="14"/>
                <w:color w:val="auto"/>
              </w:rPr>
            </w:pPr>
          </w:p>
        </w:tc>
        <w:tc>
          <w:tcPr>
            <w:tcW w:w="400" w:type="dxa"/>
            <w:vAlign w:val="bottom"/>
            <w:gridSpan w:val="2"/>
            <w:shd w:val="clear" w:color="auto" w:fill="D6F3E8"/>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D6F3E8"/>
          </w:tcPr>
          <w:p>
            <w:pPr>
              <w:spacing w:after="0"/>
              <w:rPr>
                <w:sz w:val="2"/>
                <w:szCs w:val="2"/>
                <w:color w:val="auto"/>
              </w:rPr>
            </w:pPr>
          </w:p>
        </w:tc>
        <w:tc>
          <w:tcPr>
            <w:tcW w:w="2340" w:type="dxa"/>
            <w:vAlign w:val="bottom"/>
            <w:shd w:val="clear" w:color="auto" w:fill="D6F3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D6F3E8"/>
          </w:tcPr>
          <w:p>
            <w:pPr>
              <w:spacing w:after="0"/>
              <w:rPr>
                <w:sz w:val="2"/>
                <w:szCs w:val="2"/>
                <w:color w:val="auto"/>
              </w:rPr>
            </w:pPr>
          </w:p>
        </w:tc>
        <w:tc>
          <w:tcPr>
            <w:tcW w:w="1380" w:type="dxa"/>
            <w:vAlign w:val="bottom"/>
            <w:shd w:val="clear" w:color="auto" w:fill="D6F3E8"/>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D6F3E8"/>
          </w:tcPr>
          <w:p>
            <w:pPr>
              <w:spacing w:after="0"/>
              <w:rPr>
                <w:sz w:val="2"/>
                <w:szCs w:val="2"/>
                <w:color w:val="auto"/>
              </w:rPr>
            </w:pPr>
          </w:p>
        </w:tc>
        <w:tc>
          <w:tcPr>
            <w:tcW w:w="780" w:type="dxa"/>
            <w:vAlign w:val="bottom"/>
            <w:shd w:val="clear" w:color="auto" w:fill="D6F3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D6F3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D6F3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Total Benefits</w:t>
            </w:r>
          </w:p>
        </w:tc>
        <w:tc>
          <w:tcPr>
            <w:tcW w:w="2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1,188</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82"/>
              </w:rPr>
              <w:t>940,949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1,188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jc w:val="right"/>
              <w:ind w:right="2354"/>
              <w:spacing w:after="0"/>
              <w:rPr>
                <w:sz w:val="20"/>
                <w:szCs w:val="20"/>
                <w:color w:val="auto"/>
              </w:rPr>
            </w:pPr>
            <w:r>
              <w:rPr>
                <w:rFonts w:ascii="Arial" w:cs="Arial" w:eastAsia="Arial" w:hAnsi="Arial"/>
                <w:sz w:val="18"/>
                <w:szCs w:val="18"/>
                <w:color w:val="auto"/>
                <w:w w:val="88"/>
              </w:rPr>
              <w:t>__________________</w:t>
            </w:r>
          </w:p>
        </w:tc>
        <w:tc>
          <w:tcPr>
            <w:tcW w:w="2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August 29, 2009, Ms. Nielsen had not qualified for early retirement.</w:t>
      </w:r>
    </w:p>
    <w:p>
      <w:pPr>
        <w:spacing w:after="0" w:line="11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Severance upon a Change of Control for Ms. Nielsen equals severance pay in lump-sum, an amount equal to three times the average of the aggregate annual compensation paid during the three fiscal years of the Company immediately preceding the Change of Control.</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$11.62 per share on August 28, 2009, the last trading day of Fiscal 2009.</w:t>
      </w:r>
    </w:p>
    <w:p>
      <w:pPr>
        <w:spacing w:after="0" w:line="7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7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market value balance as of August 28, 2009.</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Extension of benefits including, health, dental, life insurance and long-term disability.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35"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89" w:lineRule="exact"/>
        <w:rPr>
          <w:sz w:val="20"/>
          <w:szCs w:val="20"/>
          <w:color w:val="auto"/>
        </w:rPr>
      </w:pPr>
    </w:p>
    <w:p>
      <w:pPr>
        <w:jc w:val="both"/>
        <w:ind w:firstLine="458"/>
        <w:spacing w:after="0" w:line="255" w:lineRule="auto"/>
        <w:rPr>
          <w:sz w:val="20"/>
          <w:szCs w:val="20"/>
          <w:color w:val="auto"/>
        </w:rPr>
      </w:pPr>
      <w:r>
        <w:rPr>
          <w:rFonts w:ascii="Arial" w:cs="Arial" w:eastAsia="Arial" w:hAnsi="Arial"/>
          <w:sz w:val="18"/>
          <w:szCs w:val="18"/>
          <w:color w:val="auto"/>
        </w:rPr>
        <w:t>The Audit Committee reviews the Company’s financial reporting process on behalf of the Board of Directors. In fulfilling its responsibilities, the Committee has reviewed and discussed the audited financial statements to be included in the 2009 Form 10-K with the Company’s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89" w:lineRule="exact"/>
        <w:rPr>
          <w:sz w:val="20"/>
          <w:szCs w:val="20"/>
          <w:color w:val="auto"/>
        </w:rPr>
      </w:pPr>
    </w:p>
    <w:p>
      <w:pPr>
        <w:ind w:left="460" w:right="20" w:firstLine="445"/>
        <w:spacing w:after="0" w:line="268" w:lineRule="auto"/>
        <w:tabs>
          <w:tab w:leader="none" w:pos="11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29, 2009 of Winnebago Industries, Inc. (the “Audited Financial Statements”) with Winnebago Industries, Inc.’s Management.</w:t>
      </w:r>
    </w:p>
    <w:p>
      <w:pPr>
        <w:spacing w:after="0" w:line="77" w:lineRule="exact"/>
        <w:rPr>
          <w:rFonts w:ascii="Arial" w:cs="Arial" w:eastAsia="Arial" w:hAnsi="Arial"/>
          <w:sz w:val="18"/>
          <w:szCs w:val="18"/>
          <w:color w:val="auto"/>
        </w:rPr>
      </w:pPr>
    </w:p>
    <w:p>
      <w:pPr>
        <w:jc w:val="both"/>
        <w:ind w:left="460" w:firstLine="445"/>
        <w:spacing w:after="0" w:line="259" w:lineRule="auto"/>
        <w:tabs>
          <w:tab w:leader="none" w:pos="115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Audit Committee has discussed with Deloitte &amp; Touche LLP, the Company’s independent registered public accountants, the matters required to be discussed by Statement on Auditing Standards No. 61, as amended (AICPA, Professional Standards, Vol. 1. AU Section 380), as adopted by the Public Company Accounting Oversight Board in Rule 3200T.</w:t>
      </w:r>
    </w:p>
    <w:p>
      <w:pPr>
        <w:sectPr>
          <w:pgSz w:w="11900" w:h="16838" w:orient="portrait"/>
          <w:cols w:equalWidth="0" w:num="1">
            <w:col w:w="11420"/>
          </w:cols>
          <w:pgMar w:left="240" w:top="131" w:right="239" w:bottom="0" w:gutter="0" w:footer="0" w:header="0"/>
        </w:sectPr>
      </w:pPr>
    </w:p>
    <w:bookmarkStart w:id="32" w:name="page33"/>
    <w:bookmarkEnd w:id="32"/>
    <w:p>
      <w:pPr>
        <w:jc w:val="both"/>
        <w:ind w:left="460" w:firstLine="445"/>
        <w:spacing w:after="0" w:line="259" w:lineRule="auto"/>
        <w:tabs>
          <w:tab w:leader="none" w:pos="11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86" w:lineRule="exact"/>
        <w:rPr>
          <w:rFonts w:ascii="Arial" w:cs="Arial" w:eastAsia="Arial" w:hAnsi="Arial"/>
          <w:sz w:val="18"/>
          <w:szCs w:val="18"/>
          <w:color w:val="auto"/>
        </w:rPr>
      </w:pPr>
    </w:p>
    <w:p>
      <w:pPr>
        <w:jc w:val="both"/>
        <w:ind w:left="460" w:firstLine="445"/>
        <w:spacing w:after="0" w:line="259" w:lineRule="auto"/>
        <w:tabs>
          <w:tab w:leader="none" w:pos="11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2009 Form 10-K, for filing with the SEC.</w:t>
      </w:r>
    </w:p>
    <w:p>
      <w:pPr>
        <w:spacing w:after="0" w:line="86"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A copy of the Audit Committee Charter, as last amended as of June 21, 2006, is available on the Company’s Web Site at http://www.winnebagoind.com/governance.html and in print free of charge to any shareholder who requests a copy in writing from: Winnebago Industries, Inc., Attn: Vice President-General Counsel and Secretary, 605 West Crystal Lake Road, Forest City, Iowa 60436.</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Lawrence A. Erickson (Chair)</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Jerry N. Currie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W. England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ACCOUNTANTS FEES AND SERVICES</w:t>
      </w:r>
    </w:p>
    <w:p>
      <w:pPr>
        <w:spacing w:after="0" w:line="231" w:lineRule="exact"/>
        <w:rPr>
          <w:sz w:val="20"/>
          <w:szCs w:val="20"/>
          <w:color w:val="auto"/>
        </w:rPr>
      </w:pPr>
    </w:p>
    <w:p>
      <w:pPr>
        <w:jc w:val="both"/>
        <w:ind w:firstLine="458"/>
        <w:spacing w:after="0" w:line="306" w:lineRule="auto"/>
        <w:rPr>
          <w:sz w:val="20"/>
          <w:szCs w:val="20"/>
          <w:color w:val="auto"/>
        </w:rPr>
      </w:pPr>
      <w:r>
        <w:rPr>
          <w:rFonts w:ascii="Arial" w:cs="Arial" w:eastAsia="Arial" w:hAnsi="Arial"/>
          <w:sz w:val="16"/>
          <w:szCs w:val="16"/>
          <w:color w:val="auto"/>
        </w:rPr>
        <w:t>Deloitte &amp; Touche served as the independent registered public accountants for the Company and its subsidiaries in Fiscal 2009.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53"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Deloitte &amp; Touche for the audit of the Company’s annual financial statements for fiscal years ended August 29, 2009 and August 30, 2008, and fees billed for other services rendered by Deloitte &amp; Touche during those periods.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Fiscal 2009</w:t>
            </w:r>
          </w:p>
        </w:tc>
        <w:tc>
          <w:tcPr>
            <w:tcW w:w="340" w:type="dxa"/>
            <w:vAlign w:val="bottom"/>
            <w:tcBorders>
              <w:bottom w:val="single" w:sz="8" w:color="D6F3E8"/>
            </w:tcBorders>
          </w:tcPr>
          <w:p>
            <w:pPr>
              <w:spacing w:after="0"/>
              <w:rPr>
                <w:sz w:val="14"/>
                <w:szCs w:val="14"/>
                <w:color w:val="auto"/>
              </w:rPr>
            </w:pPr>
          </w:p>
        </w:tc>
        <w:tc>
          <w:tcPr>
            <w:tcW w:w="320" w:type="dxa"/>
            <w:vAlign w:val="bottom"/>
            <w:tcBorders>
              <w:bottom w:val="single" w:sz="8" w:color="D6F3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Fiscal 2008</w:t>
            </w: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260" w:type="dxa"/>
            <w:vAlign w:val="bottom"/>
            <w:shd w:val="clear" w:color="auto" w:fill="D6F3E8"/>
          </w:tcPr>
          <w:p>
            <w:pPr>
              <w:spacing w:after="0" w:line="277"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485,000</w:t>
            </w:r>
          </w:p>
        </w:tc>
        <w:tc>
          <w:tcPr>
            <w:tcW w:w="5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620,000</w:t>
            </w:r>
          </w:p>
        </w:tc>
        <w:tc>
          <w:tcPr>
            <w:tcW w:w="220" w:type="dxa"/>
            <w:vAlign w:val="bottom"/>
            <w:shd w:val="clear" w:color="auto" w:fill="D6F3E8"/>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60" w:type="dxa"/>
            <w:vAlign w:val="bottom"/>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27,025</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shd w:val="clear" w:color="auto" w:fill="D6F3E8"/>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60" w:type="dxa"/>
            <w:vAlign w:val="bottom"/>
            <w:shd w:val="clear" w:color="auto" w:fill="D6F3E8"/>
          </w:tcPr>
          <w:p>
            <w:pPr>
              <w:spacing w:after="0"/>
              <w:rPr>
                <w:sz w:val="23"/>
                <w:szCs w:val="23"/>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154,705</w:t>
            </w:r>
          </w:p>
        </w:tc>
        <w:tc>
          <w:tcPr>
            <w:tcW w:w="320" w:type="dxa"/>
            <w:vAlign w:val="bottom"/>
            <w:shd w:val="clear" w:color="auto" w:fill="D6F3E8"/>
          </w:tcPr>
          <w:p>
            <w:pPr>
              <w:spacing w:after="0"/>
              <w:rPr>
                <w:sz w:val="23"/>
                <w:szCs w:val="23"/>
                <w:color w:val="auto"/>
              </w:rPr>
            </w:pPr>
          </w:p>
        </w:tc>
        <w:tc>
          <w:tcPr>
            <w:tcW w:w="180" w:type="dxa"/>
            <w:vAlign w:val="bottom"/>
            <w:shd w:val="clear" w:color="auto" w:fill="D6F3E8"/>
          </w:tcPr>
          <w:p>
            <w:pPr>
              <w:spacing w:after="0"/>
              <w:rPr>
                <w:sz w:val="23"/>
                <w:szCs w:val="23"/>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398,561</w:t>
            </w:r>
          </w:p>
        </w:tc>
        <w:tc>
          <w:tcPr>
            <w:tcW w:w="220" w:type="dxa"/>
            <w:vAlign w:val="bottom"/>
            <w:shd w:val="clear" w:color="auto" w:fill="D6F3E8"/>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826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666,730</w:t>
            </w:r>
          </w:p>
        </w:tc>
        <w:tc>
          <w:tcPr>
            <w:tcW w:w="340" w:type="dxa"/>
            <w:vAlign w:val="bottom"/>
            <w:tcBorders>
              <w:top w:val="single" w:sz="8" w:color="D6F3E8"/>
              <w:bottom w:val="single" w:sz="8" w:color="D6F3E8"/>
            </w:tcBorders>
            <w:shd w:val="clear" w:color="auto" w:fill="D6F3E8"/>
          </w:tcPr>
          <w:p>
            <w:pPr>
              <w:spacing w:after="0"/>
              <w:rPr>
                <w:sz w:val="19"/>
                <w:szCs w:val="19"/>
                <w:color w:val="auto"/>
              </w:rPr>
            </w:pPr>
          </w:p>
        </w:tc>
        <w:tc>
          <w:tcPr>
            <w:tcW w:w="320" w:type="dxa"/>
            <w:vAlign w:val="bottom"/>
            <w:tcBorders>
              <w:top w:val="single" w:sz="8" w:color="D6F3E8"/>
              <w:bottom w:val="single" w:sz="8" w:color="D6F3E8"/>
            </w:tcBorders>
            <w:shd w:val="clear" w:color="auto" w:fill="D6F3E8"/>
          </w:tcPr>
          <w:p>
            <w:pPr>
              <w:spacing w:after="0"/>
              <w:rPr>
                <w:sz w:val="19"/>
                <w:szCs w:val="19"/>
                <w:color w:val="auto"/>
              </w:rPr>
            </w:pP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1,040,561</w:t>
            </w:r>
          </w:p>
        </w:tc>
        <w:tc>
          <w:tcPr>
            <w:tcW w:w="220" w:type="dxa"/>
            <w:vAlign w:val="bottom"/>
            <w:tcBorders>
              <w:top w:val="single" w:sz="8" w:color="D6F3E8"/>
              <w:bottom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ind w:left="40"/>
              <w:spacing w:after="0"/>
              <w:rPr>
                <w:sz w:val="20"/>
                <w:szCs w:val="20"/>
                <w:color w:val="auto"/>
              </w:rPr>
            </w:pPr>
            <w:r>
              <w:rPr>
                <w:rFonts w:ascii="Arial" w:cs="Arial" w:eastAsia="Arial" w:hAnsi="Arial"/>
                <w:sz w:val="18"/>
                <w:szCs w:val="18"/>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right="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for the audit of the Company’s annual financial statements and review of the Company’s quarterly financial statements.</w:t>
      </w:r>
    </w:p>
    <w:p>
      <w:pPr>
        <w:spacing w:after="0" w:line="7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Audit-Related Fees represent fees for the benefit plan audit and accounting related consulting matters.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related to tax compliance and tax planning.</w:t>
      </w:r>
    </w:p>
    <w:p>
      <w:pPr>
        <w:spacing w:after="0" w:line="117"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Audit Committee considered whether the provision of tax, benefit plan audit and accounting consulting services by Deloitte &amp; Touche to the Company is compatible with maintaining the independence of Deloitte &amp; Touche and concluded that the independence of Deloitte &amp; Touche is not compromised by the provision of such services.</w:t>
      </w:r>
    </w:p>
    <w:p>
      <w:pPr>
        <w:spacing w:after="0" w:line="86" w:lineRule="exact"/>
        <w:rPr>
          <w:sz w:val="20"/>
          <w:szCs w:val="20"/>
          <w:color w:val="auto"/>
        </w:rPr>
      </w:pPr>
    </w:p>
    <w:p>
      <w:pPr>
        <w:jc w:val="both"/>
        <w:ind w:firstLine="458"/>
        <w:spacing w:after="0" w:line="291"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Accountants Provision of Audit and Nonaudit Services </w:t>
      </w:r>
      <w:r>
        <w:rPr>
          <w:rFonts w:ascii="Arial" w:cs="Arial" w:eastAsia="Arial" w:hAnsi="Arial"/>
          <w:sz w:val="16"/>
          <w:szCs w:val="16"/>
          <w:color w:val="auto"/>
        </w:rPr>
        <w:t>— The Company’s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Charter requires 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if any, for services covered under the captions “Audit-Related Fees,” “Tax Fees” and “All Other Fees” for Fiscal 2008 and Fiscal 2009.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21"/>
          <w:szCs w:val="21"/>
          <w:b w:val="1"/>
          <w:bCs w:val="1"/>
          <w:color w:val="auto"/>
        </w:rPr>
        <w:t>16</w:t>
      </w:r>
      <w:r>
        <w:rPr>
          <w:rFonts w:ascii="Arial" w:cs="Arial" w:eastAsia="Arial" w:hAnsi="Arial"/>
          <w:sz w:val="18"/>
          <w:szCs w:val="18"/>
          <w:b w:val="1"/>
          <w:bCs w:val="1"/>
          <w:color w:val="auto"/>
        </w:rPr>
        <w:t>(A) BENEFICIAL OWNERSHIP REPORTING COMPLIANCE</w:t>
      </w:r>
    </w:p>
    <w:p>
      <w:pPr>
        <w:spacing w:after="0" w:line="237" w:lineRule="exact"/>
        <w:rPr>
          <w:sz w:val="20"/>
          <w:szCs w:val="20"/>
          <w:color w:val="auto"/>
        </w:rPr>
      </w:pPr>
    </w:p>
    <w:p>
      <w:pPr>
        <w:jc w:val="both"/>
        <w:ind w:firstLine="458"/>
        <w:spacing w:after="0" w:line="290"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officers and directors and persons who own more than 10 percent of the Company’s Common Stock (collectively, “Reporting Persons”) to file reports of ownership and changes in ownership with the SEC and the NYSE.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2009, all Reporting Persons complied with all applicable filing requirements, except that due to administrative oversight, delinquent Form 4 filings for Ms. Nielsen and Messrs. Gossett, Martin, Olson and Potts were made on November 14, 2008 regarding the exercise of an option to have a portion of restricted stock vesting on October 13, 2008 withheld by the Company to cover a tax obligation relating thereto for the stated executive officers.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FISCAL YEAR 2010 SHAREHOLDER PROPOSALS</w:t>
      </w:r>
    </w:p>
    <w:p>
      <w:pPr>
        <w:sectPr>
          <w:pgSz w:w="11900" w:h="16838" w:orient="portrait"/>
          <w:cols w:equalWidth="0" w:num="1">
            <w:col w:w="11420"/>
          </w:cols>
          <w:pgMar w:left="240" w:top="131" w:right="239" w:bottom="0" w:gutter="0" w:footer="0" w:header="0"/>
          <w:type w:val="continuous"/>
        </w:sectPr>
      </w:pPr>
    </w:p>
    <w:bookmarkStart w:id="33" w:name="page34"/>
    <w:bookmarkEnd w:id="33"/>
    <w:p>
      <w:pPr>
        <w:jc w:val="both"/>
        <w:ind w:firstLine="458"/>
        <w:spacing w:after="0" w:line="259" w:lineRule="auto"/>
        <w:rPr>
          <w:sz w:val="20"/>
          <w:szCs w:val="20"/>
          <w:color w:val="auto"/>
        </w:rPr>
      </w:pPr>
      <w:r>
        <w:rPr>
          <w:rFonts w:ascii="Arial" w:cs="Arial" w:eastAsia="Arial" w:hAnsi="Arial"/>
          <w:sz w:val="18"/>
          <w:szCs w:val="18"/>
          <w:color w:val="auto"/>
        </w:rPr>
        <w:t>If a shareholder intends to present a proposal at the Company’s Annual Meeting following Fiscal 2010, scheduled for December 14, 2010 and desires that the proposal be included in the Company’s proxy statement and form of proxy for that meeting, the proposal must be in compliance with Rule 14a-8 under the Exchange Act and received at the Company’s principal executive offices no later than June 29, 2010.</w:t>
      </w:r>
    </w:p>
    <w:p>
      <w:pPr>
        <w:spacing w:after="0" w:line="86" w:lineRule="exact"/>
        <w:rPr>
          <w:sz w:val="20"/>
          <w:szCs w:val="20"/>
          <w:color w:val="auto"/>
        </w:rPr>
      </w:pPr>
    </w:p>
    <w:p>
      <w:pPr>
        <w:jc w:val="both"/>
        <w:ind w:firstLine="458"/>
        <w:spacing w:after="0" w:line="285" w:lineRule="auto"/>
        <w:rPr>
          <w:sz w:val="20"/>
          <w:szCs w:val="20"/>
          <w:color w:val="auto"/>
        </w:rPr>
      </w:pPr>
      <w:r>
        <w:rPr>
          <w:rFonts w:ascii="Arial" w:cs="Arial" w:eastAsia="Arial" w:hAnsi="Arial"/>
          <w:sz w:val="16"/>
          <w:szCs w:val="16"/>
          <w:color w:val="auto"/>
        </w:rPr>
        <w:t>The Company’s By-Laws and the Nominations of Directors Policy require that in order to nominate persons to the Company’s Board of Directors, a shareholder must provide advance written notice in the form set forth therein to the Secretary, which notice must be delivered to or mailed and received at the Company’s principal executive offices not less than 90 days nor more than 120 days before the anniversary of the preceding year’s annual meeting, except in the case of candidates recommended by shareholders of more than 5 percent of the Company’s Common Stock who may also submit nominations in accordance with the procedures in the Nominations of Directors Policy and except as otherwise provided in the Company’s By-Laws. The Company’s By-Laws also require that in order to present a proposal for action by shareholders at an annual meeting, a shareholder must provide advance written notice to the Secretary,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As to any proposal that a shareholder intends to present to shareholders without inclusion in the Company’s proxy statement for the Company’s Fiscal 2010 annual meeting,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percent of the Common Stock, to recommend nominees for director are set forth in the Company’s Nominations of Directors Policy, a copy of which is attached hereto as Appendix A and the Company’s By-Laws. A copy of the Company’s By-Laws may be obtained by written request to: Winnebago Industries, Inc., Attn: Vice President-General Counsel and Secretary, 605 West Crystal Lake Road, Forest City, Iowa 50436.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458"/>
        <w:spacing w:after="0" w:line="306" w:lineRule="auto"/>
        <w:rPr>
          <w:sz w:val="20"/>
          <w:szCs w:val="20"/>
          <w:color w:val="auto"/>
        </w:rPr>
      </w:pPr>
      <w:r>
        <w:rPr>
          <w:rFonts w:ascii="Arial" w:cs="Arial" w:eastAsia="Arial" w:hAnsi="Arial"/>
          <w:sz w:val="16"/>
          <w:szCs w:val="16"/>
          <w:color w:val="auto"/>
        </w:rPr>
        <w:t>Deloitte &amp; Touche has been selected by the Audit Committee as the Company’s independent registered public accountants for the current fiscal year by the Audit Committee. Deloitte &amp; Touche has been the Company’s accountants for more than 20 years. Representatives of that firm are expected to be present at the Annual Meeting with the opportunity to make a statement if they desire to do so and to be available to respond to appropriate questions.</w:t>
      </w:r>
    </w:p>
    <w:p>
      <w:pPr>
        <w:spacing w:after="0" w:line="53" w:lineRule="exact"/>
        <w:rPr>
          <w:sz w:val="20"/>
          <w:szCs w:val="20"/>
          <w:color w:val="auto"/>
        </w:rPr>
      </w:pPr>
    </w:p>
    <w:p>
      <w:pPr>
        <w:jc w:val="both"/>
        <w:ind w:firstLine="458"/>
        <w:spacing w:after="0" w:line="256"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Internet and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89" w:lineRule="exact"/>
        <w:rPr>
          <w:sz w:val="20"/>
          <w:szCs w:val="20"/>
          <w:color w:val="auto"/>
        </w:rPr>
      </w:pPr>
    </w:p>
    <w:p>
      <w:pPr>
        <w:jc w:val="both"/>
        <w:ind w:firstLine="458"/>
        <w:spacing w:after="0" w:line="306" w:lineRule="auto"/>
        <w:rPr>
          <w:sz w:val="20"/>
          <w:szCs w:val="20"/>
          <w:color w:val="auto"/>
        </w:rPr>
      </w:pPr>
      <w:r>
        <w:rPr>
          <w:rFonts w:ascii="Arial" w:cs="Arial" w:eastAsia="Arial" w:hAnsi="Arial"/>
          <w:sz w:val="16"/>
          <w:szCs w:val="16"/>
          <w:color w:val="auto"/>
        </w:rPr>
        <w:t>A copy of our Annual Report for the fiscal year ended August 29, 2009,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47" w:lineRule="exact"/>
        <w:rPr>
          <w:sz w:val="20"/>
          <w:szCs w:val="20"/>
          <w:color w:val="auto"/>
        </w:rPr>
      </w:pPr>
    </w:p>
    <w:p>
      <w:pPr>
        <w:jc w:val="both"/>
        <w:ind w:firstLine="458"/>
        <w:spacing w:after="0" w:line="262" w:lineRule="auto"/>
        <w:rPr>
          <w:sz w:val="20"/>
          <w:szCs w:val="20"/>
          <w:color w:val="auto"/>
        </w:rPr>
      </w:pPr>
      <w:r>
        <w:rPr>
          <w:rFonts w:ascii="Arial" w:cs="Arial" w:eastAsia="Arial" w:hAnsi="Arial"/>
          <w:sz w:val="18"/>
          <w:szCs w:val="18"/>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6"/>
          <w:szCs w:val="16"/>
          <w:b w:val="1"/>
          <w:bCs w:val="1"/>
          <w:color w:val="auto"/>
        </w:rPr>
        <w:t>FOR INFORMATION ABOUT THE COMPANY, INCLUDING THE COMPANY’S ANNUAL, QUARTERLY AND CURRENT REPORTS ON SEC FORMS 10-K, 10-Q AND 8-K, RESPECTIVELY, PLEASE VISIT OUR HOME PAGE ON THE INTERNET – http://www.winnebagoind.com.</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INFORMATION CONTAINED ON OUR WEB SITE IS NOT INCORPORATED INTO THIS PROXY STATEMENT OR OTHER SECURITIES FILINGS.</w:t>
      </w:r>
    </w:p>
    <w:p>
      <w:pPr>
        <w:spacing w:after="0" w:line="84"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9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45085</wp:posOffset>
            </wp:positionV>
            <wp:extent cx="1543685" cy="266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1" w:right="239" w:bottom="1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page has been left blank intentionally.)</w:t>
      </w:r>
    </w:p>
    <w:p>
      <w:pPr>
        <w:sectPr>
          <w:pgSz w:w="11900" w:h="16838" w:orient="portrait"/>
          <w:cols w:equalWidth="0" w:num="1">
            <w:col w:w="11420"/>
          </w:cols>
          <w:pgMar w:left="240" w:top="131" w:right="239" w:bottom="171" w:gutter="0" w:footer="0" w:header="0"/>
          <w:type w:val="continuous"/>
        </w:sectPr>
      </w:pPr>
    </w:p>
    <w:bookmarkStart w:id="34" w:name="page35"/>
    <w:bookmarkEnd w:id="34"/>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927100</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NOMINATION OF DIRECTORS</w:t>
      </w:r>
    </w:p>
    <w:p>
      <w:pPr>
        <w:spacing w:after="0" w:line="231"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 xml:space="preserve">The Nominating and Governance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has adopted the following policy (the </w:t>
      </w:r>
      <w:r>
        <w:rPr>
          <w:rFonts w:ascii="Arial" w:cs="Arial" w:eastAsia="Arial" w:hAnsi="Arial"/>
          <w:sz w:val="18"/>
          <w:szCs w:val="18"/>
          <w:i w:val="1"/>
          <w:iCs w:val="1"/>
          <w:color w:val="auto"/>
        </w:rPr>
        <w:t>“Director Nomination Policy”</w:t>
      </w:r>
      <w:r>
        <w:rPr>
          <w:rFonts w:ascii="Arial" w:cs="Arial" w:eastAsia="Arial" w:hAnsi="Arial"/>
          <w:sz w:val="18"/>
          <w:szCs w:val="18"/>
          <w:color w:val="auto"/>
        </w:rPr>
        <w:t xml:space="preserve">) to assist it in fulfilling its duties and responsibilities as provided in its charter (the </w:t>
      </w:r>
      <w:r>
        <w:rPr>
          <w:rFonts w:ascii="Arial" w:cs="Arial" w:eastAsia="Arial" w:hAnsi="Arial"/>
          <w:sz w:val="18"/>
          <w:szCs w:val="18"/>
          <w:i w:val="1"/>
          <w:iCs w:val="1"/>
          <w:color w:val="auto"/>
        </w:rPr>
        <w:t>“Charter”</w:t>
      </w:r>
      <w:r>
        <w:rPr>
          <w:rFonts w:ascii="Arial" w:cs="Arial" w:eastAsia="Arial" w:hAnsi="Arial"/>
          <w:sz w:val="18"/>
          <w:szCs w:val="18"/>
          <w:color w:val="auto"/>
        </w:rPr>
        <w:t>). This Director Nomination Policy may be amended and/or restated from time to time by the Committee in accordance with the Charter and as provided herein.</w:t>
      </w:r>
    </w:p>
    <w:p>
      <w:pPr>
        <w:spacing w:after="0" w:line="323" w:lineRule="exact"/>
        <w:rPr>
          <w:sz w:val="20"/>
          <w:szCs w:val="20"/>
          <w:color w:val="auto"/>
        </w:rPr>
      </w:pPr>
    </w:p>
    <w:p>
      <w:pPr>
        <w:jc w:val="both"/>
        <w:ind w:left="900" w:hanging="445"/>
        <w:spacing w:after="0" w:line="266" w:lineRule="auto"/>
        <w:tabs>
          <w:tab w:leader="none" w:pos="880" w:val="left"/>
        </w:tabs>
        <w:rPr>
          <w:sz w:val="20"/>
          <w:szCs w:val="20"/>
          <w:color w:val="auto"/>
        </w:rPr>
      </w:pPr>
      <w:r>
        <w:rPr>
          <w:rFonts w:ascii="Arial" w:cs="Arial" w:eastAsia="Arial" w:hAnsi="Arial"/>
          <w:sz w:val="18"/>
          <w:szCs w:val="18"/>
          <w:color w:val="auto"/>
        </w:rPr>
        <w:t>1 .</w:t>
      </w:r>
      <w:r>
        <w:rPr>
          <w:sz w:val="20"/>
          <w:szCs w:val="20"/>
          <w:color w:val="auto"/>
        </w:rPr>
        <w:tab/>
      </w:r>
      <w:r>
        <w:rPr>
          <w:rFonts w:ascii="Arial" w:cs="Arial" w:eastAsia="Arial" w:hAnsi="Arial"/>
          <w:sz w:val="18"/>
          <w:szCs w:val="18"/>
          <w:b w:val="1"/>
          <w:bCs w:val="1"/>
          <w:color w:val="auto"/>
        </w:rPr>
        <w:t xml:space="preserve">RECOMMENDED CANDIDATES. </w:t>
      </w:r>
      <w:r>
        <w:rPr>
          <w:rFonts w:ascii="Arial" w:cs="Arial" w:eastAsia="Arial" w:hAnsi="Arial"/>
          <w:sz w:val="17"/>
          <w:szCs w:val="17"/>
          <w:color w:val="auto"/>
        </w:rPr>
        <w:t>The Committee shall consider any and all candidates recommended as nominees for directors to the</w:t>
      </w:r>
      <w:r>
        <w:rPr>
          <w:rFonts w:ascii="Arial" w:cs="Arial" w:eastAsia="Arial" w:hAnsi="Arial"/>
          <w:sz w:val="18"/>
          <w:szCs w:val="18"/>
          <w:b w:val="1"/>
          <w:bCs w:val="1"/>
          <w:color w:val="auto"/>
        </w:rPr>
        <w:t xml:space="preserve"> </w:t>
      </w:r>
      <w:r>
        <w:rPr>
          <w:rFonts w:ascii="Arial" w:cs="Arial" w:eastAsia="Arial" w:hAnsi="Arial"/>
          <w:sz w:val="17"/>
          <w:szCs w:val="17"/>
          <w:color w:val="auto"/>
        </w:rPr>
        <w:t>Committee by any directors, officers, shareholders of the Company, third-party search firms and other sources. Under the terms of the Company’s By-Laws, the Committee will consider director nominations from shareholders of record who provide timely written notice along with prescribed information to the Secretary of the Company. To be timely, the notice must be received by the Secretary at the principal executive offices of the Company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w:t>
      </w:r>
      <w:r>
        <w:rPr>
          <w:rFonts w:ascii="Arial" w:cs="Arial" w:eastAsia="Arial" w:hAnsi="Arial"/>
          <w:sz w:val="18"/>
          <w:szCs w:val="18"/>
          <w:color w:val="auto"/>
        </w:rPr>
        <w:t>% SHAREHOLDER RECOMMENDATIONS</w:t>
      </w:r>
      <w:r>
        <w:rPr>
          <w:rFonts w:ascii="Arial" w:cs="Arial" w:eastAsia="Arial" w:hAnsi="Arial"/>
          <w:sz w:val="17"/>
          <w:szCs w:val="17"/>
          <w:color w:val="auto"/>
        </w:rPr>
        <w:t>” and except as otherwise provided in the Company’s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the Company’s books together with the number of shares of the Company’s Common Stock which are owned beneficially and of record by the shareholder and any beneficial owner; and (3) a signed statement by the nominee agreeing that, if elected, such nominee will (a) represent all Company shareholders in accordance with applicable laws and the Company’s By-Laws and (b) comply with the Company’s Code of Ethics.</w:t>
      </w:r>
    </w:p>
    <w:p>
      <w:pPr>
        <w:spacing w:after="0" w:line="328" w:lineRule="exact"/>
        <w:rPr>
          <w:sz w:val="20"/>
          <w:szCs w:val="20"/>
          <w:color w:val="auto"/>
        </w:rPr>
      </w:pPr>
    </w:p>
    <w:p>
      <w:pPr>
        <w:jc w:val="both"/>
        <w:ind w:left="900" w:hanging="445"/>
        <w:spacing w:after="0" w:line="286" w:lineRule="auto"/>
        <w:tabs>
          <w:tab w:leader="none" w:pos="880" w:val="left"/>
        </w:tabs>
        <w:rPr>
          <w:sz w:val="20"/>
          <w:szCs w:val="20"/>
          <w:color w:val="auto"/>
        </w:rPr>
      </w:pPr>
      <w:r>
        <w:rPr>
          <w:rFonts w:ascii="Arial" w:cs="Arial" w:eastAsia="Arial" w:hAnsi="Arial"/>
          <w:sz w:val="18"/>
          <w:szCs w:val="18"/>
          <w:color w:val="auto"/>
        </w:rPr>
        <w:t>2 .</w:t>
      </w:r>
      <w:r>
        <w:rPr>
          <w:sz w:val="20"/>
          <w:szCs w:val="20"/>
          <w:color w:val="auto"/>
        </w:rPr>
        <w:tab/>
      </w:r>
      <w:r>
        <w:rPr>
          <w:rFonts w:ascii="Arial" w:cs="Arial" w:eastAsia="Arial" w:hAnsi="Arial"/>
          <w:sz w:val="16"/>
          <w:szCs w:val="16"/>
          <w:b w:val="1"/>
          <w:bCs w:val="1"/>
          <w:color w:val="auto"/>
        </w:rPr>
        <w:t xml:space="preserve">5% SHAREHOLDER RECOMMENDATIONS. </w:t>
      </w:r>
      <w:r>
        <w:rPr>
          <w:rFonts w:ascii="Arial" w:cs="Arial" w:eastAsia="Arial" w:hAnsi="Arial"/>
          <w:sz w:val="16"/>
          <w:szCs w:val="16"/>
          <w:color w:val="auto"/>
        </w:rPr>
        <w:t>For purposes of facilitating disclosure required in the Proxy Statement, the Committee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the principal executive offices of the Company not later than 120 days prior to the anniversary of the date the Company’s proxy statement was released to shareholders in connection with the previous year’s annual meeting, except as otherwise provided in the Company’s By-Laws; (2) such notice must contain the name and address of the shareholder(s) and any beneficial owner(s) giving the notice as they appear on the Company’s books, together with evidence regarding the number of shares of the Company’s Common Stock together with the holding period and the written consent of the recommended candidate and the shareholder(s) to being identified in the Company’s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Company shareholders in accordance with applicable laws and the Company’s By-Laws and (b) comply with the Company’s Code of Ethics.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both"/>
        <w:ind w:left="900" w:hanging="445"/>
        <w:spacing w:after="0" w:line="303" w:lineRule="auto"/>
        <w:tabs>
          <w:tab w:leader="none" w:pos="880" w:val="left"/>
        </w:tabs>
        <w:rPr>
          <w:sz w:val="20"/>
          <w:szCs w:val="20"/>
          <w:color w:val="auto"/>
        </w:rPr>
      </w:pPr>
      <w:r>
        <w:rPr>
          <w:rFonts w:ascii="Arial" w:cs="Arial" w:eastAsia="Arial" w:hAnsi="Arial"/>
          <w:sz w:val="18"/>
          <w:szCs w:val="18"/>
          <w:color w:val="auto"/>
        </w:rPr>
        <w:t>3 .</w:t>
      </w:r>
      <w:r>
        <w:rPr>
          <w:sz w:val="20"/>
          <w:szCs w:val="20"/>
          <w:color w:val="auto"/>
        </w:rPr>
        <w:tab/>
      </w:r>
      <w:r>
        <w:rPr>
          <w:rFonts w:ascii="Arial" w:cs="Arial" w:eastAsia="Arial" w:hAnsi="Arial"/>
          <w:sz w:val="17"/>
          <w:szCs w:val="17"/>
          <w:b w:val="1"/>
          <w:bCs w:val="1"/>
          <w:color w:val="auto"/>
        </w:rPr>
        <w:t>DESIRED QUALIFICATIONS, QUALITIES AND SKILLS</w:t>
      </w:r>
      <w:r>
        <w:rPr>
          <w:rFonts w:ascii="Arial" w:cs="Arial" w:eastAsia="Arial" w:hAnsi="Arial"/>
          <w:sz w:val="16"/>
          <w:szCs w:val="16"/>
          <w:color w:val="auto"/>
        </w:rPr>
        <w:t>. The Committee shall endeavor to find individuals of high integrity who have a</w:t>
      </w:r>
      <w:r>
        <w:rPr>
          <w:rFonts w:ascii="Arial" w:cs="Arial" w:eastAsia="Arial" w:hAnsi="Arial"/>
          <w:sz w:val="17"/>
          <w:szCs w:val="17"/>
          <w:b w:val="1"/>
          <w:bCs w:val="1"/>
          <w:color w:val="auto"/>
        </w:rPr>
        <w:t xml:space="preserve"> </w:t>
      </w:r>
      <w:r>
        <w:rPr>
          <w:rFonts w:ascii="Arial" w:cs="Arial" w:eastAsia="Arial" w:hAnsi="Arial"/>
          <w:sz w:val="16"/>
          <w:szCs w:val="16"/>
          <w:color w:val="auto"/>
        </w:rPr>
        <w:t>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30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Committee considers the following qualifications at a minimum to be required of any Board members in recommending to the Board 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Directors potential new Board members or the continued service of existing members:</w:t>
      </w:r>
    </w:p>
    <w:p>
      <w:pPr>
        <w:sectPr>
          <w:pgSz w:w="11900" w:h="16892" w:orient="portrait"/>
          <w:cols w:equalWidth="0" w:num="1">
            <w:col w:w="11420"/>
          </w:cols>
          <w:pgMar w:left="240" w:top="1440" w:right="239" w:bottom="0" w:gutter="0" w:footer="0" w:header="0"/>
        </w:sectPr>
      </w:pPr>
    </w:p>
    <w:p>
      <w:pPr>
        <w:spacing w:after="0" w:line="6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highest professional and personal ethics;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broad experience in business, government, education or technology;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ability to provide insights and practical wisdom based on their experience and expertise;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commitment to enhancing shareholder value;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ectPr>
          <w:pgSz w:w="11900" w:h="16892" w:orient="portrait"/>
          <w:cols w:equalWidth="0" w:num="2">
            <w:col w:w="1000" w:space="360"/>
            <w:col w:w="10060"/>
          </w:cols>
          <w:pgMar w:left="240" w:top="1440" w:right="239" w:bottom="0" w:gutter="0" w:footer="0" w:header="0"/>
          <w:type w:val="continuous"/>
        </w:sectPr>
      </w:pPr>
    </w:p>
    <w:bookmarkStart w:id="35" w:name="page36"/>
    <w:bookmarkEnd w:id="35"/>
    <w:p>
      <w:pPr>
        <w:ind w:left="1360" w:hanging="447"/>
        <w:spacing w:after="0"/>
        <w:tabs>
          <w:tab w:leader="none" w:pos="1360" w:val="left"/>
        </w:tabs>
        <w:numPr>
          <w:ilvl w:val="0"/>
          <w:numId w:val="51"/>
        </w:numPr>
        <w:rPr>
          <w:rFonts w:ascii="Arial" w:cs="Arial" w:eastAsia="Arial" w:hAnsi="Arial"/>
          <w:sz w:val="24"/>
          <w:szCs w:val="24"/>
          <w:b w:val="1"/>
          <w:bCs w:val="1"/>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142"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the best interests of the Company and its shareholders. The Committee does, however, believe it appropriate for at least one member of the Board to meet the criteria for an “audit committee financial expert” as defined by Securities and Exchange Commission rules.</w:t>
      </w:r>
    </w:p>
    <w:p>
      <w:pPr>
        <w:spacing w:after="0" w:line="286" w:lineRule="exact"/>
        <w:rPr>
          <w:sz w:val="20"/>
          <w:szCs w:val="20"/>
          <w:color w:val="auto"/>
        </w:rPr>
      </w:pPr>
    </w:p>
    <w:p>
      <w:pPr>
        <w:jc w:val="both"/>
        <w:ind w:left="900" w:hanging="445"/>
        <w:spacing w:after="0" w:line="272" w:lineRule="auto"/>
        <w:tabs>
          <w:tab w:leader="none" w:pos="880" w:val="left"/>
        </w:tabs>
        <w:rPr>
          <w:sz w:val="20"/>
          <w:szCs w:val="20"/>
          <w:color w:val="auto"/>
        </w:rPr>
      </w:pPr>
      <w:r>
        <w:rPr>
          <w:rFonts w:ascii="Arial" w:cs="Arial" w:eastAsia="Arial" w:hAnsi="Arial"/>
          <w:sz w:val="18"/>
          <w:szCs w:val="18"/>
          <w:color w:val="auto"/>
        </w:rPr>
        <w:t>4 .</w:t>
      </w:r>
      <w:r>
        <w:rPr>
          <w:sz w:val="20"/>
          <w:szCs w:val="20"/>
          <w:color w:val="auto"/>
        </w:rPr>
        <w:tab/>
      </w:r>
      <w:r>
        <w:rPr>
          <w:rFonts w:ascii="Arial" w:cs="Arial" w:eastAsia="Arial" w:hAnsi="Arial"/>
          <w:sz w:val="18"/>
          <w:szCs w:val="18"/>
          <w:b w:val="1"/>
          <w:bCs w:val="1"/>
          <w:color w:val="auto"/>
        </w:rPr>
        <w:t>INDEPENDENCE</w:t>
      </w:r>
      <w:r>
        <w:rPr>
          <w:rFonts w:ascii="Arial" w:cs="Arial" w:eastAsia="Arial" w:hAnsi="Arial"/>
          <w:sz w:val="17"/>
          <w:szCs w:val="17"/>
          <w:color w:val="auto"/>
        </w:rPr>
        <w:t>. The Committee believes and it is the policy of the Company that a majority of the members of the Board meet the definition of</w:t>
      </w:r>
      <w:r>
        <w:rPr>
          <w:rFonts w:ascii="Arial" w:cs="Arial" w:eastAsia="Arial" w:hAnsi="Arial"/>
          <w:sz w:val="18"/>
          <w:szCs w:val="18"/>
          <w:b w:val="1"/>
          <w:bCs w:val="1"/>
          <w:color w:val="auto"/>
        </w:rPr>
        <w:t xml:space="preserve"> </w:t>
      </w:r>
      <w:r>
        <w:rPr>
          <w:rFonts w:ascii="Arial" w:cs="Arial" w:eastAsia="Arial" w:hAnsi="Arial"/>
          <w:sz w:val="17"/>
          <w:szCs w:val="17"/>
          <w:color w:val="auto"/>
        </w:rPr>
        <w:t>“independent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independent director is one who:</w:t>
      </w:r>
    </w:p>
    <w:p>
      <w:pPr>
        <w:spacing w:after="0" w:line="200" w:lineRule="exact"/>
        <w:rPr>
          <w:sz w:val="20"/>
          <w:szCs w:val="20"/>
          <w:color w:val="auto"/>
        </w:rPr>
      </w:pPr>
    </w:p>
    <w:p>
      <w:pPr>
        <w:spacing w:after="0" w:line="201" w:lineRule="exact"/>
        <w:rPr>
          <w:sz w:val="20"/>
          <w:szCs w:val="20"/>
          <w:color w:val="auto"/>
        </w:rPr>
      </w:pPr>
    </w:p>
    <w:p>
      <w:pPr>
        <w:ind w:left="1360" w:hanging="447"/>
        <w:spacing w:after="0" w:line="268" w:lineRule="auto"/>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21" w:lineRule="exact"/>
        <w:rPr>
          <w:rFonts w:ascii="Arial" w:cs="Arial" w:eastAsia="Arial" w:hAnsi="Arial"/>
          <w:sz w:val="18"/>
          <w:szCs w:val="18"/>
          <w:color w:val="auto"/>
        </w:rPr>
      </w:pPr>
    </w:p>
    <w:p>
      <w:pPr>
        <w:ind w:left="1360" w:hanging="447"/>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60" w:hanging="447"/>
        <w:spacing w:after="0" w:line="268" w:lineRule="auto"/>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21" w:lineRule="exact"/>
        <w:rPr>
          <w:rFonts w:ascii="Arial" w:cs="Arial" w:eastAsia="Arial" w:hAnsi="Arial"/>
          <w:sz w:val="18"/>
          <w:szCs w:val="18"/>
          <w:color w:val="auto"/>
        </w:rPr>
      </w:pPr>
    </w:p>
    <w:p>
      <w:pPr>
        <w:ind w:left="1360" w:hanging="447"/>
        <w:spacing w:after="0" w:line="268" w:lineRule="auto"/>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$120,000 per year in direct compensation from the Company in any capacity other than as a director during the past three years;</w:t>
      </w:r>
    </w:p>
    <w:p>
      <w:pPr>
        <w:spacing w:after="0" w:line="321" w:lineRule="exact"/>
        <w:rPr>
          <w:rFonts w:ascii="Arial" w:cs="Arial" w:eastAsia="Arial" w:hAnsi="Arial"/>
          <w:sz w:val="18"/>
          <w:szCs w:val="18"/>
          <w:color w:val="auto"/>
        </w:rPr>
      </w:pPr>
    </w:p>
    <w:p>
      <w:pPr>
        <w:jc w:val="both"/>
        <w:ind w:left="1360" w:hanging="447"/>
        <w:spacing w:after="0" w:line="294" w:lineRule="auto"/>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1360" w:hanging="447"/>
        <w:spacing w:after="0" w:line="259" w:lineRule="auto"/>
        <w:tabs>
          <w:tab w:leader="none" w:pos="1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29" w:lineRule="exact"/>
        <w:rPr>
          <w:rFonts w:ascii="Arial" w:cs="Arial" w:eastAsia="Arial" w:hAnsi="Arial"/>
          <w:sz w:val="18"/>
          <w:szCs w:val="18"/>
          <w:color w:val="auto"/>
        </w:rPr>
      </w:pPr>
    </w:p>
    <w:p>
      <w:pPr>
        <w:jc w:val="both"/>
        <w:ind w:left="1360" w:hanging="447"/>
        <w:spacing w:after="0" w:line="306" w:lineRule="auto"/>
        <w:tabs>
          <w:tab w:leader="none" w:pos="1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295" w:lineRule="exact"/>
        <w:rPr>
          <w:rFonts w:ascii="Arial" w:cs="Arial" w:eastAsia="Arial" w:hAnsi="Arial"/>
          <w:sz w:val="16"/>
          <w:szCs w:val="16"/>
          <w:color w:val="auto"/>
        </w:rPr>
      </w:pPr>
    </w:p>
    <w:p>
      <w:pPr>
        <w:ind w:left="1360" w:hanging="447"/>
        <w:spacing w:after="0"/>
        <w:tabs>
          <w:tab w:leader="none" w:pos="1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jc w:val="both"/>
        <w:ind w:left="1360" w:hanging="447"/>
        <w:spacing w:after="0" w:line="259" w:lineRule="auto"/>
        <w:tabs>
          <w:tab w:leader="none" w:pos="1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determining a “material relationship,” the Committee shall utilize the following standards:</w:t>
      </w:r>
    </w:p>
    <w:p>
      <w:pPr>
        <w:spacing w:after="0" w:line="360" w:lineRule="exact"/>
        <w:rPr>
          <w:sz w:val="20"/>
          <w:szCs w:val="20"/>
          <w:color w:val="auto"/>
        </w:rPr>
      </w:pPr>
    </w:p>
    <w:p>
      <w:pPr>
        <w:jc w:val="both"/>
        <w:ind w:left="1360" w:hanging="447"/>
        <w:spacing w:after="0" w:line="306" w:lineRule="auto"/>
        <w:tabs>
          <w:tab w:leader="none" w:pos="1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295" w:lineRule="exact"/>
        <w:rPr>
          <w:rFonts w:ascii="Arial" w:cs="Arial" w:eastAsia="Arial" w:hAnsi="Arial"/>
          <w:sz w:val="16"/>
          <w:szCs w:val="16"/>
          <w:color w:val="auto"/>
        </w:rPr>
      </w:pPr>
    </w:p>
    <w:p>
      <w:pPr>
        <w:ind w:left="1360" w:hanging="447"/>
        <w:spacing w:after="0"/>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percent of the Company’s consolidated gross revenues.</w:t>
      </w:r>
    </w:p>
    <w:p>
      <w:pPr>
        <w:spacing w:after="0" w:line="200" w:lineRule="exact"/>
        <w:rPr>
          <w:sz w:val="20"/>
          <w:szCs w:val="20"/>
          <w:color w:val="auto"/>
        </w:rPr>
      </w:pPr>
    </w:p>
    <w:p>
      <w:pPr>
        <w:spacing w:after="0" w:line="201"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ectPr>
          <w:pgSz w:w="11900" w:h="16838" w:orient="portrait"/>
          <w:cols w:equalWidth="0" w:num="1">
            <w:col w:w="11420"/>
          </w:cols>
          <w:pgMar w:left="240" w:top="145" w:right="239" w:bottom="12" w:gutter="0" w:footer="0" w:header="0"/>
        </w:sectPr>
      </w:pPr>
    </w:p>
    <w:bookmarkStart w:id="36" w:name="page37"/>
    <w:bookmarkEnd w:id="36"/>
    <w:p>
      <w:pPr>
        <w:jc w:val="both"/>
        <w:ind w:left="900" w:hanging="445"/>
        <w:spacing w:after="0" w:line="299" w:lineRule="auto"/>
        <w:tabs>
          <w:tab w:leader="none" w:pos="880" w:val="left"/>
        </w:tabs>
        <w:rPr>
          <w:sz w:val="20"/>
          <w:szCs w:val="20"/>
          <w:color w:val="auto"/>
        </w:rPr>
      </w:pPr>
      <w:r>
        <w:rPr>
          <w:rFonts w:ascii="Arial" w:cs="Arial" w:eastAsia="Arial" w:hAnsi="Arial"/>
          <w:sz w:val="18"/>
          <w:szCs w:val="18"/>
          <w:color w:val="auto"/>
        </w:rPr>
        <w:t>5 .</w:t>
      </w:r>
      <w:r>
        <w:rPr>
          <w:sz w:val="20"/>
          <w:szCs w:val="20"/>
          <w:color w:val="auto"/>
        </w:rPr>
        <w:tab/>
      </w:r>
      <w:r>
        <w:rPr>
          <w:rFonts w:ascii="Arial" w:cs="Arial" w:eastAsia="Arial" w:hAnsi="Arial"/>
          <w:sz w:val="16"/>
          <w:szCs w:val="16"/>
          <w:b w:val="1"/>
          <w:bCs w:val="1"/>
          <w:color w:val="auto"/>
        </w:rPr>
        <w:t xml:space="preserve">NOMINEE EVALUATION PROCESS. </w:t>
      </w:r>
      <w:r>
        <w:rPr>
          <w:rFonts w:ascii="Arial" w:cs="Arial" w:eastAsia="Arial" w:hAnsi="Arial"/>
          <w:sz w:val="15"/>
          <w:szCs w:val="15"/>
          <w:color w:val="auto"/>
        </w:rPr>
        <w:t>The Committee will consider as a candidate any director of the Company who has indicated to the</w:t>
      </w:r>
      <w:r>
        <w:rPr>
          <w:rFonts w:ascii="Arial" w:cs="Arial" w:eastAsia="Arial" w:hAnsi="Arial"/>
          <w:sz w:val="16"/>
          <w:szCs w:val="16"/>
          <w:b w:val="1"/>
          <w:bCs w:val="1"/>
          <w:color w:val="auto"/>
        </w:rPr>
        <w:t xml:space="preserve"> </w:t>
      </w:r>
      <w:r>
        <w:rPr>
          <w:rFonts w:ascii="Arial" w:cs="Arial" w:eastAsia="Arial" w:hAnsi="Arial"/>
          <w:sz w:val="15"/>
          <w:szCs w:val="15"/>
          <w:color w:val="auto"/>
        </w:rPr>
        <w:t>Committee that he or she is willing to stand for re-election as well as any other person who is recommended by any shareholders of the Company in accordance with the procedures described under “</w:t>
      </w:r>
      <w:r>
        <w:rPr>
          <w:rFonts w:ascii="Arial" w:cs="Arial" w:eastAsia="Arial" w:hAnsi="Arial"/>
          <w:sz w:val="16"/>
          <w:szCs w:val="16"/>
          <w:color w:val="auto"/>
        </w:rPr>
        <w:t>RECOMMENDED CANDIDATES</w:t>
      </w:r>
      <w:r>
        <w:rPr>
          <w:rFonts w:ascii="Arial" w:cs="Arial" w:eastAsia="Arial" w:hAnsi="Arial"/>
          <w:sz w:val="15"/>
          <w:szCs w:val="15"/>
          <w:color w:val="auto"/>
        </w:rPr>
        <w:t>” in Section 1 and under “</w:t>
      </w:r>
      <w:r>
        <w:rPr>
          <w:rFonts w:ascii="Arial" w:cs="Arial" w:eastAsia="Arial" w:hAnsi="Arial"/>
          <w:sz w:val="19"/>
          <w:szCs w:val="19"/>
          <w:color w:val="auto"/>
        </w:rPr>
        <w:t>5</w:t>
      </w:r>
      <w:r>
        <w:rPr>
          <w:rFonts w:ascii="Arial" w:cs="Arial" w:eastAsia="Arial" w:hAnsi="Arial"/>
          <w:sz w:val="16"/>
          <w:szCs w:val="16"/>
          <w:color w:val="auto"/>
        </w:rPr>
        <w:t>% SHAREHOLDER</w:t>
      </w:r>
      <w:r>
        <w:rPr>
          <w:rFonts w:ascii="Arial" w:cs="Arial" w:eastAsia="Arial" w:hAnsi="Arial"/>
          <w:sz w:val="15"/>
          <w:szCs w:val="15"/>
          <w:color w:val="auto"/>
        </w:rPr>
        <w:t xml:space="preserve"> </w:t>
      </w:r>
      <w:r>
        <w:rPr>
          <w:rFonts w:ascii="Arial" w:cs="Arial" w:eastAsia="Arial" w:hAnsi="Arial"/>
          <w:sz w:val="16"/>
          <w:szCs w:val="16"/>
          <w:color w:val="auto"/>
        </w:rPr>
        <w:t>RECOMMENDATIONS</w:t>
      </w:r>
      <w:r>
        <w:rPr>
          <w:rFonts w:ascii="Arial" w:cs="Arial" w:eastAsia="Arial" w:hAnsi="Arial"/>
          <w:sz w:val="15"/>
          <w:szCs w:val="15"/>
          <w:color w:val="auto"/>
        </w:rPr>
        <w:t>” in Section 2. The Committee may also undertake its own search process for candidates and may retain the services of</w:t>
      </w:r>
      <w:r>
        <w:rPr>
          <w:rFonts w:ascii="Arial" w:cs="Arial" w:eastAsia="Arial" w:hAnsi="Arial"/>
          <w:sz w:val="16"/>
          <w:szCs w:val="16"/>
          <w:color w:val="auto"/>
        </w:rPr>
        <w:t xml:space="preserve"> </w:t>
      </w:r>
      <w:r>
        <w:rPr>
          <w:rFonts w:ascii="Arial" w:cs="Arial" w:eastAsia="Arial" w:hAnsi="Arial"/>
          <w:sz w:val="15"/>
          <w:szCs w:val="15"/>
          <w:color w:val="auto"/>
        </w:rPr>
        <w:t>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jc w:val="both"/>
        <w:ind w:left="900" w:hanging="445"/>
        <w:spacing w:after="0" w:line="269" w:lineRule="auto"/>
        <w:tabs>
          <w:tab w:leader="none" w:pos="880" w:val="left"/>
        </w:tabs>
        <w:rPr>
          <w:sz w:val="20"/>
          <w:szCs w:val="20"/>
          <w:color w:val="auto"/>
        </w:rPr>
      </w:pPr>
      <w:r>
        <w:rPr>
          <w:rFonts w:ascii="Arial" w:cs="Arial" w:eastAsia="Arial" w:hAnsi="Arial"/>
          <w:sz w:val="22"/>
          <w:szCs w:val="22"/>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CATEGORIZE RECOMMENDATIONS. </w:t>
      </w:r>
      <w:r>
        <w:rPr>
          <w:rFonts w:ascii="Arial" w:cs="Arial" w:eastAsia="Arial" w:hAnsi="Arial"/>
          <w:sz w:val="17"/>
          <w:szCs w:val="17"/>
          <w:color w:val="auto"/>
        </w:rPr>
        <w:t>For purposes of facilitating disclosure required in the Proxy Statement, the Committee and the</w:t>
      </w:r>
      <w:r>
        <w:rPr>
          <w:rFonts w:ascii="Arial" w:cs="Arial" w:eastAsia="Arial" w:hAnsi="Arial"/>
          <w:sz w:val="18"/>
          <w:szCs w:val="18"/>
          <w:b w:val="1"/>
          <w:bCs w:val="1"/>
          <w:color w:val="auto"/>
        </w:rPr>
        <w:t xml:space="preserve"> </w:t>
      </w:r>
      <w:r>
        <w:rPr>
          <w:rFonts w:ascii="Arial" w:cs="Arial" w:eastAsia="Arial" w:hAnsi="Arial"/>
          <w:sz w:val="17"/>
          <w:szCs w:val="17"/>
          <w:color w:val="auto"/>
        </w:rPr>
        <w:t>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353" w:lineRule="exact"/>
        <w:rPr>
          <w:sz w:val="20"/>
          <w:szCs w:val="20"/>
          <w:color w:val="auto"/>
        </w:rPr>
      </w:pPr>
    </w:p>
    <w:p>
      <w:pPr>
        <w:ind w:left="1360" w:hanging="447"/>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a 5% shareholder, independent director, chief executive officer, or other executive officer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60" w:hanging="447"/>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third-party search firm used by or on behalf of the Company;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60" w:hanging="447"/>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specified source.</w:t>
      </w:r>
    </w:p>
    <w:p>
      <w:pPr>
        <w:spacing w:after="0" w:line="374" w:lineRule="exact"/>
        <w:rPr>
          <w:sz w:val="20"/>
          <w:szCs w:val="20"/>
          <w:color w:val="auto"/>
        </w:rPr>
      </w:pPr>
    </w:p>
    <w:p>
      <w:pPr>
        <w:jc w:val="both"/>
        <w:ind w:left="900" w:hanging="445"/>
        <w:spacing w:after="0" w:line="272" w:lineRule="auto"/>
        <w:tabs>
          <w:tab w:leader="none" w:pos="880" w:val="left"/>
        </w:tabs>
        <w:rPr>
          <w:sz w:val="20"/>
          <w:szCs w:val="20"/>
          <w:color w:val="auto"/>
        </w:rPr>
      </w:pPr>
      <w:r>
        <w:rPr>
          <w:rFonts w:ascii="Arial" w:cs="Arial" w:eastAsia="Arial" w:hAnsi="Arial"/>
          <w:sz w:val="22"/>
          <w:szCs w:val="22"/>
          <w:color w:val="auto"/>
        </w:rPr>
        <w:t>7</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MATERIAL CHANGES TO NOMINATION PROCEDURES. </w:t>
      </w:r>
      <w:r>
        <w:rPr>
          <w:rFonts w:ascii="Arial" w:cs="Arial" w:eastAsia="Arial" w:hAnsi="Arial"/>
          <w:sz w:val="17"/>
          <w:szCs w:val="17"/>
          <w:color w:val="auto"/>
        </w:rPr>
        <w:t>For purposes of facilitating disclosure required in Form 10-K and Form 10-Q,</w:t>
      </w:r>
      <w:r>
        <w:rPr>
          <w:rFonts w:ascii="Arial" w:cs="Arial" w:eastAsia="Arial" w:hAnsi="Arial"/>
          <w:sz w:val="18"/>
          <w:szCs w:val="18"/>
          <w:b w:val="1"/>
          <w:bCs w:val="1"/>
          <w:color w:val="auto"/>
        </w:rPr>
        <w:t xml:space="preserve"> </w:t>
      </w:r>
      <w:r>
        <w:rPr>
          <w:rFonts w:ascii="Arial" w:cs="Arial" w:eastAsia="Arial" w:hAnsi="Arial"/>
          <w:sz w:val="17"/>
          <w:szCs w:val="17"/>
          <w:color w:val="auto"/>
        </w:rPr>
        <w:t>the Committee and the Corporate Secretary shall identify any material changes to the procedures for shareholder nominations of directors for the reporting period in which such material changes occur.</w:t>
      </w:r>
    </w:p>
    <w:p>
      <w:pPr>
        <w:spacing w:after="0" w:line="322" w:lineRule="exact"/>
        <w:rPr>
          <w:sz w:val="20"/>
          <w:szCs w:val="20"/>
          <w:color w:val="auto"/>
        </w:rPr>
      </w:pPr>
    </w:p>
    <w:p>
      <w:pPr>
        <w:jc w:val="both"/>
        <w:ind w:left="900" w:hanging="445"/>
        <w:spacing w:after="0" w:line="280" w:lineRule="auto"/>
        <w:tabs>
          <w:tab w:leader="none" w:pos="880" w:val="left"/>
        </w:tabs>
        <w:rPr>
          <w:sz w:val="20"/>
          <w:szCs w:val="20"/>
          <w:color w:val="auto"/>
        </w:rPr>
      </w:pPr>
      <w:r>
        <w:rPr>
          <w:rFonts w:ascii="Arial" w:cs="Arial" w:eastAsia="Arial" w:hAnsi="Arial"/>
          <w:sz w:val="22"/>
          <w:szCs w:val="22"/>
          <w:color w:val="auto"/>
        </w:rPr>
        <w:t>8</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POSTING OF POLICY. </w:t>
      </w:r>
      <w:r>
        <w:rPr>
          <w:rFonts w:ascii="Arial" w:cs="Arial" w:eastAsia="Arial" w:hAnsi="Arial"/>
          <w:sz w:val="17"/>
          <w:szCs w:val="17"/>
          <w:color w:val="auto"/>
        </w:rPr>
        <w:t>This Director Nomination Policy shall be posted to the Company’s Web Site in accordance with the Company’s</w:t>
      </w:r>
      <w:r>
        <w:rPr>
          <w:rFonts w:ascii="Arial" w:cs="Arial" w:eastAsia="Arial" w:hAnsi="Arial"/>
          <w:sz w:val="18"/>
          <w:szCs w:val="18"/>
          <w:b w:val="1"/>
          <w:bCs w:val="1"/>
          <w:color w:val="auto"/>
        </w:rPr>
        <w:t xml:space="preserve"> </w:t>
      </w:r>
      <w:r>
        <w:rPr>
          <w:rFonts w:ascii="Arial" w:cs="Arial" w:eastAsia="Arial" w:hAnsi="Arial"/>
          <w:sz w:val="17"/>
          <w:szCs w:val="17"/>
          <w:color w:val="auto"/>
        </w:rPr>
        <w:t>Corporate Governance Policy.</w:t>
      </w:r>
    </w:p>
    <w:p>
      <w:pPr>
        <w:spacing w:after="0" w:line="334" w:lineRule="exact"/>
        <w:rPr>
          <w:sz w:val="20"/>
          <w:szCs w:val="20"/>
          <w:color w:val="auto"/>
        </w:rPr>
      </w:pPr>
    </w:p>
    <w:p>
      <w:pPr>
        <w:jc w:val="both"/>
        <w:ind w:left="900" w:right="20" w:hanging="445"/>
        <w:spacing w:after="0" w:line="280" w:lineRule="auto"/>
        <w:tabs>
          <w:tab w:leader="none" w:pos="8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AMENDMENTS TO THIS POLICY</w:t>
      </w:r>
      <w:r>
        <w:rPr>
          <w:rFonts w:ascii="Arial" w:cs="Arial" w:eastAsia="Arial" w:hAnsi="Arial"/>
          <w:sz w:val="17"/>
          <w:szCs w:val="17"/>
          <w:color w:val="auto"/>
        </w:rPr>
        <w:t>. Any amendments to this Director Nomination Policy must be approved by the Committee and ratified by</w:t>
      </w:r>
      <w:r>
        <w:rPr>
          <w:rFonts w:ascii="Arial" w:cs="Arial" w:eastAsia="Arial" w:hAnsi="Arial"/>
          <w:sz w:val="18"/>
          <w:szCs w:val="18"/>
          <w:b w:val="1"/>
          <w:bCs w:val="1"/>
          <w:color w:val="auto"/>
        </w:rPr>
        <w:t xml:space="preserve"> </w:t>
      </w:r>
      <w:r>
        <w:rPr>
          <w:rFonts w:ascii="Arial" w:cs="Arial" w:eastAsia="Arial" w:hAnsi="Arial"/>
          <w:sz w:val="17"/>
          <w:szCs w:val="17"/>
          <w:color w:val="auto"/>
        </w:rPr>
        <w:t>the Board.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2008</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440055</wp:posOffset>
            </wp:positionV>
            <wp:extent cx="1929765"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97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COMPANY #</w:t>
      </w:r>
    </w:p>
    <w:p>
      <w:pPr>
        <w:spacing w:after="0" w:line="200" w:lineRule="exact"/>
        <w:rPr>
          <w:sz w:val="20"/>
          <w:szCs w:val="20"/>
          <w:color w:val="auto"/>
        </w:rPr>
      </w:pPr>
    </w:p>
    <w:p>
      <w:pPr>
        <w:spacing w:after="0" w:line="326"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Three Ways to Appoint Your Proxy to Vote</w:t>
      </w:r>
    </w:p>
    <w:p>
      <w:pPr>
        <w:spacing w:after="0" w:line="146"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To appoint your proxy electronically by telephone:</w:t>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1-800-560-1965</w:t>
      </w:r>
    </w:p>
    <w:p>
      <w:pPr>
        <w:spacing w:after="0" w:line="44"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1)  Read the Proxy Statement and have the proxy card below at hand.</w:t>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2)  Call 1-800-560-1965.</w:t>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3)  Follow the instructions.</w:t>
      </w:r>
    </w:p>
    <w:p>
      <w:pPr>
        <w:spacing w:after="0" w:line="121" w:lineRule="exact"/>
        <w:rPr>
          <w:sz w:val="20"/>
          <w:szCs w:val="20"/>
          <w:color w:val="auto"/>
        </w:rPr>
      </w:pPr>
    </w:p>
    <w:p>
      <w:pPr>
        <w:ind w:left="6800"/>
        <w:spacing w:after="0"/>
        <w:rPr>
          <w:sz w:val="20"/>
          <w:szCs w:val="20"/>
          <w:color w:val="auto"/>
        </w:rPr>
      </w:pPr>
      <w:r>
        <w:rPr>
          <w:rFonts w:ascii="Arial" w:cs="Arial" w:eastAsia="Arial" w:hAnsi="Arial"/>
          <w:sz w:val="12"/>
          <w:szCs w:val="12"/>
          <w:b w:val="1"/>
          <w:bCs w:val="1"/>
          <w:color w:val="auto"/>
        </w:rPr>
        <w:t>To appoint your proxy electronically via the Internet: www.eproxy.com/wgo/</w:t>
      </w:r>
    </w:p>
    <w:p>
      <w:pPr>
        <w:spacing w:after="0" w:line="67"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1) Read the Proxy Statement and have the proxy card below at hand.</w:t>
      </w:r>
    </w:p>
    <w:p>
      <w:pPr>
        <w:spacing w:after="0" w:line="4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 xml:space="preserve">2) Go to website </w:t>
      </w:r>
      <w:r>
        <w:rPr>
          <w:rFonts w:ascii="Arial" w:cs="Arial" w:eastAsia="Arial" w:hAnsi="Arial"/>
          <w:sz w:val="14"/>
          <w:szCs w:val="14"/>
          <w:b w:val="1"/>
          <w:bCs w:val="1"/>
          <w:color w:val="auto"/>
        </w:rPr>
        <w:t>www.eproxy.com/wgo/</w:t>
      </w:r>
      <w:r>
        <w:rPr>
          <w:rFonts w:ascii="Arial" w:cs="Arial" w:eastAsia="Arial" w:hAnsi="Arial"/>
          <w:sz w:val="14"/>
          <w:szCs w:val="14"/>
          <w:color w:val="auto"/>
        </w:rPr>
        <w:t>.</w:t>
      </w:r>
    </w:p>
    <w:p>
      <w:pPr>
        <w:spacing w:after="0" w:line="44"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3) Follow the instructions provided on the website.</w:t>
      </w:r>
    </w:p>
    <w:p>
      <w:pPr>
        <w:spacing w:after="0" w:line="107"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To appoint your proxy by mail</w:t>
      </w:r>
    </w:p>
    <w:p>
      <w:pPr>
        <w:spacing w:after="0" w:line="44"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1) Read the Proxy Statement.</w:t>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2) Check the appropriate boxes on the proxy card below.</w:t>
      </w:r>
    </w:p>
    <w:p>
      <w:pPr>
        <w:sectPr>
          <w:pgSz w:w="11900" w:h="16838" w:orient="portrait"/>
          <w:cols w:equalWidth="0" w:num="1">
            <w:col w:w="11420"/>
          </w:cols>
          <w:pgMar w:left="240" w:top="125" w:right="239" w:bottom="0" w:gutter="0" w:footer="0" w:header="0"/>
        </w:sectPr>
      </w:pPr>
    </w:p>
    <w:bookmarkStart w:id="37" w:name="page38"/>
    <w:bookmarkEnd w:id="37"/>
    <w:p>
      <w:pPr>
        <w:ind w:left="6800"/>
        <w:spacing w:after="0"/>
        <w:rPr>
          <w:sz w:val="20"/>
          <w:szCs w:val="20"/>
          <w:color w:val="auto"/>
        </w:rPr>
      </w:pPr>
      <w:r>
        <w:rPr>
          <w:rFonts w:ascii="Arial" w:cs="Arial" w:eastAsia="Arial" w:hAnsi="Arial"/>
          <w:sz w:val="14"/>
          <w:szCs w:val="14"/>
          <w:color w:val="auto"/>
        </w:rPr>
        <w:t>3) Sign and date the proxy card.</w:t>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4) Return the proxy card in the envelope provided.</w:t>
      </w:r>
    </w:p>
    <w:p>
      <w:pPr>
        <w:spacing w:after="0" w:line="123"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The deadline for telephone or Internet voting is 12:00 p.m. (CST) on Monday,</w:t>
      </w:r>
    </w:p>
    <w:p>
      <w:pPr>
        <w:spacing w:after="0" w:line="2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December 14, 2009.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22225</wp:posOffset>
            </wp:positionV>
            <wp:extent cx="1646555"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46555" cy="120015"/>
                    </a:xfrm>
                    <a:prstGeom prst="rect">
                      <a:avLst/>
                    </a:prstGeom>
                    <a:noFill/>
                  </pic:spPr>
                </pic:pic>
              </a:graphicData>
            </a:graphic>
          </wp:anchor>
        </w:drawing>
      </w:r>
    </w:p>
    <w:p>
      <w:pPr>
        <w:sectPr>
          <w:pgSz w:w="11900" w:h="16838" w:orient="portrait"/>
          <w:cols w:equalWidth="0" w:num="1">
            <w:col w:w="11420"/>
          </w:cols>
          <w:pgMar w:left="240" w:top="156" w:right="239" w:bottom="7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The Board of Directors Recommends a Vote FOR Items 1 and 2.</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Class I directors:</w:t>
            </w: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2380" w:type="dxa"/>
            <w:vAlign w:val="bottom"/>
          </w:tcPr>
          <w:p>
            <w:pPr>
              <w:ind w:left="40"/>
              <w:spacing w:after="0"/>
              <w:rPr>
                <w:sz w:val="20"/>
                <w:szCs w:val="20"/>
                <w:color w:val="auto"/>
              </w:rPr>
            </w:pPr>
            <w:r>
              <w:rPr>
                <w:rFonts w:ascii="Arial" w:cs="Arial" w:eastAsia="Arial" w:hAnsi="Arial"/>
                <w:sz w:val="14"/>
                <w:szCs w:val="14"/>
                <w:color w:val="auto"/>
              </w:rPr>
              <w:t>Irvin E. Aal</w:t>
            </w:r>
          </w:p>
        </w:tc>
        <w:tc>
          <w:tcPr>
            <w:tcW w:w="1540" w:type="dxa"/>
            <w:vAlign w:val="bottom"/>
          </w:tcPr>
          <w:p>
            <w:pPr>
              <w:ind w:left="1300"/>
              <w:spacing w:after="0"/>
              <w:rPr>
                <w:sz w:val="20"/>
                <w:szCs w:val="20"/>
                <w:color w:val="auto"/>
              </w:rPr>
            </w:pPr>
            <w:r>
              <w:rPr>
                <w:rFonts w:ascii="Arial" w:cs="Arial" w:eastAsia="Arial" w:hAnsi="Arial"/>
                <w:sz w:val="22"/>
                <w:szCs w:val="22"/>
                <w:color w:val="auto"/>
              </w:rPr>
              <w:t>o</w:t>
            </w:r>
          </w:p>
        </w:tc>
        <w:tc>
          <w:tcPr>
            <w:tcW w:w="1140" w:type="dxa"/>
            <w:vAlign w:val="bottom"/>
          </w:tcPr>
          <w:p>
            <w:pPr>
              <w:ind w:left="100"/>
              <w:spacing w:after="0"/>
              <w:rPr>
                <w:sz w:val="20"/>
                <w:szCs w:val="20"/>
                <w:color w:val="auto"/>
              </w:rPr>
            </w:pPr>
            <w:r>
              <w:rPr>
                <w:rFonts w:ascii="Arial" w:cs="Arial" w:eastAsia="Arial" w:hAnsi="Arial"/>
                <w:sz w:val="14"/>
                <w:szCs w:val="14"/>
                <w:color w:val="auto"/>
              </w:rPr>
              <w:t>Vote FOR</w:t>
            </w:r>
          </w:p>
        </w:tc>
      </w:tr>
      <w:tr>
        <w:trPr>
          <w:trHeight w:val="149"/>
        </w:trPr>
        <w:tc>
          <w:tcPr>
            <w:tcW w:w="2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380" w:type="dxa"/>
            <w:vAlign w:val="bottom"/>
          </w:tcPr>
          <w:p>
            <w:pPr>
              <w:ind w:left="40"/>
              <w:spacing w:after="0" w:line="149" w:lineRule="exact"/>
              <w:rPr>
                <w:sz w:val="20"/>
                <w:szCs w:val="20"/>
                <w:color w:val="auto"/>
              </w:rPr>
            </w:pPr>
            <w:r>
              <w:rPr>
                <w:rFonts w:ascii="Arial" w:cs="Arial" w:eastAsia="Arial" w:hAnsi="Arial"/>
                <w:sz w:val="14"/>
                <w:szCs w:val="14"/>
                <w:color w:val="auto"/>
              </w:rPr>
              <w:t>Joseph W. England</w:t>
            </w:r>
          </w:p>
        </w:tc>
        <w:tc>
          <w:tcPr>
            <w:tcW w:w="1540" w:type="dxa"/>
            <w:vAlign w:val="bottom"/>
          </w:tcPr>
          <w:p>
            <w:pPr>
              <w:spacing w:after="0"/>
              <w:rPr>
                <w:sz w:val="12"/>
                <w:szCs w:val="12"/>
                <w:color w:val="auto"/>
              </w:rPr>
            </w:pP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all nominees</w:t>
            </w:r>
          </w:p>
        </w:tc>
      </w:tr>
      <w:tr>
        <w:trPr>
          <w:trHeight w:val="172"/>
        </w:trPr>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w w:val="85"/>
              </w:rPr>
              <w:t>(except as marked)</w:t>
            </w:r>
          </w:p>
        </w:tc>
      </w:tr>
    </w:tbl>
    <w:p>
      <w:pPr>
        <w:spacing w:after="0" w:line="136"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(Instructions: To withhold authority to vote for any indicated nominee, write the number(s) of the nominee(s)</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 the box provided to the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337" w:right="1080" w:hanging="337"/>
        <w:spacing w:after="0" w:line="216" w:lineRule="auto"/>
        <w:tabs>
          <w:tab w:leader="none" w:pos="337" w:val="left"/>
        </w:tabs>
        <w:numPr>
          <w:ilvl w:val="0"/>
          <w:numId w:val="56"/>
        </w:numPr>
        <w:rPr>
          <w:rFonts w:ascii="Arial" w:cs="Arial" w:eastAsia="Arial" w:hAnsi="Arial"/>
          <w:sz w:val="19"/>
          <w:szCs w:val="19"/>
          <w:color w:val="auto"/>
        </w:rPr>
      </w:pPr>
      <w:r>
        <w:rPr>
          <w:rFonts w:ascii="Arial" w:cs="Arial" w:eastAsia="Arial" w:hAnsi="Arial"/>
          <w:sz w:val="12"/>
          <w:szCs w:val="12"/>
          <w:color w:val="auto"/>
        </w:rPr>
        <w:t>Vote WITHHELD from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180340</wp:posOffset>
            </wp:positionV>
            <wp:extent cx="252158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1585" cy="205740"/>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320" w:space="683"/>
            <w:col w:w="2417"/>
          </w:cols>
          <w:pgMar w:left="240" w:top="156" w:right="239" w:bottom="779" w:gutter="0" w:footer="0" w:header="0"/>
          <w:type w:val="continuous"/>
        </w:sectPr>
      </w:pPr>
    </w:p>
    <w:tbl>
      <w:tblPr>
        <w:tblLayout w:type="fixed"/>
        <w:tblInd w:w="260" w:type="dxa"/>
        <w:tblCellMar>
          <w:top w:w="0" w:type="dxa"/>
          <w:left w:w="0" w:type="dxa"/>
          <w:bottom w:w="0" w:type="dxa"/>
          <w:right w:w="0" w:type="dxa"/>
        </w:tblCellMar>
      </w:tblPr>
      <w:tr>
        <w:trPr>
          <w:trHeight w:val="161"/>
        </w:trPr>
        <w:tc>
          <w:tcPr>
            <w:tcW w:w="6580" w:type="dxa"/>
            <w:vAlign w:val="bottom"/>
          </w:tcPr>
          <w:p>
            <w:pPr>
              <w:spacing w:after="0"/>
              <w:rPr>
                <w:sz w:val="20"/>
                <w:szCs w:val="20"/>
                <w:color w:val="auto"/>
              </w:rPr>
            </w:pPr>
            <w:r>
              <w:rPr>
                <w:rFonts w:ascii="Arial" w:cs="Arial" w:eastAsia="Arial" w:hAnsi="Arial"/>
                <w:sz w:val="14"/>
                <w:szCs w:val="14"/>
                <w:b w:val="1"/>
                <w:bCs w:val="1"/>
                <w:color w:val="auto"/>
                <w:w w:val="92"/>
              </w:rPr>
              <w:t xml:space="preserve">2.  </w:t>
            </w:r>
            <w:r>
              <w:rPr>
                <w:rFonts w:ascii="Arial" w:cs="Arial" w:eastAsia="Arial" w:hAnsi="Arial"/>
                <w:sz w:val="14"/>
                <w:szCs w:val="14"/>
                <w:color w:val="auto"/>
                <w:w w:val="92"/>
              </w:rPr>
              <w:t>Ratification of the appointment of Deloitte &amp; Touche LLP as Winnebago Industries, Inc. Independent Registered</w:t>
            </w:r>
          </w:p>
        </w:tc>
        <w:tc>
          <w:tcPr>
            <w:tcW w:w="500" w:type="dxa"/>
            <w:vAlign w:val="bottom"/>
            <w:vMerge w:val="restart"/>
          </w:tcPr>
          <w:p>
            <w:pPr>
              <w:ind w:left="280"/>
              <w:spacing w:after="0"/>
              <w:rPr>
                <w:sz w:val="20"/>
                <w:szCs w:val="20"/>
                <w:color w:val="auto"/>
              </w:rPr>
            </w:pPr>
            <w:r>
              <w:rPr>
                <w:rFonts w:ascii="Arial" w:cs="Arial" w:eastAsia="Arial" w:hAnsi="Arial"/>
                <w:sz w:val="22"/>
                <w:szCs w:val="22"/>
                <w:color w:val="auto"/>
              </w:rPr>
              <w:t>o</w:t>
            </w:r>
          </w:p>
        </w:tc>
        <w:tc>
          <w:tcPr>
            <w:tcW w:w="6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22"/>
                <w:szCs w:val="22"/>
                <w:color w:val="auto"/>
              </w:rPr>
              <w:t>o</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80" w:type="dxa"/>
            <w:vAlign w:val="bottom"/>
          </w:tcPr>
          <w:p>
            <w:pPr>
              <w:ind w:left="200"/>
              <w:spacing w:after="0"/>
              <w:rPr>
                <w:sz w:val="20"/>
                <w:szCs w:val="20"/>
                <w:color w:val="auto"/>
              </w:rPr>
            </w:pPr>
            <w:r>
              <w:rPr>
                <w:rFonts w:ascii="Arial" w:cs="Arial" w:eastAsia="Arial" w:hAnsi="Arial"/>
                <w:sz w:val="14"/>
                <w:szCs w:val="14"/>
                <w:color w:val="auto"/>
              </w:rPr>
              <w:t>Public Accountants for our fiscal year 2010.</w:t>
            </w:r>
          </w:p>
        </w:tc>
        <w:tc>
          <w:tcPr>
            <w:tcW w:w="500" w:type="dxa"/>
            <w:vAlign w:val="bottom"/>
            <w:vMerge w:val="continue"/>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auto"/>
              </w:rPr>
              <w:t>For</w:t>
            </w:r>
          </w:p>
        </w:tc>
        <w:tc>
          <w:tcPr>
            <w:tcW w:w="520" w:type="dxa"/>
            <w:vAlign w:val="bottom"/>
            <w:vMerge w:val="continue"/>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color w:val="auto"/>
                <w:w w:val="85"/>
              </w:rPr>
              <w:t>Against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60" w:hanging="209"/>
        <w:spacing w:after="0"/>
        <w:tabs>
          <w:tab w:leader="none" w:pos="460" w:val="left"/>
        </w:tabs>
        <w:numPr>
          <w:ilvl w:val="0"/>
          <w:numId w:val="57"/>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64" w:lineRule="exact"/>
        <w:rPr>
          <w:sz w:val="20"/>
          <w:szCs w:val="20"/>
          <w:color w:val="auto"/>
        </w:rPr>
      </w:pPr>
    </w:p>
    <w:p>
      <w:pPr>
        <w:ind w:left="260"/>
        <w:spacing w:after="0"/>
        <w:tabs>
          <w:tab w:leader="none" w:pos="7700" w:val="left"/>
        </w:tabs>
        <w:rPr>
          <w:sz w:val="20"/>
          <w:szCs w:val="20"/>
          <w:color w:val="auto"/>
        </w:rPr>
      </w:pPr>
      <w:r>
        <w:rPr>
          <w:rFonts w:ascii="Arial" w:cs="Arial" w:eastAsia="Arial" w:hAnsi="Arial"/>
          <w:sz w:val="14"/>
          <w:szCs w:val="14"/>
          <w:color w:val="auto"/>
        </w:rPr>
        <w:t xml:space="preserve">Address Change? Mark Box </w:t>
      </w:r>
      <w:r>
        <w:rPr>
          <w:rFonts w:ascii="Arial" w:cs="Arial" w:eastAsia="Arial" w:hAnsi="Arial"/>
          <w:sz w:val="21"/>
          <w:szCs w:val="21"/>
          <w:color w:val="auto"/>
        </w:rPr>
        <w:t>o</w:t>
      </w:r>
      <w:r>
        <w:rPr>
          <w:rFonts w:ascii="Arial" w:cs="Arial" w:eastAsia="Arial" w:hAnsi="Arial"/>
          <w:sz w:val="14"/>
          <w:szCs w:val="14"/>
          <w:color w:val="auto"/>
        </w:rPr>
        <w:t xml:space="preserve"> Indicate changes below:</w:t>
      </w:r>
      <w:r>
        <w:rPr>
          <w:sz w:val="20"/>
          <w:szCs w:val="20"/>
          <w:color w:val="auto"/>
        </w:rPr>
        <w:tab/>
      </w:r>
      <w:r>
        <w:rPr>
          <w:rFonts w:ascii="Arial" w:cs="Arial" w:eastAsia="Arial" w:hAnsi="Arial"/>
          <w:sz w:val="18"/>
          <w:szCs w:val="18"/>
          <w:color w:val="auto"/>
          <w:vertAlign w:val="subscript"/>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233680</wp:posOffset>
            </wp:positionV>
            <wp:extent cx="2581275"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8127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337" w:hanging="337"/>
        <w:spacing w:after="0"/>
        <w:tabs>
          <w:tab w:leader="none" w:pos="337" w:val="left"/>
        </w:tabs>
        <w:numPr>
          <w:ilvl w:val="0"/>
          <w:numId w:val="58"/>
        </w:numPr>
        <w:rPr>
          <w:rFonts w:ascii="Arial" w:cs="Arial" w:eastAsia="Arial" w:hAnsi="Arial"/>
          <w:sz w:val="19"/>
          <w:szCs w:val="19"/>
          <w:color w:val="auto"/>
        </w:rPr>
      </w:pPr>
      <w:r>
        <w:rPr>
          <w:rFonts w:ascii="Arial" w:cs="Arial" w:eastAsia="Arial" w:hAnsi="Arial"/>
          <w:sz w:val="12"/>
          <w:szCs w:val="12"/>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437515</wp:posOffset>
            </wp:positionV>
            <wp:extent cx="19551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90" w:lineRule="exact"/>
        <w:rPr>
          <w:sz w:val="20"/>
          <w:szCs w:val="20"/>
          <w:color w:val="auto"/>
        </w:rPr>
      </w:pPr>
    </w:p>
    <w:p>
      <w:pPr>
        <w:sectPr>
          <w:pgSz w:w="11900" w:h="16838" w:orient="portrait"/>
          <w:cols w:equalWidth="0" w:num="2">
            <w:col w:w="9000" w:space="583"/>
            <w:col w:w="1837"/>
          </w:cols>
          <w:pgMar w:left="240" w:top="156" w:right="239" w:bottom="77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40"/>
        <w:spacing w:after="0"/>
        <w:rPr>
          <w:sz w:val="20"/>
          <w:szCs w:val="20"/>
          <w:color w:val="auto"/>
        </w:rPr>
      </w:pPr>
      <w:r>
        <w:rPr>
          <w:rFonts w:ascii="Arial" w:cs="Arial" w:eastAsia="Arial" w:hAnsi="Arial"/>
          <w:sz w:val="14"/>
          <w:szCs w:val="14"/>
          <w:color w:val="auto"/>
        </w:rPr>
        <w:t>Signature(s) in Box</w:t>
      </w:r>
    </w:p>
    <w:p>
      <w:pPr>
        <w:spacing w:after="0" w:line="42"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Please sign exactly as your name(s) appears on Proxy. If held in joint</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tenancy, all persons should sign. Trustees, administrators, etc., should</w:t>
      </w:r>
    </w:p>
    <w:p>
      <w:pPr>
        <w:spacing w:after="0" w:line="11"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include title and authority. Corporations should provide full name of</w:t>
      </w:r>
    </w:p>
    <w:p>
      <w:pPr>
        <w:spacing w:after="0" w:line="10" w:lineRule="exact"/>
        <w:rPr>
          <w:sz w:val="20"/>
          <w:szCs w:val="20"/>
          <w:color w:val="auto"/>
        </w:rPr>
      </w:pPr>
    </w:p>
    <w:p>
      <w:pPr>
        <w:ind w:left="7040"/>
        <w:spacing w:after="0"/>
        <w:rPr>
          <w:sz w:val="20"/>
          <w:szCs w:val="20"/>
          <w:color w:val="auto"/>
        </w:rPr>
      </w:pPr>
      <w:r>
        <w:rPr>
          <w:rFonts w:ascii="Arial" w:cs="Arial" w:eastAsia="Arial" w:hAnsi="Arial"/>
          <w:sz w:val="14"/>
          <w:szCs w:val="14"/>
          <w:color w:val="auto"/>
        </w:rPr>
        <w:t>corporation and title 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393065</wp:posOffset>
            </wp:positionV>
            <wp:extent cx="725043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302895</wp:posOffset>
            </wp:positionV>
            <wp:extent cx="6062980" cy="4879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62980"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ANNUAL MEETING OF SHAREHOLDERS</w:t>
      </w:r>
    </w:p>
    <w:p>
      <w:pPr>
        <w:spacing w:after="0" w:line="131" w:lineRule="exact"/>
        <w:rPr>
          <w:sz w:val="20"/>
          <w:szCs w:val="20"/>
          <w:color w:val="auto"/>
        </w:rPr>
      </w:pPr>
    </w:p>
    <w:p>
      <w:pPr>
        <w:ind w:left="440"/>
        <w:spacing w:after="0"/>
        <w:tabs>
          <w:tab w:leader="none" w:pos="2700" w:val="left"/>
        </w:tabs>
        <w:rPr>
          <w:sz w:val="20"/>
          <w:szCs w:val="20"/>
          <w:color w:val="auto"/>
        </w:rPr>
      </w:pPr>
      <w:r>
        <w:rPr>
          <w:rFonts w:ascii="Arial" w:cs="Arial" w:eastAsia="Arial" w:hAnsi="Arial"/>
          <w:sz w:val="18"/>
          <w:szCs w:val="18"/>
          <w:b w:val="1"/>
          <w:bCs w:val="1"/>
          <w:color w:val="auto"/>
        </w:rPr>
        <w:t>Tuesday, December 15, 2009</w:t>
      </w:r>
      <w:r>
        <w:rPr>
          <w:sz w:val="20"/>
          <w:szCs w:val="20"/>
          <w:color w:val="auto"/>
        </w:rPr>
        <w:tab/>
      </w:r>
      <w:r>
        <w:rPr>
          <w:rFonts w:ascii="Arial" w:cs="Arial" w:eastAsia="Arial" w:hAnsi="Arial"/>
          <w:sz w:val="16"/>
          <w:szCs w:val="16"/>
          <w:b w:val="1"/>
          <w:bCs w:val="1"/>
          <w:color w:val="auto"/>
        </w:rPr>
        <w:t>4:00 p.m. Central Standard Time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Winnebago Industries’ South Office Complex Theater,</w:t>
      </w:r>
    </w:p>
    <w:p>
      <w:pPr>
        <w:spacing w:after="0" w:line="23" w:lineRule="exact"/>
        <w:rPr>
          <w:sz w:val="20"/>
          <w:szCs w:val="20"/>
          <w:color w:val="auto"/>
        </w:rPr>
      </w:pPr>
    </w:p>
    <w:p>
      <w:pPr>
        <w:jc w:val="center"/>
        <w:ind w:right="5880"/>
        <w:spacing w:after="0"/>
        <w:rPr>
          <w:sz w:val="20"/>
          <w:szCs w:val="20"/>
          <w:color w:val="auto"/>
        </w:rPr>
      </w:pPr>
      <w:r>
        <w:rPr>
          <w:rFonts w:ascii="Arial" w:cs="Arial" w:eastAsia="Arial" w:hAnsi="Arial"/>
          <w:sz w:val="18"/>
          <w:szCs w:val="18"/>
          <w:b w:val="1"/>
          <w:bCs w:val="1"/>
          <w:color w:val="auto"/>
        </w:rPr>
        <w:t>605 W. Crystal Lake Road, Forest City, Iowa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DIRECTIONS:</w:t>
      </w:r>
    </w:p>
    <w:p>
      <w:pPr>
        <w:spacing w:after="0" w:line="136"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From I-35</w:t>
      </w:r>
    </w:p>
    <w:p>
      <w:pPr>
        <w:spacing w:after="0" w:line="30" w:lineRule="exact"/>
        <w:rPr>
          <w:rFonts w:ascii="Arial" w:cs="Arial" w:eastAsia="Arial" w:hAnsi="Arial"/>
          <w:sz w:val="14"/>
          <w:szCs w:val="14"/>
          <w:b w:val="1"/>
          <w:bCs w:val="1"/>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From I-35, take exit number 203, and turn right (West) on IA-9 towards Forest City.</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28" w:lineRule="exact"/>
        <w:rPr>
          <w:rFonts w:ascii="Arial" w:cs="Arial" w:eastAsia="Arial" w:hAnsi="Arial"/>
          <w:sz w:val="14"/>
          <w:szCs w:val="14"/>
          <w:color w:val="auto"/>
        </w:rPr>
      </w:pPr>
    </w:p>
    <w:p>
      <w:pPr>
        <w:ind w:left="340" w:right="5940" w:hanging="116"/>
        <w:spacing w:after="0" w:line="298" w:lineRule="auto"/>
        <w:tabs>
          <w:tab w:leader="none" w:pos="311" w:val="left"/>
        </w:tabs>
        <w:numPr>
          <w:ilvl w:val="1"/>
          <w:numId w:val="59"/>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70" w:lineRule="exact"/>
        <w:rPr>
          <w:rFonts w:ascii="Arial" w:cs="Arial" w:eastAsia="Arial" w:hAnsi="Arial"/>
          <w:sz w:val="14"/>
          <w:szCs w:val="14"/>
          <w:color w:val="auto"/>
        </w:rPr>
      </w:pPr>
    </w:p>
    <w:p>
      <w:pPr>
        <w:ind w:left="180" w:hanging="172"/>
        <w:spacing w:after="0"/>
        <w:tabs>
          <w:tab w:leader="none" w:pos="1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From I-80</w:t>
      </w:r>
    </w:p>
    <w:p>
      <w:pPr>
        <w:spacing w:after="0" w:line="30" w:lineRule="exact"/>
        <w:rPr>
          <w:rFonts w:ascii="Arial" w:cs="Arial" w:eastAsia="Arial" w:hAnsi="Arial"/>
          <w:sz w:val="14"/>
          <w:szCs w:val="14"/>
          <w:b w:val="1"/>
          <w:bCs w:val="1"/>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From I-80, take exit number 137B, turning on to I-35 North towards Minneapolis.</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28" w:lineRule="exact"/>
        <w:rPr>
          <w:rFonts w:ascii="Arial" w:cs="Arial" w:eastAsia="Arial" w:hAnsi="Arial"/>
          <w:sz w:val="14"/>
          <w:szCs w:val="14"/>
          <w:color w:val="auto"/>
        </w:rPr>
      </w:pPr>
    </w:p>
    <w:p>
      <w:pPr>
        <w:ind w:left="340" w:right="5940" w:hanging="116"/>
        <w:spacing w:after="0" w:line="298" w:lineRule="auto"/>
        <w:tabs>
          <w:tab w:leader="none" w:pos="311" w:val="left"/>
        </w:tabs>
        <w:numPr>
          <w:ilvl w:val="1"/>
          <w:numId w:val="59"/>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57" w:lineRule="exact"/>
        <w:rPr>
          <w:rFonts w:ascii="Arial" w:cs="Arial" w:eastAsia="Arial" w:hAnsi="Arial"/>
          <w:sz w:val="14"/>
          <w:szCs w:val="14"/>
          <w:color w:val="auto"/>
        </w:rPr>
      </w:pPr>
    </w:p>
    <w:p>
      <w:pPr>
        <w:ind w:left="180" w:hanging="172"/>
        <w:spacing w:after="0"/>
        <w:tabs>
          <w:tab w:leader="none" w:pos="1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From I-90</w:t>
      </w:r>
    </w:p>
    <w:p>
      <w:pPr>
        <w:spacing w:after="0" w:line="30" w:lineRule="exact"/>
        <w:rPr>
          <w:rFonts w:ascii="Arial" w:cs="Arial" w:eastAsia="Arial" w:hAnsi="Arial"/>
          <w:sz w:val="14"/>
          <w:szCs w:val="14"/>
          <w:b w:val="1"/>
          <w:bCs w:val="1"/>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From I-90, take exit number 159A, turning on to I-35 South towards Albert Lea.</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Exit I-35 on exit number 203, IA-9 right (West) towards Forest City.</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28" w:lineRule="exact"/>
        <w:rPr>
          <w:rFonts w:ascii="Arial" w:cs="Arial" w:eastAsia="Arial" w:hAnsi="Arial"/>
          <w:sz w:val="14"/>
          <w:szCs w:val="14"/>
          <w:color w:val="auto"/>
        </w:rPr>
      </w:pPr>
    </w:p>
    <w:p>
      <w:pPr>
        <w:ind w:left="300" w:hanging="76"/>
        <w:spacing w:after="0"/>
        <w:tabs>
          <w:tab w:leader="none" w:pos="3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14" w:lineRule="exact"/>
        <w:rPr>
          <w:rFonts w:ascii="Arial" w:cs="Arial" w:eastAsia="Arial" w:hAnsi="Arial"/>
          <w:sz w:val="14"/>
          <w:szCs w:val="14"/>
          <w:color w:val="auto"/>
        </w:rPr>
      </w:pPr>
    </w:p>
    <w:p>
      <w:pPr>
        <w:ind w:left="340" w:right="5940" w:hanging="116"/>
        <w:spacing w:after="0" w:line="239" w:lineRule="auto"/>
        <w:tabs>
          <w:tab w:leader="none" w:pos="311" w:val="left"/>
        </w:tabs>
        <w:numPr>
          <w:ilvl w:val="1"/>
          <w:numId w:val="59"/>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ectPr>
          <w:pgSz w:w="11900" w:h="16838" w:orient="portrait"/>
          <w:cols w:equalWidth="0" w:num="1">
            <w:col w:w="11420"/>
          </w:cols>
          <w:pgMar w:left="240" w:top="156" w:right="239" w:bottom="779"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Winnebago Industries,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Proxy solicited on behalf of the Board of Directors of the Company for Annual Meeting on December 15,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proxy</w:t>
      </w:r>
    </w:p>
    <w:p>
      <w:pPr>
        <w:spacing w:after="0" w:line="631" w:lineRule="exact"/>
        <w:rPr>
          <w:sz w:val="20"/>
          <w:szCs w:val="20"/>
          <w:color w:val="auto"/>
        </w:rPr>
      </w:pPr>
    </w:p>
    <w:p>
      <w:pPr>
        <w:sectPr>
          <w:pgSz w:w="11900" w:h="16838" w:orient="portrait"/>
          <w:cols w:equalWidth="0" w:num="2">
            <w:col w:w="9900" w:space="720"/>
            <w:col w:w="800"/>
          </w:cols>
          <w:pgMar w:left="240" w:top="368" w:right="239" w:bottom="1440" w:gutter="0" w:footer="0" w:header="0"/>
        </w:sectPr>
      </w:pPr>
    </w:p>
    <w:p>
      <w:pPr>
        <w:jc w:val="both"/>
        <w:spacing w:after="0" w:line="298" w:lineRule="auto"/>
        <w:rPr>
          <w:sz w:val="20"/>
          <w:szCs w:val="20"/>
          <w:color w:val="auto"/>
        </w:rPr>
      </w:pPr>
      <w:r>
        <w:rPr>
          <w:rFonts w:ascii="Arial" w:cs="Arial" w:eastAsia="Arial" w:hAnsi="Arial"/>
          <w:sz w:val="16"/>
          <w:szCs w:val="16"/>
          <w:color w:val="auto"/>
        </w:rPr>
        <w:t>The undersigned hereby appoints Robert J. Olson and Raymond M. Beebe,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15th day of December, 2009,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6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x"/>
      <w:numFmt w:val="bullet"/>
      <w:start w:val="1"/>
    </w:lvl>
  </w:abstractNum>
  <w:abstractNum w:abstractNumId="2">
    <w:nsid w:val="7C3DBD3D"/>
    <w:multiLevelType w:val="hybridMultilevel"/>
    <w:lvl w:ilvl="0">
      <w:lvlJc w:val="left"/>
      <w:lvlText w:val="o"/>
      <w:numFmt w:val="bullet"/>
      <w:start w:val="1"/>
    </w:lvl>
    <w:lvl w:ilvl="1">
      <w:lvlJc w:val="left"/>
      <w:lvlText w:val="(%2)"/>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2"/>
    </w:lvl>
  </w:abstractNum>
  <w:abstractNum w:abstractNumId="6">
    <w:nsid w:val="4516DDE9"/>
    <w:multiLevelType w:val="hybridMultilevel"/>
    <w:lvl w:ilvl="0">
      <w:lvlJc w:val="left"/>
      <w:lvlText w:val="(%1)"/>
      <w:numFmt w:val="decimal"/>
      <w:start w:val="5"/>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3"/>
    </w:lvl>
  </w:abstractNum>
  <w:abstractNum w:abstractNumId="9">
    <w:nsid w:val="419AC241"/>
    <w:multiLevelType w:val="hybridMultilevel"/>
    <w:lvl w:ilvl="0">
      <w:lvlJc w:val="left"/>
      <w:lvlText w:val="(%1)"/>
      <w:numFmt w:val="decimal"/>
      <w:start w:val="4"/>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3"/>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lowerRoman"/>
      <w:start w:val="1"/>
    </w:lvl>
  </w:abstractNum>
  <w:abstractNum w:abstractNumId="16">
    <w:nsid w:val="5C482A97"/>
    <w:multiLevelType w:val="hybridMultilevel"/>
    <w:lvl w:ilvl="0">
      <w:lvlJc w:val="left"/>
      <w:lvlText w:val="(%1)"/>
      <w:numFmt w:val="lowerRoman"/>
      <w:start w:val="2"/>
    </w:lvl>
  </w:abstractNum>
  <w:abstractNum w:abstractNumId="17">
    <w:nsid w:val="2463B9EA"/>
    <w:multiLevelType w:val="hybridMultilevel"/>
    <w:lvl w:ilvl="0">
      <w:lvlJc w:val="left"/>
      <w:lvlText w:val="(%1)"/>
      <w:numFmt w:val="lowerRoman"/>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2"/>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decimal"/>
      <w:start w:val="4"/>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decimal"/>
      <w:start w:val="4"/>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7"/>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4"/>
    </w:lvl>
    <w:lvl w:ilvl="1">
      <w:lvlJc w:val="left"/>
      <w:lvlText w:val="(%2)"/>
      <w:numFmt w:val="decimal"/>
      <w:start w:val="6"/>
    </w:lvl>
  </w:abstractNum>
  <w:abstractNum w:abstractNumId="45">
    <w:nsid w:val="12E685FB"/>
    <w:multiLevelType w:val="hybridMultilevel"/>
    <w:lvl w:ilvl="0">
      <w:lvlJc w:val="left"/>
      <w:lvlText w:val="(%1)"/>
      <w:numFmt w:val="decimal"/>
      <w:start w:val="8"/>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6"/>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o"/>
      <w:numFmt w:val="bullet"/>
      <w:start w:val="1"/>
    </w:lvl>
  </w:abstractNum>
  <w:abstractNum w:abstractNumId="56">
    <w:nsid w:val="235BA861"/>
    <w:multiLevelType w:val="hybridMultilevel"/>
    <w:lvl w:ilvl="0">
      <w:lvlJc w:val="left"/>
      <w:lvlText w:val="%1."/>
      <w:numFmt w:val="decimal"/>
      <w:start w:val="3"/>
    </w:lvl>
  </w:abstractNum>
  <w:abstractNum w:abstractNumId="57">
    <w:nsid w:val="47398C89"/>
    <w:multiLevelType w:val="hybridMultilevel"/>
    <w:lvl w:ilvl="0">
      <w:lvlJc w:val="left"/>
      <w:lvlText w:val="o"/>
      <w:numFmt w:val="bullet"/>
      <w:start w:val="1"/>
    </w:lvl>
  </w:abstractNum>
  <w:abstractNum w:abstractNumId="58">
    <w:nsid w:val="354FE9F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2019-12-10T03:41:29Z</dcterms:created>
  <dcterms:modified xsi:type="dcterms:W3CDTF">2019-12-10T03:41:29Z</dcterms:modified>
</cp:coreProperties>
</file>