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224155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5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March 19,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40" w:type="dxa"/>
        <w:tblCellMar>
          <w:top w:w="0" w:type="dxa"/>
          <w:left w:w="0" w:type="dxa"/>
          <w:bottom w:w="0" w:type="dxa"/>
          <w:right w:w="0" w:type="dxa"/>
        </w:tblCellMar>
      </w:tblPr>
      <w:tr>
        <w:trPr>
          <w:trHeight w:val="262"/>
        </w:trPr>
        <w:tc>
          <w:tcPr>
            <w:tcW w:w="3600" w:type="dxa"/>
            <w:vAlign w:val="bottom"/>
          </w:tcPr>
          <w:p>
            <w:pPr>
              <w:jc w:val="center"/>
              <w:ind w:right="602"/>
              <w:spacing w:after="0"/>
              <w:rPr>
                <w:sz w:val="20"/>
                <w:szCs w:val="20"/>
                <w:color w:val="auto"/>
              </w:rPr>
            </w:pPr>
            <w:r>
              <w:rPr>
                <w:rFonts w:ascii="Arial" w:cs="Arial" w:eastAsia="Arial" w:hAnsi="Arial"/>
                <w:sz w:val="22"/>
                <w:szCs w:val="22"/>
                <w:b w:val="1"/>
                <w:bCs w:val="1"/>
                <w:color w:val="auto"/>
                <w:w w:val="93"/>
              </w:rPr>
              <w:t>Iowa</w:t>
            </w:r>
          </w:p>
        </w:tc>
        <w:tc>
          <w:tcPr>
            <w:tcW w:w="3180" w:type="dxa"/>
            <w:vAlign w:val="bottom"/>
          </w:tcPr>
          <w:p>
            <w:pPr>
              <w:jc w:val="right"/>
              <w:ind w:right="922"/>
              <w:spacing w:after="0"/>
              <w:rPr>
                <w:sz w:val="20"/>
                <w:szCs w:val="20"/>
                <w:color w:val="auto"/>
              </w:rPr>
            </w:pPr>
            <w:r>
              <w:rPr>
                <w:rFonts w:ascii="Arial" w:cs="Arial" w:eastAsia="Arial" w:hAnsi="Arial"/>
                <w:sz w:val="22"/>
                <w:szCs w:val="22"/>
                <w:b w:val="1"/>
                <w:bCs w:val="1"/>
                <w:color w:val="auto"/>
              </w:rPr>
              <w:t>001-06403</w:t>
            </w:r>
          </w:p>
        </w:tc>
        <w:tc>
          <w:tcPr>
            <w:tcW w:w="288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600" w:type="dxa"/>
            <w:vAlign w:val="bottom"/>
          </w:tcPr>
          <w:p>
            <w:pPr>
              <w:jc w:val="center"/>
              <w:ind w:right="602"/>
              <w:spacing w:after="0"/>
              <w:rPr>
                <w:sz w:val="20"/>
                <w:szCs w:val="20"/>
                <w:color w:val="auto"/>
              </w:rPr>
            </w:pPr>
            <w:r>
              <w:rPr>
                <w:rFonts w:ascii="Arial" w:cs="Arial" w:eastAsia="Arial" w:hAnsi="Arial"/>
                <w:sz w:val="18"/>
                <w:szCs w:val="18"/>
                <w:color w:val="auto"/>
                <w:w w:val="88"/>
              </w:rPr>
              <w:t>(State or Other Jurisdiction</w:t>
            </w:r>
          </w:p>
        </w:tc>
        <w:tc>
          <w:tcPr>
            <w:tcW w:w="3180" w:type="dxa"/>
            <w:vAlign w:val="bottom"/>
          </w:tcPr>
          <w:p>
            <w:pPr>
              <w:jc w:val="center"/>
              <w:ind w:left="10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502"/>
              <w:spacing w:after="0"/>
              <w:rPr>
                <w:sz w:val="20"/>
                <w:szCs w:val="20"/>
                <w:color w:val="auto"/>
              </w:rPr>
            </w:pPr>
            <w:r>
              <w:rPr>
                <w:rFonts w:ascii="Arial" w:cs="Arial" w:eastAsia="Arial" w:hAnsi="Arial"/>
                <w:sz w:val="18"/>
                <w:szCs w:val="18"/>
                <w:color w:val="auto"/>
                <w:w w:val="92"/>
              </w:rPr>
              <w:t>(IRS Employer</w:t>
            </w:r>
          </w:p>
        </w:tc>
      </w:tr>
      <w:tr>
        <w:trPr>
          <w:trHeight w:val="222"/>
        </w:trPr>
        <w:tc>
          <w:tcPr>
            <w:tcW w:w="3600" w:type="dxa"/>
            <w:vAlign w:val="bottom"/>
          </w:tcPr>
          <w:p>
            <w:pPr>
              <w:jc w:val="center"/>
              <w:ind w:right="622"/>
              <w:spacing w:after="0"/>
              <w:rPr>
                <w:sz w:val="20"/>
                <w:szCs w:val="20"/>
                <w:color w:val="auto"/>
              </w:rPr>
            </w:pPr>
            <w:r>
              <w:rPr>
                <w:rFonts w:ascii="Arial" w:cs="Arial" w:eastAsia="Arial" w:hAnsi="Arial"/>
                <w:sz w:val="18"/>
                <w:szCs w:val="18"/>
                <w:color w:val="auto"/>
                <w:w w:val="91"/>
              </w:rPr>
              <w:t>of Incorporation)</w:t>
            </w:r>
          </w:p>
        </w:tc>
        <w:tc>
          <w:tcPr>
            <w:tcW w:w="318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600" w:type="dxa"/>
            <w:vAlign w:val="bottom"/>
          </w:tcPr>
          <w:p>
            <w:pPr>
              <w:jc w:val="center"/>
              <w:ind w:right="622"/>
              <w:spacing w:after="0"/>
              <w:rPr>
                <w:sz w:val="20"/>
                <w:szCs w:val="20"/>
                <w:color w:val="auto"/>
              </w:rPr>
            </w:pPr>
            <w:r>
              <w:rPr>
                <w:rFonts w:ascii="Arial" w:cs="Arial" w:eastAsia="Arial" w:hAnsi="Arial"/>
                <w:sz w:val="22"/>
                <w:szCs w:val="22"/>
                <w:b w:val="1"/>
                <w:bCs w:val="1"/>
                <w:color w:val="auto"/>
                <w:w w:val="89"/>
              </w:rPr>
              <w:t>P.O. Box 152, Forest City, Iowa</w:t>
            </w:r>
          </w:p>
        </w:tc>
        <w:tc>
          <w:tcPr>
            <w:tcW w:w="318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600" w:type="dxa"/>
            <w:vAlign w:val="bottom"/>
          </w:tcPr>
          <w:p>
            <w:pPr>
              <w:jc w:val="center"/>
              <w:ind w:right="602"/>
              <w:spacing w:after="0"/>
              <w:rPr>
                <w:sz w:val="20"/>
                <w:szCs w:val="20"/>
                <w:color w:val="auto"/>
              </w:rPr>
            </w:pPr>
            <w:r>
              <w:rPr>
                <w:rFonts w:ascii="Arial" w:cs="Arial" w:eastAsia="Arial" w:hAnsi="Arial"/>
                <w:sz w:val="18"/>
                <w:szCs w:val="18"/>
                <w:color w:val="auto"/>
                <w:w w:val="90"/>
              </w:rPr>
              <w:t>(Address of Principal Executive Offices)</w:t>
            </w:r>
          </w:p>
        </w:tc>
        <w:tc>
          <w:tcPr>
            <w:tcW w:w="318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498"/>
        </w:trPr>
        <w:tc>
          <w:tcPr>
            <w:tcW w:w="6780" w:type="dxa"/>
            <w:vAlign w:val="bottom"/>
            <w:gridSpan w:val="2"/>
          </w:tcPr>
          <w:p>
            <w:pPr>
              <w:ind w:left="224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147955</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595630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1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is filing herewith a press release issued on March 19, 2009, as Exhibit 99.1 which is included herein. The press release was issued to report earnings for the second quarter fiscal 2009 ended February 28, 2009.</w:t>
      </w:r>
    </w:p>
    <w:p>
      <w:pPr>
        <w:spacing w:after="0" w:line="99" w:lineRule="exact"/>
        <w:rPr>
          <w:sz w:val="24"/>
          <w:szCs w:val="24"/>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158" w:lineRule="exact"/>
        <w:rPr>
          <w:sz w:val="24"/>
          <w:szCs w:val="24"/>
          <w:color w:val="auto"/>
        </w:rPr>
      </w:pPr>
    </w:p>
    <w:p>
      <w:pPr>
        <w:ind w:left="720" w:hanging="44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840"/>
        <w:spacing w:after="0"/>
        <w:tabs>
          <w:tab w:leader="none" w:pos="1700" w:val="left"/>
        </w:tabs>
        <w:rPr>
          <w:sz w:val="20"/>
          <w:szCs w:val="20"/>
          <w:color w:val="auto"/>
        </w:rPr>
      </w:pPr>
      <w:r>
        <w:rPr>
          <w:rFonts w:ascii="Arial" w:cs="Arial" w:eastAsia="Arial" w:hAnsi="Arial"/>
          <w:sz w:val="18"/>
          <w:szCs w:val="18"/>
          <w:b w:val="1"/>
          <w:bCs w:val="1"/>
          <w:color w:val="auto"/>
        </w:rPr>
        <w:t>Number</w:t>
        <w:tab/>
        <w:t>Description</w:t>
      </w:r>
    </w:p>
    <w:p>
      <w:pPr>
        <w:spacing w:after="0" w:line="151" w:lineRule="exact"/>
        <w:rPr>
          <w:sz w:val="24"/>
          <w:szCs w:val="24"/>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19, 2009.</w:t>
      </w:r>
    </w:p>
    <w:p>
      <w:pPr>
        <w:spacing w:after="0" w:line="200" w:lineRule="exact"/>
        <w:rPr>
          <w:sz w:val="24"/>
          <w:szCs w:val="24"/>
          <w:color w:val="auto"/>
        </w:rPr>
      </w:pP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3" w:lineRule="exact"/>
        <w:rPr>
          <w:sz w:val="24"/>
          <w:szCs w:val="24"/>
          <w:color w:val="auto"/>
        </w:rPr>
      </w:pPr>
    </w:p>
    <w:p>
      <w:pPr>
        <w:spacing w:after="0"/>
        <w:tabs>
          <w:tab w:leader="none" w:pos="6020" w:val="left"/>
        </w:tabs>
        <w:rPr>
          <w:sz w:val="20"/>
          <w:szCs w:val="20"/>
          <w:color w:val="auto"/>
        </w:rPr>
      </w:pPr>
      <w:r>
        <w:rPr>
          <w:rFonts w:ascii="Arial" w:cs="Arial" w:eastAsia="Arial" w:hAnsi="Arial"/>
          <w:sz w:val="18"/>
          <w:szCs w:val="18"/>
          <w:color w:val="auto"/>
        </w:rPr>
        <w:t>Dated: March 19, 2009</w:t>
      </w:r>
      <w:r>
        <w:rPr>
          <w:sz w:val="20"/>
          <w:szCs w:val="20"/>
          <w:color w:val="auto"/>
        </w:rPr>
        <w:tab/>
      </w:r>
      <w:r>
        <w:rPr>
          <w:rFonts w:ascii="Arial" w:cs="Arial" w:eastAsia="Arial" w:hAnsi="Arial"/>
          <w:sz w:val="21"/>
          <w:szCs w:val="21"/>
          <w:color w:val="auto"/>
        </w:rPr>
        <w:t>W</w:t>
      </w:r>
      <w:r>
        <w:rPr>
          <w:rFonts w:ascii="Arial" w:cs="Arial" w:eastAsia="Arial" w:hAnsi="Arial"/>
          <w:sz w:val="12"/>
          <w:szCs w:val="12"/>
          <w:color w:val="auto"/>
        </w:rPr>
        <w:t>INNEBAGO</w:t>
      </w:r>
      <w:r>
        <w:rPr>
          <w:rFonts w:ascii="Arial" w:cs="Arial" w:eastAsia="Arial" w:hAnsi="Arial"/>
          <w:sz w:val="21"/>
          <w:szCs w:val="21"/>
          <w:color w:val="auto"/>
        </w:rPr>
        <w:t xml:space="preserve"> I</w:t>
      </w:r>
      <w:r>
        <w:rPr>
          <w:rFonts w:ascii="Arial" w:cs="Arial" w:eastAsia="Arial" w:hAnsi="Arial"/>
          <w:sz w:val="12"/>
          <w:szCs w:val="12"/>
          <w:color w:val="auto"/>
        </w:rPr>
        <w:t>NDUSTRIES,</w:t>
      </w:r>
      <w:r>
        <w:rPr>
          <w:rFonts w:ascii="Arial" w:cs="Arial" w:eastAsia="Arial" w:hAnsi="Arial"/>
          <w:sz w:val="21"/>
          <w:szCs w:val="21"/>
          <w:color w:val="auto"/>
        </w:rPr>
        <w:t xml:space="preserve"> I</w:t>
      </w:r>
      <w:r>
        <w:rPr>
          <w:rFonts w:ascii="Arial" w:cs="Arial" w:eastAsia="Arial" w:hAnsi="Arial"/>
          <w:sz w:val="12"/>
          <w:szCs w:val="12"/>
          <w:color w:val="auto"/>
        </w:rPr>
        <w:t>NC.</w:t>
      </w:r>
    </w:p>
    <w:p>
      <w:pPr>
        <w:sectPr>
          <w:pgSz w:w="11900" w:h="16838" w:orient="portrait"/>
          <w:cols w:equalWidth="0" w:num="1">
            <w:col w:w="11260"/>
          </w:cols>
          <w:pgMar w:left="240" w:top="786" w:right="399" w:bottom="45" w:gutter="0" w:footer="0" w:header="0"/>
        </w:sectPr>
      </w:pPr>
    </w:p>
    <w:bookmarkStart w:id="1" w:name="page2"/>
    <w:bookmarkEnd w:id="1"/>
    <w:p>
      <w:pPr>
        <w:ind w:left="5200"/>
        <w:spacing w:after="0"/>
        <w:tabs>
          <w:tab w:leader="none" w:pos="5660" w:val="left"/>
        </w:tabs>
        <w:rPr>
          <w:sz w:val="20"/>
          <w:szCs w:val="20"/>
          <w:color w:val="auto"/>
        </w:rPr>
      </w:pPr>
      <w:r>
        <w:rPr>
          <w:rFonts w:ascii="Arial" w:cs="Arial" w:eastAsia="Arial" w:hAnsi="Arial"/>
          <w:sz w:val="18"/>
          <w:szCs w:val="18"/>
          <w:color w:val="auto"/>
        </w:rPr>
        <w:t>By:</w:t>
        <w:tab/>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10795</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Name:Robert J. Olson</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Title: Chairman of the Board, Chief Executive Officer and President</w:t>
      </w:r>
    </w:p>
    <w:p>
      <w:pPr>
        <w:spacing w:after="0" w:line="378"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EXHIBIT INDEX</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Number</w:t>
        <w:tab/>
        <w:t>Description</w:t>
      </w:r>
    </w:p>
    <w:p>
      <w:pPr>
        <w:spacing w:after="0" w:line="151"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368935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060"/>
          </w:cols>
          <w:pgMar w:left="1080" w:top="131" w:right="7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SECOND QUARTER/FIRST SIX MONTHS OF FISCAL YEAR 2009</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FOREST CITY, IOWA, March 19, 2009 – Winnebago Industries, Inc. (NYSE:WGO), the nation’s top-selling motor home manufacturer, today reported financial results for the Company’s second quarter and first six months of fiscal year 2009 ended February 28, 2009.</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Revenues for the second quarter were $31.8 million, a decrease of 80.6 percent, versus revenues of $164.2 million for the second quarter last year. The Company reported an operating loss of $18.6 million for the second quarter of fiscal 2009 versus operating income of $2.5 million for the second quarter of fiscal 2008. Net loss for the second quarter was $10.4 million versus net income of $2.5 million for the second quarter of fiscal 2008. On a diluted per share basis, the Company had a net loss of 36 cents for the second quarter of fiscal 2009, versus net income of 9 cents for the second quarter last year.</w:t>
      </w:r>
    </w:p>
    <w:p>
      <w:pPr>
        <w:spacing w:after="0" w:line="167"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Revenues for the first 26 weeks of fiscal 2009 were $101.2 million, a decrease of 73 percent, versus revenues of $379.3 million for the first 27 weeks of fiscal 2008. The Company reported an operating loss of $35.5 million for the first 26 weeks of fiscal 2009, versus operating income of $16.0 million for the first 27 weeks of fiscal 2008. Net loss for the first 26 weeks of fiscal 2009 was $20.0 million, or 69 cents per diluted share, versus net income of $12.5 million, or 43 cents per diluted share, for the first 27 weeks of the last fiscal year.</w:t>
      </w:r>
    </w:p>
    <w:p>
      <w:pPr>
        <w:spacing w:after="0" w:line="19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second quarter of fiscal 2009 was negatively impacted by the continued decline in motor home delivery volumes, increased incentives at the wholesale and retail levels and a less favorable mix of products sold. In turn, lower motor home volume resulted in inefficiencies due to reduced utilization of manufacturing facilities. The Company did benefit however, from a reduction of inventories of $10.5 million during the second quarter. Also during the second quarter, the Company elected to participate in a ‘no net cost’ loan program for $9.1 million through UBS AG, secured by a portion of the Auction Rate Securities (ARS) owned by the Company in an account with them. As a result, cash and cash equivalents at the end of the quarter were $27.5 million.</w:t>
      </w:r>
    </w:p>
    <w:p>
      <w:pPr>
        <w:spacing w:after="0" w:line="17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“We anticipate continued softness in motor home sales until we see improvement in the credit markets at the wholesale and retail levels and in consumer confidence levels,” said Winnebago Industries’ Chairman, CEO and President Bob Olson. Wholesale shipments within the motor home industry have fallen dramatically, with the decline accelerating throughout recent periods. Industry-wide wholesale shipments of Class A and Class C motor homes dropped 49.5 percent in calendar year 2008, 75.2 percent in the fourth calendar quarter and 80.6 percent in the month of January 2009. Statistical Surveys, the retail reporting service for the RV industry, reported a similar decline with industry-wide retail sales of Class A and Class C motor homes down 41.6 percent for calendar 2008, 54.8 percent for the fourth calendar quarter and 58.4 percent in the month of January 2009. Winnebago Industries continues to lead the industry in retail sales of Class A and Class C motor homes combined with the Winnebago and Itasca brands achieving 18.5 percent market share for calendar 2008, versus 18.6 percent market share for calendar 2007.</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contraction in wholesale shipments is evident when looking at our dealers’ inventory of Winnebago, Itasca and ERA products,” said Olson. “Total combined dealer inventory of Winnebago Industries’ products on our dealer partners’ lots was 2,918 motor homes at the end of the second quarter of fiscal 2009, a sequential reduction of 11 percent compared to inventory at the end of the first quarter of fiscal 2009 and a 40 percent reduction compared to dealer inventory at the end of the second quarter of fiscal 2008. Even with a depressed retail market, I continue to believe that once our dealers’ floorplan lenders provide the dealers with sufficient credit to enable them to reorder product to more closely match retail sell-through, we will experience an increase in deliveries.”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“Extremely challenging market conditions have resulted in a severe decline in our revenues in the first half of fiscal 2009,” said Winnebago Industries’ Vice President, CFO Sarah Nielsen. “As a result, maintaining liquidity and conserving capital are the primary goals of management in order to enhance our financial flexibility. We have taken several steps to conserve capital and maintain liquidity thus far in fiscal 2009, such as considerable reduction of inventory levels, the establishment of a line of credit, participation in the UBS ‘no net cost’ loan program, and the suspension of cash dividend payments starting in the second quarter of fiscal 2009. We have also continued to reduce our fixed cost structure over the past 12 months; we anticipate fixed cost reductions in excess of $21 million to be achieved in fiscal 2009. Specifically, actions taken thus far include the reduction of our total headcount by nearly 50%, salary reductions, the elimination of 2009 stock grants to key management and the board, elimination of bonuses, reductions of the 401(k) match and two mandatory unpaid weeks off (one during the second quarter and one to occur during the fourth quarter). Other fixed costs have been eliminated through many strategic actions, including the closure of our Charles City manufacturing facility, cancellation of certain promotional events typically held and reduced spending throughout the Company. Additional cost reduction activities will continue during these challenging market conditions.”</w:t>
      </w:r>
    </w:p>
    <w:p>
      <w:pPr>
        <w:spacing w:after="0" w:line="17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“While several major competitors are in very difficult financial circumstances, we are confident of our financial strength and competitive position in this economic recession,” continued Olson. “We have enviable brand strength, quality products and financial stability to withstand the downturn. In the short-term, however, we anticipate added competitive pressure from deeply discounted product in the marketplace from struggling manufacturers, in addition to the challenges from the ongoing turmoil in the credit markets. It is my belief that once the housing and stock markets recover, along with the shoring up of personal balance sheets with increased savings, consumer’s sense of wealth will improve and more normal spending patterns will prevail.”</w:t>
      </w:r>
    </w:p>
    <w:p>
      <w:pPr>
        <w:spacing w:after="0" w:line="17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Thursday, March 19, 2009.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200"/>
        <w:spacing w:after="0" w:line="320" w:lineRule="auto"/>
        <w:rPr>
          <w:sz w:val="20"/>
          <w:szCs w:val="20"/>
          <w:color w:val="auto"/>
        </w:rPr>
      </w:pPr>
      <w:r>
        <w:rPr>
          <w:rFonts w:ascii="Arial" w:cs="Arial" w:eastAsia="Arial" w:hAnsi="Arial"/>
          <w:sz w:val="15"/>
          <w:szCs w:val="15"/>
          <w:color w:val="auto"/>
        </w:rPr>
        <w:t>Winnebago Industries, Inc. is the nation’s top-selling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w:t>
      </w:r>
    </w:p>
    <w:p>
      <w:pPr>
        <w:sectPr>
          <w:pgSz w:w="11900" w:h="16838" w:orient="portrait"/>
          <w:cols w:equalWidth="0" w:num="1">
            <w:col w:w="11420"/>
          </w:cols>
          <w:pgMar w:left="240" w:top="355" w:right="239" w:bottom="0" w:gutter="0" w:footer="0" w:header="0"/>
        </w:sectPr>
      </w:pPr>
    </w:p>
    <w:bookmarkStart w:id="3" w:name="page4"/>
    <w:bookmarkEnd w:id="3"/>
    <w:p>
      <w:pPr>
        <w:ind w:right="2240"/>
        <w:spacing w:after="0" w:line="268" w:lineRule="auto"/>
        <w:rPr>
          <w:sz w:val="20"/>
          <w:szCs w:val="20"/>
          <w:color w:val="auto"/>
        </w:rPr>
      </w:pPr>
      <w:r>
        <w:rPr>
          <w:rFonts w:ascii="Arial" w:cs="Arial" w:eastAsia="Arial" w:hAnsi="Arial"/>
          <w:sz w:val="18"/>
          <w:szCs w:val="18"/>
          <w:color w:val="auto"/>
        </w:rPr>
        <w:t xml:space="preserve">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18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availability and price of fuel, a further slowdown in the economy, availability of chassis and other key component parts, sales order cancellations, slower than anticipated sales of new or existing products, new product introductions by competitors,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thousands, except percent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0"/>
              </w:rPr>
              <w:t>Quarter Ended</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0"/>
              </w:rPr>
              <w:t>Quarter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89"/>
              </w:rPr>
              <w:t>February 28, 2009</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89"/>
              </w:rPr>
              <w:t>March 1, 2008</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31,808</w:t>
            </w:r>
          </w:p>
        </w:tc>
        <w:tc>
          <w:tcPr>
            <w:tcW w:w="36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8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164,203</w:t>
            </w:r>
          </w:p>
        </w:tc>
        <w:tc>
          <w:tcPr>
            <w:tcW w:w="3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6"/>
        </w:trPr>
        <w:tc>
          <w:tcPr>
            <w:tcW w:w="64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43,600</w:t>
            </w:r>
          </w:p>
        </w:tc>
        <w:tc>
          <w:tcPr>
            <w:tcW w:w="36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340" w:type="dxa"/>
            <w:vAlign w:val="bottom"/>
            <w:tcBorders>
              <w:bottom w:val="single" w:sz="8" w:color="D6F3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152,034</w:t>
            </w:r>
          </w:p>
        </w:tc>
        <w:tc>
          <w:tcPr>
            <w:tcW w:w="340" w:type="dxa"/>
            <w:vAlign w:val="bottom"/>
            <w:tcBorders>
              <w:bottom w:val="single" w:sz="8" w:color="D6F3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(deficit) profit</w:t>
            </w:r>
          </w:p>
        </w:tc>
        <w:tc>
          <w:tcPr>
            <w:tcW w:w="36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(11,792)</w:t>
            </w:r>
          </w:p>
        </w:tc>
        <w:tc>
          <w:tcPr>
            <w:tcW w:w="160" w:type="dxa"/>
            <w:vAlign w:val="bottom"/>
            <w:shd w:val="clear" w:color="auto" w:fill="D6F3E8"/>
          </w:tcPr>
          <w:p>
            <w:pPr>
              <w:spacing w:after="0"/>
              <w:rPr>
                <w:sz w:val="21"/>
                <w:szCs w:val="21"/>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(37.1)</w:t>
            </w:r>
          </w:p>
        </w:tc>
        <w:tc>
          <w:tcPr>
            <w:tcW w:w="36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12,169</w:t>
            </w:r>
          </w:p>
        </w:tc>
        <w:tc>
          <w:tcPr>
            <w:tcW w:w="3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5"/>
        </w:trPr>
        <w:tc>
          <w:tcPr>
            <w:tcW w:w="64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60" w:type="dxa"/>
            <w:vAlign w:val="bottom"/>
            <w:tcBorders>
              <w:top w:val="single" w:sz="8" w:color="D6F3E8"/>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40" w:type="dxa"/>
            <w:vAlign w:val="bottom"/>
            <w:tcBorders>
              <w:top w:val="single" w:sz="8" w:color="D6F3E8"/>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400" w:type="dxa"/>
            <w:vAlign w:val="bottom"/>
          </w:tcPr>
          <w:p>
            <w:pPr>
              <w:ind w:left="160"/>
              <w:spacing w:after="0"/>
              <w:rPr>
                <w:sz w:val="20"/>
                <w:szCs w:val="20"/>
                <w:color w:val="auto"/>
              </w:rPr>
            </w:pPr>
            <w:r>
              <w:rPr>
                <w:rFonts w:ascii="Arial" w:cs="Arial" w:eastAsia="Arial" w:hAnsi="Arial"/>
                <w:sz w:val="18"/>
                <w:szCs w:val="18"/>
                <w:color w:val="auto"/>
              </w:rPr>
              <w:t>Selling</w:t>
            </w: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2,816</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4,258</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8"/>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D6F3E8"/>
          </w:tcPr>
          <w:p>
            <w:pPr>
              <w:spacing w:after="0"/>
              <w:rPr>
                <w:sz w:val="22"/>
                <w:szCs w:val="22"/>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4,003</w:t>
            </w:r>
          </w:p>
        </w:tc>
        <w:tc>
          <w:tcPr>
            <w:tcW w:w="36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5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D6F3E8"/>
          </w:tcPr>
          <w:p>
            <w:pPr>
              <w:spacing w:after="0"/>
              <w:rPr>
                <w:sz w:val="22"/>
                <w:szCs w:val="22"/>
                <w:color w:val="auto"/>
              </w:rPr>
            </w:pPr>
          </w:p>
        </w:tc>
        <w:tc>
          <w:tcPr>
            <w:tcW w:w="36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5,457</w:t>
            </w:r>
          </w:p>
        </w:tc>
        <w:tc>
          <w:tcPr>
            <w:tcW w:w="340" w:type="dxa"/>
            <w:vAlign w:val="bottom"/>
            <w:shd w:val="clear" w:color="auto" w:fill="D6F3E8"/>
          </w:tcPr>
          <w:p>
            <w:pPr>
              <w:spacing w:after="0"/>
              <w:rPr>
                <w:sz w:val="22"/>
                <w:szCs w:val="22"/>
                <w:color w:val="auto"/>
              </w:rPr>
            </w:pPr>
          </w:p>
        </w:tc>
        <w:tc>
          <w:tcPr>
            <w:tcW w:w="140" w:type="dxa"/>
            <w:vAlign w:val="bottom"/>
            <w:tcBorders>
              <w:bottom w:val="single" w:sz="8" w:color="auto"/>
            </w:tcBorders>
            <w:shd w:val="clear" w:color="auto" w:fill="D6F3E8"/>
          </w:tcPr>
          <w:p>
            <w:pPr>
              <w:spacing w:after="0"/>
              <w:rPr>
                <w:sz w:val="22"/>
                <w:szCs w:val="22"/>
                <w:color w:val="auto"/>
              </w:rPr>
            </w:pPr>
          </w:p>
        </w:tc>
        <w:tc>
          <w:tcPr>
            <w:tcW w:w="5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40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w:t>
            </w:r>
          </w:p>
        </w:tc>
        <w:tc>
          <w:tcPr>
            <w:tcW w:w="360" w:type="dxa"/>
            <w:vAlign w:val="bottom"/>
            <w:tcBorders>
              <w:bottom w:val="single" w:sz="8" w:color="D6F3E8"/>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340" w:type="dxa"/>
            <w:vAlign w:val="bottom"/>
            <w:tcBorders>
              <w:bottom w:val="single" w:sz="8" w:color="D6F3E8"/>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w:t>
            </w:r>
          </w:p>
        </w:tc>
        <w:tc>
          <w:tcPr>
            <w:tcW w:w="340" w:type="dxa"/>
            <w:vAlign w:val="bottom"/>
            <w:tcBorders>
              <w:bottom w:val="single" w:sz="8" w:color="D6F3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00" w:type="dxa"/>
            <w:vAlign w:val="bottom"/>
            <w:shd w:val="clear" w:color="auto" w:fill="D6F3E8"/>
          </w:tcPr>
          <w:p>
            <w:pPr>
              <w:spacing w:after="0"/>
              <w:rPr>
                <w:sz w:val="20"/>
                <w:szCs w:val="20"/>
                <w:color w:val="auto"/>
              </w:rPr>
            </w:pPr>
            <w:r>
              <w:rPr>
                <w:rFonts w:ascii="Arial" w:cs="Arial" w:eastAsia="Arial" w:hAnsi="Arial"/>
                <w:sz w:val="18"/>
                <w:szCs w:val="18"/>
                <w:color w:val="auto"/>
              </w:rPr>
              <w:t>Operating (loss) income</w:t>
            </w:r>
          </w:p>
        </w:tc>
        <w:tc>
          <w:tcPr>
            <w:tcW w:w="36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(18,611)</w:t>
            </w:r>
          </w:p>
        </w:tc>
        <w:tc>
          <w:tcPr>
            <w:tcW w:w="160" w:type="dxa"/>
            <w:vAlign w:val="bottom"/>
            <w:shd w:val="clear" w:color="auto" w:fill="D6F3E8"/>
          </w:tcPr>
          <w:p>
            <w:pPr>
              <w:spacing w:after="0"/>
              <w:rPr>
                <w:sz w:val="21"/>
                <w:szCs w:val="21"/>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(58.5)</w:t>
            </w:r>
          </w:p>
        </w:tc>
        <w:tc>
          <w:tcPr>
            <w:tcW w:w="36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2,454</w:t>
            </w:r>
          </w:p>
        </w:tc>
        <w:tc>
          <w:tcPr>
            <w:tcW w:w="3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6"/>
        </w:trPr>
        <w:tc>
          <w:tcPr>
            <w:tcW w:w="64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Financial income</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36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D6F3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340" w:type="dxa"/>
            <w:vAlign w:val="bottom"/>
            <w:tcBorders>
              <w:bottom w:val="single" w:sz="8" w:color="D6F3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400" w:type="dxa"/>
            <w:vAlign w:val="bottom"/>
            <w:shd w:val="clear" w:color="auto" w:fill="D6F3E8"/>
          </w:tcPr>
          <w:p>
            <w:pPr>
              <w:spacing w:after="0"/>
              <w:rPr>
                <w:sz w:val="20"/>
                <w:szCs w:val="20"/>
                <w:color w:val="auto"/>
              </w:rPr>
            </w:pPr>
            <w:r>
              <w:rPr>
                <w:rFonts w:ascii="Arial" w:cs="Arial" w:eastAsia="Arial" w:hAnsi="Arial"/>
                <w:sz w:val="18"/>
                <w:szCs w:val="18"/>
                <w:color w:val="auto"/>
              </w:rPr>
              <w:t>(Loss) income before income taxes</w:t>
            </w:r>
          </w:p>
        </w:tc>
        <w:tc>
          <w:tcPr>
            <w:tcW w:w="36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(17,978)</w:t>
            </w:r>
          </w:p>
        </w:tc>
        <w:tc>
          <w:tcPr>
            <w:tcW w:w="160" w:type="dxa"/>
            <w:vAlign w:val="bottom"/>
            <w:shd w:val="clear" w:color="auto" w:fill="D6F3E8"/>
          </w:tcPr>
          <w:p>
            <w:pPr>
              <w:spacing w:after="0"/>
              <w:rPr>
                <w:sz w:val="21"/>
                <w:szCs w:val="21"/>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(56.5)</w:t>
            </w:r>
          </w:p>
        </w:tc>
        <w:tc>
          <w:tcPr>
            <w:tcW w:w="36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3,690</w:t>
            </w:r>
          </w:p>
        </w:tc>
        <w:tc>
          <w:tcPr>
            <w:tcW w:w="3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0"/>
                <w:szCs w:val="20"/>
                <w:color w:val="auto"/>
              </w:rPr>
            </w:pPr>
            <w:r>
              <w:rPr>
                <w:rFonts w:ascii="Arial" w:cs="Arial" w:eastAsia="Arial" w:hAnsi="Arial"/>
                <w:sz w:val="18"/>
                <w:szCs w:val="18"/>
                <w:color w:val="auto"/>
              </w:rPr>
              <w:t>(Credit) provision for taxes</w:t>
            </w:r>
          </w:p>
        </w:tc>
        <w:tc>
          <w:tcPr>
            <w:tcW w:w="360" w:type="dxa"/>
            <w:vAlign w:val="bottom"/>
          </w:tcPr>
          <w:p>
            <w:pPr>
              <w:spacing w:after="0"/>
              <w:rPr>
                <w:sz w:val="22"/>
                <w:szCs w:val="2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(7,597)</w:t>
            </w:r>
          </w:p>
        </w:tc>
        <w:tc>
          <w:tcPr>
            <w:tcW w:w="16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vMerge w:val="continue"/>
            <w:shd w:val="clear" w:color="auto" w:fill="D6F3E8"/>
          </w:tcPr>
          <w:p>
            <w:pPr>
              <w:spacing w:after="0"/>
              <w:rPr>
                <w:sz w:val="21"/>
                <w:szCs w:val="21"/>
                <w:color w:val="auto"/>
              </w:rPr>
            </w:pP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(10,381)</w:t>
            </w:r>
          </w:p>
        </w:tc>
        <w:tc>
          <w:tcPr>
            <w:tcW w:w="160" w:type="dxa"/>
            <w:vAlign w:val="bottom"/>
            <w:shd w:val="clear" w:color="auto" w:fill="D6F3E8"/>
          </w:tcPr>
          <w:p>
            <w:pPr>
              <w:spacing w:after="0"/>
              <w:rPr>
                <w:sz w:val="21"/>
                <w:szCs w:val="21"/>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2,517</w:t>
            </w:r>
          </w:p>
        </w:tc>
        <w:tc>
          <w:tcPr>
            <w:tcW w:w="3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4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(Loss) income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bottom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40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D6F3E8"/>
          </w:tcPr>
          <w:p>
            <w:pPr>
              <w:spacing w:after="0"/>
              <w:rPr>
                <w:sz w:val="22"/>
                <w:szCs w:val="22"/>
                <w:color w:val="auto"/>
              </w:rPr>
            </w:pPr>
          </w:p>
        </w:tc>
        <w:tc>
          <w:tcPr>
            <w:tcW w:w="52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5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40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29,037</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28,964</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29,046</w:t>
            </w:r>
          </w:p>
        </w:tc>
        <w:tc>
          <w:tcPr>
            <w:tcW w:w="36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52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29,034</w:t>
            </w:r>
          </w:p>
        </w:tc>
        <w:tc>
          <w:tcPr>
            <w:tcW w:w="3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5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527"/>
        </w:trPr>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86"/>
              </w:rPr>
              <w:t>26 Weeks Ended</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86"/>
              </w:rPr>
              <w:t>27 Weeks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89"/>
              </w:rPr>
              <w:t>February 28, 2009</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89"/>
              </w:rPr>
              <w:t>March 1, 2008</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101,206</w:t>
            </w:r>
          </w:p>
        </w:tc>
        <w:tc>
          <w:tcPr>
            <w:tcW w:w="36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8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379,345</w:t>
            </w:r>
          </w:p>
        </w:tc>
        <w:tc>
          <w:tcPr>
            <w:tcW w:w="3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6"/>
        </w:trPr>
        <w:tc>
          <w:tcPr>
            <w:tcW w:w="64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121,892</w:t>
            </w:r>
          </w:p>
        </w:tc>
        <w:tc>
          <w:tcPr>
            <w:tcW w:w="36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340" w:type="dxa"/>
            <w:vAlign w:val="bottom"/>
            <w:tcBorders>
              <w:bottom w:val="single" w:sz="8" w:color="D6F3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341,536</w:t>
            </w:r>
          </w:p>
        </w:tc>
        <w:tc>
          <w:tcPr>
            <w:tcW w:w="340" w:type="dxa"/>
            <w:vAlign w:val="bottom"/>
            <w:tcBorders>
              <w:bottom w:val="single" w:sz="8" w:color="D6F3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(deficit) profit</w:t>
            </w:r>
          </w:p>
        </w:tc>
        <w:tc>
          <w:tcPr>
            <w:tcW w:w="36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(20,686)</w:t>
            </w:r>
          </w:p>
        </w:tc>
        <w:tc>
          <w:tcPr>
            <w:tcW w:w="160" w:type="dxa"/>
            <w:vAlign w:val="bottom"/>
            <w:shd w:val="clear" w:color="auto" w:fill="D6F3E8"/>
          </w:tcPr>
          <w:p>
            <w:pPr>
              <w:spacing w:after="0"/>
              <w:rPr>
                <w:sz w:val="21"/>
                <w:szCs w:val="21"/>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(20.4)</w:t>
            </w:r>
          </w:p>
        </w:tc>
        <w:tc>
          <w:tcPr>
            <w:tcW w:w="36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37,809</w:t>
            </w:r>
          </w:p>
        </w:tc>
        <w:tc>
          <w:tcPr>
            <w:tcW w:w="3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5"/>
        </w:trPr>
        <w:tc>
          <w:tcPr>
            <w:tcW w:w="64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60" w:type="dxa"/>
            <w:vAlign w:val="bottom"/>
            <w:tcBorders>
              <w:top w:val="single" w:sz="8" w:color="D6F3E8"/>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40" w:type="dxa"/>
            <w:vAlign w:val="bottom"/>
            <w:tcBorders>
              <w:top w:val="single" w:sz="8" w:color="D6F3E8"/>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400" w:type="dxa"/>
            <w:vAlign w:val="bottom"/>
          </w:tcPr>
          <w:p>
            <w:pPr>
              <w:ind w:left="160"/>
              <w:spacing w:after="0"/>
              <w:rPr>
                <w:sz w:val="20"/>
                <w:szCs w:val="20"/>
                <w:color w:val="auto"/>
              </w:rPr>
            </w:pPr>
            <w:r>
              <w:rPr>
                <w:rFonts w:ascii="Arial" w:cs="Arial" w:eastAsia="Arial" w:hAnsi="Arial"/>
                <w:sz w:val="18"/>
                <w:szCs w:val="18"/>
                <w:color w:val="auto"/>
              </w:rPr>
              <w:t>Selling</w:t>
            </w: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6,481</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9,863</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8"/>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D6F3E8"/>
          </w:tcPr>
          <w:p>
            <w:pPr>
              <w:spacing w:after="0"/>
              <w:rPr>
                <w:sz w:val="22"/>
                <w:szCs w:val="22"/>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8,334</w:t>
            </w:r>
          </w:p>
        </w:tc>
        <w:tc>
          <w:tcPr>
            <w:tcW w:w="36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5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D6F3E8"/>
          </w:tcPr>
          <w:p>
            <w:pPr>
              <w:spacing w:after="0"/>
              <w:rPr>
                <w:sz w:val="22"/>
                <w:szCs w:val="22"/>
                <w:color w:val="auto"/>
              </w:rPr>
            </w:pPr>
          </w:p>
        </w:tc>
        <w:tc>
          <w:tcPr>
            <w:tcW w:w="36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11,908</w:t>
            </w:r>
          </w:p>
        </w:tc>
        <w:tc>
          <w:tcPr>
            <w:tcW w:w="340" w:type="dxa"/>
            <w:vAlign w:val="bottom"/>
            <w:shd w:val="clear" w:color="auto" w:fill="D6F3E8"/>
          </w:tcPr>
          <w:p>
            <w:pPr>
              <w:spacing w:after="0"/>
              <w:rPr>
                <w:sz w:val="22"/>
                <w:szCs w:val="22"/>
                <w:color w:val="auto"/>
              </w:rPr>
            </w:pPr>
          </w:p>
        </w:tc>
        <w:tc>
          <w:tcPr>
            <w:tcW w:w="140" w:type="dxa"/>
            <w:vAlign w:val="bottom"/>
            <w:tcBorders>
              <w:bottom w:val="single" w:sz="8" w:color="auto"/>
            </w:tcBorders>
            <w:shd w:val="clear" w:color="auto" w:fill="D6F3E8"/>
          </w:tcPr>
          <w:p>
            <w:pPr>
              <w:spacing w:after="0"/>
              <w:rPr>
                <w:sz w:val="22"/>
                <w:szCs w:val="22"/>
                <w:color w:val="auto"/>
              </w:rPr>
            </w:pPr>
          </w:p>
        </w:tc>
        <w:tc>
          <w:tcPr>
            <w:tcW w:w="5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40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360" w:type="dxa"/>
            <w:vAlign w:val="bottom"/>
            <w:tcBorders>
              <w:bottom w:val="single" w:sz="8" w:color="D6F3E8"/>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Borders>
              <w:bottom w:val="single" w:sz="8" w:color="D6F3E8"/>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21,771</w:t>
            </w:r>
          </w:p>
        </w:tc>
        <w:tc>
          <w:tcPr>
            <w:tcW w:w="340" w:type="dxa"/>
            <w:vAlign w:val="bottom"/>
            <w:tcBorders>
              <w:bottom w:val="single" w:sz="8" w:color="D6F3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00" w:type="dxa"/>
            <w:vAlign w:val="bottom"/>
            <w:shd w:val="clear" w:color="auto" w:fill="D6F3E8"/>
          </w:tcPr>
          <w:p>
            <w:pPr>
              <w:spacing w:after="0"/>
              <w:rPr>
                <w:sz w:val="20"/>
                <w:szCs w:val="20"/>
                <w:color w:val="auto"/>
              </w:rPr>
            </w:pPr>
            <w:r>
              <w:rPr>
                <w:rFonts w:ascii="Arial" w:cs="Arial" w:eastAsia="Arial" w:hAnsi="Arial"/>
                <w:sz w:val="18"/>
                <w:szCs w:val="18"/>
                <w:color w:val="auto"/>
              </w:rPr>
              <w:t>Operating (loss) income</w:t>
            </w:r>
          </w:p>
        </w:tc>
        <w:tc>
          <w:tcPr>
            <w:tcW w:w="36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(35,501)</w:t>
            </w:r>
          </w:p>
        </w:tc>
        <w:tc>
          <w:tcPr>
            <w:tcW w:w="160" w:type="dxa"/>
            <w:vAlign w:val="bottom"/>
            <w:shd w:val="clear" w:color="auto" w:fill="D6F3E8"/>
          </w:tcPr>
          <w:p>
            <w:pPr>
              <w:spacing w:after="0"/>
              <w:rPr>
                <w:sz w:val="21"/>
                <w:szCs w:val="21"/>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16,038</w:t>
            </w:r>
          </w:p>
        </w:tc>
        <w:tc>
          <w:tcPr>
            <w:tcW w:w="3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6"/>
        </w:trPr>
        <w:tc>
          <w:tcPr>
            <w:tcW w:w="64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Financial income</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36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D6F3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340" w:type="dxa"/>
            <w:vAlign w:val="bottom"/>
            <w:tcBorders>
              <w:bottom w:val="single" w:sz="8" w:color="D6F3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400" w:type="dxa"/>
            <w:vAlign w:val="bottom"/>
            <w:shd w:val="clear" w:color="auto" w:fill="D6F3E8"/>
          </w:tcPr>
          <w:p>
            <w:pPr>
              <w:spacing w:after="0"/>
              <w:rPr>
                <w:sz w:val="20"/>
                <w:szCs w:val="20"/>
                <w:color w:val="auto"/>
              </w:rPr>
            </w:pPr>
            <w:r>
              <w:rPr>
                <w:rFonts w:ascii="Arial" w:cs="Arial" w:eastAsia="Arial" w:hAnsi="Arial"/>
                <w:sz w:val="18"/>
                <w:szCs w:val="18"/>
                <w:color w:val="auto"/>
              </w:rPr>
              <w:t>(Loss) income before income taxes</w:t>
            </w:r>
          </w:p>
        </w:tc>
        <w:tc>
          <w:tcPr>
            <w:tcW w:w="360" w:type="dxa"/>
            <w:vAlign w:val="bottom"/>
            <w:shd w:val="clear" w:color="auto" w:fill="D6F3E8"/>
          </w:tcPr>
          <w:p>
            <w:pPr>
              <w:spacing w:after="0"/>
              <w:rPr>
                <w:sz w:val="21"/>
                <w:szCs w:val="21"/>
                <w:color w:val="auto"/>
              </w:rPr>
            </w:pP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(34,344)</w:t>
            </w:r>
          </w:p>
        </w:tc>
        <w:tc>
          <w:tcPr>
            <w:tcW w:w="160" w:type="dxa"/>
            <w:vAlign w:val="bottom"/>
            <w:shd w:val="clear" w:color="auto" w:fill="D6F3E8"/>
          </w:tcPr>
          <w:p>
            <w:pPr>
              <w:spacing w:after="0"/>
              <w:rPr>
                <w:sz w:val="21"/>
                <w:szCs w:val="21"/>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D6F3E8"/>
          </w:tcPr>
          <w:p>
            <w:pPr>
              <w:spacing w:after="0"/>
              <w:rPr>
                <w:sz w:val="21"/>
                <w:szCs w:val="21"/>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18,514</w:t>
            </w:r>
          </w:p>
        </w:tc>
        <w:tc>
          <w:tcPr>
            <w:tcW w:w="3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0"/>
                <w:szCs w:val="20"/>
                <w:color w:val="auto"/>
              </w:rPr>
            </w:pPr>
            <w:r>
              <w:rPr>
                <w:rFonts w:ascii="Arial" w:cs="Arial" w:eastAsia="Arial" w:hAnsi="Arial"/>
                <w:sz w:val="18"/>
                <w:szCs w:val="18"/>
                <w:color w:val="auto"/>
              </w:rPr>
              <w:t>(Credit) provision for taxes</w:t>
            </w:r>
          </w:p>
        </w:tc>
        <w:tc>
          <w:tcPr>
            <w:tcW w:w="360" w:type="dxa"/>
            <w:vAlign w:val="bottom"/>
          </w:tcPr>
          <w:p>
            <w:pPr>
              <w:spacing w:after="0"/>
              <w:rPr>
                <w:sz w:val="22"/>
                <w:szCs w:val="2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(14,367)</w:t>
            </w:r>
          </w:p>
        </w:tc>
        <w:tc>
          <w:tcPr>
            <w:tcW w:w="16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vMerge w:val="continue"/>
            <w:shd w:val="clear" w:color="auto" w:fill="D6F3E8"/>
          </w:tcPr>
          <w:p>
            <w:pPr>
              <w:spacing w:after="0"/>
              <w:rPr>
                <w:sz w:val="21"/>
                <w:szCs w:val="21"/>
                <w:color w:val="auto"/>
              </w:rPr>
            </w:pP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(19,977)</w:t>
            </w:r>
          </w:p>
        </w:tc>
        <w:tc>
          <w:tcPr>
            <w:tcW w:w="160" w:type="dxa"/>
            <w:vAlign w:val="bottom"/>
            <w:shd w:val="clear" w:color="auto" w:fill="D6F3E8"/>
          </w:tcPr>
          <w:p>
            <w:pPr>
              <w:spacing w:after="0"/>
              <w:rPr>
                <w:sz w:val="21"/>
                <w:szCs w:val="21"/>
                <w:color w:val="auto"/>
              </w:rPr>
            </w:pPr>
          </w:p>
        </w:tc>
        <w:tc>
          <w:tcPr>
            <w:tcW w:w="8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12,479</w:t>
            </w:r>
          </w:p>
        </w:tc>
        <w:tc>
          <w:tcPr>
            <w:tcW w:w="3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(Loss) income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bottom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bottom w:val="single" w:sz="8" w:color="D6F3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40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(0.69)</w:t>
            </w:r>
          </w:p>
        </w:tc>
        <w:tc>
          <w:tcPr>
            <w:tcW w:w="160" w:type="dxa"/>
            <w:vAlign w:val="bottom"/>
            <w:shd w:val="clear" w:color="auto" w:fill="D6F3E8"/>
          </w:tcPr>
          <w:p>
            <w:pPr>
              <w:spacing w:after="0"/>
              <w:rPr>
                <w:sz w:val="22"/>
                <w:szCs w:val="22"/>
                <w:color w:val="auto"/>
              </w:rPr>
            </w:pPr>
          </w:p>
        </w:tc>
        <w:tc>
          <w:tcPr>
            <w:tcW w:w="52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0.43</w:t>
            </w:r>
          </w:p>
        </w:tc>
        <w:tc>
          <w:tcPr>
            <w:tcW w:w="3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5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40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29,032</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29,165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29,041</w:t>
            </w:r>
          </w:p>
        </w:tc>
        <w:tc>
          <w:tcPr>
            <w:tcW w:w="36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52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29,245</w:t>
            </w:r>
          </w:p>
        </w:tc>
        <w:tc>
          <w:tcPr>
            <w:tcW w:w="3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5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711" w:gutter="0" w:footer="0" w:header="0"/>
        </w:sectPr>
      </w:pPr>
    </w:p>
    <w:bookmarkStart w:id="4" w:name="page5"/>
    <w:bookmarkEnd w:id="4"/>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Feb. 28, 2009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Aug. 30, 2008</w:t>
            </w:r>
          </w:p>
        </w:tc>
        <w:tc>
          <w:tcPr>
            <w:tcW w:w="0" w:type="dxa"/>
            <w:vAlign w:val="bottom"/>
          </w:tcPr>
          <w:p>
            <w:pPr>
              <w:spacing w:after="0"/>
              <w:rPr>
                <w:sz w:val="1"/>
                <w:szCs w:val="1"/>
                <w:color w:val="auto"/>
              </w:rPr>
            </w:pPr>
          </w:p>
        </w:tc>
      </w:tr>
      <w:tr>
        <w:trPr>
          <w:trHeight w:val="235"/>
        </w:trPr>
        <w:tc>
          <w:tcPr>
            <w:tcW w:w="846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27,454</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8,237</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72,778</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110,596</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19,477</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Prepaid and other</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13,301</w:t>
            </w:r>
          </w:p>
        </w:tc>
        <w:tc>
          <w:tcPr>
            <w:tcW w:w="32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15,290</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84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D6F3E8"/>
          </w:tcPr>
          <w:p>
            <w:pPr>
              <w:spacing w:after="0"/>
              <w:rPr>
                <w:sz w:val="21"/>
                <w:szCs w:val="21"/>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141,247</w:t>
            </w:r>
          </w:p>
        </w:tc>
        <w:tc>
          <w:tcPr>
            <w:tcW w:w="3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162,881</w:t>
            </w:r>
          </w:p>
        </w:tc>
        <w:tc>
          <w:tcPr>
            <w:tcW w:w="0" w:type="dxa"/>
            <w:vAlign w:val="bottom"/>
          </w:tcPr>
          <w:p>
            <w:pPr>
              <w:spacing w:after="0"/>
              <w:rPr>
                <w:sz w:val="1"/>
                <w:szCs w:val="1"/>
                <w:color w:val="auto"/>
              </w:rPr>
            </w:pPr>
          </w:p>
        </w:tc>
      </w:tr>
      <w:tr>
        <w:trPr>
          <w:trHeight w:val="445"/>
        </w:trPr>
        <w:tc>
          <w:tcPr>
            <w:tcW w:w="8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37,091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40,097</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Long-term investments, less impairments</w:t>
            </w:r>
          </w:p>
        </w:tc>
        <w:tc>
          <w:tcPr>
            <w:tcW w:w="18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33,476</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37,538</w:t>
            </w:r>
          </w:p>
        </w:tc>
        <w:tc>
          <w:tcPr>
            <w:tcW w:w="0" w:type="dxa"/>
            <w:vAlign w:val="bottom"/>
          </w:tcPr>
          <w:p>
            <w:pPr>
              <w:spacing w:after="0"/>
              <w:rPr>
                <w:sz w:val="1"/>
                <w:szCs w:val="1"/>
                <w:color w:val="auto"/>
              </w:rPr>
            </w:pPr>
          </w:p>
        </w:tc>
      </w:tr>
      <w:tr>
        <w:trPr>
          <w:trHeight w:val="256"/>
        </w:trPr>
        <w:tc>
          <w:tcPr>
            <w:tcW w:w="84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28,342</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26,862</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18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22,492</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w:t>
            </w:r>
          </w:p>
        </w:tc>
        <w:tc>
          <w:tcPr>
            <w:tcW w:w="32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15,954</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274,198</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305,455</w:t>
            </w:r>
          </w:p>
        </w:tc>
        <w:tc>
          <w:tcPr>
            <w:tcW w:w="0" w:type="dxa"/>
            <w:vAlign w:val="bottom"/>
          </w:tcPr>
          <w:p>
            <w:pPr>
              <w:spacing w:after="0"/>
              <w:rPr>
                <w:sz w:val="1"/>
                <w:szCs w:val="1"/>
                <w:color w:val="auto"/>
              </w:rPr>
            </w:pPr>
          </w:p>
        </w:tc>
      </w:tr>
      <w:tr>
        <w:trPr>
          <w:trHeight w:val="20"/>
        </w:trPr>
        <w:tc>
          <w:tcPr>
            <w:tcW w:w="84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7,182</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15,631</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Short-term ARS borrowings</w:t>
            </w:r>
          </w:p>
        </w:tc>
        <w:tc>
          <w:tcPr>
            <w:tcW w:w="18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9,100</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4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shd w:val="clear" w:color="auto" w:fill="D6F3E8"/>
          </w:tcPr>
          <w:p>
            <w:pPr>
              <w:spacing w:after="0"/>
              <w:rPr>
                <w:sz w:val="22"/>
                <w:szCs w:val="22"/>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32,213</w:t>
            </w:r>
          </w:p>
        </w:tc>
        <w:tc>
          <w:tcPr>
            <w:tcW w:w="32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38,626</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84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48,525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54,333</w:t>
            </w:r>
          </w:p>
        </w:tc>
        <w:tc>
          <w:tcPr>
            <w:tcW w:w="0" w:type="dxa"/>
            <w:vAlign w:val="bottom"/>
          </w:tcPr>
          <w:p>
            <w:pPr>
              <w:spacing w:after="0"/>
              <w:rPr>
                <w:sz w:val="1"/>
                <w:szCs w:val="1"/>
                <w:color w:val="auto"/>
              </w:rPr>
            </w:pPr>
          </w:p>
        </w:tc>
      </w:tr>
      <w:tr>
        <w:trPr>
          <w:trHeight w:val="440"/>
        </w:trPr>
        <w:tc>
          <w:tcPr>
            <w:tcW w:w="8460" w:type="dxa"/>
            <w:vAlign w:val="bottom"/>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Unrecognized tax benefit</w:t>
            </w:r>
          </w:p>
        </w:tc>
        <w:tc>
          <w:tcPr>
            <w:tcW w:w="18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8,943</w:t>
            </w:r>
          </w:p>
        </w:tc>
        <w:tc>
          <w:tcPr>
            <w:tcW w:w="3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63,047</w:t>
            </w:r>
          </w:p>
        </w:tc>
        <w:tc>
          <w:tcPr>
            <w:tcW w:w="32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67,729</w:t>
            </w:r>
          </w:p>
        </w:tc>
        <w:tc>
          <w:tcPr>
            <w:tcW w:w="10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84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D6F3E8"/>
          </w:tcPr>
          <w:p>
            <w:pPr>
              <w:spacing w:after="0"/>
              <w:rPr>
                <w:sz w:val="21"/>
                <w:szCs w:val="21"/>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71,990</w:t>
            </w:r>
          </w:p>
        </w:tc>
        <w:tc>
          <w:tcPr>
            <w:tcW w:w="3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77,198</w:t>
            </w:r>
          </w:p>
        </w:tc>
        <w:tc>
          <w:tcPr>
            <w:tcW w:w="0" w:type="dxa"/>
            <w:vAlign w:val="bottom"/>
          </w:tcPr>
          <w:p>
            <w:pPr>
              <w:spacing w:after="0"/>
              <w:rPr>
                <w:sz w:val="1"/>
                <w:szCs w:val="1"/>
                <w:color w:val="auto"/>
              </w:rPr>
            </w:pPr>
          </w:p>
        </w:tc>
      </w:tr>
      <w:tr>
        <w:trPr>
          <w:trHeight w:val="445"/>
        </w:trPr>
        <w:tc>
          <w:tcPr>
            <w:tcW w:w="84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153,683</w:t>
            </w:r>
          </w:p>
        </w:tc>
        <w:tc>
          <w:tcPr>
            <w:tcW w:w="320" w:type="dxa"/>
            <w:vAlign w:val="bottom"/>
            <w:tcBorders>
              <w:bottom w:val="single" w:sz="8" w:color="D6F3E8"/>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173,924</w:t>
            </w:r>
          </w:p>
        </w:tc>
        <w:tc>
          <w:tcPr>
            <w:tcW w:w="100" w:type="dxa"/>
            <w:vAlign w:val="bottom"/>
            <w:tcBorders>
              <w:bottom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274,198</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305,455</w:t>
            </w:r>
          </w:p>
        </w:tc>
        <w:tc>
          <w:tcPr>
            <w:tcW w:w="0" w:type="dxa"/>
            <w:vAlign w:val="bottom"/>
          </w:tcPr>
          <w:p>
            <w:pPr>
              <w:spacing w:after="0"/>
              <w:rPr>
                <w:sz w:val="1"/>
                <w:szCs w:val="1"/>
                <w:color w:val="auto"/>
              </w:rPr>
            </w:pPr>
          </w:p>
        </w:tc>
      </w:tr>
      <w:tr>
        <w:trPr>
          <w:trHeight w:val="20"/>
        </w:trPr>
        <w:tc>
          <w:tcPr>
            <w:tcW w:w="84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26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27 Weeks Ended</w:t>
            </w:r>
          </w:p>
        </w:tc>
        <w:tc>
          <w:tcPr>
            <w:tcW w:w="0" w:type="dxa"/>
            <w:vAlign w:val="bottom"/>
          </w:tcPr>
          <w:p>
            <w:pPr>
              <w:spacing w:after="0"/>
              <w:rPr>
                <w:sz w:val="1"/>
                <w:szCs w:val="1"/>
                <w:color w:val="auto"/>
              </w:rPr>
            </w:pPr>
          </w:p>
        </w:tc>
      </w:t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February 28, 2009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March 1, 2008</w:t>
            </w:r>
          </w:p>
        </w:tc>
        <w:tc>
          <w:tcPr>
            <w:tcW w:w="0" w:type="dxa"/>
            <w:vAlign w:val="bottom"/>
          </w:tcPr>
          <w:p>
            <w:pPr>
              <w:spacing w:after="0"/>
              <w:rPr>
                <w:sz w:val="1"/>
                <w:szCs w:val="1"/>
                <w:color w:val="auto"/>
              </w:rPr>
            </w:pPr>
          </w:p>
        </w:tc>
      </w:tr>
      <w:tr>
        <w:trPr>
          <w:trHeight w:val="236"/>
        </w:trPr>
        <w:tc>
          <w:tcPr>
            <w:tcW w:w="84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(19,977)</w:t>
            </w:r>
          </w:p>
        </w:tc>
        <w:tc>
          <w:tcPr>
            <w:tcW w:w="2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55"/>
        </w:trPr>
        <w:tc>
          <w:tcPr>
            <w:tcW w:w="8460" w:type="dxa"/>
            <w:vAlign w:val="bottom"/>
          </w:tcPr>
          <w:p>
            <w:pPr>
              <w:ind w:left="10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D6F3E8"/>
          </w:tcPr>
          <w:p>
            <w:pPr>
              <w:spacing w:after="0"/>
              <w:rPr>
                <w:sz w:val="22"/>
                <w:szCs w:val="22"/>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56"/>
        </w:trPr>
        <w:tc>
          <w:tcPr>
            <w:tcW w:w="8460" w:type="dxa"/>
            <w:vAlign w:val="bottom"/>
          </w:tcPr>
          <w:p>
            <w:pPr>
              <w:ind w:left="180"/>
              <w:spacing w:after="0"/>
              <w:rPr>
                <w:sz w:val="20"/>
                <w:szCs w:val="20"/>
                <w:color w:val="auto"/>
              </w:rPr>
            </w:pPr>
            <w:r>
              <w:rPr>
                <w:rFonts w:ascii="Arial" w:cs="Arial" w:eastAsia="Arial" w:hAnsi="Arial"/>
                <w:sz w:val="18"/>
                <w:szCs w:val="18"/>
                <w:color w:val="auto"/>
              </w:rPr>
              <w:t>Postretirement benefit income and deferred compensation</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6"/>
        </w:trPr>
        <w:tc>
          <w:tcPr>
            <w:tcW w:w="8460" w:type="dxa"/>
            <w:vAlign w:val="bottom"/>
          </w:tcPr>
          <w:p>
            <w:pPr>
              <w:ind w:left="180"/>
              <w:spacing w:after="0"/>
              <w:rPr>
                <w:sz w:val="20"/>
                <w:szCs w:val="20"/>
                <w:color w:val="auto"/>
              </w:rPr>
            </w:pPr>
            <w:r>
              <w:rPr>
                <w:rFonts w:ascii="Arial" w:cs="Arial" w:eastAsia="Arial" w:hAnsi="Arial"/>
                <w:sz w:val="18"/>
                <w:szCs w:val="18"/>
                <w:color w:val="auto"/>
              </w:rPr>
              <w:t>Increase in cash surrender value of life insurance policies</w:t>
            </w:r>
          </w:p>
        </w:tc>
        <w:tc>
          <w:tcPr>
            <w:tcW w:w="1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D6F3E8"/>
          </w:tcPr>
          <w:p>
            <w:pPr>
              <w:spacing w:after="0"/>
              <w:rPr>
                <w:sz w:val="22"/>
                <w:szCs w:val="22"/>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5"/>
        </w:trPr>
        <w:tc>
          <w:tcPr>
            <w:tcW w:w="8460" w:type="dxa"/>
            <w:vAlign w:val="bottom"/>
          </w:tcPr>
          <w:p>
            <w:pPr>
              <w:ind w:left="10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37,818</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(27,269)</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Receivables and prepaid assets</w:t>
            </w:r>
          </w:p>
        </w:tc>
        <w:tc>
          <w:tcPr>
            <w:tcW w:w="100" w:type="dxa"/>
            <w:vAlign w:val="bottom"/>
            <w:shd w:val="clear" w:color="auto" w:fill="D6F3E8"/>
          </w:tcPr>
          <w:p>
            <w:pPr>
              <w:spacing w:after="0"/>
              <w:rPr>
                <w:sz w:val="22"/>
                <w:szCs w:val="22"/>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1,290</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56"/>
        </w:trPr>
        <w:tc>
          <w:tcPr>
            <w:tcW w:w="84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(11,734)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58"/>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Income taxes (receivable) payable and unrecognized tax benefits</w:t>
            </w:r>
          </w:p>
        </w:tc>
        <w:tc>
          <w:tcPr>
            <w:tcW w:w="10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(12,756)</w:t>
            </w:r>
          </w:p>
        </w:tc>
        <w:tc>
          <w:tcPr>
            <w:tcW w:w="1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56"/>
        </w:trPr>
        <w:tc>
          <w:tcPr>
            <w:tcW w:w="8460" w:type="dxa"/>
            <w:vAlign w:val="bottom"/>
          </w:tcPr>
          <w:p>
            <w:pPr>
              <w:ind w:left="180"/>
              <w:spacing w:after="0"/>
              <w:rPr>
                <w:sz w:val="20"/>
                <w:szCs w:val="20"/>
                <w:color w:val="auto"/>
              </w:rPr>
            </w:pPr>
            <w:r>
              <w:rPr>
                <w:rFonts w:ascii="Arial" w:cs="Arial" w:eastAsia="Arial" w:hAnsi="Arial"/>
                <w:sz w:val="18"/>
                <w:szCs w:val="18"/>
                <w:color w:val="auto"/>
              </w:rPr>
              <w:t>Postretirement and deferred compensation benefits</w:t>
            </w:r>
          </w:p>
        </w:tc>
        <w:tc>
          <w:tcPr>
            <w:tcW w:w="1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(1,424)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8460" w:type="dxa"/>
            <w:vAlign w:val="bottom"/>
            <w:vMerge w:val="restart"/>
            <w:shd w:val="clear" w:color="auto" w:fill="D6F3E8"/>
          </w:tcPr>
          <w:p>
            <w:pPr>
              <w:ind w:left="1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60" w:type="dxa"/>
            <w:vAlign w:val="bottom"/>
            <w:vMerge w:val="continue"/>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(2,258)</w:t>
            </w:r>
          </w:p>
        </w:tc>
        <w:tc>
          <w:tcPr>
            <w:tcW w:w="14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(12,633)</w:t>
            </w:r>
          </w:p>
        </w:tc>
        <w:tc>
          <w:tcPr>
            <w:tcW w:w="0" w:type="dxa"/>
            <w:vAlign w:val="bottom"/>
          </w:tcPr>
          <w:p>
            <w:pPr>
              <w:spacing w:after="0"/>
              <w:rPr>
                <w:sz w:val="1"/>
                <w:szCs w:val="1"/>
                <w:color w:val="auto"/>
              </w:rPr>
            </w:pPr>
          </w:p>
        </w:tc>
      </w:tr>
      <w:tr>
        <w:trPr>
          <w:trHeight w:val="437"/>
        </w:trPr>
        <w:tc>
          <w:tcPr>
            <w:tcW w:w="84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D6F3E8"/>
            </w:tcBorders>
          </w:tcPr>
          <w:p>
            <w:pPr>
              <w:spacing w:after="0"/>
              <w:rPr>
                <w:sz w:val="24"/>
                <w:szCs w:val="24"/>
                <w:color w:val="auto"/>
              </w:rPr>
            </w:pPr>
          </w:p>
        </w:tc>
        <w:tc>
          <w:tcPr>
            <w:tcW w:w="140" w:type="dxa"/>
            <w:vAlign w:val="bottom"/>
            <w:tcBorders>
              <w:top w:val="single" w:sz="8" w:color="D6F3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460" w:type="dxa"/>
            <w:vAlign w:val="bottom"/>
          </w:tcPr>
          <w:p>
            <w:pPr>
              <w:ind w:left="10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(228,069)</w:t>
            </w:r>
          </w:p>
        </w:tc>
        <w:tc>
          <w:tcPr>
            <w:tcW w:w="0" w:type="dxa"/>
            <w:vAlign w:val="bottom"/>
          </w:tcPr>
          <w:p>
            <w:pPr>
              <w:spacing w:after="0"/>
              <w:rPr>
                <w:sz w:val="1"/>
                <w:szCs w:val="1"/>
                <w:color w:val="auto"/>
              </w:rPr>
            </w:pPr>
          </w:p>
        </w:tc>
      </w:tr>
    </w:tbl>
    <w:p>
      <w:pPr>
        <w:sectPr>
          <w:pgSz w:w="11900" w:h="16895" w:orient="portrait"/>
          <w:cols w:equalWidth="0" w:num="1">
            <w:col w:w="11420"/>
          </w:cols>
          <w:pgMar w:left="240" w:top="374"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shd w:val="clear" w:color="auto" w:fill="D6F3E8"/>
          </w:tcPr>
          <w:p>
            <w:pPr>
              <w:ind w:left="100"/>
              <w:spacing w:after="0"/>
              <w:rPr>
                <w:sz w:val="20"/>
                <w:szCs w:val="20"/>
                <w:color w:val="auto"/>
              </w:rPr>
            </w:pPr>
            <w:r>
              <w:rPr>
                <w:rFonts w:ascii="Arial" w:cs="Arial" w:eastAsia="Arial" w:hAnsi="Arial"/>
                <w:sz w:val="18"/>
                <w:szCs w:val="18"/>
                <w:color w:val="auto"/>
              </w:rPr>
              <w:t>Proceeds from the sale or maturity of investments</w:t>
            </w:r>
          </w:p>
        </w:tc>
        <w:tc>
          <w:tcPr>
            <w:tcW w:w="34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bottom w:val="single" w:sz="8" w:color="D6F3E8"/>
            </w:tcBorders>
            <w:shd w:val="clear" w:color="auto" w:fill="D6F3E8"/>
          </w:tcPr>
          <w:p>
            <w:pPr>
              <w:spacing w:after="0"/>
              <w:rPr>
                <w:sz w:val="20"/>
                <w:szCs w:val="20"/>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8,500</w:t>
            </w:r>
          </w:p>
        </w:tc>
        <w:tc>
          <w:tcPr>
            <w:tcW w:w="32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bottom w:val="single" w:sz="8" w:color="D6F3E8"/>
            </w:tcBorders>
            <w:shd w:val="clear" w:color="auto" w:fill="D6F3E8"/>
          </w:tcPr>
          <w:p>
            <w:pPr>
              <w:spacing w:after="0"/>
              <w:rPr>
                <w:sz w:val="20"/>
                <w:szCs w:val="20"/>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276,519</w:t>
            </w:r>
          </w:p>
        </w:tc>
        <w:tc>
          <w:tcPr>
            <w:tcW w:w="20" w:type="dxa"/>
            <w:vAlign w:val="bottom"/>
            <w:tcBorders>
              <w:bottom w:val="single" w:sz="8" w:color="D6F3E8"/>
            </w:tcBorders>
            <w:shd w:val="clear" w:color="auto" w:fill="D6F3E8"/>
          </w:tcPr>
          <w:p>
            <w:pPr>
              <w:spacing w:after="0"/>
              <w:rPr>
                <w:sz w:val="20"/>
                <w:szCs w:val="20"/>
                <w:color w:val="auto"/>
              </w:rPr>
            </w:pPr>
          </w:p>
        </w:tc>
        <w:tc>
          <w:tcPr>
            <w:tcW w:w="80" w:type="dxa"/>
            <w:vAlign w:val="bottom"/>
            <w:tcBorders>
              <w:bottom w:val="single" w:sz="8" w:color="D6F3E8"/>
            </w:tcBorders>
            <w:shd w:val="clear" w:color="auto" w:fill="D6F3E8"/>
          </w:tcPr>
          <w:p>
            <w:pPr>
              <w:spacing w:after="0"/>
              <w:rPr>
                <w:sz w:val="20"/>
                <w:szCs w:val="20"/>
                <w:color w:val="auto"/>
              </w:rPr>
            </w:pPr>
          </w:p>
        </w:tc>
      </w:tr>
      <w:tr>
        <w:trPr>
          <w:trHeight w:val="215"/>
        </w:trPr>
        <w:tc>
          <w:tcPr>
            <w:tcW w:w="812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8"/>
        </w:trPr>
        <w:tc>
          <w:tcPr>
            <w:tcW w:w="8120" w:type="dxa"/>
            <w:vAlign w:val="bottom"/>
            <w:shd w:val="clear" w:color="auto" w:fill="D6F3E8"/>
          </w:tcPr>
          <w:p>
            <w:pPr>
              <w:ind w:left="10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6F3E8"/>
          </w:tcPr>
          <w:p>
            <w:pPr>
              <w:spacing w:after="0"/>
              <w:rPr>
                <w:sz w:val="22"/>
                <w:szCs w:val="22"/>
                <w:color w:val="auto"/>
              </w:rPr>
            </w:pPr>
          </w:p>
        </w:tc>
        <w:tc>
          <w:tcPr>
            <w:tcW w:w="1600" w:type="dxa"/>
            <w:vAlign w:val="bottom"/>
            <w:gridSpan w:val="3"/>
            <w:shd w:val="clear" w:color="auto" w:fill="D6F3E8"/>
          </w:tcPr>
          <w:p>
            <w:pPr>
              <w:jc w:val="right"/>
              <w:ind w:right="26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D6F3E8"/>
          </w:tcPr>
          <w:p>
            <w:pPr>
              <w:spacing w:after="0"/>
              <w:rPr>
                <w:sz w:val="22"/>
                <w:szCs w:val="22"/>
                <w:color w:val="auto"/>
              </w:rPr>
            </w:pPr>
          </w:p>
        </w:tc>
        <w:tc>
          <w:tcPr>
            <w:tcW w:w="124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(622)</w:t>
            </w:r>
          </w:p>
        </w:tc>
      </w:tr>
      <w:tr>
        <w:trPr>
          <w:trHeight w:val="249"/>
        </w:trPr>
        <w:tc>
          <w:tcPr>
            <w:tcW w:w="81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Pr>
          <w:p>
            <w:pPr>
              <w:spacing w:after="0"/>
              <w:rPr>
                <w:sz w:val="21"/>
                <w:szCs w:val="21"/>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6,412</w:t>
            </w:r>
          </w:p>
        </w:tc>
        <w:tc>
          <w:tcPr>
            <w:tcW w:w="320" w:type="dxa"/>
            <w:vAlign w:val="bottom"/>
            <w:tcBorders>
              <w:top w:val="single" w:sz="8" w:color="D6F3E8"/>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45,359</w:t>
            </w:r>
          </w:p>
        </w:tc>
        <w:tc>
          <w:tcPr>
            <w:tcW w:w="20" w:type="dxa"/>
            <w:vAlign w:val="bottom"/>
            <w:tcBorders>
              <w:top w:val="single" w:sz="8" w:color="D6F3E8"/>
              <w:bottom w:val="single" w:sz="8" w:color="auto"/>
            </w:tcBorders>
          </w:tcPr>
          <w:p>
            <w:pPr>
              <w:spacing w:after="0"/>
              <w:rPr>
                <w:sz w:val="21"/>
                <w:szCs w:val="21"/>
                <w:color w:val="auto"/>
              </w:rPr>
            </w:pPr>
          </w:p>
        </w:tc>
        <w:tc>
          <w:tcPr>
            <w:tcW w:w="80" w:type="dxa"/>
            <w:vAlign w:val="bottom"/>
            <w:tcBorders>
              <w:top w:val="single" w:sz="8" w:color="D6F3E8"/>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40" w:right="239" w:bottom="148"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Payments for purchase of common stock</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Payments of 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Borrowings on ARS portfolio</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Proceeds from issuance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(17,527)</w:t>
            </w:r>
          </w:p>
        </w:tc>
      </w:tr>
      <w:tr>
        <w:trPr>
          <w:trHeight w:val="257"/>
        </w:trPr>
        <w:tc>
          <w:tcPr>
            <w:tcW w:w="44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(3,489)</w:t>
            </w:r>
          </w:p>
        </w:tc>
        <w:tc>
          <w:tcPr>
            <w:tcW w:w="4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(7,024)</w:t>
            </w:r>
          </w:p>
        </w:tc>
      </w:tr>
      <w:tr>
        <w:trPr>
          <w:trHeight w:val="257"/>
        </w:trPr>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9,100</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8"/>
        </w:trPr>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2"/>
                <w:szCs w:val="22"/>
                <w:color w:val="auto"/>
              </w:rPr>
            </w:pPr>
          </w:p>
        </w:tc>
      </w:tr>
      <w:tr>
        <w:trPr>
          <w:trHeight w:val="250"/>
        </w:trPr>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5,449</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(24,079)</w:t>
            </w:r>
          </w:p>
        </w:tc>
      </w:tr>
      <w:tr>
        <w:trPr>
          <w:trHeight w:val="438"/>
        </w:trPr>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9,603</w:t>
            </w: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8,647</w:t>
            </w:r>
          </w:p>
        </w:tc>
        <w:tc>
          <w:tcPr>
            <w:tcW w:w="100" w:type="dxa"/>
            <w:vAlign w:val="bottom"/>
            <w:tcBorders>
              <w:top w:val="single" w:sz="8" w:color="D6F3E8"/>
            </w:tcBorders>
          </w:tcPr>
          <w:p>
            <w:pPr>
              <w:spacing w:after="0"/>
              <w:rPr>
                <w:sz w:val="24"/>
                <w:szCs w:val="24"/>
                <w:color w:val="auto"/>
              </w:rPr>
            </w:pPr>
          </w:p>
        </w:tc>
      </w:tr>
      <w:tr>
        <w:trPr>
          <w:trHeight w:val="447"/>
        </w:trPr>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17,851</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100" w:type="dxa"/>
            <w:vAlign w:val="bottom"/>
          </w:tcPr>
          <w:p>
            <w:pPr>
              <w:spacing w:after="0"/>
              <w:rPr>
                <w:sz w:val="24"/>
                <w:szCs w:val="24"/>
                <w:color w:val="auto"/>
              </w:rPr>
            </w:pPr>
          </w:p>
        </w:tc>
      </w:tr>
      <w:tr>
        <w:trPr>
          <w:trHeight w:val="439"/>
        </w:trPr>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27,454</w:t>
            </w:r>
          </w:p>
        </w:tc>
        <w:tc>
          <w:tcPr>
            <w:tcW w:w="320" w:type="dxa"/>
            <w:vAlign w:val="bottom"/>
          </w:tcPr>
          <w:p>
            <w:pPr>
              <w:spacing w:after="0"/>
              <w:rPr>
                <w:sz w:val="24"/>
                <w:szCs w:val="24"/>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15,536</w:t>
            </w:r>
          </w:p>
        </w:tc>
        <w:tc>
          <w:tcPr>
            <w:tcW w:w="100" w:type="dxa"/>
            <w:vAlign w:val="bottom"/>
          </w:tcPr>
          <w:p>
            <w:pPr>
              <w:spacing w:after="0"/>
              <w:rPr>
                <w:sz w:val="24"/>
                <w:szCs w:val="24"/>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960"/>
          </w:cols>
          <w:pgMar w:left="240" w:top="140" w:right="239" w:bottom="1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Quarter Ended</w:t>
            </w:r>
          </w:p>
        </w:tc>
        <w:tc>
          <w:tcPr>
            <w:tcW w:w="24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Quarter Ended</w:t>
            </w:r>
          </w:p>
        </w:tc>
        <w:tc>
          <w:tcPr>
            <w:tcW w:w="100" w:type="dxa"/>
            <w:vAlign w:val="bottom"/>
          </w:tcPr>
          <w:p>
            <w:pPr>
              <w:spacing w:after="0"/>
              <w:rPr>
                <w:sz w:val="14"/>
                <w:szCs w:val="14"/>
                <w:color w:val="auto"/>
              </w:rPr>
            </w:pPr>
          </w:p>
        </w:tc>
        <w:tc>
          <w:tcPr>
            <w:tcW w:w="16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40" w:type="dxa"/>
            <w:vAlign w:val="bottom"/>
            <w:tcBorders>
              <w:bottom w:val="single" w:sz="8" w:color="D6F3E8"/>
            </w:tcBorders>
          </w:tcPr>
          <w:p>
            <w:pPr>
              <w:spacing w:after="0"/>
              <w:rPr>
                <w:sz w:val="14"/>
                <w:szCs w:val="14"/>
                <w:color w:val="auto"/>
              </w:rPr>
            </w:pPr>
          </w:p>
        </w:tc>
        <w:tc>
          <w:tcPr>
            <w:tcW w:w="1740" w:type="dxa"/>
            <w:vAlign w:val="bottom"/>
            <w:tcBorders>
              <w:bottom w:val="single" w:sz="8" w:color="D6F3E8"/>
            </w:tcBorders>
          </w:tcPr>
          <w:p>
            <w:pPr>
              <w:spacing w:after="0"/>
              <w:rPr>
                <w:sz w:val="14"/>
                <w:szCs w:val="14"/>
                <w:color w:val="auto"/>
              </w:rPr>
            </w:pPr>
          </w:p>
        </w:tc>
        <w:tc>
          <w:tcPr>
            <w:tcW w:w="180" w:type="dxa"/>
            <w:vAlign w:val="bottom"/>
            <w:tcBorders>
              <w:bottom w:val="single" w:sz="8" w:color="D6F3E8"/>
            </w:tcBorders>
          </w:tcPr>
          <w:p>
            <w:pPr>
              <w:spacing w:after="0"/>
              <w:rPr>
                <w:sz w:val="14"/>
                <w:szCs w:val="14"/>
                <w:color w:val="auto"/>
              </w:rPr>
            </w:pPr>
          </w:p>
        </w:tc>
        <w:tc>
          <w:tcPr>
            <w:tcW w:w="180" w:type="dxa"/>
            <w:vAlign w:val="bottom"/>
            <w:tcBorders>
              <w:bottom w:val="single" w:sz="8" w:color="D6F3E8"/>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Feb. 28, 2009</w:t>
            </w:r>
          </w:p>
        </w:tc>
        <w:tc>
          <w:tcPr>
            <w:tcW w:w="120" w:type="dxa"/>
            <w:vAlign w:val="bottom"/>
            <w:tcBorders>
              <w:bottom w:val="single" w:sz="8" w:color="D6F3E8"/>
            </w:tcBorders>
          </w:tcPr>
          <w:p>
            <w:pPr>
              <w:spacing w:after="0"/>
              <w:rPr>
                <w:sz w:val="14"/>
                <w:szCs w:val="14"/>
                <w:color w:val="auto"/>
              </w:rPr>
            </w:pPr>
          </w:p>
        </w:tc>
        <w:tc>
          <w:tcPr>
            <w:tcW w:w="240" w:type="dxa"/>
            <w:vAlign w:val="bottom"/>
            <w:tcBorders>
              <w:bottom w:val="single" w:sz="8" w:color="D6F3E8"/>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 1, 2008</w:t>
            </w:r>
          </w:p>
        </w:tc>
        <w:tc>
          <w:tcPr>
            <w:tcW w:w="240" w:type="dxa"/>
            <w:vAlign w:val="bottom"/>
            <w:tcBorders>
              <w:bottom w:val="single" w:sz="8" w:color="D6F3E8"/>
            </w:tcBorders>
          </w:tcPr>
          <w:p>
            <w:pPr>
              <w:spacing w:after="0"/>
              <w:rPr>
                <w:sz w:val="14"/>
                <w:szCs w:val="14"/>
                <w:color w:val="auto"/>
              </w:rPr>
            </w:pPr>
          </w:p>
        </w:tc>
        <w:tc>
          <w:tcPr>
            <w:tcW w:w="100" w:type="dxa"/>
            <w:vAlign w:val="bottom"/>
            <w:tcBorders>
              <w:bottom w:val="single" w:sz="8" w:color="D6F3E8"/>
            </w:tcBorders>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Units</w:t>
            </w:r>
          </w:p>
        </w:tc>
        <w:tc>
          <w:tcPr>
            <w:tcW w:w="340" w:type="dxa"/>
            <w:vAlign w:val="bottom"/>
            <w:tcBorders>
              <w:bottom w:val="single" w:sz="8" w:color="D6F3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A Gas</w:t>
            </w:r>
          </w:p>
        </w:tc>
        <w:tc>
          <w:tcPr>
            <w:tcW w:w="174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3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36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D6F3E8"/>
          </w:tcPr>
          <w:p>
            <w:pPr>
              <w:spacing w:after="0"/>
              <w:rPr>
                <w:sz w:val="21"/>
                <w:szCs w:val="21"/>
                <w:color w:val="auto"/>
              </w:rPr>
            </w:pP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56"/>
        </w:trPr>
        <w:tc>
          <w:tcPr>
            <w:tcW w:w="36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1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2"/>
                <w:szCs w:val="2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D6F3E8"/>
          </w:tcPr>
          <w:p>
            <w:pPr>
              <w:ind w:left="180"/>
              <w:spacing w:after="0"/>
              <w:rPr>
                <w:sz w:val="20"/>
                <w:szCs w:val="20"/>
                <w:color w:val="auto"/>
              </w:rPr>
            </w:pPr>
            <w:r>
              <w:rPr>
                <w:rFonts w:ascii="Arial" w:cs="Arial" w:eastAsia="Arial" w:hAnsi="Arial"/>
                <w:sz w:val="18"/>
                <w:szCs w:val="18"/>
                <w:color w:val="auto"/>
              </w:rPr>
              <w:t>Total Class A</w:t>
            </w:r>
          </w:p>
        </w:tc>
        <w:tc>
          <w:tcPr>
            <w:tcW w:w="1740" w:type="dxa"/>
            <w:vAlign w:val="bottom"/>
            <w:shd w:val="clear" w:color="auto" w:fill="D6F3E8"/>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40" w:type="dxa"/>
            <w:vAlign w:val="bottom"/>
            <w:vMerge w:val="continue"/>
            <w:shd w:val="clear" w:color="auto" w:fill="D6F3E8"/>
          </w:tcPr>
          <w:p>
            <w:pPr>
              <w:spacing w:after="0"/>
              <w:rPr>
                <w:sz w:val="21"/>
                <w:szCs w:val="21"/>
                <w:color w:val="auto"/>
              </w:rPr>
            </w:pPr>
          </w:p>
        </w:tc>
        <w:tc>
          <w:tcPr>
            <w:tcW w:w="174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1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36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D6F3E8"/>
          </w:tcPr>
          <w:p>
            <w:pPr>
              <w:spacing w:after="0"/>
              <w:rPr>
                <w:sz w:val="21"/>
                <w:szCs w:val="21"/>
                <w:color w:val="auto"/>
              </w:rPr>
            </w:pP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(716)</w:t>
            </w:r>
          </w:p>
        </w:tc>
        <w:tc>
          <w:tcPr>
            <w:tcW w:w="20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56"/>
        </w:trPr>
        <w:tc>
          <w:tcPr>
            <w:tcW w:w="3640" w:type="dxa"/>
            <w:vAlign w:val="bottom"/>
          </w:tcPr>
          <w:p>
            <w:pPr>
              <w:ind w:left="100"/>
              <w:spacing w:after="0"/>
              <w:rPr>
                <w:sz w:val="20"/>
                <w:szCs w:val="20"/>
                <w:color w:val="auto"/>
              </w:rPr>
            </w:pPr>
            <w:r>
              <w:rPr>
                <w:rFonts w:ascii="Arial" w:cs="Arial" w:eastAsia="Arial" w:hAnsi="Arial"/>
                <w:sz w:val="18"/>
                <w:szCs w:val="18"/>
                <w:color w:val="auto"/>
              </w:rPr>
              <w:t>Class B</w:t>
            </w:r>
          </w:p>
        </w:tc>
        <w:tc>
          <w:tcPr>
            <w:tcW w:w="1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58"/>
        </w:trPr>
        <w:tc>
          <w:tcPr>
            <w:tcW w:w="36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C</w:t>
            </w:r>
          </w:p>
        </w:tc>
        <w:tc>
          <w:tcPr>
            <w:tcW w:w="174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36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D6F3E8"/>
          </w:tcPr>
          <w:p>
            <w:pPr>
              <w:spacing w:after="0"/>
              <w:rPr>
                <w:sz w:val="22"/>
                <w:szCs w:val="22"/>
                <w:color w:val="auto"/>
              </w:rPr>
            </w:pP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Total deliveries</w:t>
            </w: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640" w:type="dxa"/>
            <w:vAlign w:val="bottom"/>
            <w:vMerge w:val="continue"/>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(1,382)</w:t>
            </w: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26 Weeks Ended</w:t>
            </w:r>
          </w:p>
        </w:tc>
        <w:tc>
          <w:tcPr>
            <w:tcW w:w="24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27 Weeks Ended</w:t>
            </w:r>
          </w:p>
        </w:tc>
        <w:tc>
          <w:tcPr>
            <w:tcW w:w="100" w:type="dxa"/>
            <w:vAlign w:val="bottom"/>
          </w:tcPr>
          <w:p>
            <w:pPr>
              <w:spacing w:after="0"/>
              <w:rPr>
                <w:sz w:val="24"/>
                <w:szCs w:val="24"/>
                <w:color w:val="auto"/>
              </w:rPr>
            </w:pPr>
          </w:p>
        </w:tc>
        <w:tc>
          <w:tcPr>
            <w:tcW w:w="16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Feb. 28, 2009</w:t>
            </w:r>
          </w:p>
        </w:tc>
        <w:tc>
          <w:tcPr>
            <w:tcW w:w="24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Mar. 1, 2008</w:t>
            </w:r>
          </w:p>
        </w:tc>
        <w:tc>
          <w:tcPr>
            <w:tcW w:w="100" w:type="dxa"/>
            <w:vAlign w:val="bottom"/>
          </w:tcPr>
          <w:p>
            <w:pPr>
              <w:spacing w:after="0"/>
              <w:rPr>
                <w:sz w:val="14"/>
                <w:szCs w:val="14"/>
                <w:color w:val="auto"/>
              </w:rPr>
            </w:pPr>
          </w:p>
        </w:tc>
        <w:tc>
          <w:tcPr>
            <w:tcW w:w="16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Units</w:t>
            </w:r>
          </w:p>
        </w:tc>
        <w:tc>
          <w:tcPr>
            <w:tcW w:w="94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40" w:type="dxa"/>
            <w:vAlign w:val="bottom"/>
          </w:tcPr>
          <w:p>
            <w:pPr>
              <w:spacing w:after="0"/>
              <w:rPr>
                <w:sz w:val="20"/>
                <w:szCs w:val="20"/>
                <w:color w:val="auto"/>
              </w:rPr>
            </w:pPr>
            <w:r>
              <w:rPr>
                <w:rFonts w:ascii="Arial" w:cs="Arial" w:eastAsia="Arial" w:hAnsi="Arial"/>
                <w:sz w:val="18"/>
                <w:szCs w:val="18"/>
                <w:color w:val="auto"/>
              </w:rPr>
              <w:t>Motor home unit deliveries</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6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A Gas</w:t>
            </w:r>
          </w:p>
        </w:tc>
        <w:tc>
          <w:tcPr>
            <w:tcW w:w="174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3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36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D6F3E8"/>
          </w:tcPr>
          <w:p>
            <w:pPr>
              <w:spacing w:after="0"/>
              <w:rPr>
                <w:sz w:val="22"/>
                <w:szCs w:val="22"/>
                <w:color w:val="auto"/>
              </w:rPr>
            </w:pP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(1,145)</w:t>
            </w:r>
          </w:p>
        </w:tc>
        <w:tc>
          <w:tcPr>
            <w:tcW w:w="2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56"/>
        </w:trPr>
        <w:tc>
          <w:tcPr>
            <w:tcW w:w="36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1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2"/>
                <w:szCs w:val="2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D6F3E8"/>
          </w:tcPr>
          <w:p>
            <w:pPr>
              <w:ind w:left="180"/>
              <w:spacing w:after="0"/>
              <w:rPr>
                <w:sz w:val="20"/>
                <w:szCs w:val="20"/>
                <w:color w:val="auto"/>
              </w:rPr>
            </w:pPr>
            <w:r>
              <w:rPr>
                <w:rFonts w:ascii="Arial" w:cs="Arial" w:eastAsia="Arial" w:hAnsi="Arial"/>
                <w:sz w:val="18"/>
                <w:szCs w:val="18"/>
                <w:color w:val="auto"/>
              </w:rPr>
              <w:t>Total Class A</w:t>
            </w:r>
          </w:p>
        </w:tc>
        <w:tc>
          <w:tcPr>
            <w:tcW w:w="1740" w:type="dxa"/>
            <w:vAlign w:val="bottom"/>
            <w:shd w:val="clear" w:color="auto" w:fill="D6F3E8"/>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40" w:type="dxa"/>
            <w:vAlign w:val="bottom"/>
            <w:vMerge w:val="continue"/>
            <w:shd w:val="clear" w:color="auto" w:fill="D6F3E8"/>
          </w:tcPr>
          <w:p>
            <w:pPr>
              <w:spacing w:after="0"/>
              <w:rPr>
                <w:sz w:val="21"/>
                <w:szCs w:val="21"/>
                <w:color w:val="auto"/>
              </w:rPr>
            </w:pPr>
          </w:p>
        </w:tc>
        <w:tc>
          <w:tcPr>
            <w:tcW w:w="174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1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36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D6F3E8"/>
          </w:tcPr>
          <w:p>
            <w:pPr>
              <w:spacing w:after="0"/>
              <w:rPr>
                <w:sz w:val="21"/>
                <w:szCs w:val="21"/>
                <w:color w:val="auto"/>
              </w:rPr>
            </w:pP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(1,632)</w:t>
            </w:r>
          </w:p>
        </w:tc>
        <w:tc>
          <w:tcPr>
            <w:tcW w:w="20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56"/>
        </w:trPr>
        <w:tc>
          <w:tcPr>
            <w:tcW w:w="3640" w:type="dxa"/>
            <w:vAlign w:val="bottom"/>
          </w:tcPr>
          <w:p>
            <w:pPr>
              <w:ind w:left="100"/>
              <w:spacing w:after="0"/>
              <w:rPr>
                <w:sz w:val="20"/>
                <w:szCs w:val="20"/>
                <w:color w:val="auto"/>
              </w:rPr>
            </w:pPr>
            <w:r>
              <w:rPr>
                <w:rFonts w:ascii="Arial" w:cs="Arial" w:eastAsia="Arial" w:hAnsi="Arial"/>
                <w:sz w:val="18"/>
                <w:szCs w:val="18"/>
                <w:color w:val="auto"/>
              </w:rPr>
              <w:t>Class B</w:t>
            </w:r>
          </w:p>
        </w:tc>
        <w:tc>
          <w:tcPr>
            <w:tcW w:w="1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8"/>
        </w:trPr>
        <w:tc>
          <w:tcPr>
            <w:tcW w:w="36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C</w:t>
            </w:r>
          </w:p>
        </w:tc>
        <w:tc>
          <w:tcPr>
            <w:tcW w:w="174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36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D6F3E8"/>
          </w:tcPr>
          <w:p>
            <w:pPr>
              <w:spacing w:after="0"/>
              <w:rPr>
                <w:sz w:val="22"/>
                <w:szCs w:val="22"/>
                <w:color w:val="auto"/>
              </w:rPr>
            </w:pP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(1,291)</w:t>
            </w:r>
          </w:p>
        </w:tc>
        <w:tc>
          <w:tcPr>
            <w:tcW w:w="2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Total deliveries</w:t>
            </w: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640" w:type="dxa"/>
            <w:vAlign w:val="bottom"/>
            <w:vMerge w:val="continue"/>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(2,881)</w:t>
            </w: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3640" w:type="dxa"/>
            <w:vAlign w:val="bottom"/>
          </w:tcPr>
          <w:p>
            <w:pPr>
              <w:spacing w:after="0"/>
              <w:rPr>
                <w:sz w:val="24"/>
                <w:szCs w:val="24"/>
                <w:color w:val="auto"/>
              </w:rPr>
            </w:pPr>
          </w:p>
        </w:tc>
        <w:tc>
          <w:tcPr>
            <w:tcW w:w="3360" w:type="dxa"/>
            <w:vAlign w:val="bottom"/>
            <w:gridSpan w:val="6"/>
          </w:tcPr>
          <w:p>
            <w:pPr>
              <w:jc w:val="center"/>
              <w:ind w:left="692"/>
              <w:spacing w:after="0"/>
              <w:rPr>
                <w:sz w:val="20"/>
                <w:szCs w:val="20"/>
                <w:color w:val="auto"/>
              </w:rPr>
            </w:pPr>
            <w:r>
              <w:rPr>
                <w:rFonts w:ascii="Arial" w:cs="Arial" w:eastAsia="Arial" w:hAnsi="Arial"/>
                <w:sz w:val="18"/>
                <w:szCs w:val="18"/>
                <w:color w:val="auto"/>
                <w:w w:val="89"/>
              </w:rPr>
              <w:t>Winnebago Industries, Inc.</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4960" w:type="dxa"/>
            <w:vAlign w:val="bottom"/>
            <w:gridSpan w:val="10"/>
          </w:tcPr>
          <w:p>
            <w:pPr>
              <w:jc w:val="center"/>
              <w:ind w:right="800"/>
              <w:spacing w:after="0"/>
              <w:rPr>
                <w:sz w:val="20"/>
                <w:szCs w:val="20"/>
                <w:color w:val="auto"/>
              </w:rPr>
            </w:pPr>
            <w:r>
              <w:rPr>
                <w:rFonts w:ascii="Arial" w:cs="Arial" w:eastAsia="Arial" w:hAnsi="Arial"/>
                <w:sz w:val="18"/>
                <w:szCs w:val="18"/>
                <w:color w:val="auto"/>
                <w:w w:val="88"/>
              </w:rPr>
              <w:t>Unaudited Sales Order Backlog and Dealer Inventory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gridSpan w:val="5"/>
          </w:tcPr>
          <w:p>
            <w:pPr>
              <w:jc w:val="center"/>
              <w:ind w:right="960"/>
              <w:spacing w:after="0"/>
              <w:rPr>
                <w:sz w:val="20"/>
                <w:szCs w:val="20"/>
                <w:color w:val="auto"/>
              </w:rPr>
            </w:pPr>
            <w:r>
              <w:rPr>
                <w:rFonts w:ascii="Arial" w:cs="Arial" w:eastAsia="Arial" w:hAnsi="Arial"/>
                <w:sz w:val="18"/>
                <w:szCs w:val="18"/>
                <w:color w:val="auto"/>
                <w:w w:val="94"/>
              </w:rPr>
              <w:t>(Units)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Increase/</w:t>
            </w:r>
          </w:p>
        </w:tc>
        <w:tc>
          <w:tcPr>
            <w:tcW w:w="94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640" w:type="dxa"/>
            <w:vAlign w:val="bottom"/>
            <w:tcBorders>
              <w:bottom w:val="single" w:sz="8" w:color="D6F3E8"/>
            </w:tcBorders>
          </w:tcPr>
          <w:p>
            <w:pPr>
              <w:spacing w:after="0"/>
              <w:rPr>
                <w:sz w:val="14"/>
                <w:szCs w:val="14"/>
                <w:color w:val="auto"/>
              </w:rPr>
            </w:pPr>
          </w:p>
        </w:tc>
        <w:tc>
          <w:tcPr>
            <w:tcW w:w="174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w w:val="94"/>
              </w:rPr>
              <w:t>Feb. 28, 2009</w:t>
            </w:r>
          </w:p>
        </w:tc>
        <w:tc>
          <w:tcPr>
            <w:tcW w:w="340" w:type="dxa"/>
            <w:vAlign w:val="bottom"/>
            <w:tcBorders>
              <w:bottom w:val="single" w:sz="8" w:color="D6F3E8"/>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0"/>
              </w:rPr>
              <w:t>Mar. 1, 2008</w:t>
            </w:r>
          </w:p>
        </w:tc>
        <w:tc>
          <w:tcPr>
            <w:tcW w:w="340" w:type="dxa"/>
            <w:vAlign w:val="bottom"/>
            <w:tcBorders>
              <w:bottom w:val="single" w:sz="8" w:color="D6F3E8"/>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340" w:type="dxa"/>
            <w:vAlign w:val="bottom"/>
            <w:tcBorders>
              <w:bottom w:val="single" w:sz="8" w:color="D6F3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174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9"/>
        </w:trPr>
        <w:tc>
          <w:tcPr>
            <w:tcW w:w="3640" w:type="dxa"/>
            <w:vAlign w:val="bottom"/>
          </w:tcPr>
          <w:p>
            <w:pPr>
              <w:spacing w:after="0"/>
              <w:rPr>
                <w:sz w:val="20"/>
                <w:szCs w:val="20"/>
                <w:color w:val="auto"/>
              </w:rPr>
            </w:pPr>
            <w:r>
              <w:rPr>
                <w:rFonts w:ascii="Arial" w:cs="Arial" w:eastAsia="Arial" w:hAnsi="Arial"/>
                <w:sz w:val="18"/>
                <w:szCs w:val="18"/>
                <w:color w:val="auto"/>
              </w:rPr>
              <w:t>Class A Diesel</w:t>
            </w: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
        </w:trPr>
        <w:tc>
          <w:tcPr>
            <w:tcW w:w="3640" w:type="dxa"/>
            <w:vAlign w:val="bottom"/>
            <w:vMerge w:val="restart"/>
            <w:shd w:val="clear" w:color="auto" w:fill="D6F3E8"/>
          </w:tcPr>
          <w:p>
            <w:pPr>
              <w:ind w:left="500"/>
              <w:spacing w:after="0"/>
              <w:rPr>
                <w:sz w:val="20"/>
                <w:szCs w:val="20"/>
                <w:color w:val="auto"/>
              </w:rPr>
            </w:pPr>
            <w:r>
              <w:rPr>
                <w:rFonts w:ascii="Arial" w:cs="Arial" w:eastAsia="Arial" w:hAnsi="Arial"/>
                <w:sz w:val="18"/>
                <w:szCs w:val="18"/>
                <w:color w:val="auto"/>
              </w:rPr>
              <w:t>Total Class A</w:t>
            </w:r>
          </w:p>
        </w:tc>
        <w:tc>
          <w:tcPr>
            <w:tcW w:w="174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40" w:type="dxa"/>
            <w:vAlign w:val="bottom"/>
            <w:vMerge w:val="continue"/>
            <w:shd w:val="clear" w:color="auto" w:fill="D6F3E8"/>
          </w:tcPr>
          <w:p>
            <w:pPr>
              <w:spacing w:after="0"/>
              <w:rPr>
                <w:sz w:val="22"/>
                <w:szCs w:val="22"/>
                <w:color w:val="auto"/>
              </w:rPr>
            </w:pPr>
          </w:p>
        </w:tc>
        <w:tc>
          <w:tcPr>
            <w:tcW w:w="174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9"/>
        </w:trPr>
        <w:tc>
          <w:tcPr>
            <w:tcW w:w="3640" w:type="dxa"/>
            <w:vAlign w:val="bottom"/>
          </w:tcPr>
          <w:p>
            <w:pPr>
              <w:spacing w:after="0"/>
              <w:rPr>
                <w:sz w:val="20"/>
                <w:szCs w:val="20"/>
                <w:color w:val="auto"/>
              </w:rPr>
            </w:pPr>
            <w:r>
              <w:rPr>
                <w:rFonts w:ascii="Arial" w:cs="Arial" w:eastAsia="Arial" w:hAnsi="Arial"/>
                <w:sz w:val="18"/>
                <w:szCs w:val="18"/>
                <w:color w:val="auto"/>
              </w:rPr>
              <w:t>Class B</w:t>
            </w: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64"/>
        </w:trPr>
        <w:tc>
          <w:tcPr>
            <w:tcW w:w="3640" w:type="dxa"/>
            <w:vAlign w:val="bottom"/>
            <w:shd w:val="clear" w:color="auto" w:fill="D6F3E8"/>
          </w:tcPr>
          <w:p>
            <w:pPr>
              <w:spacing w:after="0"/>
              <w:rPr>
                <w:sz w:val="20"/>
                <w:szCs w:val="20"/>
                <w:color w:val="auto"/>
              </w:rPr>
            </w:pPr>
            <w:r>
              <w:rPr>
                <w:rFonts w:ascii="Arial" w:cs="Arial" w:eastAsia="Arial" w:hAnsi="Arial"/>
                <w:sz w:val="18"/>
                <w:szCs w:val="18"/>
                <w:color w:val="auto"/>
              </w:rPr>
              <w:t>Class C</w:t>
            </w:r>
          </w:p>
        </w:tc>
        <w:tc>
          <w:tcPr>
            <w:tcW w:w="174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500"/>
              <w:spacing w:after="0"/>
              <w:rPr>
                <w:sz w:val="20"/>
                <w:szCs w:val="20"/>
                <w:color w:val="auto"/>
              </w:rPr>
            </w:pPr>
            <w:r>
              <w:rPr>
                <w:rFonts w:ascii="Arial" w:cs="Arial" w:eastAsia="Arial" w:hAnsi="Arial"/>
                <w:sz w:val="18"/>
                <w:szCs w:val="18"/>
                <w:color w:val="auto"/>
              </w:rPr>
              <w:t>Total backlog*</w:t>
            </w: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40" w:type="dxa"/>
            <w:vAlign w:val="bottom"/>
            <w:vMerge w:val="continue"/>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D6F3E8"/>
          </w:tcPr>
          <w:p>
            <w:pPr>
              <w:spacing w:after="0"/>
              <w:rPr>
                <w:sz w:val="20"/>
                <w:szCs w:val="20"/>
                <w:color w:val="auto"/>
              </w:rPr>
            </w:pPr>
            <w:r>
              <w:rPr>
                <w:rFonts w:ascii="Arial" w:cs="Arial" w:eastAsia="Arial" w:hAnsi="Arial"/>
                <w:sz w:val="18"/>
                <w:szCs w:val="18"/>
                <w:color w:val="auto"/>
                <w:w w:val="92"/>
              </w:rPr>
              <w:t>Total approximate revenue dollars (in thousands)</w:t>
            </w:r>
          </w:p>
        </w:tc>
        <w:tc>
          <w:tcPr>
            <w:tcW w:w="1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27,389</w:t>
            </w:r>
          </w:p>
        </w:tc>
        <w:tc>
          <w:tcPr>
            <w:tcW w:w="2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123,137</w:t>
            </w:r>
          </w:p>
        </w:tc>
        <w:tc>
          <w:tcPr>
            <w:tcW w:w="240" w:type="dxa"/>
            <w:vAlign w:val="bottom"/>
            <w:shd w:val="clear" w:color="auto" w:fill="D6F3E8"/>
          </w:tcPr>
          <w:p>
            <w:pPr>
              <w:spacing w:after="0"/>
              <w:rPr>
                <w:sz w:val="22"/>
                <w:szCs w:val="22"/>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(95,748)</w:t>
            </w:r>
          </w:p>
        </w:tc>
        <w:tc>
          <w:tcPr>
            <w:tcW w:w="2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1"/>
        </w:trPr>
        <w:tc>
          <w:tcPr>
            <w:tcW w:w="3640" w:type="dxa"/>
            <w:vAlign w:val="bottom"/>
          </w:tcPr>
          <w:p>
            <w:pPr>
              <w:spacing w:after="0"/>
              <w:rPr>
                <w:sz w:val="20"/>
                <w:szCs w:val="20"/>
                <w:color w:val="auto"/>
              </w:rPr>
            </w:pPr>
            <w:r>
              <w:rPr>
                <w:rFonts w:ascii="Arial" w:cs="Arial" w:eastAsia="Arial" w:hAnsi="Arial"/>
                <w:sz w:val="18"/>
                <w:szCs w:val="18"/>
                <w:color w:val="auto"/>
              </w:rPr>
              <w:t>Dealer inventory</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4,837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(1,919)</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both"/>
        <w:ind w:right="740" w:firstLine="8"/>
        <w:spacing w:after="0" w:line="370" w:lineRule="auto"/>
        <w:tabs>
          <w:tab w:leader="none" w:pos="13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70" w:lineRule="exact"/>
        <w:rPr>
          <w:rFonts w:ascii="Arial" w:cs="Arial" w:eastAsia="Arial" w:hAnsi="Arial"/>
          <w:sz w:val="15"/>
          <w:szCs w:val="15"/>
          <w:color w:val="auto"/>
        </w:rPr>
      </w:pPr>
    </w:p>
    <w:p>
      <w:pPr>
        <w:ind w:left="5680" w:hanging="142"/>
        <w:spacing w:after="0"/>
        <w:tabs>
          <w:tab w:leader="none" w:pos="5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ectPr>
          <w:pgSz w:w="11900" w:h="16838" w:orient="portrait"/>
          <w:cols w:equalWidth="0" w:num="1">
            <w:col w:w="11420"/>
          </w:cols>
          <w:pgMar w:left="240" w:top="140" w:right="239" w:bottom="148" w:gutter="0" w:footer="0" w:header="0"/>
          <w:type w:val="continuous"/>
        </w:sectPr>
      </w:pPr>
    </w:p>
    <w:bookmarkStart w:id="6" w:name="page7"/>
    <w:bookmarkEnd w:id="6"/>
    <w:p>
      <w:pPr>
        <w:spacing w:after="0"/>
        <w:tabs>
          <w:tab w:leader="none" w:pos="56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2019-12-10T03:52:34Z</dcterms:created>
  <dcterms:modified xsi:type="dcterms:W3CDTF">2019-12-10T03:52:34Z</dcterms:modified>
</cp:coreProperties>
</file>