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82"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44"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44" w:lineRule="exact"/>
        <w:rPr>
          <w:sz w:val="24"/>
          <w:szCs w:val="24"/>
          <w:color w:val="auto"/>
        </w:rPr>
      </w:pPr>
    </w:p>
    <w:p>
      <w:pPr>
        <w:ind w:right="2580" w:firstLine="355"/>
        <w:spacing w:after="0" w:line="378" w:lineRule="auto"/>
        <w:rPr>
          <w:sz w:val="20"/>
          <w:szCs w:val="20"/>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May 28, 2022</w:t>
      </w:r>
    </w:p>
    <w:p>
      <w:pPr>
        <w:spacing w:after="0" w:line="1"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or</w:t>
      </w:r>
    </w:p>
    <w:p>
      <w:pPr>
        <w:spacing w:after="0" w:line="66" w:lineRule="exact"/>
        <w:rPr>
          <w:sz w:val="24"/>
          <w:szCs w:val="24"/>
          <w:color w:val="auto"/>
        </w:rPr>
      </w:pPr>
    </w:p>
    <w:p>
      <w:pPr>
        <w:ind w:left="280" w:right="2680" w:hanging="254"/>
        <w:spacing w:after="0" w:line="365" w:lineRule="auto"/>
        <w:tabs>
          <w:tab w:leader="none" w:pos="2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jc w:val="center"/>
        <w:ind w:right="60"/>
        <w:spacing w:after="0"/>
        <w:rPr>
          <w:sz w:val="20"/>
          <w:szCs w:val="20"/>
          <w:color w:val="auto"/>
        </w:rPr>
      </w:pPr>
      <w:r>
        <w:rPr>
          <w:rFonts w:ascii="Arial" w:cs="Arial" w:eastAsia="Arial" w:hAnsi="Arial"/>
          <w:sz w:val="16"/>
          <w:szCs w:val="16"/>
          <w:color w:val="auto"/>
        </w:rPr>
        <w:t>Commission File Number: 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62230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218"/>
        </w:trPr>
        <w:tc>
          <w:tcPr>
            <w:tcW w:w="1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b w:val="1"/>
                <w:bCs w:val="1"/>
                <w:color w:val="auto"/>
              </w:rPr>
              <w:t>Minnesota</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Borders>
              <w:bottom w:val="single" w:sz="8" w:color="auto"/>
            </w:tcBorders>
            <w:gridSpan w:val="3"/>
          </w:tcPr>
          <w:p>
            <w:pPr>
              <w:jc w:val="right"/>
              <w:ind w:right="2000"/>
              <w:spacing w:after="0"/>
              <w:rPr>
                <w:sz w:val="20"/>
                <w:szCs w:val="20"/>
                <w:color w:val="auto"/>
              </w:rPr>
            </w:pPr>
            <w:r>
              <w:rPr>
                <w:rFonts w:ascii="Arial" w:cs="Arial" w:eastAsia="Arial" w:hAnsi="Arial"/>
                <w:sz w:val="16"/>
                <w:szCs w:val="16"/>
                <w:b w:val="1"/>
                <w:bCs w:val="1"/>
                <w:color w:val="auto"/>
              </w:rPr>
              <w:t>42-0802678</w:t>
            </w:r>
          </w:p>
        </w:tc>
      </w:tr>
      <w:tr>
        <w:trPr>
          <w:trHeight w:val="207"/>
        </w:trPr>
        <w:tc>
          <w:tcPr>
            <w:tcW w:w="6420" w:type="dxa"/>
            <w:vAlign w:val="bottom"/>
            <w:gridSpan w:val="6"/>
          </w:tcPr>
          <w:p>
            <w:pPr>
              <w:jc w:val="center"/>
              <w:ind w:right="680"/>
              <w:spacing w:after="0"/>
              <w:rPr>
                <w:sz w:val="20"/>
                <w:szCs w:val="20"/>
                <w:color w:val="auto"/>
              </w:rPr>
            </w:pPr>
            <w:r>
              <w:rPr>
                <w:rFonts w:ascii="Arial" w:cs="Arial" w:eastAsia="Arial" w:hAnsi="Arial"/>
                <w:sz w:val="16"/>
                <w:szCs w:val="16"/>
                <w:color w:val="auto"/>
              </w:rPr>
              <w:t>(State or other jurisdiction of incorporation or organization)</w:t>
            </w:r>
          </w:p>
        </w:tc>
        <w:tc>
          <w:tcPr>
            <w:tcW w:w="80" w:type="dxa"/>
            <w:vAlign w:val="bottom"/>
          </w:tcPr>
          <w:p>
            <w:pPr>
              <w:spacing w:after="0"/>
              <w:rPr>
                <w:sz w:val="17"/>
                <w:szCs w:val="17"/>
                <w:color w:val="auto"/>
              </w:rPr>
            </w:pPr>
          </w:p>
        </w:tc>
        <w:tc>
          <w:tcPr>
            <w:tcW w:w="4760" w:type="dxa"/>
            <w:vAlign w:val="bottom"/>
            <w:gridSpan w:val="2"/>
          </w:tcPr>
          <w:p>
            <w:pPr>
              <w:jc w:val="center"/>
              <w:ind w:right="100"/>
              <w:spacing w:after="0"/>
              <w:rPr>
                <w:sz w:val="20"/>
                <w:szCs w:val="20"/>
                <w:color w:val="auto"/>
              </w:rPr>
            </w:pPr>
            <w:r>
              <w:rPr>
                <w:rFonts w:ascii="Arial" w:cs="Arial" w:eastAsia="Arial" w:hAnsi="Arial"/>
                <w:sz w:val="16"/>
                <w:szCs w:val="16"/>
                <w:color w:val="auto"/>
              </w:rPr>
              <w:t>(I.R.S. Employer Identification No.)</w:t>
            </w:r>
          </w:p>
        </w:tc>
      </w:tr>
      <w:tr>
        <w:trPr>
          <w:trHeight w:val="273"/>
        </w:trPr>
        <w:tc>
          <w:tcPr>
            <w:tcW w:w="1720" w:type="dxa"/>
            <w:vAlign w:val="bottom"/>
          </w:tcPr>
          <w:p>
            <w:pPr>
              <w:ind w:left="240"/>
              <w:spacing w:after="0"/>
              <w:rPr>
                <w:sz w:val="20"/>
                <w:szCs w:val="20"/>
                <w:color w:val="auto"/>
              </w:rPr>
            </w:pPr>
            <w:r>
              <w:rPr>
                <w:rFonts w:ascii="Arial" w:cs="Arial" w:eastAsia="Arial" w:hAnsi="Arial"/>
                <w:sz w:val="16"/>
                <w:szCs w:val="16"/>
                <w:b w:val="1"/>
                <w:bCs w:val="1"/>
                <w:color w:val="auto"/>
              </w:rPr>
              <w:t>13200 Pioneer Trail</w:t>
            </w:r>
          </w:p>
        </w:tc>
        <w:tc>
          <w:tcPr>
            <w:tcW w:w="220" w:type="dxa"/>
            <w:vAlign w:val="bottom"/>
          </w:tcPr>
          <w:p>
            <w:pPr>
              <w:spacing w:after="0"/>
              <w:rPr>
                <w:sz w:val="23"/>
                <w:szCs w:val="23"/>
                <w:color w:val="auto"/>
              </w:rPr>
            </w:pPr>
          </w:p>
        </w:tc>
        <w:tc>
          <w:tcPr>
            <w:tcW w:w="2380" w:type="dxa"/>
            <w:vAlign w:val="bottom"/>
          </w:tcPr>
          <w:p>
            <w:pPr>
              <w:ind w:left="500"/>
              <w:spacing w:after="0"/>
              <w:rPr>
                <w:sz w:val="20"/>
                <w:szCs w:val="20"/>
                <w:color w:val="auto"/>
              </w:rPr>
            </w:pPr>
            <w:r>
              <w:rPr>
                <w:rFonts w:ascii="Arial" w:cs="Arial" w:eastAsia="Arial" w:hAnsi="Arial"/>
                <w:sz w:val="16"/>
                <w:szCs w:val="16"/>
                <w:b w:val="1"/>
                <w:bCs w:val="1"/>
                <w:color w:val="auto"/>
              </w:rPr>
              <w:t>Eden Prairie</w:t>
            </w:r>
          </w:p>
        </w:tc>
        <w:tc>
          <w:tcPr>
            <w:tcW w:w="2100" w:type="dxa"/>
            <w:vAlign w:val="bottom"/>
            <w:gridSpan w:val="3"/>
          </w:tcPr>
          <w:p>
            <w:pPr>
              <w:jc w:val="right"/>
              <w:ind w:right="1220"/>
              <w:spacing w:after="0"/>
              <w:rPr>
                <w:sz w:val="20"/>
                <w:szCs w:val="20"/>
                <w:color w:val="auto"/>
              </w:rPr>
            </w:pPr>
            <w:r>
              <w:rPr>
                <w:rFonts w:ascii="Arial" w:cs="Arial" w:eastAsia="Arial" w:hAnsi="Arial"/>
                <w:sz w:val="16"/>
                <w:szCs w:val="16"/>
                <w:b w:val="1"/>
                <w:bCs w:val="1"/>
                <w:color w:val="auto"/>
              </w:rPr>
              <w:t>Minnesota</w:t>
            </w:r>
          </w:p>
        </w:tc>
        <w:tc>
          <w:tcPr>
            <w:tcW w:w="4840" w:type="dxa"/>
            <w:vAlign w:val="bottom"/>
            <w:gridSpan w:val="3"/>
          </w:tcPr>
          <w:p>
            <w:pPr>
              <w:jc w:val="right"/>
              <w:ind w:right="2200"/>
              <w:spacing w:after="0"/>
              <w:rPr>
                <w:sz w:val="20"/>
                <w:szCs w:val="20"/>
                <w:color w:val="auto"/>
              </w:rPr>
            </w:pPr>
            <w:r>
              <w:rPr>
                <w:rFonts w:ascii="Arial" w:cs="Arial" w:eastAsia="Arial" w:hAnsi="Arial"/>
                <w:sz w:val="16"/>
                <w:szCs w:val="16"/>
                <w:b w:val="1"/>
                <w:bCs w:val="1"/>
                <w:color w:val="auto"/>
              </w:rPr>
              <w:t>55347</w:t>
            </w:r>
          </w:p>
        </w:tc>
      </w:tr>
      <w:tr>
        <w:trPr>
          <w:trHeight w:val="207"/>
        </w:trPr>
        <w:tc>
          <w:tcPr>
            <w:tcW w:w="4320" w:type="dxa"/>
            <w:vAlign w:val="bottom"/>
            <w:tcBorders>
              <w:top w:val="single" w:sz="8" w:color="auto"/>
            </w:tcBorders>
            <w:gridSpan w:val="3"/>
          </w:tcPr>
          <w:p>
            <w:pPr>
              <w:jc w:val="center"/>
              <w:ind w:left="1319"/>
              <w:spacing w:after="0"/>
              <w:rPr>
                <w:sz w:val="20"/>
                <w:szCs w:val="20"/>
                <w:color w:val="auto"/>
              </w:rPr>
            </w:pPr>
            <w:r>
              <w:rPr>
                <w:rFonts w:ascii="Arial" w:cs="Arial" w:eastAsia="Arial" w:hAnsi="Arial"/>
                <w:sz w:val="16"/>
                <w:szCs w:val="16"/>
                <w:color w:val="auto"/>
              </w:rPr>
              <w:t>(Address of principal executive offices)</w:t>
            </w:r>
          </w:p>
        </w:tc>
        <w:tc>
          <w:tcPr>
            <w:tcW w:w="4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7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color w:val="auto"/>
              </w:rPr>
              <w:t>(Zip Code)</w:t>
            </w:r>
          </w:p>
        </w:tc>
      </w:tr>
      <w:tr>
        <w:trPr>
          <w:trHeight w:val="273"/>
        </w:trPr>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6"/>
                <w:szCs w:val="16"/>
                <w:b w:val="1"/>
                <w:bCs w:val="1"/>
                <w:color w:val="auto"/>
              </w:rPr>
              <w:t>952-829-8600</w:t>
            </w:r>
          </w:p>
        </w:tc>
        <w:tc>
          <w:tcPr>
            <w:tcW w:w="8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spacing w:after="0"/>
              <w:rPr>
                <w:sz w:val="23"/>
                <w:szCs w:val="23"/>
                <w:color w:val="auto"/>
              </w:rPr>
            </w:pPr>
          </w:p>
        </w:tc>
        <w:tc>
          <w:tcPr>
            <w:tcW w:w="2260" w:type="dxa"/>
            <w:vAlign w:val="bottom"/>
          </w:tcPr>
          <w:p>
            <w:pPr>
              <w:spacing w:after="0"/>
              <w:rPr>
                <w:sz w:val="23"/>
                <w:szCs w:val="23"/>
                <w:color w:val="auto"/>
              </w:rPr>
            </w:pPr>
          </w:p>
        </w:tc>
      </w:tr>
      <w:tr>
        <w:trPr>
          <w:trHeight w:val="193"/>
        </w:trPr>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320" w:type="dxa"/>
            <w:vAlign w:val="bottom"/>
            <w:gridSpan w:val="7"/>
          </w:tcPr>
          <w:p>
            <w:pPr>
              <w:jc w:val="center"/>
              <w:ind w:right="1960"/>
              <w:spacing w:after="0"/>
              <w:rPr>
                <w:sz w:val="20"/>
                <w:szCs w:val="20"/>
                <w:color w:val="auto"/>
              </w:rPr>
            </w:pPr>
            <w:r>
              <w:rPr>
                <w:rFonts w:ascii="Arial" w:cs="Arial" w:eastAsia="Arial" w:hAnsi="Arial"/>
                <w:sz w:val="16"/>
                <w:szCs w:val="16"/>
                <w:color w:val="auto"/>
              </w:rPr>
              <w:t>(Registrant's telephone number, including area code)</w:t>
            </w:r>
          </w:p>
        </w:tc>
      </w:tr>
      <w:tr>
        <w:trPr>
          <w:trHeight w:val="540"/>
        </w:trPr>
        <w:tc>
          <w:tcPr>
            <w:tcW w:w="43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13"/>
        </w:trPr>
        <w:tc>
          <w:tcPr>
            <w:tcW w:w="1720" w:type="dxa"/>
            <w:vAlign w:val="bottom"/>
            <w:tcBorders>
              <w:left w:val="single" w:sz="8" w:color="auto"/>
              <w:bottom w:val="single" w:sz="8" w:color="auto"/>
            </w:tcBorders>
          </w:tcPr>
          <w:p>
            <w:pPr>
              <w:spacing w:after="0"/>
              <w:rPr>
                <w:sz w:val="18"/>
                <w:szCs w:val="18"/>
                <w:color w:val="auto"/>
              </w:rPr>
            </w:pPr>
          </w:p>
        </w:tc>
        <w:tc>
          <w:tcPr>
            <w:tcW w:w="2600" w:type="dxa"/>
            <w:vAlign w:val="bottom"/>
            <w:tcBorders>
              <w:bottom w:val="single" w:sz="8" w:color="auto"/>
            </w:tcBorders>
            <w:gridSpan w:val="2"/>
          </w:tcPr>
          <w:p>
            <w:pPr>
              <w:jc w:val="center"/>
              <w:ind w:right="1179"/>
              <w:spacing w:after="0"/>
              <w:rPr>
                <w:sz w:val="20"/>
                <w:szCs w:val="20"/>
                <w:color w:val="auto"/>
              </w:rPr>
            </w:pPr>
            <w:r>
              <w:rPr>
                <w:rFonts w:ascii="Arial" w:cs="Arial" w:eastAsia="Arial" w:hAnsi="Arial"/>
                <w:sz w:val="16"/>
                <w:szCs w:val="16"/>
                <w:color w:val="auto"/>
              </w:rPr>
              <w:t>Title of each class</w:t>
            </w:r>
          </w:p>
        </w:tc>
        <w:tc>
          <w:tcPr>
            <w:tcW w:w="4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9"/>
              </w:rPr>
              <w:t>Trading Symbol(s)</w:t>
            </w:r>
          </w:p>
        </w:tc>
        <w:tc>
          <w:tcPr>
            <w:tcW w:w="8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320" w:type="dxa"/>
            <w:vAlign w:val="bottom"/>
            <w:tcBorders>
              <w:left w:val="single" w:sz="8" w:color="auto"/>
              <w:bottom w:val="single" w:sz="8" w:color="auto"/>
            </w:tcBorders>
            <w:gridSpan w:val="3"/>
          </w:tcPr>
          <w:p>
            <w:pPr>
              <w:jc w:val="center"/>
              <w:ind w:left="379"/>
              <w:spacing w:after="0"/>
              <w:rPr>
                <w:sz w:val="20"/>
                <w:szCs w:val="20"/>
                <w:color w:val="auto"/>
              </w:rPr>
            </w:pPr>
            <w:r>
              <w:rPr>
                <w:rFonts w:ascii="Arial" w:cs="Arial" w:eastAsia="Arial" w:hAnsi="Arial"/>
                <w:sz w:val="16"/>
                <w:szCs w:val="16"/>
                <w:color w:val="auto"/>
              </w:rPr>
              <w:t>Common Stock, $0.50 par value per share</w:t>
            </w:r>
          </w:p>
        </w:tc>
        <w:tc>
          <w:tcPr>
            <w:tcW w:w="4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WGO</w:t>
            </w:r>
          </w:p>
        </w:tc>
        <w:tc>
          <w:tcPr>
            <w:tcW w:w="8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New York Stock Exchange</w:t>
            </w:r>
          </w:p>
        </w:tc>
      </w:tr>
    </w:tbl>
    <w:p>
      <w:pPr>
        <w:spacing w:after="0" w:line="339" w:lineRule="exact"/>
        <w:rPr>
          <w:sz w:val="24"/>
          <w:szCs w:val="24"/>
          <w:color w:val="auto"/>
        </w:rPr>
      </w:pPr>
    </w:p>
    <w:p>
      <w:pPr>
        <w:jc w:val="both"/>
        <w:ind w:right="48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ind w:right="24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6" w:lineRule="exact"/>
        <w:rPr>
          <w:sz w:val="24"/>
          <w:szCs w:val="24"/>
          <w:color w:val="auto"/>
        </w:rPr>
      </w:pPr>
    </w:p>
    <w:p>
      <w:pPr>
        <w:spacing w:after="0" w:line="184" w:lineRule="exact"/>
        <w:tabs>
          <w:tab w:leader="none" w:pos="2020" w:val="left"/>
          <w:tab w:leader="none" w:pos="36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43" w:lineRule="exact"/>
        <w:rPr>
          <w:sz w:val="24"/>
          <w:szCs w:val="24"/>
          <w:color w:val="auto"/>
        </w:rPr>
      </w:pPr>
    </w:p>
    <w:p>
      <w:pPr>
        <w:ind w:left="180"/>
        <w:spacing w:after="0" w:line="184" w:lineRule="exact"/>
        <w:tabs>
          <w:tab w:leader="none" w:pos="2760" w:val="left"/>
        </w:tabs>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90" w:lineRule="exact"/>
        <w:rPr>
          <w:sz w:val="24"/>
          <w:szCs w:val="24"/>
          <w:color w:val="auto"/>
        </w:rPr>
      </w:pPr>
    </w:p>
    <w:p>
      <w:pPr>
        <w:spacing w:after="0"/>
        <w:rPr>
          <w:sz w:val="20"/>
          <w:szCs w:val="20"/>
          <w:color w:val="auto"/>
        </w:rPr>
      </w:pPr>
      <w:r>
        <w:rPr>
          <w:rFonts w:ascii="Arial" w:cs="Arial" w:eastAsia="Arial" w:hAnsi="Arial"/>
          <w:sz w:val="16"/>
          <w:szCs w:val="16"/>
          <w:color w:val="auto"/>
        </w:rPr>
        <w:t>As of June 16, 2022, there were 31,753,998 shares of common stock, par value $0.50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on Form 10-Q</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May 28, 2022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gridSpan w:val="4"/>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PART I.</w:t>
              </w:r>
            </w:hyperlink>
          </w:p>
        </w:tc>
        <w:tc>
          <w:tcPr>
            <w:tcW w:w="6400" w:type="dxa"/>
            <w:vAlign w:val="bottom"/>
            <w:gridSpan w:val="17"/>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FINANCIAL INFORMATION</w:t>
              </w:r>
            </w:hyperlink>
          </w:p>
        </w:tc>
        <w:tc>
          <w:tcPr>
            <w:tcW w:w="3840" w:type="dxa"/>
            <w:vAlign w:val="bottom"/>
            <w:gridSpan w:val="3"/>
          </w:tcPr>
          <w:p>
            <w:pPr>
              <w:jc w:val="right"/>
              <w:spacing w:after="0"/>
              <w:rPr>
                <w:rFonts w:ascii="Arial" w:cs="Arial" w:eastAsia="Arial" w:hAnsi="Arial"/>
                <w:sz w:val="16"/>
                <w:szCs w:val="16"/>
                <w:color w:val="0000FF"/>
              </w:rPr>
            </w:pPr>
            <w:hyperlink w:anchor="page2">
              <w:r>
                <w:rPr>
                  <w:rFonts w:ascii="Arial" w:cs="Arial" w:eastAsia="Arial" w:hAnsi="Arial"/>
                  <w:sz w:val="16"/>
                  <w:szCs w:val="16"/>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rFonts w:ascii="Arial" w:cs="Arial" w:eastAsia="Arial" w:hAnsi="Arial"/>
                <w:sz w:val="16"/>
                <w:szCs w:val="16"/>
                <w:color w:val="0000FF"/>
                <w:w w:val="93"/>
              </w:rPr>
            </w:pPr>
            <w:hyperlink w:anchor="page3">
              <w:r>
                <w:rPr>
                  <w:rFonts w:ascii="Arial" w:cs="Arial" w:eastAsia="Arial" w:hAnsi="Arial"/>
                  <w:sz w:val="16"/>
                  <w:szCs w:val="16"/>
                  <w:color w:val="0000FF"/>
                  <w:w w:val="93"/>
                </w:rPr>
                <w:t>Item 1.</w:t>
              </w:r>
            </w:hyperlink>
          </w:p>
        </w:tc>
        <w:tc>
          <w:tcPr>
            <w:tcW w:w="460" w:type="dxa"/>
            <w:vAlign w:val="bottom"/>
            <w:gridSpan w:val="3"/>
          </w:tcPr>
          <w:p>
            <w:pPr>
              <w:spacing w:after="0"/>
              <w:rPr>
                <w:sz w:val="17"/>
                <w:szCs w:val="17"/>
                <w:color w:val="auto"/>
              </w:rPr>
            </w:pPr>
          </w:p>
        </w:tc>
        <w:tc>
          <w:tcPr>
            <w:tcW w:w="6400" w:type="dxa"/>
            <w:vAlign w:val="bottom"/>
            <w:gridSpan w:val="17"/>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Consolidated Financial Statements</w:t>
              </w:r>
            </w:hyperlink>
          </w:p>
        </w:tc>
        <w:tc>
          <w:tcPr>
            <w:tcW w:w="38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40" w:type="dxa"/>
            <w:vAlign w:val="bottom"/>
            <w:gridSpan w:val="14"/>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Consolidated Statements of Income and Comprehensive Income</w:t>
              </w:r>
            </w:hyperlink>
          </w:p>
        </w:tc>
        <w:tc>
          <w:tcPr>
            <w:tcW w:w="1560" w:type="dxa"/>
            <w:vAlign w:val="bottom"/>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7"/>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Consolidated Balance Sheets</w:t>
              </w:r>
            </w:hyperlink>
          </w:p>
        </w:tc>
        <w:tc>
          <w:tcPr>
            <w:tcW w:w="2520" w:type="dxa"/>
            <w:vAlign w:val="bottom"/>
            <w:gridSpan w:val="7"/>
          </w:tcPr>
          <w:p>
            <w:pPr>
              <w:spacing w:after="0"/>
              <w:rPr>
                <w:sz w:val="17"/>
                <w:szCs w:val="17"/>
                <w:color w:val="auto"/>
              </w:rPr>
            </w:pPr>
          </w:p>
        </w:tc>
        <w:tc>
          <w:tcPr>
            <w:tcW w:w="1560" w:type="dxa"/>
            <w:vAlign w:val="bottom"/>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4</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9"/>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Consolidated Statements of Cash Flows</w:t>
              </w:r>
            </w:hyperlink>
          </w:p>
        </w:tc>
        <w:tc>
          <w:tcPr>
            <w:tcW w:w="3320" w:type="dxa"/>
            <w:vAlign w:val="bottom"/>
            <w:gridSpan w:val="6"/>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5</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0" w:type="dxa"/>
            <w:vAlign w:val="bottom"/>
            <w:gridSpan w:val="15"/>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Consolidated Statements of Changes in Shareholders' Equity</w:t>
              </w:r>
            </w:hyperlink>
          </w:p>
        </w:tc>
        <w:tc>
          <w:tcPr>
            <w:tcW w:w="3840" w:type="dxa"/>
            <w:vAlign w:val="bottom"/>
            <w:gridSpan w:val="3"/>
          </w:tcPr>
          <w:p>
            <w:pPr>
              <w:jc w:val="right"/>
              <w:spacing w:after="0"/>
              <w:rPr>
                <w:rFonts w:ascii="Arial" w:cs="Arial" w:eastAsia="Arial" w:hAnsi="Arial"/>
                <w:sz w:val="16"/>
                <w:szCs w:val="16"/>
                <w:color w:val="0000FF"/>
              </w:rPr>
            </w:pPr>
            <w:hyperlink w:anchor="page7">
              <w:r>
                <w:rPr>
                  <w:rFonts w:ascii="Arial" w:cs="Arial" w:eastAsia="Arial" w:hAnsi="Arial"/>
                  <w:sz w:val="16"/>
                  <w:szCs w:val="16"/>
                  <w:color w:val="0000FF"/>
                </w:rPr>
                <w:t>7</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gridSpan w:val="13"/>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Notes to Consolidated Financial Statements</w:t>
              </w:r>
            </w:hyperlink>
          </w:p>
        </w:tc>
        <w:tc>
          <w:tcPr>
            <w:tcW w:w="1820" w:type="dxa"/>
            <w:vAlign w:val="bottom"/>
            <w:gridSpan w:val="2"/>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8">
              <w:r>
                <w:rPr>
                  <w:rFonts w:ascii="Arial" w:cs="Arial" w:eastAsia="Arial" w:hAnsi="Arial"/>
                  <w:sz w:val="16"/>
                  <w:szCs w:val="16"/>
                  <w:color w:val="0000FF"/>
                </w:rPr>
                <w:t>9</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Item 2.</w:t>
              </w:r>
            </w:hyperlink>
          </w:p>
        </w:tc>
        <w:tc>
          <w:tcPr>
            <w:tcW w:w="6400" w:type="dxa"/>
            <w:vAlign w:val="bottom"/>
            <w:gridSpan w:val="17"/>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Management's Discussion and Analysis of Financial Condition and Results of Operations.</w:t>
              </w:r>
            </w:hyperlink>
          </w:p>
        </w:tc>
        <w:tc>
          <w:tcPr>
            <w:tcW w:w="3840" w:type="dxa"/>
            <w:vAlign w:val="bottom"/>
            <w:gridSpan w:val="3"/>
          </w:tcPr>
          <w:p>
            <w:pPr>
              <w:jc w:val="right"/>
              <w:spacing w:after="0"/>
              <w:rPr>
                <w:rFonts w:ascii="Arial" w:cs="Arial" w:eastAsia="Arial" w:hAnsi="Arial"/>
                <w:sz w:val="16"/>
                <w:szCs w:val="16"/>
                <w:color w:val="0000FF"/>
              </w:rPr>
            </w:pPr>
            <w:hyperlink w:anchor="page22">
              <w:r>
                <w:rPr>
                  <w:rFonts w:ascii="Arial" w:cs="Arial" w:eastAsia="Arial" w:hAnsi="Arial"/>
                  <w:sz w:val="16"/>
                  <w:szCs w:val="16"/>
                  <w:color w:val="0000FF"/>
                </w:rPr>
                <w:t>23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2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3.</w:t>
              </w:r>
            </w:hyperlink>
          </w:p>
        </w:tc>
        <w:tc>
          <w:tcPr>
            <w:tcW w:w="6400" w:type="dxa"/>
            <w:vAlign w:val="bottom"/>
            <w:gridSpan w:val="17"/>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Quantitative and Qualitative Disclosures About Market Risk</w:t>
              </w:r>
            </w:hyperlink>
          </w:p>
        </w:tc>
        <w:tc>
          <w:tcPr>
            <w:tcW w:w="3840" w:type="dxa"/>
            <w:vAlign w:val="bottom"/>
            <w:gridSpan w:val="3"/>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2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4.</w:t>
              </w:r>
            </w:hyperlink>
          </w:p>
        </w:tc>
        <w:tc>
          <w:tcPr>
            <w:tcW w:w="6400" w:type="dxa"/>
            <w:vAlign w:val="bottom"/>
            <w:gridSpan w:val="17"/>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Controls and Procedures.</w:t>
              </w:r>
            </w:hyperlink>
          </w:p>
        </w:tc>
        <w:tc>
          <w:tcPr>
            <w:tcW w:w="3840" w:type="dxa"/>
            <w:vAlign w:val="bottom"/>
            <w:gridSpan w:val="3"/>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620" w:type="dxa"/>
            <w:vAlign w:val="bottom"/>
            <w:tcBorders>
              <w:bottom w:val="single" w:sz="8" w:color="0000FF"/>
            </w:tcBorders>
            <w:gridSpan w:val="3"/>
          </w:tcPr>
          <w:p>
            <w:pPr>
              <w:spacing w:after="0"/>
              <w:rPr>
                <w:rFonts w:ascii="Arial" w:cs="Arial" w:eastAsia="Arial" w:hAnsi="Arial"/>
                <w:sz w:val="16"/>
                <w:szCs w:val="16"/>
                <w:b w:val="1"/>
                <w:bCs w:val="1"/>
                <w:color w:val="0000FF"/>
                <w:w w:val="97"/>
              </w:rPr>
            </w:pPr>
            <w:hyperlink w:anchor="page34">
              <w:r>
                <w:rPr>
                  <w:rFonts w:ascii="Arial" w:cs="Arial" w:eastAsia="Arial" w:hAnsi="Arial"/>
                  <w:sz w:val="16"/>
                  <w:szCs w:val="16"/>
                  <w:b w:val="1"/>
                  <w:bCs w:val="1"/>
                  <w:color w:val="0000FF"/>
                  <w:w w:val="97"/>
                </w:rPr>
                <w:t>PART II.</w:t>
              </w:r>
            </w:hyperlink>
          </w:p>
        </w:tc>
        <w:tc>
          <w:tcPr>
            <w:tcW w:w="340" w:type="dxa"/>
            <w:vAlign w:val="bottom"/>
          </w:tcPr>
          <w:p>
            <w:pPr>
              <w:spacing w:after="0"/>
              <w:rPr>
                <w:sz w:val="24"/>
                <w:szCs w:val="24"/>
                <w:color w:val="auto"/>
              </w:rPr>
            </w:pPr>
          </w:p>
        </w:tc>
        <w:tc>
          <w:tcPr>
            <w:tcW w:w="1740" w:type="dxa"/>
            <w:vAlign w:val="bottom"/>
            <w:tcBorders>
              <w:bottom w:val="single" w:sz="8" w:color="0000FF"/>
            </w:tcBorders>
            <w:gridSpan w:val="6"/>
          </w:tcPr>
          <w:p>
            <w:pPr>
              <w:spacing w:after="0"/>
              <w:rPr>
                <w:rFonts w:ascii="Arial" w:cs="Arial" w:eastAsia="Arial" w:hAnsi="Arial"/>
                <w:sz w:val="16"/>
                <w:szCs w:val="16"/>
                <w:b w:val="1"/>
                <w:bCs w:val="1"/>
                <w:color w:val="0000FF"/>
                <w:w w:val="99"/>
              </w:rPr>
            </w:pPr>
            <w:hyperlink w:anchor="page34">
              <w:r>
                <w:rPr>
                  <w:rFonts w:ascii="Arial" w:cs="Arial" w:eastAsia="Arial" w:hAnsi="Arial"/>
                  <w:sz w:val="16"/>
                  <w:szCs w:val="16"/>
                  <w:b w:val="1"/>
                  <w:bCs w:val="1"/>
                  <w:color w:val="0000FF"/>
                  <w:w w:val="99"/>
                </w:rPr>
                <w:t>OTHER INFORMATION</w:t>
              </w:r>
            </w:hyperlink>
          </w:p>
        </w:tc>
        <w:tc>
          <w:tcPr>
            <w:tcW w:w="4660" w:type="dxa"/>
            <w:vAlign w:val="bottom"/>
            <w:gridSpan w:val="11"/>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34">
              <w:r>
                <w:rPr>
                  <w:rFonts w:ascii="Arial" w:cs="Arial" w:eastAsia="Arial" w:hAnsi="Arial"/>
                  <w:sz w:val="16"/>
                  <w:szCs w:val="16"/>
                  <w:color w:val="0000FF"/>
                  <w:w w:val="89"/>
                </w:rPr>
                <w:t>35</w:t>
              </w:r>
            </w:hyperlink>
          </w:p>
        </w:tc>
      </w:tr>
      <w:tr>
        <w:trPr>
          <w:trHeight w:val="196"/>
        </w:trPr>
        <w:tc>
          <w:tcPr>
            <w:tcW w:w="960" w:type="dxa"/>
            <w:vAlign w:val="bottom"/>
            <w:gridSpan w:val="4"/>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1.</w:t>
              </w:r>
            </w:hyperlink>
          </w:p>
        </w:tc>
        <w:tc>
          <w:tcPr>
            <w:tcW w:w="6400" w:type="dxa"/>
            <w:vAlign w:val="bottom"/>
            <w:gridSpan w:val="17"/>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Legal Proceedings.</w:t>
              </w:r>
            </w:hyperlink>
          </w:p>
        </w:tc>
        <w:tc>
          <w:tcPr>
            <w:tcW w:w="3840" w:type="dxa"/>
            <w:vAlign w:val="bottom"/>
            <w:gridSpan w:val="3"/>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1A.</w:t>
              </w:r>
            </w:hyperlink>
          </w:p>
        </w:tc>
        <w:tc>
          <w:tcPr>
            <w:tcW w:w="6400" w:type="dxa"/>
            <w:vAlign w:val="bottom"/>
            <w:gridSpan w:val="17"/>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Risk Factors</w:t>
              </w:r>
            </w:hyperlink>
          </w:p>
        </w:tc>
        <w:tc>
          <w:tcPr>
            <w:tcW w:w="3840" w:type="dxa"/>
            <w:vAlign w:val="bottom"/>
            <w:gridSpan w:val="3"/>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35</w:t>
              </w:r>
            </w:hyperlink>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500" w:type="dxa"/>
            <w:vAlign w:val="bottom"/>
            <w:gridSpan w:val="10"/>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00" w:type="dxa"/>
            <w:vAlign w:val="bottom"/>
            <w:gridSpan w:val="2"/>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2.</w:t>
              </w:r>
            </w:hyperlink>
          </w:p>
        </w:tc>
        <w:tc>
          <w:tcPr>
            <w:tcW w:w="360" w:type="dxa"/>
            <w:vAlign w:val="bottom"/>
            <w:gridSpan w:val="2"/>
          </w:tcPr>
          <w:p>
            <w:pPr>
              <w:spacing w:after="0"/>
              <w:rPr>
                <w:sz w:val="17"/>
                <w:szCs w:val="17"/>
                <w:color w:val="auto"/>
              </w:rPr>
            </w:pPr>
          </w:p>
        </w:tc>
        <w:tc>
          <w:tcPr>
            <w:tcW w:w="6400" w:type="dxa"/>
            <w:vAlign w:val="bottom"/>
            <w:gridSpan w:val="17"/>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Unregistered Sales of Equity Securities and Use of Proceeds.</w:t>
              </w:r>
            </w:hyperlink>
          </w:p>
        </w:tc>
        <w:tc>
          <w:tcPr>
            <w:tcW w:w="3840" w:type="dxa"/>
            <w:vAlign w:val="bottom"/>
            <w:gridSpan w:val="3"/>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840" w:type="dxa"/>
            <w:vAlign w:val="bottom"/>
            <w:gridSpan w:val="11"/>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6.</w:t>
              </w:r>
            </w:hyperlink>
          </w:p>
        </w:tc>
        <w:tc>
          <w:tcPr>
            <w:tcW w:w="6400" w:type="dxa"/>
            <w:vAlign w:val="bottom"/>
            <w:gridSpan w:val="17"/>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Exhibits</w:t>
              </w:r>
            </w:hyperlink>
          </w:p>
        </w:tc>
        <w:tc>
          <w:tcPr>
            <w:tcW w:w="3840" w:type="dxa"/>
            <w:vAlign w:val="bottom"/>
            <w:gridSpan w:val="3"/>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840" w:type="dxa"/>
            <w:vAlign w:val="bottom"/>
            <w:gridSpan w:val="14"/>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1060" w:type="dxa"/>
            <w:vAlign w:val="bottom"/>
            <w:tcBorders>
              <w:bottom w:val="single" w:sz="8" w:color="0000FF"/>
            </w:tcBorders>
            <w:gridSpan w:val="5"/>
          </w:tcPr>
          <w:p>
            <w:pPr>
              <w:spacing w:after="0"/>
              <w:rPr>
                <w:rFonts w:ascii="Arial" w:cs="Arial" w:eastAsia="Arial" w:hAnsi="Arial"/>
                <w:sz w:val="16"/>
                <w:szCs w:val="16"/>
                <w:b w:val="1"/>
                <w:bCs w:val="1"/>
                <w:color w:val="0000FF"/>
                <w:w w:val="99"/>
              </w:rPr>
            </w:pPr>
            <w:hyperlink w:anchor="page36">
              <w:r>
                <w:rPr>
                  <w:rFonts w:ascii="Arial" w:cs="Arial" w:eastAsia="Arial" w:hAnsi="Arial"/>
                  <w:sz w:val="16"/>
                  <w:szCs w:val="16"/>
                  <w:b w:val="1"/>
                  <w:bCs w:val="1"/>
                  <w:color w:val="0000FF"/>
                  <w:w w:val="99"/>
                </w:rPr>
                <w:t>SIGNATURES</w:t>
              </w:r>
            </w:hyperlink>
          </w:p>
        </w:tc>
        <w:tc>
          <w:tcPr>
            <w:tcW w:w="6300" w:type="dxa"/>
            <w:vAlign w:val="bottom"/>
            <w:gridSpan w:val="16"/>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36">
              <w:r>
                <w:rPr>
                  <w:rFonts w:ascii="Arial" w:cs="Arial" w:eastAsia="Arial" w:hAnsi="Arial"/>
                  <w:sz w:val="16"/>
                  <w:szCs w:val="16"/>
                  <w:color w:val="0000FF"/>
                  <w:w w:val="89"/>
                </w:rPr>
                <w:t>37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12" w:right="3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Income and Comprehensive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302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159"/>
        </w:trPr>
        <w:tc>
          <w:tcPr>
            <w:tcW w:w="44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200"/>
              <w:spacing w:after="0" w:line="158" w:lineRule="exact"/>
              <w:rPr>
                <w:sz w:val="20"/>
                <w:szCs w:val="20"/>
                <w:color w:val="auto"/>
              </w:rPr>
            </w:pPr>
            <w:r>
              <w:rPr>
                <w:rFonts w:ascii="Arial" w:cs="Arial" w:eastAsia="Arial" w:hAnsi="Arial"/>
                <w:sz w:val="16"/>
                <w:szCs w:val="16"/>
                <w:b w:val="1"/>
                <w:bCs w:val="1"/>
                <w:color w:val="auto"/>
              </w:rPr>
              <w:t>May 28,</w:t>
            </w:r>
          </w:p>
        </w:tc>
        <w:tc>
          <w:tcPr>
            <w:tcW w:w="3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439"/>
              <w:spacing w:after="0" w:line="158" w:lineRule="exact"/>
              <w:rPr>
                <w:sz w:val="20"/>
                <w:szCs w:val="20"/>
                <w:color w:val="auto"/>
              </w:rPr>
            </w:pPr>
            <w:r>
              <w:rPr>
                <w:rFonts w:ascii="Arial" w:cs="Arial" w:eastAsia="Arial" w:hAnsi="Arial"/>
                <w:sz w:val="16"/>
                <w:szCs w:val="16"/>
                <w:b w:val="1"/>
                <w:bCs w:val="1"/>
                <w:color w:val="auto"/>
              </w:rPr>
              <w:t>May 29,</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00"/>
              <w:spacing w:after="0" w:line="158" w:lineRule="exact"/>
              <w:rPr>
                <w:sz w:val="20"/>
                <w:szCs w:val="20"/>
                <w:color w:val="auto"/>
              </w:rPr>
            </w:pPr>
            <w:r>
              <w:rPr>
                <w:rFonts w:ascii="Arial" w:cs="Arial" w:eastAsia="Arial" w:hAnsi="Arial"/>
                <w:sz w:val="16"/>
                <w:szCs w:val="16"/>
                <w:b w:val="1"/>
                <w:bCs w:val="1"/>
                <w:color w:val="auto"/>
              </w:rPr>
              <w:t>May 28,</w:t>
            </w:r>
          </w:p>
        </w:tc>
        <w:tc>
          <w:tcPr>
            <w:tcW w:w="3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439"/>
              <w:spacing w:after="0" w:line="158" w:lineRule="exact"/>
              <w:rPr>
                <w:sz w:val="20"/>
                <w:szCs w:val="20"/>
                <w:color w:val="auto"/>
              </w:rPr>
            </w:pPr>
            <w:r>
              <w:rPr>
                <w:rFonts w:ascii="Arial" w:cs="Arial" w:eastAsia="Arial" w:hAnsi="Arial"/>
                <w:sz w:val="16"/>
                <w:szCs w:val="16"/>
                <w:b w:val="1"/>
                <w:bCs w:val="1"/>
                <w:color w:val="auto"/>
              </w:rPr>
              <w:t>May 29,</w:t>
            </w:r>
          </w:p>
        </w:tc>
      </w:tr>
      <w:tr>
        <w:trPr>
          <w:trHeight w:val="215"/>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1,458,138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960,737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3,778,609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2,593,754</w:t>
            </w:r>
          </w:p>
        </w:tc>
      </w:tr>
      <w:tr>
        <w:trPr>
          <w:trHeight w:val="21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1,185,174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791,125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3,059,656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2,130,556</w:t>
            </w:r>
          </w:p>
        </w:tc>
      </w:tr>
      <w:tr>
        <w:trPr>
          <w:trHeight w:val="20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272,964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169,612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718,953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463,198</w:t>
            </w:r>
          </w:p>
        </w:tc>
      </w:tr>
      <w:tr>
        <w:trPr>
          <w:trHeight w:val="209"/>
        </w:trPr>
        <w:tc>
          <w:tcPr>
            <w:tcW w:w="446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88,231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63,586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234,896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165,001</w:t>
            </w: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10,771</w:t>
            </w:r>
          </w:p>
        </w:tc>
      </w:tr>
      <w:tr>
        <w:trPr>
          <w:trHeight w:val="210"/>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96,247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67,176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259,099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175,772</w:t>
            </w:r>
          </w:p>
        </w:tc>
      </w:tr>
      <w:tr>
        <w:trPr>
          <w:trHeight w:val="212"/>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459,854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287,426</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10,511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10,229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31,078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30,222</w:t>
            </w: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24,522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09"/>
        </w:trPr>
        <w:tc>
          <w:tcPr>
            <w:tcW w:w="44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154,548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92,300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404,254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257,514</w:t>
            </w: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37,326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21,005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96,227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59,728</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117,222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71,295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308,027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197,786</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4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r>
      <w:tr>
        <w:trPr>
          <w:trHeight w:val="213"/>
        </w:trPr>
        <w:tc>
          <w:tcPr>
            <w:tcW w:w="4460" w:type="dxa"/>
            <w:vAlign w:val="bottom"/>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2.05</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5.83</w:t>
            </w:r>
          </w:p>
        </w:tc>
      </w:tr>
      <w:tr>
        <w:trPr>
          <w:trHeight w:val="260"/>
        </w:trPr>
        <w:tc>
          <w:tcPr>
            <w:tcW w:w="44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33,565</w:t>
            </w:r>
          </w:p>
        </w:tc>
      </w:tr>
      <w:tr>
        <w:trPr>
          <w:trHeight w:val="213"/>
        </w:trPr>
        <w:tc>
          <w:tcPr>
            <w:tcW w:w="4460" w:type="dxa"/>
            <w:vAlign w:val="bottom"/>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32,855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34,772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33,559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33,943</w:t>
            </w:r>
          </w:p>
        </w:tc>
      </w:tr>
      <w:tr>
        <w:trPr>
          <w:trHeight w:val="260"/>
        </w:trPr>
        <w:tc>
          <w:tcPr>
            <w:tcW w:w="44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117,222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71,295</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308,027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197,786</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177"/>
        </w:trPr>
        <w:tc>
          <w:tcPr>
            <w:tcW w:w="4460" w:type="dxa"/>
            <w:vAlign w:val="bottom"/>
          </w:tcPr>
          <w:p>
            <w:pPr>
              <w:ind w:left="220"/>
              <w:spacing w:after="0" w:line="178" w:lineRule="exact"/>
              <w:rPr>
                <w:sz w:val="20"/>
                <w:szCs w:val="20"/>
                <w:color w:val="auto"/>
              </w:rPr>
            </w:pPr>
            <w:r>
              <w:rPr>
                <w:rFonts w:ascii="Arial" w:cs="Arial" w:eastAsia="Arial" w:hAnsi="Arial"/>
                <w:sz w:val="16"/>
                <w:szCs w:val="16"/>
                <w:color w:val="auto"/>
              </w:rPr>
              <w:t>Amortization of net actuarial loss (net of tax of $3, $3, $9,</w:t>
            </w: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8"/>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and $9)</w:t>
            </w: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3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117,232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71,304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308,055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197,812</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May 28,</w:t>
            </w:r>
          </w:p>
        </w:tc>
        <w:tc>
          <w:tcPr>
            <w:tcW w:w="26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28,</w:t>
            </w:r>
          </w:p>
        </w:tc>
      </w:tr>
      <w:tr>
        <w:trPr>
          <w:trHeight w:val="215"/>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thousands, except per share data)</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0"/>
        </w:trPr>
        <w:tc>
          <w:tcPr>
            <w:tcW w:w="7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360"/>
              <w:spacing w:after="0"/>
              <w:rPr>
                <w:sz w:val="20"/>
                <w:szCs w:val="20"/>
                <w:color w:val="auto"/>
              </w:rPr>
            </w:pPr>
            <w:r>
              <w:rPr>
                <w:rFonts w:ascii="Arial" w:cs="Arial" w:eastAsia="Arial" w:hAnsi="Arial"/>
                <w:sz w:val="16"/>
                <w:szCs w:val="16"/>
                <w:color w:val="auto"/>
              </w:rPr>
              <w:t>(Unaudited)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238,073</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434,563</w:t>
            </w: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Receivables, less allowance for doubtful accounts ($370 and $307, respectively)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373,639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253,808</w:t>
            </w: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486,100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341,473</w:t>
            </w:r>
          </w:p>
        </w:tc>
      </w:tr>
      <w:tr>
        <w:trPr>
          <w:trHeight w:val="216"/>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29,069</w:t>
            </w:r>
          </w:p>
        </w:tc>
      </w:tr>
      <w:tr>
        <w:trPr>
          <w:trHeight w:val="209"/>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1,118,618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1,058,913</w:t>
            </w: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191,427</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484,176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348,058</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477,603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390,407</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Investment in life insurance</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29,505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28,821</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28,379</w:t>
            </w: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assets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16,562</w:t>
            </w:r>
          </w:p>
        </w:tc>
      </w:tr>
      <w:tr>
        <w:trPr>
          <w:trHeight w:val="23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2,427,134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2,062,567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229,727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180,030</w:t>
            </w: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10,754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8,043</w:t>
            </w: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Accrued compensation</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63,966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67,541</w:t>
            </w: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Product warranties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91,222</w:t>
            </w: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Self-insurance</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20,615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19,296</w:t>
            </w: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Promotional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10,040</w:t>
            </w: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Accrued interest and dividends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10,720</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53,419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20,384</w:t>
            </w:r>
          </w:p>
        </w:tc>
      </w:tr>
      <w:tr>
        <w:trPr>
          <w:trHeight w:val="20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535,952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407,276</w:t>
            </w:r>
          </w:p>
        </w:tc>
      </w:tr>
      <w:tr>
        <w:trPr>
          <w:trHeight w:val="213"/>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541,453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528,559</w:t>
            </w:r>
          </w:p>
        </w:tc>
      </w:tr>
      <w:tr>
        <w:trPr>
          <w:trHeight w:val="213"/>
        </w:trPr>
        <w:tc>
          <w:tcPr>
            <w:tcW w:w="786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8,445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13,429</w:t>
            </w:r>
          </w:p>
        </w:tc>
      </w:tr>
      <w:tr>
        <w:trPr>
          <w:trHeight w:val="219"/>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Unrecognized tax benefits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6,483</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41,195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26,745</w:t>
            </w:r>
          </w:p>
        </w:tc>
      </w:tr>
      <w:tr>
        <w:trPr>
          <w:trHeight w:val="219"/>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benefits, net of current portion</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9,550</w:t>
            </w:r>
          </w:p>
        </w:tc>
      </w:tr>
      <w:tr>
        <w:trPr>
          <w:trHeight w:val="213"/>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21,302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13,582</w:t>
            </w:r>
          </w:p>
        </w:tc>
      </w:tr>
      <w:tr>
        <w:trPr>
          <w:trHeight w:val="212"/>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1,163,243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1,005,624</w:t>
            </w:r>
          </w:p>
        </w:tc>
      </w:tr>
      <w:tr>
        <w:trPr>
          <w:trHeight w:val="193"/>
        </w:trPr>
        <w:tc>
          <w:tcPr>
            <w:tcW w:w="7860" w:type="dxa"/>
            <w:vAlign w:val="bottom"/>
          </w:tcPr>
          <w:p>
            <w:pPr>
              <w:ind w:left="20"/>
              <w:spacing w:after="0"/>
              <w:rPr>
                <w:sz w:val="20"/>
                <w:szCs w:val="20"/>
                <w:color w:val="auto"/>
              </w:rPr>
            </w:pPr>
            <w:r>
              <w:rPr>
                <w:rFonts w:ascii="Arial" w:cs="Arial" w:eastAsia="Arial" w:hAnsi="Arial"/>
                <w:sz w:val="16"/>
                <w:szCs w:val="16"/>
                <w:color w:val="auto"/>
              </w:rPr>
              <w:t>Contingent liabilities and commitments (Note 11)</w:t>
            </w: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Preferred stock, par value $0.01: 10,000 shares authorized; Zero shares issued and outstanding</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par value $0.50: 120,000 shares authorized; 51,776 shares issued and outstanding</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25,888</w:t>
            </w: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252,257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218,490</w:t>
            </w: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1,463,254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1,172,996</w:t>
            </w: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(491)</w:t>
            </w: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Treasury stock, at cost: 20,067 and 18,713 shares, respectively</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(477,045)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(359,940)</w:t>
            </w:r>
          </w:p>
        </w:tc>
      </w:tr>
      <w:tr>
        <w:trPr>
          <w:trHeight w:val="209"/>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shareholders' equity</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1,263,891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1,056,943</w:t>
            </w:r>
          </w:p>
        </w:tc>
      </w:tr>
      <w:tr>
        <w:trPr>
          <w:trHeight w:val="23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2,427,134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2,062,567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8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880"/>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9"/>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5"/>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3"/>
        </w:trPr>
        <w:tc>
          <w:tcPr>
            <w:tcW w:w="126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126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tcPr>
          <w:p>
            <w:pPr>
              <w:ind w:left="200"/>
              <w:spacing w:after="0" w:line="158" w:lineRule="exact"/>
              <w:rPr>
                <w:sz w:val="20"/>
                <w:szCs w:val="20"/>
                <w:color w:val="auto"/>
              </w:rPr>
            </w:pPr>
            <w:r>
              <w:rPr>
                <w:rFonts w:ascii="Arial" w:cs="Arial" w:eastAsia="Arial" w:hAnsi="Arial"/>
                <w:sz w:val="16"/>
                <w:szCs w:val="16"/>
                <w:b w:val="1"/>
                <w:bCs w:val="1"/>
                <w:color w:val="auto"/>
              </w:rPr>
              <w:t>May 28,</w:t>
            </w:r>
          </w:p>
        </w:tc>
        <w:tc>
          <w:tcPr>
            <w:tcW w:w="320" w:type="dxa"/>
            <w:vAlign w:val="bottom"/>
          </w:tcPr>
          <w:p>
            <w:pPr>
              <w:spacing w:after="0"/>
              <w:rPr>
                <w:sz w:val="13"/>
                <w:szCs w:val="13"/>
                <w:color w:val="auto"/>
              </w:rPr>
            </w:pPr>
          </w:p>
        </w:tc>
        <w:tc>
          <w:tcPr>
            <w:tcW w:w="1320" w:type="dxa"/>
            <w:vAlign w:val="bottom"/>
          </w:tcPr>
          <w:p>
            <w:pPr>
              <w:jc w:val="right"/>
              <w:ind w:right="439"/>
              <w:spacing w:after="0" w:line="158" w:lineRule="exact"/>
              <w:rPr>
                <w:sz w:val="20"/>
                <w:szCs w:val="20"/>
                <w:color w:val="auto"/>
              </w:rPr>
            </w:pPr>
            <w:r>
              <w:rPr>
                <w:rFonts w:ascii="Arial" w:cs="Arial" w:eastAsia="Arial" w:hAnsi="Arial"/>
                <w:sz w:val="16"/>
                <w:szCs w:val="16"/>
                <w:b w:val="1"/>
                <w:bCs w:val="1"/>
                <w:color w:val="auto"/>
              </w:rPr>
              <w:t>May 29,</w:t>
            </w:r>
          </w:p>
        </w:tc>
      </w:tr>
      <w:tr>
        <w:trPr>
          <w:trHeight w:val="215"/>
        </w:trPr>
        <w:tc>
          <w:tcPr>
            <w:tcW w:w="78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308,027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197,786</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17,031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13,476</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10,771</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Non-cash interest expense, net</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11,225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10,372</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Last in, first-out expense</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2,321</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11,719</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(765)</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Contingent consideration fair value adjustment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(4,412)</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Change in operating assets and liabilities, net of assets and liabilities acquired</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Receivables, net</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(117,391)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(7,384)</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Inventories, net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(152,398)</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10,212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1,010</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40,817</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Income taxes and unrecognized tax benefits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(12,771)</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expenses and 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35,560</w:t>
            </w:r>
          </w:p>
        </w:tc>
      </w:tr>
      <w:tr>
        <w:trPr>
          <w:trHeight w:val="209"/>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245,245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147,954</w:t>
            </w:r>
          </w:p>
        </w:tc>
      </w:tr>
      <w:tr>
        <w:trPr>
          <w:trHeight w:val="183"/>
        </w:trPr>
        <w:tc>
          <w:tcPr>
            <w:tcW w:w="1260" w:type="dxa"/>
            <w:vAlign w:val="bottom"/>
            <w:shd w:val="clear" w:color="auto" w:fill="CCEEFF"/>
          </w:tcPr>
          <w:p>
            <w:pPr>
              <w:spacing w:after="0"/>
              <w:rPr>
                <w:sz w:val="15"/>
                <w:szCs w:val="15"/>
                <w:color w:val="auto"/>
              </w:rPr>
            </w:pPr>
          </w:p>
        </w:tc>
        <w:tc>
          <w:tcPr>
            <w:tcW w:w="6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(23,596)</w:t>
            </w: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(228,159)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the sale of property, plant, and equipment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12,450</w:t>
            </w:r>
          </w:p>
        </w:tc>
      </w:tr>
      <w:tr>
        <w:trPr>
          <w:trHeight w:val="213"/>
        </w:trPr>
        <w:tc>
          <w:tcPr>
            <w:tcW w:w="7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r>
      <w:tr>
        <w:trPr>
          <w:trHeight w:val="21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(291,334)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(11,370)</w:t>
            </w:r>
          </w:p>
        </w:tc>
      </w:tr>
      <w:tr>
        <w:trPr>
          <w:trHeight w:val="183"/>
        </w:trPr>
        <w:tc>
          <w:tcPr>
            <w:tcW w:w="126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Borrowings on long-term debt</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3,422,539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2,629,932</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Repayments on long-term debt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(3,422,539)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(2,629,932)</w:t>
            </w: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Payments of cash dividends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(18,052)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(12,136)</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for repurchases of common stock</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(12,109)</w:t>
            </w: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Payments of debt issuance costs</w:t>
            </w: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w:t>
            </w:r>
          </w:p>
        </w:tc>
      </w:tr>
      <w:tr>
        <w:trPr>
          <w:trHeight w:val="209"/>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(150,401)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(23,318)</w:t>
            </w:r>
          </w:p>
        </w:tc>
      </w:tr>
      <w:tr>
        <w:trPr>
          <w:trHeight w:val="237"/>
        </w:trPr>
        <w:tc>
          <w:tcPr>
            <w:tcW w:w="1260" w:type="dxa"/>
            <w:vAlign w:val="bottom"/>
            <w:shd w:val="clear" w:color="auto" w:fill="CCEEFF"/>
          </w:tcPr>
          <w:p>
            <w:pPr>
              <w:spacing w:after="0"/>
              <w:rPr>
                <w:sz w:val="20"/>
                <w:szCs w:val="20"/>
                <w:color w:val="auto"/>
              </w:rPr>
            </w:pPr>
          </w:p>
        </w:tc>
        <w:tc>
          <w:tcPr>
            <w:tcW w:w="6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bl>
    <w:p>
      <w:pPr>
        <w:spacing w:after="0" w:line="15"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Arial" w:cs="Arial" w:eastAsia="Arial" w:hAnsi="Arial"/>
          <w:sz w:val="16"/>
          <w:szCs w:val="16"/>
          <w:color w:val="auto"/>
        </w:rPr>
        <w:t>Net (decrease)/increase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beginning of period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20" w:type="dxa"/>
            <w:vAlign w:val="bottom"/>
          </w:tcPr>
          <w:p>
            <w:pPr>
              <w:spacing w:after="0"/>
              <w:rPr>
                <w:sz w:val="16"/>
                <w:szCs w:val="16"/>
                <w:color w:val="auto"/>
              </w:rPr>
            </w:pPr>
          </w:p>
        </w:tc>
        <w:tc>
          <w:tcPr>
            <w:tcW w:w="1120" w:type="dxa"/>
            <w:vAlign w:val="bottom"/>
          </w:tcPr>
          <w:p>
            <w:pPr>
              <w:jc w:val="center"/>
              <w:ind w:left="299"/>
              <w:spacing w:after="0"/>
              <w:rPr>
                <w:sz w:val="20"/>
                <w:szCs w:val="20"/>
                <w:color w:val="auto"/>
              </w:rPr>
            </w:pPr>
            <w:r>
              <w:rPr>
                <w:rFonts w:ascii="Arial" w:cs="Arial" w:eastAsia="Arial" w:hAnsi="Arial"/>
                <w:sz w:val="16"/>
                <w:szCs w:val="16"/>
                <w:color w:val="auto"/>
              </w:rPr>
              <w:t>(196,490)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113,266</w:t>
            </w:r>
          </w:p>
        </w:tc>
      </w:tr>
      <w:tr>
        <w:trPr>
          <w:trHeight w:val="219"/>
        </w:trPr>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color w:val="auto"/>
              </w:rPr>
              <w:t>434,563</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292,575</w:t>
            </w:r>
          </w:p>
        </w:tc>
      </w:tr>
      <w:tr>
        <w:trPr>
          <w:trHeight w:val="210"/>
        </w:trPr>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color w:val="auto"/>
              </w:rPr>
              <w:t>238,073</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405,841</w:t>
            </w:r>
          </w:p>
        </w:tc>
      </w:tr>
      <w:tr>
        <w:trPr>
          <w:trHeight w:val="23"/>
        </w:trPr>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140" w:space="720"/>
            <w:col w:w="338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644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736"/>
        </w:trPr>
        <w:tc>
          <w:tcPr>
            <w:tcW w:w="1260" w:type="dxa"/>
            <w:vAlign w:val="bottom"/>
            <w:tcBorders>
              <w:top w:val="single" w:sz="8" w:color="0000FF"/>
            </w:tcBorders>
          </w:tcPr>
          <w:p>
            <w:pPr>
              <w:spacing w:after="0"/>
              <w:rPr>
                <w:sz w:val="24"/>
                <w:szCs w:val="24"/>
                <w:color w:val="auto"/>
              </w:rPr>
            </w:pPr>
          </w:p>
        </w:tc>
        <w:tc>
          <w:tcPr>
            <w:tcW w:w="5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2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6440" w:type="dxa"/>
            <w:vAlign w:val="bottom"/>
            <w:gridSpan w:val="2"/>
          </w:tcPr>
          <w:p>
            <w:pPr>
              <w:ind w:left="140"/>
              <w:spacing w:after="0"/>
              <w:rPr>
                <w:sz w:val="20"/>
                <w:szCs w:val="20"/>
                <w:color w:val="auto"/>
              </w:rPr>
            </w:pPr>
            <w:r>
              <w:rPr>
                <w:rFonts w:ascii="Arial" w:cs="Arial" w:eastAsia="Arial" w:hAnsi="Arial"/>
                <w:sz w:val="16"/>
                <w:szCs w:val="16"/>
                <w:color w:val="auto"/>
              </w:rPr>
              <w:t>Income taxes paid, net</w:t>
            </w:r>
          </w:p>
        </w:tc>
        <w:tc>
          <w:tcPr>
            <w:tcW w:w="20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97,717</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71,090</w:t>
            </w:r>
          </w:p>
        </w:tc>
      </w:tr>
      <w:tr>
        <w:trPr>
          <w:trHeight w:val="219"/>
        </w:trPr>
        <w:tc>
          <w:tcPr>
            <w:tcW w:w="6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paid</w:t>
            </w:r>
          </w:p>
        </w:tc>
        <w:tc>
          <w:tcPr>
            <w:tcW w:w="20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14,271</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14,618</w:t>
            </w:r>
          </w:p>
        </w:tc>
      </w:tr>
      <w:tr>
        <w:trPr>
          <w:trHeight w:val="256"/>
        </w:trPr>
        <w:tc>
          <w:tcPr>
            <w:tcW w:w="6440" w:type="dxa"/>
            <w:vAlign w:val="bottom"/>
            <w:gridSpan w:val="2"/>
          </w:tcPr>
          <w:p>
            <w:pPr>
              <w:spacing w:after="0"/>
              <w:rPr>
                <w:sz w:val="22"/>
                <w:szCs w:val="22"/>
                <w:color w:val="auto"/>
              </w:rPr>
            </w:pPr>
          </w:p>
        </w:tc>
        <w:tc>
          <w:tcPr>
            <w:tcW w:w="20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1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644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for acquisition of business</w:t>
            </w:r>
          </w:p>
        </w:tc>
        <w:tc>
          <w:tcPr>
            <w:tcW w:w="20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22,000</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Issuance of common stock for settlement of earnout liability</w:t>
            </w:r>
          </w:p>
        </w:tc>
        <w:tc>
          <w:tcPr>
            <w:tcW w:w="20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13,168</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40" w:type="dxa"/>
            <w:vAlign w:val="bottom"/>
            <w:gridSpan w:val="2"/>
          </w:tcPr>
          <w:p>
            <w:pPr>
              <w:ind w:left="140"/>
              <w:spacing w:after="0"/>
              <w:rPr>
                <w:sz w:val="20"/>
                <w:szCs w:val="20"/>
                <w:color w:val="auto"/>
              </w:rPr>
            </w:pPr>
            <w:r>
              <w:rPr>
                <w:rFonts w:ascii="Arial" w:cs="Arial" w:eastAsia="Arial" w:hAnsi="Arial"/>
                <w:sz w:val="16"/>
                <w:szCs w:val="16"/>
                <w:color w:val="auto"/>
              </w:rPr>
              <w:t>Capital expenditures in accounts payable</w:t>
            </w:r>
          </w:p>
        </w:tc>
        <w:tc>
          <w:tcPr>
            <w:tcW w:w="20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4,668</w:t>
            </w:r>
          </w:p>
        </w:tc>
        <w:tc>
          <w:tcPr>
            <w:tcW w:w="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9"/>
        </w:trPr>
        <w:tc>
          <w:tcPr>
            <w:tcW w:w="6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Dividends declared not yet paid</w:t>
            </w:r>
          </w:p>
        </w:tc>
        <w:tc>
          <w:tcPr>
            <w:tcW w:w="20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6,214</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w:t>
            </w:r>
          </w:p>
        </w:tc>
      </w:tr>
      <w:tr>
        <w:trPr>
          <w:trHeight w:val="213"/>
        </w:trPr>
        <w:tc>
          <w:tcPr>
            <w:tcW w:w="6440" w:type="dxa"/>
            <w:vAlign w:val="bottom"/>
            <w:gridSpan w:val="2"/>
          </w:tcPr>
          <w:p>
            <w:pPr>
              <w:ind w:left="140"/>
              <w:spacing w:after="0"/>
              <w:rPr>
                <w:sz w:val="20"/>
                <w:szCs w:val="20"/>
                <w:color w:val="auto"/>
              </w:rPr>
            </w:pPr>
            <w:r>
              <w:rPr>
                <w:rFonts w:ascii="Arial" w:cs="Arial" w:eastAsia="Arial" w:hAnsi="Arial"/>
                <w:sz w:val="16"/>
                <w:szCs w:val="16"/>
                <w:color w:val="auto"/>
              </w:rPr>
              <w:t>Increase (decrease) in lease assets in exchange for lease liabilities:</w:t>
            </w:r>
          </w:p>
        </w:tc>
        <w:tc>
          <w:tcPr>
            <w:tcW w:w="2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6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leases</w:t>
            </w:r>
          </w:p>
        </w:tc>
        <w:tc>
          <w:tcPr>
            <w:tcW w:w="20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17,236</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w:t>
            </w:r>
          </w:p>
        </w:tc>
      </w:tr>
      <w:tr>
        <w:trPr>
          <w:trHeight w:val="210"/>
        </w:trPr>
        <w:tc>
          <w:tcPr>
            <w:tcW w:w="6440" w:type="dxa"/>
            <w:vAlign w:val="bottom"/>
            <w:gridSpan w:val="2"/>
          </w:tcPr>
          <w:p>
            <w:pPr>
              <w:ind w:left="220"/>
              <w:spacing w:after="0"/>
              <w:rPr>
                <w:sz w:val="20"/>
                <w:szCs w:val="20"/>
                <w:color w:val="auto"/>
              </w:rPr>
            </w:pPr>
            <w:r>
              <w:rPr>
                <w:rFonts w:ascii="Arial" w:cs="Arial" w:eastAsia="Arial" w:hAnsi="Arial"/>
                <w:sz w:val="16"/>
                <w:szCs w:val="16"/>
                <w:color w:val="auto"/>
              </w:rPr>
              <w:t>Finance leases</w:t>
            </w:r>
          </w:p>
        </w:tc>
        <w:tc>
          <w:tcPr>
            <w:tcW w:w="20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2,528</w:t>
            </w:r>
          </w:p>
        </w:tc>
        <w:tc>
          <w:tcPr>
            <w:tcW w:w="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Changes in Shareholders' Equity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center"/>
              <w:ind w:right="408"/>
              <w:spacing w:after="0"/>
              <w:rPr>
                <w:sz w:val="20"/>
                <w:szCs w:val="20"/>
                <w:color w:val="auto"/>
              </w:rPr>
            </w:pPr>
            <w:r>
              <w:rPr>
                <w:rFonts w:ascii="Arial" w:cs="Arial" w:eastAsia="Arial" w:hAnsi="Arial"/>
                <w:sz w:val="14"/>
                <w:szCs w:val="14"/>
                <w:b w:val="1"/>
                <w:bCs w:val="1"/>
                <w:color w:val="auto"/>
              </w:rPr>
              <w:t>Three Months Ended May 28, 2022</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2680" w:type="dxa"/>
            <w:vAlign w:val="bottom"/>
          </w:tcPr>
          <w:p>
            <w:pPr>
              <w:spacing w:after="0"/>
              <w:rPr>
                <w:sz w:val="24"/>
                <w:szCs w:val="2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4"/>
                <w:szCs w:val="2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680" w:type="dxa"/>
            <w:vAlign w:val="bottom"/>
            <w:vMerge w:val="restart"/>
          </w:tcPr>
          <w:p>
            <w:pPr>
              <w:ind w:left="20"/>
              <w:spacing w:after="0" w:line="122" w:lineRule="exact"/>
              <w:rPr>
                <w:sz w:val="20"/>
                <w:szCs w:val="20"/>
                <w:color w:val="auto"/>
              </w:rPr>
            </w:pPr>
            <w:r>
              <w:rPr>
                <w:rFonts w:ascii="Arial" w:cs="Arial" w:eastAsia="Arial" w:hAnsi="Arial"/>
                <w:sz w:val="14"/>
                <w:szCs w:val="14"/>
                <w:color w:val="auto"/>
              </w:rPr>
              <w:t>(in thousands,</w:t>
            </w: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vMerge w:val="restart"/>
          </w:tcPr>
          <w:p>
            <w:pPr>
              <w:jc w:val="center"/>
              <w:ind w:right="48"/>
              <w:spacing w:after="0" w:line="122"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3"/>
                <w:szCs w:val="3"/>
                <w:color w:val="auto"/>
              </w:rPr>
            </w:pPr>
          </w:p>
        </w:tc>
        <w:tc>
          <w:tcPr>
            <w:tcW w:w="840" w:type="dxa"/>
            <w:vAlign w:val="bottom"/>
            <w:vMerge w:val="restart"/>
          </w:tcPr>
          <w:p>
            <w:pPr>
              <w:jc w:val="right"/>
              <w:ind w:right="108"/>
              <w:spacing w:after="0" w:line="122"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3"/>
                <w:szCs w:val="3"/>
                <w:color w:val="auto"/>
              </w:rPr>
            </w:pPr>
          </w:p>
        </w:tc>
        <w:tc>
          <w:tcPr>
            <w:tcW w:w="1300" w:type="dxa"/>
            <w:vAlign w:val="bottom"/>
            <w:vMerge w:val="restart"/>
          </w:tcPr>
          <w:p>
            <w:pPr>
              <w:jc w:val="center"/>
              <w:ind w:right="68"/>
              <w:spacing w:after="0" w:line="122" w:lineRule="exact"/>
              <w:rPr>
                <w:sz w:val="20"/>
                <w:szCs w:val="20"/>
                <w:color w:val="auto"/>
              </w:rPr>
            </w:pPr>
            <w:r>
              <w:rPr>
                <w:rFonts w:ascii="Arial" w:cs="Arial" w:eastAsia="Arial" w:hAnsi="Arial"/>
                <w:sz w:val="14"/>
                <w:szCs w:val="14"/>
                <w:b w:val="1"/>
                <w:bCs w:val="1"/>
                <w:color w:val="auto"/>
              </w:rPr>
              <w:t>Comprehensive</w:t>
            </w:r>
          </w:p>
        </w:tc>
        <w:tc>
          <w:tcPr>
            <w:tcW w:w="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4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61"/>
        </w:trPr>
        <w:tc>
          <w:tcPr>
            <w:tcW w:w="2680" w:type="dxa"/>
            <w:vAlign w:val="bottom"/>
            <w:vMerge w:val="continue"/>
          </w:tcPr>
          <w:p>
            <w:pPr>
              <w:spacing w:after="0"/>
              <w:rPr>
                <w:sz w:val="5"/>
                <w:szCs w:val="5"/>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5"/>
                <w:szCs w:val="5"/>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5"/>
                <w:szCs w:val="5"/>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except per share data)</w:t>
            </w: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February 26, 2022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238,159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1,357,812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(412,399)</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1,208,987</w:t>
            </w: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5,586</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5,627</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Issuance of stock for settlement of</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7,830</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5,338</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13,168</w:t>
            </w: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earnout liability</w:t>
            </w: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(1,268)</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(70,025)</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(70,025)</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dividends; $0.36 per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(11,797)</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(11,797)</w:t>
            </w:r>
          </w:p>
        </w:tc>
        <w:tc>
          <w:tcPr>
            <w:tcW w:w="0" w:type="dxa"/>
            <w:vAlign w:val="bottom"/>
          </w:tcPr>
          <w:p>
            <w:pPr>
              <w:spacing w:after="0"/>
              <w:rPr>
                <w:sz w:val="1"/>
                <w:szCs w:val="1"/>
                <w:color w:val="auto"/>
              </w:rPr>
            </w:pPr>
          </w:p>
        </w:tc>
      </w:tr>
      <w:tr>
        <w:trPr>
          <w:trHeight w:val="105"/>
        </w:trPr>
        <w:tc>
          <w:tcPr>
            <w:tcW w:w="268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680" w:type="dxa"/>
            <w:vAlign w:val="bottom"/>
            <w:vMerge w:val="continue"/>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Other</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682</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comprehensive income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26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117,222</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117,222</w:t>
            </w:r>
          </w:p>
        </w:tc>
        <w:tc>
          <w:tcPr>
            <w:tcW w:w="0" w:type="dxa"/>
            <w:vAlign w:val="bottom"/>
          </w:tcPr>
          <w:p>
            <w:pPr>
              <w:spacing w:after="0"/>
              <w:rPr>
                <w:sz w:val="1"/>
                <w:szCs w:val="1"/>
                <w:color w:val="auto"/>
              </w:rPr>
            </w:pPr>
          </w:p>
        </w:tc>
      </w:tr>
      <w:tr>
        <w:trPr>
          <w:trHeight w:val="208"/>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May 28,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252,257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1,463,254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(20,067)</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(477,045)</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1,263,891</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120" w:type="dxa"/>
            <w:vAlign w:val="bottom"/>
            <w:tcBorders>
              <w:top w:val="single" w:sz="8" w:color="CCEEFF"/>
              <w:bottom w:val="single" w:sz="8" w:color="auto"/>
            </w:tcBorders>
            <w:gridSpan w:val="4"/>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6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center"/>
              <w:ind w:right="408"/>
              <w:spacing w:after="0"/>
              <w:rPr>
                <w:sz w:val="20"/>
                <w:szCs w:val="20"/>
                <w:color w:val="auto"/>
              </w:rPr>
            </w:pPr>
            <w:r>
              <w:rPr>
                <w:rFonts w:ascii="Arial" w:cs="Arial" w:eastAsia="Arial" w:hAnsi="Arial"/>
                <w:sz w:val="14"/>
                <w:szCs w:val="14"/>
                <w:b w:val="1"/>
                <w:bCs w:val="1"/>
                <w:color w:val="auto"/>
              </w:rPr>
              <w:t>Three Months Ended May 29, 2021</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0"/>
                <w:szCs w:val="20"/>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35"/>
        </w:trPr>
        <w:tc>
          <w:tcPr>
            <w:tcW w:w="2680" w:type="dxa"/>
            <w:vAlign w:val="bottom"/>
            <w:vMerge w:val="continue"/>
          </w:tcPr>
          <w:p>
            <w:pPr>
              <w:spacing w:after="0"/>
              <w:rPr>
                <w:sz w:val="11"/>
                <w:szCs w:val="11"/>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1"/>
                <w:szCs w:val="11"/>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86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1"/>
                <w:szCs w:val="11"/>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except per share data)</w:t>
            </w: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February 27, 2021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209,727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(18,225)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(324,762)</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942,364</w:t>
            </w: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4,733</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4,738</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dividends; $0.24 per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(8,148)</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(8,148)</w:t>
            </w: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Total comprehensive income</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71,295</w:t>
            </w: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71,295</w:t>
            </w:r>
          </w:p>
        </w:tc>
        <w:tc>
          <w:tcPr>
            <w:tcW w:w="0" w:type="dxa"/>
            <w:vAlign w:val="bottom"/>
          </w:tcPr>
          <w:p>
            <w:pPr>
              <w:spacing w:after="0"/>
              <w:rPr>
                <w:sz w:val="1"/>
                <w:szCs w:val="1"/>
                <w:color w:val="auto"/>
              </w:rPr>
            </w:pPr>
          </w:p>
        </w:tc>
      </w:tr>
      <w:tr>
        <w:trPr>
          <w:trHeight w:val="182"/>
        </w:trPr>
        <w:tc>
          <w:tcPr>
            <w:tcW w:w="2680" w:type="dxa"/>
            <w:vAlign w:val="bottom"/>
          </w:tcPr>
          <w:p>
            <w:pPr>
              <w:ind w:left="20"/>
              <w:spacing w:after="0"/>
              <w:rPr>
                <w:sz w:val="20"/>
                <w:szCs w:val="20"/>
                <w:color w:val="auto"/>
              </w:rPr>
            </w:pPr>
            <w:r>
              <w:rPr>
                <w:rFonts w:ascii="Arial" w:cs="Arial" w:eastAsia="Arial" w:hAnsi="Arial"/>
                <w:sz w:val="14"/>
                <w:szCs w:val="14"/>
                <w:color w:val="auto"/>
              </w:rPr>
              <w:t>Balances at May 29, 2021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214,460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1,095,167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(18,225)</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(324,757)</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1,010,258</w:t>
            </w: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center"/>
              <w:ind w:right="408"/>
              <w:spacing w:after="0"/>
              <w:rPr>
                <w:sz w:val="20"/>
                <w:szCs w:val="20"/>
                <w:color w:val="auto"/>
              </w:rPr>
            </w:pPr>
            <w:r>
              <w:rPr>
                <w:rFonts w:ascii="Arial" w:cs="Arial" w:eastAsia="Arial" w:hAnsi="Arial"/>
                <w:sz w:val="14"/>
                <w:szCs w:val="14"/>
                <w:b w:val="1"/>
                <w:bCs w:val="1"/>
                <w:color w:val="auto"/>
              </w:rPr>
              <w:t>Nine Months Ended May 28, 2022</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0"/>
                <w:szCs w:val="20"/>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35"/>
        </w:trPr>
        <w:tc>
          <w:tcPr>
            <w:tcW w:w="2680" w:type="dxa"/>
            <w:vAlign w:val="bottom"/>
            <w:vMerge w:val="continue"/>
          </w:tcPr>
          <w:p>
            <w:pPr>
              <w:spacing w:after="0"/>
              <w:rPr>
                <w:sz w:val="11"/>
                <w:szCs w:val="11"/>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1"/>
                <w:szCs w:val="11"/>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86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1"/>
                <w:szCs w:val="11"/>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except per share data)</w:t>
            </w: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28, 2021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218,490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1,172,996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(18,713)</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(359,940)</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1,056,943</w:t>
            </w: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12,445</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73</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12,518</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(1,899)</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4,436</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2,537</w:t>
            </w: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Issuance of stock for acquisition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14,709</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379</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7,291</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22,000</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Issuance of stock for settlement of</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7,830</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5,338</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13,168</w:t>
            </w: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earnout liability</w:t>
            </w: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(2,205)</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(134,243)</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(134,243)</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dividends; $0.54 per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(17,857)</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(17,857)</w:t>
            </w: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Other</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682</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comprehensive income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9"/>
        </w:trPr>
        <w:tc>
          <w:tcPr>
            <w:tcW w:w="26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308,027</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308,027</w:t>
            </w:r>
          </w:p>
        </w:tc>
        <w:tc>
          <w:tcPr>
            <w:tcW w:w="0" w:type="dxa"/>
            <w:vAlign w:val="bottom"/>
          </w:tcPr>
          <w:p>
            <w:pPr>
              <w:spacing w:after="0"/>
              <w:rPr>
                <w:sz w:val="1"/>
                <w:szCs w:val="1"/>
                <w:color w:val="auto"/>
              </w:rPr>
            </w:pPr>
          </w:p>
        </w:tc>
      </w:tr>
      <w:tr>
        <w:trPr>
          <w:trHeight w:val="208"/>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May 28,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252,257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1,463,254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(20,067)</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(477,045)</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1,263,891</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Nine Months Ended May 29, 2021</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80" w:type="dxa"/>
            <w:vAlign w:val="bottom"/>
          </w:tcPr>
          <w:p>
            <w:pPr>
              <w:spacing w:after="0"/>
              <w:rPr>
                <w:sz w:val="21"/>
                <w:szCs w:val="21"/>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1"/>
                <w:szCs w:val="21"/>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35"/>
        </w:trPr>
        <w:tc>
          <w:tcPr>
            <w:tcW w:w="2680" w:type="dxa"/>
            <w:vAlign w:val="bottom"/>
            <w:vMerge w:val="continue"/>
          </w:tcPr>
          <w:p>
            <w:pPr>
              <w:spacing w:after="0"/>
              <w:rPr>
                <w:sz w:val="11"/>
                <w:szCs w:val="11"/>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1"/>
                <w:szCs w:val="11"/>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860" w:type="dxa"/>
            <w:vAlign w:val="bottom"/>
          </w:tcPr>
          <w:p>
            <w:pPr>
              <w:jc w:val="right"/>
              <w:ind w:right="188"/>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1"/>
                <w:szCs w:val="11"/>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except per share data)</w:t>
            </w: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29, 2020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203,791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913,610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(18,133)</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(315,297)</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827,466</w:t>
            </w: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11,701</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11,719</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2,631</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1,599</w:t>
            </w: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(242)</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(12,109)</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(12,109)</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dividends; $0.48 per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(16,229)</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(16,229)</w:t>
            </w: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Total comprehensive income</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197,786</w:t>
            </w: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197,786</w:t>
            </w:r>
          </w:p>
        </w:tc>
        <w:tc>
          <w:tcPr>
            <w:tcW w:w="0" w:type="dxa"/>
            <w:vAlign w:val="bottom"/>
          </w:tcPr>
          <w:p>
            <w:pPr>
              <w:spacing w:after="0"/>
              <w:rPr>
                <w:sz w:val="1"/>
                <w:szCs w:val="1"/>
                <w:color w:val="auto"/>
              </w:rPr>
            </w:pPr>
          </w:p>
        </w:tc>
      </w:tr>
      <w:tr>
        <w:trPr>
          <w:trHeight w:val="183"/>
        </w:trPr>
        <w:tc>
          <w:tcPr>
            <w:tcW w:w="2680" w:type="dxa"/>
            <w:vAlign w:val="bottom"/>
          </w:tcPr>
          <w:p>
            <w:pPr>
              <w:ind w:left="20"/>
              <w:spacing w:after="0"/>
              <w:rPr>
                <w:sz w:val="20"/>
                <w:szCs w:val="20"/>
                <w:color w:val="auto"/>
              </w:rPr>
            </w:pPr>
            <w:r>
              <w:rPr>
                <w:rFonts w:ascii="Arial" w:cs="Arial" w:eastAsia="Arial" w:hAnsi="Arial"/>
                <w:sz w:val="14"/>
                <w:szCs w:val="14"/>
                <w:color w:val="auto"/>
              </w:rPr>
              <w:t>Balances at May 29, 2021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214,460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1,095,167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(18,225)</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(324,757)</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1,010,258</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amounts in tables are in thousands, except share and per share data, unless otherwise designated)</w:t>
      </w:r>
    </w:p>
    <w:p>
      <w:pPr>
        <w:spacing w:after="0" w:line="22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1.</w:t>
        <w:tab/>
        <w:t>Basis of Presentation</w:t>
      </w:r>
    </w:p>
    <w:p>
      <w:pPr>
        <w:spacing w:after="0" w:line="268"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consolidated financial statements include the accounts of Winnebago Industries, Inc. and its wholly owned subsidiaries. Significant intercompany account balances and transactions have been eliminated.</w:t>
      </w:r>
    </w:p>
    <w:p>
      <w:pPr>
        <w:spacing w:after="0" w:line="222"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use of the terms "Winnebago Industries," "Winnebago," "we," "our," and "us" in this Quarterly Report on Form 10-Q, unless the context otherwise requires, refers to Winnebago Industries, Inc. and its wholly owned subsidiaries.</w:t>
      </w:r>
    </w:p>
    <w:p>
      <w:pPr>
        <w:spacing w:after="0" w:line="222"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interim unaudited consolidated financial statements included herein are prepared pursuant to the rules and regulations of the United States (“U.S.”) Securities and Exchange Commission (“SEC”). The information furnished in these consolidated financial statements includes normal recurring adjustments, unless noted otherwise in the Notes to Consolidated Financial Statements, and reflects all adjustments that are, in management’s opinion, necessary for a fair presentation of such financial statements. The consolidated financial statements are prepared in accordance with U.S. Generally Accepted Accounting Principles (“GAAP”). GAAP requires us to make estimates and assumptions that affect amounts reported. Certain information and footnote disclosures normally included in financial statements prepared in accordance with GAAP have been condensed or omitted pursuant to SEC rules and regulations.</w:t>
      </w:r>
    </w:p>
    <w:p>
      <w:pPr>
        <w:spacing w:after="0" w:line="232"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consolidated financial statements included in this Quarterly Report on Form 10-Q should be read in conjunction with the audited consolidated financial statements and notes thereto included in our Annual Report on Form 10-K for the fiscal year ended August 28, 2021 filed with the SEC. Interim results of operations are not necessarily indicative of the results to be expected for the full fiscal year ending August 27, 2022.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133"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In preparing the accompanying unaudited consolidated financial statements, we have evaluated subsequent events for potential recognition and disclosure through the date of this filing noting no material subsequent events.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CARES Act</w:t>
      </w:r>
    </w:p>
    <w:p>
      <w:pPr>
        <w:spacing w:after="0" w:line="13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Coronavirus Aid, Relief, and Economic Security ("CARES") Act was signed into law on March 27, 2020 to help alleviate the impact of the COVID-19 pandemic in the U.S. We took advantage of the employer payroll tax deferral offered by the CARES Act, which allowed us to defer the payment of employer payroll taxes for the period from March 27, 2020 to December 31, 2020. The deferred employer payroll tax liability paid in the first nine months of Fiscal 2022 was $8.0 million and the liability left to pay as of May 28, 2022 was $8.2 million, which will be paid in December 2022. We also took advantage of a tax credit granted to companies under the CARES Act who continued to pay their employees when operations were fully or partially suspended. The refundable tax credit available through the end of the third quarter of Fiscal 2020 reflected in cost of goods sold on the Consolidated Statements of Income and Comprehensive Income was approximately $4.0 million. The entire amount is expected to be received during calendar year 2022. As of May 28, 2022, $0.8 million remains outstanding within other current assets on the Consolidated Balance Sheets.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117" w:lineRule="exact"/>
        <w:rPr>
          <w:sz w:val="20"/>
          <w:szCs w:val="20"/>
          <w:color w:val="auto"/>
        </w:rPr>
      </w:pPr>
    </w:p>
    <w:p>
      <w:pPr>
        <w:ind w:right="300"/>
        <w:spacing w:after="0" w:line="258" w:lineRule="auto"/>
        <w:rPr>
          <w:sz w:val="20"/>
          <w:szCs w:val="20"/>
          <w:color w:val="auto"/>
        </w:rPr>
      </w:pPr>
      <w:r>
        <w:rPr>
          <w:rFonts w:ascii="Arial" w:cs="Arial" w:eastAsia="Arial" w:hAnsi="Arial"/>
          <w:sz w:val="16"/>
          <w:szCs w:val="16"/>
          <w:color w:val="auto"/>
        </w:rPr>
        <w:t xml:space="preserve">Accounting Standards Update ("ASU") Topic 740, </w:t>
      </w:r>
      <w:r>
        <w:rPr>
          <w:rFonts w:ascii="Arial" w:cs="Arial" w:eastAsia="Arial" w:hAnsi="Arial"/>
          <w:sz w:val="16"/>
          <w:szCs w:val="16"/>
          <w:i w:val="1"/>
          <w:iCs w:val="1"/>
          <w:color w:val="auto"/>
        </w:rPr>
        <w:t>Income Taxes: Simplifying the Accounting for Income Taxes</w:t>
      </w:r>
      <w:r>
        <w:rPr>
          <w:rFonts w:ascii="Arial" w:cs="Arial" w:eastAsia="Arial" w:hAnsi="Arial"/>
          <w:sz w:val="16"/>
          <w:szCs w:val="16"/>
          <w:color w:val="auto"/>
        </w:rPr>
        <w:t>, was adopted in the first quarter of Fiscal 2022. The new standard eliminates certain exceptions to Topic 740's general principles, improves consistent application and simplifies its application. We adopted the new guidance in the first quarter of Fiscal 2022, and there was not a material impact to our financial condition, results of operations or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In August 2020, the Financial Accounting Standards Board ("FASB") issued ASU 2020-06, </w:t>
      </w:r>
      <w:r>
        <w:rPr>
          <w:rFonts w:ascii="Arial" w:cs="Arial" w:eastAsia="Arial" w:hAnsi="Arial"/>
          <w:sz w:val="16"/>
          <w:szCs w:val="16"/>
          <w:i w:val="1"/>
          <w:iCs w:val="1"/>
          <w:color w:val="auto"/>
        </w:rPr>
        <w:t>Debt - Debt with Conversion and Other Options (Subtopic 470-20)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Derivatives and Hedging - Contracts in Entity's Own Equity (Subtopic 815-40) </w:t>
      </w:r>
      <w:r>
        <w:rPr>
          <w:rFonts w:ascii="Arial" w:cs="Arial" w:eastAsia="Arial" w:hAnsi="Arial"/>
          <w:sz w:val="16"/>
          <w:szCs w:val="16"/>
          <w:color w:val="auto"/>
        </w:rPr>
        <w:t>which reduces the number of models used to account for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amends diluted earnings per share ("EPS") calculations for convertible instruments, and amends the requirements for a contract (or embedded derivative) that is potentially settled in an entity's own shares to be classified in equity. Certain disclosure requirements were also added to increase transparency and decision-usefulness regarding a convertible instrument's terms and features. Additionally, the if-converted method for including convertible instruments must be used in diluted EPS as opposed to the treasury stock method. The new guidance is effective for annual reporting periods beginning after December 15, 2021, which is our Fiscal 2023. We will adopt the new guidance in the first quarter of Fiscal 2023 and expect the new guidance will increase our net long-term debt and decrease our total equity, as well as change our reported diluted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Effects of Reference Rate Reform on Financial Reporting</w:t>
      </w:r>
      <w:r>
        <w:rPr>
          <w:rFonts w:ascii="Arial" w:cs="Arial" w:eastAsia="Arial" w:hAnsi="Arial"/>
          <w:sz w:val="16"/>
          <w:szCs w:val="16"/>
          <w:color w:val="auto"/>
        </w:rPr>
        <w:t>, which provides practical expedients and exceptions for applying GAAP to contracts, hedging relationships, and other transactions affected by reference rate reform if certain criteria are met. The expedients and exceptions provided by this guidance apply only to contracts, hedging relationships, and other transactions that reference the London interbank offered rate (“LIBOR”) or another reference rate expected to be discontinued as a result of reference rate reform. This guidance is not applicable to contract modifications made and hedging relationships entered into or evaluated after December 31, 2022. The guidance can be applied immediately through December 31, 2022. We will adopt this standard when LIBOR is discontinued and do not expect a material impact to our financial condition, results of operations or disclosures based on the current debt portfolio and capital structure.</w:t>
      </w: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2.</w:t>
        <w:tab/>
        <w:t>Business Combinations</w:t>
      </w:r>
    </w:p>
    <w:p>
      <w:pPr>
        <w:spacing w:after="0" w:line="268" w:lineRule="exact"/>
        <w:rPr>
          <w:sz w:val="20"/>
          <w:szCs w:val="20"/>
          <w:color w:val="auto"/>
        </w:rPr>
      </w:pPr>
    </w:p>
    <w:p>
      <w:pPr>
        <w:ind w:right="860"/>
        <w:spacing w:after="0" w:line="260" w:lineRule="auto"/>
        <w:rPr>
          <w:sz w:val="20"/>
          <w:szCs w:val="20"/>
          <w:color w:val="auto"/>
        </w:rPr>
      </w:pPr>
      <w:r>
        <w:rPr>
          <w:rFonts w:ascii="Arial" w:cs="Arial" w:eastAsia="Arial" w:hAnsi="Arial"/>
          <w:sz w:val="16"/>
          <w:szCs w:val="16"/>
          <w:color w:val="auto"/>
        </w:rPr>
        <w:t>On August 31, 2021, we purchased 100% of the equity interests of Barletta Boat Company, LLC and Three Limes, LLC (collectively, "Barletta"), a manufacturer of high-quality, premium pontoon boats that are sold through a network of independent authorized dealers.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acquisition of Barletta resulted in a newly created Marine reportable segment that includes the Barletta and Chris-Craft operating segments.</w:t>
      </w:r>
    </w:p>
    <w:p>
      <w:pPr>
        <w:spacing w:after="0" w:line="24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acquired Barletta for a purchase price of $286.3 million, including cash payments of $240.1 million, $25.0 million in common stock issued to the sellers (subject to a discount noted below), and contingent consideration from earnout provisions. The common stock fair value included in the purchase price reflects a 12% discount, due to the lack of marketability as these are unregistered shares that have a one-year lockup restriction, which reduced the value of the common stock to $22.0 million. The contingent consideration includes both a potential stock payout as well as a potential cash payment based on achievement of certain financial performance metrics over the next few years. The maximum payout under the earnout is $50.0 million in cash and $15.0 million in stock if all metrics are achieved. The fair value of the earnout as of August 31, 2021 was $24.2 million. The fair value of the earnout as of May 28, 2022 was $35.1 million, of which $20.9 million is included in other current liabilities and $14.2 million is included in other long-term liabilities on the Consolidated Balance Sheets. In the third quarter of Fiscal 2022, we issued 0.2 million shares of common stock in connection with the settlement of the 2021 earnout period obligation.</w:t>
      </w:r>
    </w:p>
    <w:p>
      <w:pPr>
        <w:spacing w:after="0" w:line="233"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total purchase price was allocated to the acquired net tangible and intangible assets of Barletta, based on their preliminary fair values at the date of the acquisition. We finalized the allocation of the purchase price in the third quarter of fiscal 2022.</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fair values assigned to the Barletta net assets acquired as of the date of acquisition:</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August 31, 2021</w:t>
            </w:r>
          </w:p>
        </w:tc>
      </w:tr>
      <w:tr>
        <w:trPr>
          <w:trHeight w:val="209"/>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11,903</w:t>
            </w: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24,564</w:t>
            </w:r>
          </w:p>
        </w:tc>
      </w:tr>
      <w:tr>
        <w:trPr>
          <w:trHeight w:val="219"/>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17,250</w:t>
            </w: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136,118</w:t>
            </w:r>
          </w:p>
        </w:tc>
      </w:tr>
      <w:tr>
        <w:trPr>
          <w:trHeight w:val="216"/>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w:t>
            </w:r>
          </w:p>
        </w:tc>
        <w:tc>
          <w:tcPr>
            <w:tcW w:w="34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111,400</w:t>
            </w:r>
          </w:p>
        </w:tc>
      </w:tr>
      <w:tr>
        <w:trPr>
          <w:trHeight w:val="209"/>
        </w:trPr>
        <w:tc>
          <w:tcPr>
            <w:tcW w:w="8860" w:type="dxa"/>
            <w:vAlign w:val="bottom"/>
          </w:tcPr>
          <w:p>
            <w:pPr>
              <w:ind w:left="240"/>
              <w:spacing w:after="0"/>
              <w:rPr>
                <w:sz w:val="20"/>
                <w:szCs w:val="20"/>
                <w:color w:val="auto"/>
              </w:rPr>
            </w:pPr>
            <w:r>
              <w:rPr>
                <w:rFonts w:ascii="Arial" w:cs="Arial" w:eastAsia="Arial" w:hAnsi="Arial"/>
                <w:sz w:val="16"/>
                <w:szCs w:val="16"/>
                <w:color w:val="auto"/>
              </w:rPr>
              <w:t>Total assets acquired</w:t>
            </w:r>
          </w:p>
        </w:tc>
        <w:tc>
          <w:tcPr>
            <w:tcW w:w="3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301,235</w:t>
            </w:r>
          </w:p>
        </w:tc>
      </w:tr>
      <w:tr>
        <w:trPr>
          <w:trHeight w:val="219"/>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7,181</w:t>
            </w: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Product warranties</w:t>
            </w:r>
          </w:p>
        </w:tc>
        <w:tc>
          <w:tcPr>
            <w:tcW w:w="3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4,656</w:t>
            </w:r>
          </w:p>
        </w:tc>
      </w:tr>
      <w:tr>
        <w:trPr>
          <w:trHeight w:val="216"/>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3,146</w:t>
            </w:r>
          </w:p>
        </w:tc>
      </w:tr>
      <w:tr>
        <w:trPr>
          <w:trHeight w:val="209"/>
        </w:trPr>
        <w:tc>
          <w:tcPr>
            <w:tcW w:w="88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liabilities assumed</w:t>
            </w:r>
          </w:p>
        </w:tc>
        <w:tc>
          <w:tcPr>
            <w:tcW w:w="3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14,983</w:t>
            </w:r>
          </w:p>
        </w:tc>
      </w:tr>
      <w:tr>
        <w:trPr>
          <w:trHeight w:val="238"/>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purchase price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286,252</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ind w:right="260"/>
        <w:spacing w:after="0" w:line="260" w:lineRule="auto"/>
        <w:rPr>
          <w:sz w:val="20"/>
          <w:szCs w:val="20"/>
          <w:color w:val="auto"/>
        </w:rPr>
      </w:pPr>
      <w:r>
        <w:rPr>
          <w:rFonts w:ascii="Arial" w:cs="Arial" w:eastAsia="Arial" w:hAnsi="Arial"/>
          <w:sz w:val="16"/>
          <w:szCs w:val="16"/>
          <w:color w:val="auto"/>
        </w:rPr>
        <w:t>Goodwill from the Barletta acquisition is recognized in our newly created Marine segment. We expect that the full amount of goodwill will be deductible for tax purposes.</w:t>
      </w:r>
    </w:p>
    <w:p>
      <w:pPr>
        <w:spacing w:after="0" w:line="222"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intangible assets acquired include a trade name, dealer network, and backlog. The trade name has an indefinite life, while the backlog and dealer network will be amortized on a straight line basis over 10 months and 12 years, respectively.</w:t>
      </w:r>
    </w:p>
    <w:p>
      <w:pPr>
        <w:spacing w:after="0" w:line="222" w:lineRule="exact"/>
        <w:rPr>
          <w:sz w:val="20"/>
          <w:szCs w:val="20"/>
          <w:color w:val="auto"/>
        </w:rPr>
      </w:pPr>
    </w:p>
    <w:p>
      <w:pPr>
        <w:jc w:val="both"/>
        <w:ind w:right="280"/>
        <w:spacing w:after="0" w:line="253" w:lineRule="auto"/>
        <w:rPr>
          <w:sz w:val="20"/>
          <w:szCs w:val="20"/>
          <w:color w:val="auto"/>
        </w:rPr>
      </w:pPr>
      <w:r>
        <w:rPr>
          <w:rFonts w:ascii="Arial" w:cs="Arial" w:eastAsia="Arial" w:hAnsi="Arial"/>
          <w:sz w:val="16"/>
          <w:szCs w:val="16"/>
          <w:color w:val="auto"/>
        </w:rPr>
        <w:t>Total transaction costs related to the Barletta acquisition were $3.1 million, of which $2.4 million were expensed during the first quarter of Fiscal 2022 and $0.7 million were expensed during the fourth quarter of Fiscal 2021. Transaction costs are included in selling, general and administrative expenses in the accompanying Consolidated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Pro forma results of operations for this acquisition have not been presented as they were immaterial to the reported results.</w:t>
      </w:r>
    </w:p>
    <w:p>
      <w:pPr>
        <w:spacing w:after="0" w:line="22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3.</w:t>
        <w:tab/>
        <w:t>Business Segments</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have seven operating segments: 1) Grand Design towables, 2) Winnebago towables, 3) Winnebago motorhomes, 4) Newmar motorhomes, 5) Chris-Craft marine, 6) Barletta marine and 7) Winnebago specialty vehicles. Financial performance is evaluated based on each operating segment's Adjusted Earnings Before Interest, Taxes, Depreciation and Amortization ("EBITDA"), as defined below, which excludes certain corporate administration expenses and non-operating income and expense.</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acquisition of Barletta resulted in a newly created Marine reportable segment effective for the first quarter of Fiscal 2022. The segment consists of Barletta and our existing Chris-Craft operating segment. Prior year amounts for Chris-Craft have been reclassified from Corporate / All Other category to the Marine segment.</w:t>
      </w:r>
    </w:p>
    <w:p>
      <w:pPr>
        <w:spacing w:after="0" w:line="228" w:lineRule="exact"/>
        <w:rPr>
          <w:sz w:val="20"/>
          <w:szCs w:val="20"/>
          <w:color w:val="auto"/>
        </w:rPr>
      </w:pPr>
    </w:p>
    <w:p>
      <w:pPr>
        <w:jc w:val="both"/>
        <w:ind w:right="80"/>
        <w:spacing w:after="0" w:line="250" w:lineRule="auto"/>
        <w:rPr>
          <w:sz w:val="20"/>
          <w:szCs w:val="20"/>
          <w:color w:val="auto"/>
        </w:rPr>
      </w:pPr>
      <w:r>
        <w:rPr>
          <w:rFonts w:ascii="Arial" w:cs="Arial" w:eastAsia="Arial" w:hAnsi="Arial"/>
          <w:sz w:val="16"/>
          <w:szCs w:val="16"/>
          <w:color w:val="auto"/>
        </w:rPr>
        <w:t>Our three reportable segments are: Towable (an aggregation of the Grand Design towables and the Winnebago towables operating segments); Motorhome (an aggregation of the Winnebago motorhomes and Newmar motorhomes operating segments); and Marine (an aggregation of the Chris Craft marine and Barletta marine operating segments). Towable is comprised of non-motorized products that are generally towed by another vehicle, along with other related manufactured products and services. Motorhome is comprised of products that include a motorized chassis, along with other related manufactured products and services. Marine is comprised of products that include boats, along with other manufactured products and services.</w:t>
      </w:r>
    </w:p>
    <w:p>
      <w:pPr>
        <w:spacing w:after="0" w:line="230"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The Corporate / All Other category includes the Winnebago specialty vehicles operating segment as well as certain corporate administration expenses related to the oversight of the enterprise, such as corporate leadership and administration costs.</w:t>
      </w:r>
    </w:p>
    <w:p>
      <w:pPr>
        <w:spacing w:after="0" w:line="222"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22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Chief Executive Officer (the Chief Operating Decision Maker ("CODM")) regularly reviews consolidated financial results in their entirety and operating segment financial information through Adjusted EBITDA and has ultimate responsibility for enterprise decisions. Our CODM is responsible for allocating resources and assessing performance of the consolidated enterprise, reportable segments and between operating segments. Management of each operating segment has responsibility for operating decisions, allocating resources and assessing performance within their respective operating segment. The accounting policies of all reportable segments are the same as those described in Note 1 to the Consolidated Financial Statements included in Item 8 of Part II of our Annual Report on Form 10-K for the fiscal year ended August 28, 2021.</w:t>
      </w:r>
    </w:p>
    <w:p>
      <w:pPr>
        <w:spacing w:after="0" w:line="232"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We monitor and evaluate operating performance of our reportable segments based on Adjusted EBITDA. We believe disclosing Adjusted EBITDA is useful to securities analysts, investors and other interested parties when evaluating companies in our industries.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period over period. Examples of items excluded from Adjusted EBITDA include acquisition-related costs, litigation reserves, restructuring expenses, gain or loss on sale of property, plant and equipment, contingent consideration fair value adjustment, and non-operating income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444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6"/>
        </w:trPr>
        <w:tc>
          <w:tcPr>
            <w:tcW w:w="4440" w:type="dxa"/>
            <w:vAlign w:val="bottom"/>
            <w:gridSpan w:val="2"/>
          </w:tcPr>
          <w:p>
            <w:pPr>
              <w:spacing w:after="0"/>
              <w:rPr>
                <w:sz w:val="20"/>
                <w:szCs w:val="20"/>
                <w:color w:val="auto"/>
              </w:rPr>
            </w:pPr>
            <w:r>
              <w:rPr>
                <w:rFonts w:ascii="Arial" w:cs="Arial" w:eastAsia="Arial" w:hAnsi="Arial"/>
                <w:sz w:val="16"/>
                <w:szCs w:val="16"/>
                <w:color w:val="auto"/>
              </w:rPr>
              <w:t>Financial information by reportable segment is as follows:</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jc w:val="right"/>
              <w:ind w:right="8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12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tcPr>
          <w:p>
            <w:pPr>
              <w:ind w:left="200"/>
              <w:spacing w:after="0" w:line="158" w:lineRule="exact"/>
              <w:rPr>
                <w:sz w:val="20"/>
                <w:szCs w:val="20"/>
                <w:color w:val="auto"/>
              </w:rPr>
            </w:pPr>
            <w:r>
              <w:rPr>
                <w:rFonts w:ascii="Arial" w:cs="Arial" w:eastAsia="Arial" w:hAnsi="Arial"/>
                <w:sz w:val="16"/>
                <w:szCs w:val="16"/>
                <w:b w:val="1"/>
                <w:bCs w:val="1"/>
                <w:color w:val="auto"/>
              </w:rPr>
              <w:t>May 28,</w:t>
            </w:r>
          </w:p>
        </w:tc>
        <w:tc>
          <w:tcPr>
            <w:tcW w:w="320" w:type="dxa"/>
            <w:vAlign w:val="bottom"/>
          </w:tcPr>
          <w:p>
            <w:pPr>
              <w:spacing w:after="0"/>
              <w:rPr>
                <w:sz w:val="13"/>
                <w:szCs w:val="13"/>
                <w:color w:val="auto"/>
              </w:rPr>
            </w:pPr>
          </w:p>
        </w:tc>
        <w:tc>
          <w:tcPr>
            <w:tcW w:w="1240" w:type="dxa"/>
            <w:vAlign w:val="bottom"/>
            <w:gridSpan w:val="2"/>
          </w:tcPr>
          <w:p>
            <w:pPr>
              <w:jc w:val="right"/>
              <w:ind w:right="379"/>
              <w:spacing w:after="0" w:line="158" w:lineRule="exact"/>
              <w:rPr>
                <w:sz w:val="20"/>
                <w:szCs w:val="20"/>
                <w:color w:val="auto"/>
              </w:rPr>
            </w:pPr>
            <w:r>
              <w:rPr>
                <w:rFonts w:ascii="Arial" w:cs="Arial" w:eastAsia="Arial" w:hAnsi="Arial"/>
                <w:sz w:val="16"/>
                <w:szCs w:val="16"/>
                <w:b w:val="1"/>
                <w:bCs w:val="1"/>
                <w:color w:val="auto"/>
              </w:rPr>
              <w:t>May 29,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May 28,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right"/>
              <w:ind w:right="439"/>
              <w:spacing w:after="0" w:line="158" w:lineRule="exact"/>
              <w:rPr>
                <w:sz w:val="20"/>
                <w:szCs w:val="20"/>
                <w:color w:val="auto"/>
              </w:rPr>
            </w:pPr>
            <w:r>
              <w:rPr>
                <w:rFonts w:ascii="Arial" w:cs="Arial" w:eastAsia="Arial" w:hAnsi="Arial"/>
                <w:sz w:val="16"/>
                <w:szCs w:val="16"/>
                <w:b w:val="1"/>
                <w:bCs w:val="1"/>
                <w:color w:val="auto"/>
              </w:rPr>
              <w:t>May 29,</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Towable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805,567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555,749</w:t>
            </w:r>
          </w:p>
        </w:tc>
        <w:tc>
          <w:tcPr>
            <w:tcW w:w="62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2,103,192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1,449,934</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516,345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385,257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1,355,389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1,090,221</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Marine</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126,548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17,170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303,175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43,527</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2,561</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16,853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10,072</w:t>
            </w:r>
          </w:p>
        </w:tc>
        <w:tc>
          <w:tcPr>
            <w:tcW w:w="0" w:type="dxa"/>
            <w:vAlign w:val="bottom"/>
          </w:tcPr>
          <w:p>
            <w:pPr>
              <w:spacing w:after="0"/>
              <w:rPr>
                <w:sz w:val="1"/>
                <w:szCs w:val="1"/>
                <w:color w:val="auto"/>
              </w:rPr>
            </w:pPr>
          </w:p>
        </w:tc>
      </w:tr>
      <w:tr>
        <w:trPr>
          <w:trHeight w:val="212"/>
        </w:trPr>
        <w:tc>
          <w:tcPr>
            <w:tcW w:w="4440" w:type="dxa"/>
            <w:vAlign w:val="bottom"/>
            <w:gridSpan w:val="2"/>
          </w:tcPr>
          <w:p>
            <w:pPr>
              <w:ind w:left="140"/>
              <w:spacing w:after="0"/>
              <w:rPr>
                <w:sz w:val="20"/>
                <w:szCs w:val="20"/>
                <w:color w:val="auto"/>
              </w:rPr>
            </w:pPr>
            <w:r>
              <w:rPr>
                <w:rFonts w:ascii="Arial" w:cs="Arial" w:eastAsia="Arial" w:hAnsi="Arial"/>
                <w:sz w:val="16"/>
                <w:szCs w:val="16"/>
                <w:color w:val="auto"/>
              </w:rPr>
              <w:t>Consolidated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1,458,138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960,737</w:t>
            </w:r>
          </w:p>
        </w:tc>
        <w:tc>
          <w:tcPr>
            <w:tcW w:w="62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3,778,609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2,593,754</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260" w:type="dxa"/>
            <w:vAlign w:val="bottom"/>
            <w:shd w:val="clear" w:color="auto" w:fill="CCEEFF"/>
          </w:tcPr>
          <w:p>
            <w:pPr>
              <w:spacing w:after="0"/>
              <w:rPr>
                <w:sz w:val="6"/>
                <w:szCs w:val="6"/>
                <w:color w:val="auto"/>
              </w:rPr>
            </w:pPr>
          </w:p>
        </w:tc>
        <w:tc>
          <w:tcPr>
            <w:tcW w:w="31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44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EBITDA</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Towable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80,130</w:t>
            </w:r>
          </w:p>
        </w:tc>
        <w:tc>
          <w:tcPr>
            <w:tcW w:w="62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330,417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205,639</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Motorhome</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64,388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37,467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160,636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118,779</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Marine</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43,336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Corporate / All Other</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(9,447)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color w:val="auto"/>
              </w:rPr>
              <w:t>(24,707)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(20,888)</w:t>
            </w:r>
          </w:p>
        </w:tc>
        <w:tc>
          <w:tcPr>
            <w:tcW w:w="0" w:type="dxa"/>
            <w:vAlign w:val="bottom"/>
          </w:tcPr>
          <w:p>
            <w:pPr>
              <w:spacing w:after="0"/>
              <w:rPr>
                <w:sz w:val="1"/>
                <w:szCs w:val="1"/>
                <w:color w:val="auto"/>
              </w:rPr>
            </w:pPr>
          </w:p>
        </w:tc>
      </w:tr>
      <w:tr>
        <w:trPr>
          <w:trHeight w:val="232"/>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191,721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109,774</w:t>
            </w:r>
          </w:p>
        </w:tc>
        <w:tc>
          <w:tcPr>
            <w:tcW w:w="62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509,682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307,032</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260" w:type="dxa"/>
            <w:vAlign w:val="bottom"/>
          </w:tcPr>
          <w:p>
            <w:pPr>
              <w:spacing w:after="0"/>
              <w:rPr>
                <w:sz w:val="4"/>
                <w:szCs w:val="4"/>
                <w:color w:val="auto"/>
              </w:rPr>
            </w:pPr>
          </w:p>
        </w:tc>
        <w:tc>
          <w:tcPr>
            <w:tcW w:w="3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Towable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12,621</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4,639</w:t>
            </w:r>
          </w:p>
        </w:tc>
        <w:tc>
          <w:tcPr>
            <w:tcW w:w="62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33,960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11,490</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2,976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16,196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10,247</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Marine</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1,061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6"/>
                <w:szCs w:val="16"/>
                <w:color w:val="auto"/>
                <w:w w:val="99"/>
              </w:rPr>
              <w:t>8,581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1,859</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9"/>
              </w:rPr>
              <w:t>4,491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40" w:type="dxa"/>
            <w:vAlign w:val="bottom"/>
            <w:gridSpan w:val="2"/>
          </w:tcPr>
          <w:p>
            <w:pPr>
              <w:ind w:left="140"/>
              <w:spacing w:after="0"/>
              <w:rPr>
                <w:sz w:val="20"/>
                <w:szCs w:val="20"/>
                <w:color w:val="auto"/>
              </w:rPr>
            </w:pPr>
            <w:r>
              <w:rPr>
                <w:rFonts w:ascii="Arial" w:cs="Arial" w:eastAsia="Arial" w:hAnsi="Arial"/>
                <w:sz w:val="16"/>
                <w:szCs w:val="16"/>
                <w:color w:val="auto"/>
              </w:rPr>
              <w:t>Consolidated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19,802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8,676</w:t>
            </w:r>
          </w:p>
        </w:tc>
        <w:tc>
          <w:tcPr>
            <w:tcW w:w="62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63,228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23,596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3"/>
        </w:trPr>
        <w:tc>
          <w:tcPr>
            <w:tcW w:w="1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w w:val="96"/>
              </w:rPr>
              <w:t>May 28,</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539"/>
              <w:spacing w:after="0"/>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Towable</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55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913,892</w:t>
            </w:r>
          </w:p>
        </w:tc>
        <w:tc>
          <w:tcPr>
            <w:tcW w:w="5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790,257</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857,636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728,060</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Marine</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404,137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102,901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251,469</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441,349</w:t>
            </w:r>
          </w:p>
        </w:tc>
        <w:tc>
          <w:tcPr>
            <w:tcW w:w="0" w:type="dxa"/>
            <w:vAlign w:val="bottom"/>
          </w:tcPr>
          <w:p>
            <w:pPr>
              <w:spacing w:after="0"/>
              <w:rPr>
                <w:sz w:val="1"/>
                <w:szCs w:val="1"/>
                <w:color w:val="auto"/>
              </w:rPr>
            </w:pPr>
          </w:p>
        </w:tc>
      </w:tr>
      <w:tr>
        <w:trPr>
          <w:trHeight w:val="213"/>
        </w:trPr>
        <w:tc>
          <w:tcPr>
            <w:tcW w:w="4440" w:type="dxa"/>
            <w:vAlign w:val="bottom"/>
            <w:gridSpan w:val="2"/>
          </w:tcPr>
          <w:p>
            <w:pPr>
              <w:ind w:left="140"/>
              <w:spacing w:after="0"/>
              <w:rPr>
                <w:sz w:val="20"/>
                <w:szCs w:val="20"/>
                <w:color w:val="auto"/>
              </w:rPr>
            </w:pPr>
            <w:r>
              <w:rPr>
                <w:rFonts w:ascii="Arial" w:cs="Arial" w:eastAsia="Arial" w:hAnsi="Arial"/>
                <w:sz w:val="16"/>
                <w:szCs w:val="16"/>
                <w:color w:val="auto"/>
              </w:rPr>
              <w:t>Consolidated</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559"/>
              <w:spacing w:after="0"/>
              <w:rPr>
                <w:sz w:val="20"/>
                <w:szCs w:val="20"/>
                <w:color w:val="auto"/>
              </w:rPr>
            </w:pPr>
            <w:r>
              <w:rPr>
                <w:rFonts w:ascii="Arial" w:cs="Arial" w:eastAsia="Arial" w:hAnsi="Arial"/>
                <w:sz w:val="16"/>
                <w:szCs w:val="16"/>
                <w:color w:val="auto"/>
              </w:rPr>
              <w:t>$</w:t>
            </w:r>
          </w:p>
        </w:tc>
        <w:tc>
          <w:tcPr>
            <w:tcW w:w="1280" w:type="dxa"/>
            <w:vAlign w:val="bottom"/>
            <w:gridSpan w:val="4"/>
          </w:tcPr>
          <w:p>
            <w:pPr>
              <w:jc w:val="right"/>
              <w:spacing w:after="0"/>
              <w:rPr>
                <w:sz w:val="20"/>
                <w:szCs w:val="20"/>
                <w:color w:val="auto"/>
              </w:rPr>
            </w:pPr>
            <w:r>
              <w:rPr>
                <w:rFonts w:ascii="Arial" w:cs="Arial" w:eastAsia="Arial" w:hAnsi="Arial"/>
                <w:sz w:val="16"/>
                <w:szCs w:val="16"/>
                <w:color w:val="auto"/>
              </w:rPr>
              <w:t>2,427,134</w:t>
            </w:r>
          </w:p>
        </w:tc>
        <w:tc>
          <w:tcPr>
            <w:tcW w:w="5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2,062,567</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vMerge w:val="restart"/>
          </w:tcPr>
          <w:p>
            <w:pPr>
              <w:jc w:val="right"/>
              <w:ind w:right="25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3"/>
        </w:trPr>
        <w:tc>
          <w:tcPr>
            <w:tcW w:w="1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6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Reconciliation of net income to consolidated Adjusted EBITDA is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312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44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May 28, 2022</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29, 2021</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May 28, 2022</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29, 2021</w:t>
            </w:r>
          </w:p>
        </w:tc>
      </w:tr>
      <w:tr>
        <w:trPr>
          <w:trHeight w:val="210"/>
        </w:trPr>
        <w:tc>
          <w:tcPr>
            <w:tcW w:w="4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117,222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71,295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308,027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197,786</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10,511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10,229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31,078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30,222</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59,728</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6,264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17,031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13,476</w:t>
            </w: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10,771</w:t>
            </w:r>
          </w:p>
        </w:tc>
      </w:tr>
      <w:tr>
        <w:trPr>
          <w:trHeight w:val="209"/>
        </w:trPr>
        <w:tc>
          <w:tcPr>
            <w:tcW w:w="4460" w:type="dxa"/>
            <w:vAlign w:val="bottom"/>
          </w:tcPr>
          <w:p>
            <w:pPr>
              <w:ind w:left="140"/>
              <w:spacing w:after="0"/>
              <w:rPr>
                <w:sz w:val="20"/>
                <w:szCs w:val="20"/>
                <w:color w:val="auto"/>
              </w:rPr>
            </w:pPr>
            <w:r>
              <w:rPr>
                <w:rFonts w:ascii="Arial" w:cs="Arial" w:eastAsia="Arial" w:hAnsi="Arial"/>
                <w:sz w:val="16"/>
                <w:szCs w:val="16"/>
                <w:color w:val="auto"/>
              </w:rPr>
              <w:t>EBITDA</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179,339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111,036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476,566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311,983</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Litigation reserves</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Gain on sale of property, plant and equipment</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(4,753)</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r>
      <w:tr>
        <w:trPr>
          <w:trHeight w:val="237"/>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191,721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109,774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509,682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307,032</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4.</w:t>
        <w:tab/>
        <w:t>Investments and Fair Value Measurements</w:t>
      </w:r>
    </w:p>
    <w:p>
      <w:pPr>
        <w:spacing w:after="0" w:line="18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determining the fair value of financial assets and liabilities, we utilize market data or other assumptions that we believe market participants would use in pricing the asset or liability in the principal or most advantageous market and adjust for non-performance and/or other risks associated with us as well as counterparties, as appropriate. Assets and liabilities measured at fair value are classified using the following hierarchy, which is based upon the transparency of inputs to the valuation as of the measurement date: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Unadjusted quoted prices which are available in active markets for identical assets or liabilities accessible at the measurement date.</w:t>
      </w:r>
    </w:p>
    <w:p>
      <w:pPr>
        <w:spacing w:after="0" w:line="248" w:lineRule="exact"/>
        <w:rPr>
          <w:sz w:val="20"/>
          <w:szCs w:val="20"/>
          <w:color w:val="auto"/>
        </w:rPr>
      </w:pPr>
    </w:p>
    <w:p>
      <w:pPr>
        <w:ind w:left="660" w:right="440"/>
        <w:spacing w:after="0" w:line="281"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other than quoted prices included in Level 1 inputs that are observable for the asset or liability, either directly or indirectly, for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the full term of the asset or liability.</w:t>
      </w:r>
    </w:p>
    <w:p>
      <w:pPr>
        <w:spacing w:after="0" w:line="190" w:lineRule="exact"/>
        <w:rPr>
          <w:sz w:val="20"/>
          <w:szCs w:val="20"/>
          <w:color w:val="auto"/>
        </w:rPr>
      </w:pPr>
    </w:p>
    <w:p>
      <w:pPr>
        <w:ind w:left="660" w:right="300"/>
        <w:spacing w:after="0" w:line="281"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for the asset or liability used to measure fair value to the extent that observable inputs are not available, thereby</w:t>
      </w:r>
      <w:r>
        <w:rPr>
          <w:rFonts w:ascii="Arial" w:cs="Arial" w:eastAsia="Arial" w:hAnsi="Arial"/>
          <w:sz w:val="16"/>
          <w:szCs w:val="16"/>
          <w:i w:val="1"/>
          <w:iCs w:val="1"/>
          <w:color w:val="auto"/>
        </w:rPr>
        <w:t xml:space="preserve"> </w:t>
      </w:r>
      <w:r>
        <w:rPr>
          <w:rFonts w:ascii="Arial" w:cs="Arial" w:eastAsia="Arial" w:hAnsi="Arial"/>
          <w:sz w:val="16"/>
          <w:szCs w:val="16"/>
          <w:color w:val="auto"/>
        </w:rPr>
        <w:t>allowing for situations in which there is little, if any, market activity for the asset or liability at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442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906"/>
        </w:trPr>
        <w:tc>
          <w:tcPr>
            <w:tcW w:w="6160" w:type="dxa"/>
            <w:vAlign w:val="bottom"/>
            <w:gridSpan w:val="8"/>
          </w:tcPr>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97"/>
        </w:trPr>
        <w:tc>
          <w:tcPr>
            <w:tcW w:w="6500" w:type="dxa"/>
            <w:vAlign w:val="bottom"/>
            <w:gridSpan w:val="9"/>
          </w:tcPr>
          <w:p>
            <w:pPr>
              <w:spacing w:after="0"/>
              <w:rPr>
                <w:sz w:val="20"/>
                <w:szCs w:val="20"/>
                <w:color w:val="auto"/>
              </w:rPr>
            </w:pPr>
            <w:r>
              <w:rPr>
                <w:rFonts w:ascii="Arial" w:cs="Arial" w:eastAsia="Arial" w:hAnsi="Arial"/>
                <w:sz w:val="16"/>
                <w:szCs w:val="16"/>
                <w:color w:val="auto"/>
              </w:rPr>
              <w:t>Financial assets and liabilities measured at fair value on a recurring basis are as follows: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8"/>
              </w:rPr>
              <w:t>Fair Value at</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148"/>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tcPr>
          <w:p>
            <w:pPr>
              <w:jc w:val="center"/>
              <w:ind w:right="360"/>
              <w:spacing w:after="0" w:line="148" w:lineRule="exact"/>
              <w:rPr>
                <w:sz w:val="20"/>
                <w:szCs w:val="20"/>
                <w:color w:val="auto"/>
              </w:rPr>
            </w:pPr>
            <w:r>
              <w:rPr>
                <w:rFonts w:ascii="Arial" w:cs="Arial" w:eastAsia="Arial" w:hAnsi="Arial"/>
                <w:sz w:val="16"/>
                <w:szCs w:val="16"/>
                <w:b w:val="1"/>
                <w:bCs w:val="1"/>
                <w:color w:val="auto"/>
              </w:rPr>
              <w:t>May 28,</w:t>
            </w: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9"/>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3"/>
          </w:tcPr>
          <w:p>
            <w:pPr>
              <w:ind w:left="18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3"/>
          </w:tcPr>
          <w:p>
            <w:pPr>
              <w:ind w:left="20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Level 3</w:t>
            </w:r>
          </w:p>
        </w:tc>
      </w:tr>
      <w:tr>
        <w:trPr>
          <w:trHeight w:val="209"/>
        </w:trPr>
        <w:tc>
          <w:tcPr>
            <w:tcW w:w="20" w:type="dxa"/>
            <w:vAlign w:val="bottom"/>
            <w:tcBorders>
              <w:top w:val="single" w:sz="8" w:color="auto"/>
            </w:tcBorders>
            <w:shd w:val="clear" w:color="auto" w:fill="CCEEFF"/>
          </w:tcPr>
          <w:p>
            <w:pPr>
              <w:spacing w:after="0"/>
              <w:rPr>
                <w:sz w:val="18"/>
                <w:szCs w:val="18"/>
                <w:color w:val="auto"/>
              </w:rPr>
            </w:pPr>
          </w:p>
        </w:tc>
        <w:tc>
          <w:tcPr>
            <w:tcW w:w="4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Assets that fund deferred compensation</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40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tcPr>
          <w:p>
            <w:pPr>
              <w:ind w:left="10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44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2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 at fair value</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216"/>
        </w:trPr>
        <w:tc>
          <w:tcPr>
            <w:tcW w:w="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Contingent consideration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Earnout liability</w:t>
            </w: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35,147</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35,147</w:t>
            </w:r>
          </w:p>
        </w:tc>
      </w:tr>
      <w:tr>
        <w:trPr>
          <w:trHeight w:val="232"/>
        </w:trPr>
        <w:tc>
          <w:tcPr>
            <w:tcW w:w="2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liabilities at fair value</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35,147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52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Fair Value at</w:t>
            </w: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48"/>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tcPr>
          <w:p>
            <w:pPr>
              <w:jc w:val="center"/>
              <w:ind w:right="320"/>
              <w:spacing w:after="0" w:line="148" w:lineRule="exact"/>
              <w:rPr>
                <w:sz w:val="20"/>
                <w:szCs w:val="20"/>
                <w:color w:val="auto"/>
              </w:rPr>
            </w:pPr>
            <w:r>
              <w:rPr>
                <w:rFonts w:ascii="Arial" w:cs="Arial" w:eastAsia="Arial" w:hAnsi="Arial"/>
                <w:sz w:val="16"/>
                <w:szCs w:val="16"/>
                <w:b w:val="1"/>
                <w:bCs w:val="1"/>
                <w:color w:val="auto"/>
              </w:rPr>
              <w:t>August 28,</w:t>
            </w: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3"/>
          </w:tcPr>
          <w:p>
            <w:pPr>
              <w:ind w:left="20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3"/>
          </w:tcPr>
          <w:p>
            <w:pPr>
              <w:ind w:left="22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8"/>
                <w:szCs w:val="18"/>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Level 3</w:t>
            </w:r>
          </w:p>
        </w:tc>
      </w:tr>
      <w:tr>
        <w:trPr>
          <w:trHeight w:val="209"/>
        </w:trPr>
        <w:tc>
          <w:tcPr>
            <w:tcW w:w="20" w:type="dxa"/>
            <w:vAlign w:val="bottom"/>
          </w:tcPr>
          <w:p>
            <w:pPr>
              <w:spacing w:after="0"/>
              <w:rPr>
                <w:sz w:val="18"/>
                <w:szCs w:val="18"/>
                <w:color w:val="auto"/>
              </w:rPr>
            </w:pPr>
          </w:p>
        </w:tc>
        <w:tc>
          <w:tcPr>
            <w:tcW w:w="44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400" w:type="dxa"/>
            <w:vAlign w:val="bottom"/>
            <w:gridSpan w:val="2"/>
          </w:tcPr>
          <w:p>
            <w:pPr>
              <w:ind w:left="140"/>
              <w:spacing w:after="0"/>
              <w:rPr>
                <w:sz w:val="20"/>
                <w:szCs w:val="20"/>
                <w:color w:val="auto"/>
              </w:rPr>
            </w:pPr>
            <w:r>
              <w:rPr>
                <w:rFonts w:ascii="Arial" w:cs="Arial" w:eastAsia="Arial" w:hAnsi="Arial"/>
                <w:sz w:val="16"/>
                <w:szCs w:val="16"/>
                <w:color w:val="auto"/>
              </w:rPr>
              <w:t>Domestic equity funds</w:t>
            </w: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400" w:type="dxa"/>
            <w:vAlign w:val="bottom"/>
            <w:gridSpan w:val="3"/>
          </w:tcPr>
          <w:p>
            <w:pPr>
              <w:ind w:left="10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tcPr>
          <w:p>
            <w:pPr>
              <w:spacing w:after="0"/>
              <w:rPr>
                <w:sz w:val="19"/>
                <w:szCs w:val="19"/>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4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Fixed income funds</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0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20" w:type="dxa"/>
            <w:vAlign w:val="bottom"/>
          </w:tcPr>
          <w:p>
            <w:pPr>
              <w:spacing w:after="0"/>
              <w:rPr>
                <w:sz w:val="20"/>
                <w:szCs w:val="20"/>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assets at fair value</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that Fund Deferred Compensation</w:t>
      </w:r>
    </w:p>
    <w:p>
      <w:pPr>
        <w:spacing w:after="0" w:line="21"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These securities, used to fund the Executive Share Option Plan and the Executive Deferred Compensation Plan, are classified as Level 1 as they are traded in an active market for which closing stock prices are readily available. Refer to Note 11 of the Notes to the Consolidated Financial Statements included in Item 8 of Part II of our Annual Report on Form 10-K for the fiscal year ended August 28, 2021 for additional information regarding these plans.</w:t>
      </w:r>
    </w:p>
    <w:p>
      <w:pPr>
        <w:spacing w:after="0" w:line="23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proportion of the assets that will fund options which expire within a year are included in prepaid expenses and other assets on the Consolidated Balance Sheets. The remaining assets are classified as non-current and are included in other assets on the Consolidated Balance Sheets.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21"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Contingent consideration represents the earnout liability related to the Barletta acquisition and is valued using a probability-weighted scenario analysis of projected gross profit results and discounted at a risk-free rate. The contingent consideration is classified as Level 3. Actual gross profit results may differ significantly from those used in the estimate above, which may affect future payments. Changes in future payments will be reflected in future operating results as they occur.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the beginning and ending balances of the contingent consideration:</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ind w:left="620"/>
              <w:spacing w:after="0"/>
              <w:rPr>
                <w:sz w:val="20"/>
                <w:szCs w:val="20"/>
                <w:color w:val="auto"/>
              </w:rPr>
            </w:pPr>
            <w:r>
              <w:rPr>
                <w:rFonts w:ascii="Arial" w:cs="Arial" w:eastAsia="Arial" w:hAnsi="Arial"/>
                <w:sz w:val="16"/>
                <w:szCs w:val="16"/>
                <w:b w:val="1"/>
                <w:bCs w:val="1"/>
                <w:color w:val="auto"/>
              </w:rPr>
              <w:t>Nine Months Ended</w:t>
            </w:r>
          </w:p>
        </w:tc>
      </w:tr>
      <w:tr>
        <w:trPr>
          <w:trHeight w:val="159"/>
        </w:trPr>
        <w:tc>
          <w:tcPr>
            <w:tcW w:w="4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tcPr>
          <w:p>
            <w:pPr>
              <w:ind w:left="200"/>
              <w:spacing w:after="0" w:line="158" w:lineRule="exact"/>
              <w:rPr>
                <w:sz w:val="20"/>
                <w:szCs w:val="20"/>
                <w:color w:val="auto"/>
              </w:rPr>
            </w:pPr>
            <w:r>
              <w:rPr>
                <w:rFonts w:ascii="Arial" w:cs="Arial" w:eastAsia="Arial" w:hAnsi="Arial"/>
                <w:sz w:val="16"/>
                <w:szCs w:val="16"/>
                <w:b w:val="1"/>
                <w:bCs w:val="1"/>
                <w:color w:val="auto"/>
              </w:rPr>
              <w:t>May 28,</w:t>
            </w:r>
          </w:p>
        </w:tc>
        <w:tc>
          <w:tcPr>
            <w:tcW w:w="1220" w:type="dxa"/>
            <w:vAlign w:val="bottom"/>
          </w:tcPr>
          <w:p>
            <w:pPr>
              <w:jc w:val="right"/>
              <w:ind w:right="59"/>
              <w:spacing w:after="0" w:line="158" w:lineRule="exact"/>
              <w:rPr>
                <w:sz w:val="20"/>
                <w:szCs w:val="20"/>
                <w:color w:val="auto"/>
              </w:rPr>
            </w:pPr>
            <w:r>
              <w:rPr>
                <w:rFonts w:ascii="Arial" w:cs="Arial" w:eastAsia="Arial" w:hAnsi="Arial"/>
                <w:sz w:val="16"/>
                <w:szCs w:val="16"/>
                <w:b w:val="1"/>
                <w:bCs w:val="1"/>
                <w:color w:val="auto"/>
              </w:rPr>
              <w:t>May 29,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ind w:left="200"/>
              <w:spacing w:after="0" w:line="158" w:lineRule="exact"/>
              <w:rPr>
                <w:sz w:val="20"/>
                <w:szCs w:val="20"/>
                <w:color w:val="auto"/>
              </w:rPr>
            </w:pPr>
            <w:r>
              <w:rPr>
                <w:rFonts w:ascii="Arial" w:cs="Arial" w:eastAsia="Arial" w:hAnsi="Arial"/>
                <w:sz w:val="16"/>
                <w:szCs w:val="16"/>
                <w:b w:val="1"/>
                <w:bCs w:val="1"/>
                <w:color w:val="auto"/>
              </w:rPr>
              <w:t>May 28,</w:t>
            </w:r>
          </w:p>
        </w:tc>
        <w:tc>
          <w:tcPr>
            <w:tcW w:w="320" w:type="dxa"/>
            <w:vAlign w:val="bottom"/>
          </w:tcPr>
          <w:p>
            <w:pPr>
              <w:spacing w:after="0"/>
              <w:rPr>
                <w:sz w:val="13"/>
                <w:szCs w:val="13"/>
                <w:color w:val="auto"/>
              </w:rPr>
            </w:pPr>
          </w:p>
        </w:tc>
        <w:tc>
          <w:tcPr>
            <w:tcW w:w="1300" w:type="dxa"/>
            <w:vAlign w:val="bottom"/>
          </w:tcPr>
          <w:p>
            <w:pPr>
              <w:ind w:left="200"/>
              <w:spacing w:after="0" w:line="158" w:lineRule="exact"/>
              <w:rPr>
                <w:sz w:val="20"/>
                <w:szCs w:val="20"/>
                <w:color w:val="auto"/>
              </w:rPr>
            </w:pPr>
            <w:r>
              <w:rPr>
                <w:rFonts w:ascii="Arial" w:cs="Arial" w:eastAsia="Arial" w:hAnsi="Arial"/>
                <w:sz w:val="16"/>
                <w:szCs w:val="16"/>
                <w:b w:val="1"/>
                <w:bCs w:val="1"/>
                <w:color w:val="auto"/>
              </w:rPr>
              <w:t>May 29,</w:t>
            </w:r>
          </w:p>
        </w:tc>
      </w:tr>
      <w:tr>
        <w:trPr>
          <w:trHeight w:val="216"/>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2021</w:t>
            </w: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fair value - contingent consideration</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37,077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r>
      <w:tr>
        <w:trPr>
          <w:trHeight w:val="213"/>
        </w:trPr>
        <w:tc>
          <w:tcPr>
            <w:tcW w:w="4460" w:type="dxa"/>
            <w:vAlign w:val="bottom"/>
          </w:tcPr>
          <w:p>
            <w:pPr>
              <w:ind w:left="220"/>
              <w:spacing w:after="0"/>
              <w:rPr>
                <w:sz w:val="20"/>
                <w:szCs w:val="20"/>
                <w:color w:val="auto"/>
              </w:rPr>
            </w:pPr>
            <w:r>
              <w:rPr>
                <w:rFonts w:ascii="Arial" w:cs="Arial" w:eastAsia="Arial" w:hAnsi="Arial"/>
                <w:sz w:val="16"/>
                <w:szCs w:val="16"/>
                <w:color w:val="auto"/>
              </w:rPr>
              <w:t>Additions</w:t>
            </w: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24,190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ind w:left="1060"/>
              <w:spacing w:after="0"/>
              <w:rPr>
                <w:sz w:val="20"/>
                <w:szCs w:val="20"/>
                <w:color w:val="auto"/>
              </w:rPr>
            </w:pPr>
            <w:r>
              <w:rPr>
                <w:rFonts w:ascii="Arial" w:cs="Arial" w:eastAsia="Arial" w:hAnsi="Arial"/>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Fair value adjustments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r>
      <w:tr>
        <w:trPr>
          <w:trHeight w:val="213"/>
        </w:trPr>
        <w:tc>
          <w:tcPr>
            <w:tcW w:w="4460" w:type="dxa"/>
            <w:vAlign w:val="bottom"/>
          </w:tcPr>
          <w:p>
            <w:pPr>
              <w:ind w:left="220"/>
              <w:spacing w:after="0"/>
              <w:rPr>
                <w:sz w:val="20"/>
                <w:szCs w:val="20"/>
                <w:color w:val="auto"/>
              </w:rPr>
            </w:pPr>
            <w:r>
              <w:rPr>
                <w:rFonts w:ascii="Arial" w:cs="Arial" w:eastAsia="Arial" w:hAnsi="Arial"/>
                <w:sz w:val="16"/>
                <w:szCs w:val="16"/>
                <w:color w:val="auto"/>
              </w:rPr>
              <w:t>Settlements</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(13,168)</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(13,168)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ind w:left="1060"/>
              <w:spacing w:after="0"/>
              <w:rPr>
                <w:sz w:val="20"/>
                <w:szCs w:val="20"/>
                <w:color w:val="auto"/>
              </w:rPr>
            </w:pPr>
            <w:r>
              <w:rPr>
                <w:rFonts w:ascii="Arial" w:cs="Arial" w:eastAsia="Arial" w:hAnsi="Arial"/>
                <w:sz w:val="16"/>
                <w:szCs w:val="16"/>
                <w:color w:val="auto"/>
              </w:rPr>
              <w:t>—</w:t>
            </w: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Ending fair value - contingent consideration</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35,147</w:t>
            </w:r>
          </w:p>
        </w:tc>
        <w:tc>
          <w:tcPr>
            <w:tcW w:w="120" w:type="dxa"/>
            <w:vAlign w:val="bottom"/>
          </w:tcPr>
          <w:p>
            <w:pPr>
              <w:spacing w:after="0"/>
              <w:rPr>
                <w:sz w:val="18"/>
                <w:szCs w:val="18"/>
                <w:color w:val="auto"/>
              </w:rPr>
            </w:pP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35,147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ind w:left="1060"/>
              <w:spacing w:after="0"/>
              <w:rPr>
                <w:sz w:val="20"/>
                <w:szCs w:val="20"/>
                <w:color w:val="auto"/>
              </w:rPr>
            </w:pPr>
            <w:r>
              <w:rPr>
                <w:rFonts w:ascii="Arial" w:cs="Arial" w:eastAsia="Arial" w:hAnsi="Arial"/>
                <w:sz w:val="16"/>
                <w:szCs w:val="16"/>
                <w:color w:val="auto"/>
              </w:rPr>
              <w:t>—</w:t>
            </w:r>
          </w:p>
        </w:tc>
      </w:tr>
      <w:tr>
        <w:trPr>
          <w:trHeight w:val="20"/>
        </w:trPr>
        <w:tc>
          <w:tcPr>
            <w:tcW w:w="4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right="760"/>
        <w:spacing w:after="0" w:line="260" w:lineRule="auto"/>
        <w:rPr>
          <w:sz w:val="20"/>
          <w:szCs w:val="20"/>
          <w:color w:val="auto"/>
        </w:rPr>
      </w:pPr>
      <w:r>
        <w:rPr>
          <w:rFonts w:ascii="Arial" w:cs="Arial" w:eastAsia="Arial" w:hAnsi="Arial"/>
          <w:sz w:val="16"/>
          <w:szCs w:val="16"/>
          <w:color w:val="auto"/>
        </w:rPr>
        <w:t>The fair value of the earnout liability that will be settled within a year is included in other current liabilities on the Consolidated Balance Sheets. The remaining earnout liability is included in other long-term liabilities on the Consolidated Balance Sheets.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 w:name="page15"/>
    <w:bookmarkEnd w:id="14"/>
    <w:p>
      <w:pPr>
        <w:ind w:left="100"/>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Assets and Liabilities Measured at Fair Value on a Nonrecurring Basis</w:t>
      </w:r>
    </w:p>
    <w:p>
      <w:pPr>
        <w:spacing w:after="0" w:line="133" w:lineRule="exact"/>
        <w:rPr>
          <w:sz w:val="20"/>
          <w:szCs w:val="20"/>
          <w:color w:val="auto"/>
        </w:rPr>
      </w:pPr>
    </w:p>
    <w:p>
      <w:pPr>
        <w:ind w:left="100"/>
        <w:spacing w:after="0" w:line="250" w:lineRule="auto"/>
        <w:rPr>
          <w:sz w:val="20"/>
          <w:szCs w:val="20"/>
          <w:color w:val="auto"/>
        </w:rPr>
      </w:pPr>
      <w:r>
        <w:rPr>
          <w:rFonts w:ascii="Arial" w:cs="Arial" w:eastAsia="Arial" w:hAnsi="Arial"/>
          <w:sz w:val="16"/>
          <w:szCs w:val="16"/>
          <w:color w:val="auto"/>
        </w:rPr>
        <w:t>Certain financial instruments are measured at fair value on a nonrecurring basis. These assets primarily include goodwill, intangible assets, property, plant and equipment, and right-of-use lease assets. These assets were originally recognized at amounts equal to the fair value determined at date of acquisition or purchase. If certain triggering events occur, or if an annual impairment test is required, we will evaluate the non-financial asset for impairment. If an impairment has occurred, the asset will be written down to its current estimated fair value. No impairments were recorded for non-financial assets in the three or nine months ended May 28, 2022 or May 29, 2021.</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Assets and Liabilities Not Measured at Fair Value</w:t>
      </w:r>
    </w:p>
    <w:p>
      <w:pPr>
        <w:spacing w:after="0" w:line="133" w:lineRule="exact"/>
        <w:rPr>
          <w:sz w:val="20"/>
          <w:szCs w:val="20"/>
          <w:color w:val="auto"/>
        </w:rPr>
      </w:pPr>
    </w:p>
    <w:p>
      <w:pPr>
        <w:ind w:left="100" w:right="120"/>
        <w:spacing w:after="0" w:line="250" w:lineRule="auto"/>
        <w:rPr>
          <w:sz w:val="20"/>
          <w:szCs w:val="20"/>
          <w:color w:val="auto"/>
        </w:rPr>
      </w:pPr>
      <w:r>
        <w:rPr>
          <w:rFonts w:ascii="Arial" w:cs="Arial" w:eastAsia="Arial" w:hAnsi="Arial"/>
          <w:sz w:val="16"/>
          <w:szCs w:val="16"/>
          <w:color w:val="auto"/>
        </w:rPr>
        <w:t>Certain financial instruments are not measured at fair value but are recorded at carrying amounts approximating fair value based on their short-term nature. These financial instruments include cash and cash equivalents, receivables, accounts payable, other payables, and long-term debt. If these instruments were measured at fair value in the financial statements, they would be classified as Level 1 in the fair value hierarchy. The fair value of our long-term debt was determined using current quoted prices in active markets for our publicly traded debt obligations, which is classified as Level 1 in the fair value hierarchy. See Note 9 for the fair value of our long-term debt.</w:t>
      </w:r>
    </w:p>
    <w:p>
      <w:pPr>
        <w:spacing w:after="0" w:line="210"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7000" w:type="dxa"/>
            <w:vAlign w:val="bottom"/>
          </w:tcPr>
          <w:p>
            <w:pPr>
              <w:spacing w:after="0"/>
              <w:rPr>
                <w:sz w:val="20"/>
                <w:szCs w:val="20"/>
                <w:color w:val="auto"/>
              </w:rPr>
            </w:pPr>
            <w:r>
              <w:rPr>
                <w:rFonts w:ascii="Arial" w:cs="Arial" w:eastAsia="Arial" w:hAnsi="Arial"/>
                <w:sz w:val="16"/>
                <w:szCs w:val="16"/>
                <w:b w:val="1"/>
                <w:bCs w:val="1"/>
                <w:color w:val="auto"/>
              </w:rPr>
              <w:t>Note 5.  Inventories</w:t>
            </w: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0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000" w:type="dxa"/>
            <w:vAlign w:val="bottom"/>
          </w:tcPr>
          <w:p>
            <w:pPr>
              <w:spacing w:after="0"/>
              <w:rPr>
                <w:sz w:val="15"/>
                <w:szCs w:val="15"/>
                <w:color w:val="auto"/>
              </w:rPr>
            </w:pPr>
          </w:p>
        </w:tc>
        <w:tc>
          <w:tcPr>
            <w:tcW w:w="1360" w:type="dxa"/>
            <w:vAlign w:val="bottom"/>
          </w:tcPr>
          <w:p>
            <w:pPr>
              <w:jc w:val="center"/>
              <w:ind w:left="619"/>
              <w:spacing w:after="0" w:line="181" w:lineRule="exact"/>
              <w:rPr>
                <w:sz w:val="20"/>
                <w:szCs w:val="20"/>
                <w:color w:val="auto"/>
              </w:rPr>
            </w:pPr>
            <w:r>
              <w:rPr>
                <w:rFonts w:ascii="Arial" w:cs="Arial" w:eastAsia="Arial" w:hAnsi="Arial"/>
                <w:sz w:val="16"/>
                <w:szCs w:val="16"/>
                <w:b w:val="1"/>
                <w:bCs w:val="1"/>
                <w:color w:val="auto"/>
              </w:rPr>
              <w:t>May 28,</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jc w:val="center"/>
              <w:ind w:right="279"/>
              <w:spacing w:after="0" w:line="181" w:lineRule="exact"/>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60" w:type="dxa"/>
            <w:vAlign w:val="bottom"/>
            <w:tcBorders>
              <w:bottom w:val="single" w:sz="8" w:color="auto"/>
            </w:tcBorders>
          </w:tcPr>
          <w:p>
            <w:pPr>
              <w:jc w:val="center"/>
              <w:ind w:left="639"/>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1360" w:type="dxa"/>
            <w:vAlign w:val="bottom"/>
            <w:shd w:val="clear" w:color="auto" w:fill="CCEEFF"/>
          </w:tcPr>
          <w:p>
            <w:pPr>
              <w:jc w:val="right"/>
              <w:ind w:right="11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12,243</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202,733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184,611</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309,760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183,583</w:t>
            </w:r>
          </w:p>
        </w:tc>
        <w:tc>
          <w:tcPr>
            <w:tcW w:w="0" w:type="dxa"/>
            <w:vAlign w:val="bottom"/>
          </w:tcPr>
          <w:p>
            <w:pPr>
              <w:spacing w:after="0"/>
              <w:rPr>
                <w:sz w:val="1"/>
                <w:szCs w:val="1"/>
                <w:color w:val="auto"/>
              </w:rPr>
            </w:pPr>
          </w:p>
        </w:tc>
      </w:tr>
      <w:tr>
        <w:trPr>
          <w:trHeight w:val="209"/>
        </w:trPr>
        <w:tc>
          <w:tcPr>
            <w:tcW w:w="7000" w:type="dxa"/>
            <w:vAlign w:val="bottom"/>
          </w:tcPr>
          <w:p>
            <w:pPr>
              <w:ind w:left="140"/>
              <w:spacing w:after="0"/>
              <w:rPr>
                <w:sz w:val="20"/>
                <w:szCs w:val="20"/>
                <w:color w:val="auto"/>
              </w:rPr>
            </w:pPr>
            <w:r>
              <w:rPr>
                <w:rFonts w:ascii="Arial" w:cs="Arial" w:eastAsia="Arial" w:hAnsi="Arial"/>
                <w:sz w:val="16"/>
                <w:szCs w:val="16"/>
                <w:color w:val="auto"/>
              </w:rPr>
              <w:t>Total</w:t>
            </w:r>
          </w:p>
        </w:tc>
        <w:tc>
          <w:tcPr>
            <w:tcW w:w="1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530,942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380,437</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Excess of FIFO over LIFO cost</w:t>
            </w:r>
          </w:p>
        </w:tc>
        <w:tc>
          <w:tcPr>
            <w:tcW w:w="1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44,842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38,964</w:t>
            </w:r>
          </w:p>
        </w:tc>
        <w:tc>
          <w:tcPr>
            <w:tcW w:w="0" w:type="dxa"/>
            <w:vAlign w:val="bottom"/>
          </w:tcPr>
          <w:p>
            <w:pPr>
              <w:spacing w:after="0"/>
              <w:rPr>
                <w:sz w:val="1"/>
                <w:szCs w:val="1"/>
                <w:color w:val="auto"/>
              </w:rPr>
            </w:pPr>
          </w:p>
        </w:tc>
      </w:tr>
      <w:tr>
        <w:trPr>
          <w:trHeight w:val="212"/>
        </w:trPr>
        <w:tc>
          <w:tcPr>
            <w:tcW w:w="700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13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486,100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341,473</w:t>
            </w:r>
          </w:p>
        </w:tc>
        <w:tc>
          <w:tcPr>
            <w:tcW w:w="0" w:type="dxa"/>
            <w:vAlign w:val="bottom"/>
          </w:tcPr>
          <w:p>
            <w:pPr>
              <w:spacing w:after="0"/>
              <w:rPr>
                <w:sz w:val="1"/>
                <w:szCs w:val="1"/>
                <w:color w:val="auto"/>
              </w:rPr>
            </w:pPr>
          </w:p>
        </w:tc>
      </w:tr>
      <w:tr>
        <w:trPr>
          <w:trHeight w:val="21"/>
        </w:trPr>
        <w:tc>
          <w:tcPr>
            <w:tcW w:w="7000" w:type="dxa"/>
            <w:vAlign w:val="bottom"/>
            <w:vMerge w:val="restart"/>
          </w:tcPr>
          <w:p>
            <w:pPr>
              <w:spacing w:after="0"/>
              <w:rPr>
                <w:sz w:val="20"/>
                <w:szCs w:val="20"/>
                <w:color w:val="auto"/>
              </w:rPr>
            </w:pPr>
            <w:r>
              <w:rPr>
                <w:rFonts w:ascii="Arial" w:cs="Arial" w:eastAsia="Arial" w:hAnsi="Arial"/>
                <w:sz w:val="16"/>
                <w:szCs w:val="16"/>
                <w:color w:val="auto"/>
              </w:rPr>
              <w:t>Inventory valuation methods consist of the following:</w:t>
            </w: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70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000" w:type="dxa"/>
            <w:vAlign w:val="bottom"/>
          </w:tcPr>
          <w:p>
            <w:pPr>
              <w:spacing w:after="0"/>
              <w:rPr>
                <w:sz w:val="15"/>
                <w:szCs w:val="15"/>
                <w:color w:val="auto"/>
              </w:rPr>
            </w:pPr>
          </w:p>
        </w:tc>
        <w:tc>
          <w:tcPr>
            <w:tcW w:w="1360" w:type="dxa"/>
            <w:vAlign w:val="bottom"/>
          </w:tcPr>
          <w:p>
            <w:pPr>
              <w:jc w:val="center"/>
              <w:ind w:left="619"/>
              <w:spacing w:after="0" w:line="181" w:lineRule="exact"/>
              <w:rPr>
                <w:sz w:val="20"/>
                <w:szCs w:val="20"/>
                <w:color w:val="auto"/>
              </w:rPr>
            </w:pPr>
            <w:r>
              <w:rPr>
                <w:rFonts w:ascii="Arial" w:cs="Arial" w:eastAsia="Arial" w:hAnsi="Arial"/>
                <w:sz w:val="16"/>
                <w:szCs w:val="16"/>
                <w:b w:val="1"/>
                <w:bCs w:val="1"/>
                <w:color w:val="auto"/>
              </w:rPr>
              <w:t>May 28,</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jc w:val="center"/>
              <w:ind w:right="279"/>
              <w:spacing w:after="0" w:line="181" w:lineRule="exact"/>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60" w:type="dxa"/>
            <w:vAlign w:val="bottom"/>
            <w:tcBorders>
              <w:bottom w:val="single" w:sz="8" w:color="auto"/>
            </w:tcBorders>
          </w:tcPr>
          <w:p>
            <w:pPr>
              <w:jc w:val="center"/>
              <w:ind w:left="639"/>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LIFO basis</w:t>
            </w:r>
          </w:p>
        </w:tc>
        <w:tc>
          <w:tcPr>
            <w:tcW w:w="1360" w:type="dxa"/>
            <w:vAlign w:val="bottom"/>
            <w:shd w:val="clear" w:color="auto" w:fill="CCEEFF"/>
          </w:tcPr>
          <w:p>
            <w:pPr>
              <w:jc w:val="right"/>
              <w:ind w:right="11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216,820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139,544</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First-in, first-out basis</w:t>
            </w:r>
          </w:p>
        </w:tc>
        <w:tc>
          <w:tcPr>
            <w:tcW w:w="1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314,122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240,893</w:t>
            </w:r>
          </w:p>
        </w:tc>
        <w:tc>
          <w:tcPr>
            <w:tcW w:w="0" w:type="dxa"/>
            <w:vAlign w:val="bottom"/>
          </w:tcPr>
          <w:p>
            <w:pPr>
              <w:spacing w:after="0"/>
              <w:rPr>
                <w:sz w:val="1"/>
                <w:szCs w:val="1"/>
                <w:color w:val="auto"/>
              </w:rPr>
            </w:pPr>
          </w:p>
        </w:tc>
      </w:tr>
      <w:tr>
        <w:trPr>
          <w:trHeight w:val="238"/>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530,942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380,437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above inventory value, before reduction for the LIFO reserve, approximates replacement cost at the respective dates.</w:t>
      </w:r>
    </w:p>
    <w:p>
      <w:pPr>
        <w:spacing w:after="0" w:line="228"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6"/>
          <w:szCs w:val="16"/>
          <w:b w:val="1"/>
          <w:bCs w:val="1"/>
          <w:color w:val="auto"/>
        </w:rPr>
        <w:t>Note 6.</w:t>
        <w:tab/>
        <w:t>Property, Plant, and Equipment</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May 28,</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jc w:val="right"/>
              <w:ind w:right="679"/>
              <w:spacing w:after="0"/>
              <w:rPr>
                <w:sz w:val="20"/>
                <w:szCs w:val="20"/>
                <w:color w:val="auto"/>
              </w:rPr>
            </w:pPr>
            <w:r>
              <w:rPr>
                <w:rFonts w:ascii="Arial" w:cs="Arial" w:eastAsia="Arial" w:hAnsi="Arial"/>
                <w:sz w:val="16"/>
                <w:szCs w:val="16"/>
                <w:b w:val="1"/>
                <w:bCs w:val="1"/>
                <w:color w:val="auto"/>
              </w:rPr>
              <w:t>August 28,</w:t>
            </w:r>
          </w:p>
        </w:tc>
      </w:tr>
      <w:tr>
        <w:trPr>
          <w:trHeight w:val="216"/>
        </w:trPr>
        <w:tc>
          <w:tcPr>
            <w:tcW w:w="46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5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jc w:val="right"/>
              <w:ind w:right="739"/>
              <w:spacing w:after="0"/>
              <w:rPr>
                <w:sz w:val="20"/>
                <w:szCs w:val="20"/>
                <w:color w:val="auto"/>
              </w:rPr>
            </w:pPr>
            <w:r>
              <w:rPr>
                <w:rFonts w:ascii="Arial" w:cs="Arial" w:eastAsia="Arial" w:hAnsi="Arial"/>
                <w:sz w:val="16"/>
                <w:szCs w:val="16"/>
                <w:b w:val="1"/>
                <w:bCs w:val="1"/>
                <w:color w:val="auto"/>
              </w:rPr>
              <w:t>2021</w:t>
            </w:r>
          </w:p>
        </w:tc>
      </w:tr>
      <w:tr>
        <w:trPr>
          <w:trHeight w:val="20"/>
        </w:trPr>
        <w:tc>
          <w:tcPr>
            <w:tcW w:w="10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203"/>
        </w:trPr>
        <w:tc>
          <w:tcPr>
            <w:tcW w:w="4600" w:type="dxa"/>
            <w:vAlign w:val="bottom"/>
            <w:gridSpan w:val="2"/>
          </w:tcPr>
          <w:p>
            <w:pPr>
              <w:spacing w:after="0"/>
              <w:rPr>
                <w:sz w:val="20"/>
                <w:szCs w:val="20"/>
                <w:color w:val="auto"/>
              </w:rPr>
            </w:pPr>
            <w:r>
              <w:rPr>
                <w:rFonts w:ascii="Arial" w:cs="Arial" w:eastAsia="Arial" w:hAnsi="Arial"/>
                <w:sz w:val="16"/>
                <w:szCs w:val="16"/>
                <w:color w:val="auto"/>
              </w:rPr>
              <w:t>nd</w:t>
            </w:r>
          </w:p>
        </w:tc>
        <w:tc>
          <w:tcPr>
            <w:tcW w:w="23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10,697$</w:t>
            </w:r>
          </w:p>
        </w:tc>
        <w:tc>
          <w:tcPr>
            <w:tcW w:w="1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9,111</w:t>
            </w:r>
          </w:p>
        </w:tc>
      </w:tr>
      <w:tr>
        <w:trPr>
          <w:trHeight w:val="219"/>
        </w:trPr>
        <w:tc>
          <w:tcPr>
            <w:tcW w:w="4600" w:type="dxa"/>
            <w:vAlign w:val="bottom"/>
            <w:gridSpan w:val="2"/>
          </w:tcPr>
          <w:p>
            <w:pPr>
              <w:spacing w:after="0"/>
              <w:rPr>
                <w:sz w:val="20"/>
                <w:szCs w:val="20"/>
                <w:color w:val="auto"/>
              </w:rPr>
            </w:pPr>
            <w:r>
              <w:rPr>
                <w:rFonts w:ascii="Arial" w:cs="Arial" w:eastAsia="Arial" w:hAnsi="Arial"/>
                <w:sz w:val="16"/>
                <w:szCs w:val="16"/>
                <w:color w:val="auto"/>
              </w:rPr>
              <w:t>ildings and building improvements</w:t>
            </w:r>
          </w:p>
        </w:tc>
        <w:tc>
          <w:tcPr>
            <w:tcW w:w="2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169,781</w:t>
            </w:r>
          </w:p>
        </w:tc>
        <w:tc>
          <w:tcPr>
            <w:tcW w:w="1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147,629</w:t>
            </w:r>
          </w:p>
        </w:tc>
      </w:tr>
      <w:tr>
        <w:trPr>
          <w:trHeight w:val="219"/>
        </w:trPr>
        <w:tc>
          <w:tcPr>
            <w:tcW w:w="10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chinery and equipment</w:t>
            </w:r>
          </w:p>
        </w:tc>
        <w:tc>
          <w:tcPr>
            <w:tcW w:w="2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130,601</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121,911</w:t>
            </w:r>
          </w:p>
        </w:tc>
      </w:tr>
      <w:tr>
        <w:trPr>
          <w:trHeight w:val="213"/>
        </w:trPr>
        <w:tc>
          <w:tcPr>
            <w:tcW w:w="4600" w:type="dxa"/>
            <w:vAlign w:val="bottom"/>
            <w:gridSpan w:val="2"/>
          </w:tcPr>
          <w:p>
            <w:pPr>
              <w:spacing w:after="0"/>
              <w:rPr>
                <w:sz w:val="20"/>
                <w:szCs w:val="20"/>
                <w:color w:val="auto"/>
              </w:rPr>
            </w:pPr>
            <w:r>
              <w:rPr>
                <w:rFonts w:ascii="Arial" w:cs="Arial" w:eastAsia="Arial" w:hAnsi="Arial"/>
                <w:sz w:val="16"/>
                <w:szCs w:val="16"/>
                <w:color w:val="auto"/>
              </w:rPr>
              <w:t>ftware</w:t>
            </w:r>
          </w:p>
        </w:tc>
        <w:tc>
          <w:tcPr>
            <w:tcW w:w="2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40,747</w:t>
            </w:r>
          </w:p>
        </w:tc>
        <w:tc>
          <w:tcPr>
            <w:tcW w:w="1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36,815</w:t>
            </w:r>
          </w:p>
        </w:tc>
      </w:tr>
      <w:tr>
        <w:trPr>
          <w:trHeight w:val="219"/>
        </w:trPr>
        <w:tc>
          <w:tcPr>
            <w:tcW w:w="10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nsportation</w:t>
            </w:r>
          </w:p>
        </w:tc>
        <w:tc>
          <w:tcPr>
            <w:tcW w:w="2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6,563</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5,335</w:t>
            </w:r>
          </w:p>
        </w:tc>
      </w:tr>
      <w:tr>
        <w:trPr>
          <w:trHeight w:val="213"/>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nstruction in progress</w:t>
            </w:r>
          </w:p>
        </w:tc>
        <w:tc>
          <w:tcPr>
            <w:tcW w:w="2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72,023</w:t>
            </w:r>
          </w:p>
        </w:tc>
        <w:tc>
          <w:tcPr>
            <w:tcW w:w="1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31,137</w:t>
            </w:r>
          </w:p>
        </w:tc>
      </w:tr>
      <w:tr>
        <w:trPr>
          <w:trHeight w:val="213"/>
        </w:trPr>
        <w:tc>
          <w:tcPr>
            <w:tcW w:w="10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roperty, plant, and equipment, gross</w:t>
            </w:r>
          </w:p>
        </w:tc>
        <w:tc>
          <w:tcPr>
            <w:tcW w:w="2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430,412</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351,938</w:t>
            </w:r>
          </w:p>
        </w:tc>
      </w:tr>
      <w:tr>
        <w:trPr>
          <w:trHeight w:val="213"/>
        </w:trPr>
        <w:tc>
          <w:tcPr>
            <w:tcW w:w="4600" w:type="dxa"/>
            <w:vAlign w:val="bottom"/>
            <w:gridSpan w:val="2"/>
          </w:tcPr>
          <w:p>
            <w:pPr>
              <w:spacing w:after="0"/>
              <w:rPr>
                <w:sz w:val="20"/>
                <w:szCs w:val="20"/>
                <w:color w:val="auto"/>
              </w:rPr>
            </w:pPr>
            <w:r>
              <w:rPr>
                <w:rFonts w:ascii="Arial" w:cs="Arial" w:eastAsia="Arial" w:hAnsi="Arial"/>
                <w:sz w:val="16"/>
                <w:szCs w:val="16"/>
                <w:color w:val="auto"/>
              </w:rPr>
              <w:t>ss: Accumulated depreciation</w:t>
            </w:r>
          </w:p>
        </w:tc>
        <w:tc>
          <w:tcPr>
            <w:tcW w:w="2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174,077</w:t>
            </w:r>
          </w:p>
        </w:tc>
        <w:tc>
          <w:tcPr>
            <w:tcW w:w="1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160,511</w:t>
            </w:r>
          </w:p>
        </w:tc>
      </w:tr>
      <w:tr>
        <w:trPr>
          <w:trHeight w:val="238"/>
        </w:trPr>
        <w:tc>
          <w:tcPr>
            <w:tcW w:w="100" w:type="dxa"/>
            <w:vAlign w:val="bottom"/>
          </w:tcPr>
          <w:p>
            <w:pPr>
              <w:spacing w:after="0"/>
              <w:rPr>
                <w:sz w:val="20"/>
                <w:szCs w:val="20"/>
                <w:color w:val="auto"/>
              </w:rPr>
            </w:pPr>
          </w:p>
        </w:tc>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roperty, plant, and equipment, net</w:t>
            </w:r>
          </w:p>
        </w:tc>
        <w:tc>
          <w:tcPr>
            <w:tcW w:w="23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256,335$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191,427</w:t>
            </w:r>
          </w:p>
        </w:tc>
      </w:tr>
      <w:tr>
        <w:trPr>
          <w:trHeight w:val="20"/>
        </w:trPr>
        <w:tc>
          <w:tcPr>
            <w:tcW w:w="10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-1293495</wp:posOffset>
            </wp:positionV>
            <wp:extent cx="692658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6580" cy="146050"/>
                    </a:xfrm>
                    <a:prstGeom prst="rect">
                      <a:avLst/>
                    </a:prstGeom>
                    <a:noFill/>
                  </pic:spPr>
                </pic:pic>
              </a:graphicData>
            </a:graphic>
          </wp:anchor>
        </w:drawing>
      </w:r>
    </w:p>
    <w:p>
      <w:pPr>
        <w:spacing w:after="0" w:line="319" w:lineRule="exact"/>
        <w:rPr>
          <w:sz w:val="20"/>
          <w:szCs w:val="20"/>
          <w:color w:val="auto"/>
        </w:rPr>
      </w:pPr>
    </w:p>
    <w:p>
      <w:pPr>
        <w:ind w:left="100" w:right="360"/>
        <w:spacing w:after="0" w:line="260" w:lineRule="auto"/>
        <w:rPr>
          <w:sz w:val="20"/>
          <w:szCs w:val="20"/>
          <w:color w:val="auto"/>
        </w:rPr>
      </w:pPr>
      <w:r>
        <w:rPr>
          <w:rFonts w:ascii="Arial" w:cs="Arial" w:eastAsia="Arial" w:hAnsi="Arial"/>
          <w:sz w:val="16"/>
          <w:szCs w:val="16"/>
          <w:color w:val="auto"/>
        </w:rPr>
        <w:t>Depreciation expense was $6.3 million and $4.9 million for the three months ended May 28, 2022 and May 29, 2021, respectively; and $17.0 million and $13.5 million for the nine months ended May 28, 2022 and May 29, 2021, respectively.</w:t>
      </w:r>
    </w:p>
    <w:p>
      <w:pPr>
        <w:sectPr>
          <w:pgSz w:w="11900" w:h="16838" w:orient="portrait"/>
          <w:cols w:equalWidth="0" w:num="1">
            <w:col w:w="11340"/>
          </w:cols>
          <w:pgMar w:left="2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41" w:right="3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7.</w:t>
        <w:tab/>
        <w:t>Goodwill and Intangible Assets</w:t>
      </w:r>
    </w:p>
    <w:p>
      <w:pPr>
        <w:spacing w:after="0" w:line="268"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The changes in the carrying amount of goodwill by reportable segment, with no accumulated impairment losses, for the nine months ended May 28, 2022 and May 29, 2021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Towable</w:t>
            </w:r>
          </w:p>
        </w:tc>
        <w:tc>
          <w:tcPr>
            <w:tcW w:w="220" w:type="dxa"/>
            <w:vAlign w:val="bottom"/>
          </w:tcPr>
          <w:p>
            <w:pPr>
              <w:spacing w:after="0"/>
              <w:rPr>
                <w:sz w:val="19"/>
                <w:szCs w:val="19"/>
                <w:color w:val="auto"/>
              </w:rPr>
            </w:pPr>
          </w:p>
        </w:tc>
        <w:tc>
          <w:tcPr>
            <w:tcW w:w="1400" w:type="dxa"/>
            <w:vAlign w:val="bottom"/>
            <w:gridSpan w:val="2"/>
          </w:tcPr>
          <w:p>
            <w:pPr>
              <w:ind w:left="100"/>
              <w:spacing w:after="0"/>
              <w:rPr>
                <w:sz w:val="20"/>
                <w:szCs w:val="20"/>
                <w:color w:val="auto"/>
              </w:rPr>
            </w:pPr>
            <w:r>
              <w:rPr>
                <w:rFonts w:ascii="Arial" w:cs="Arial" w:eastAsia="Arial" w:hAnsi="Arial"/>
                <w:sz w:val="16"/>
                <w:szCs w:val="16"/>
                <w:b w:val="1"/>
                <w:bCs w:val="1"/>
                <w:color w:val="auto"/>
              </w:rPr>
              <w:t>Motorhome</w:t>
            </w:r>
          </w:p>
        </w:tc>
        <w:tc>
          <w:tcPr>
            <w:tcW w:w="300" w:type="dxa"/>
            <w:vAlign w:val="bottom"/>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Marine</w:t>
            </w:r>
          </w:p>
        </w:tc>
        <w:tc>
          <w:tcPr>
            <w:tcW w:w="340" w:type="dxa"/>
            <w:vAlign w:val="bottom"/>
          </w:tcPr>
          <w:p>
            <w:pPr>
              <w:spacing w:after="0"/>
              <w:rPr>
                <w:sz w:val="19"/>
                <w:szCs w:val="19"/>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235"/>
        </w:trPr>
        <w:tc>
          <w:tcPr>
            <w:tcW w:w="4860" w:type="dxa"/>
            <w:vAlign w:val="bottom"/>
            <w:tcBorders>
              <w:top w:val="single" w:sz="8" w:color="auto"/>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Balances at August 29, 2020 and May 29, 2021</w:t>
            </w:r>
            <w:r>
              <w:rPr>
                <w:rFonts w:ascii="Arial" w:cs="Arial" w:eastAsia="Arial" w:hAnsi="Arial"/>
                <w:sz w:val="21"/>
                <w:szCs w:val="21"/>
                <w:color w:val="auto"/>
                <w:vertAlign w:val="superscript"/>
              </w:rPr>
              <w:t>(1)</w:t>
            </w: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348,058</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August 28, 2021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348,058</w:t>
            </w:r>
          </w:p>
        </w:tc>
      </w:tr>
      <w:tr>
        <w:trPr>
          <w:trHeight w:val="216"/>
        </w:trPr>
        <w:tc>
          <w:tcPr>
            <w:tcW w:w="4860" w:type="dxa"/>
            <w:vAlign w:val="bottom"/>
          </w:tcPr>
          <w:p>
            <w:pPr>
              <w:ind w:left="140"/>
              <w:spacing w:after="0" w:line="216" w:lineRule="exact"/>
              <w:rPr>
                <w:sz w:val="20"/>
                <w:szCs w:val="20"/>
                <w:color w:val="auto"/>
              </w:rPr>
            </w:pPr>
            <w:r>
              <w:rPr>
                <w:rFonts w:ascii="Arial" w:cs="Arial" w:eastAsia="Arial" w:hAnsi="Arial"/>
                <w:sz w:val="16"/>
                <w:szCs w:val="16"/>
                <w:color w:val="auto"/>
              </w:rPr>
              <w:t>Acquisition of Barletta</w:t>
            </w:r>
            <w:r>
              <w:rPr>
                <w:rFonts w:ascii="Arial" w:cs="Arial" w:eastAsia="Arial" w:hAnsi="Arial"/>
                <w:sz w:val="21"/>
                <w:szCs w:val="21"/>
                <w:color w:val="auto"/>
                <w:vertAlign w:val="superscript"/>
              </w:rPr>
              <w:t>(2)</w:t>
            </w:r>
          </w:p>
        </w:tc>
        <w:tc>
          <w:tcPr>
            <w:tcW w:w="2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136,118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136,118</w:t>
            </w:r>
          </w:p>
        </w:tc>
      </w:tr>
      <w:tr>
        <w:trPr>
          <w:trHeight w:val="234"/>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May 28, 2022</w:t>
            </w: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484,176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260" w:hanging="252"/>
        <w:spacing w:after="0"/>
        <w:tabs>
          <w:tab w:leader="none" w:pos="260" w:val="left"/>
        </w:tabs>
        <w:numPr>
          <w:ilvl w:val="0"/>
          <w:numId w:val="2"/>
        </w:numPr>
        <w:rPr>
          <w:rFonts w:ascii="Arial" w:cs="Arial" w:eastAsia="Arial" w:hAnsi="Arial"/>
          <w:sz w:val="21"/>
          <w:szCs w:val="21"/>
          <w:color w:val="auto"/>
          <w:vertAlign w:val="superscript"/>
        </w:rPr>
      </w:pPr>
      <w:r>
        <w:rPr>
          <w:rFonts w:ascii="Arial" w:cs="Arial" w:eastAsia="Arial" w:hAnsi="Arial"/>
          <w:sz w:val="14"/>
          <w:szCs w:val="14"/>
          <w:color w:val="auto"/>
        </w:rPr>
        <w:t>There was no activity in the nine months ended May 29, 2021.</w:t>
      </w:r>
    </w:p>
    <w:p>
      <w:pPr>
        <w:spacing w:after="0" w:line="43" w:lineRule="exact"/>
        <w:rPr>
          <w:rFonts w:ascii="Arial" w:cs="Arial" w:eastAsia="Arial" w:hAnsi="Arial"/>
          <w:sz w:val="21"/>
          <w:szCs w:val="21"/>
          <w:color w:val="auto"/>
          <w:vertAlign w:val="superscript"/>
        </w:rPr>
      </w:pPr>
    </w:p>
    <w:p>
      <w:pPr>
        <w:ind w:left="260" w:right="320" w:hanging="252"/>
        <w:spacing w:after="0" w:line="188" w:lineRule="auto"/>
        <w:tabs>
          <w:tab w:leader="none" w:pos="270" w:val="left"/>
        </w:tabs>
        <w:numPr>
          <w:ilvl w:val="0"/>
          <w:numId w:val="2"/>
        </w:numPr>
        <w:rPr>
          <w:rFonts w:ascii="Arial" w:cs="Arial" w:eastAsia="Arial" w:hAnsi="Arial"/>
          <w:sz w:val="23"/>
          <w:szCs w:val="23"/>
          <w:color w:val="auto"/>
          <w:vertAlign w:val="superscript"/>
        </w:rPr>
      </w:pPr>
      <w:r>
        <w:rPr>
          <w:rFonts w:ascii="Arial" w:cs="Arial" w:eastAsia="Arial" w:hAnsi="Arial"/>
          <w:sz w:val="14"/>
          <w:szCs w:val="14"/>
          <w:color w:val="auto"/>
        </w:rPr>
        <w:t>The change in marine activity is related to the acquisition of Barletta that occurred on August 31, 2021. See Note 2 to the Consolidated Financial Statements included in Item 1 of Part I of this quarterly report on Form 10-Q.</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20" w:type="dxa"/>
            <w:vAlign w:val="bottom"/>
            <w:gridSpan w:val="4"/>
          </w:tcPr>
          <w:p>
            <w:pPr>
              <w:spacing w:after="0"/>
              <w:rPr>
                <w:sz w:val="20"/>
                <w:szCs w:val="20"/>
                <w:color w:val="auto"/>
              </w:rPr>
            </w:pPr>
            <w:r>
              <w:rPr>
                <w:rFonts w:ascii="Arial" w:cs="Arial" w:eastAsia="Arial" w:hAnsi="Arial"/>
                <w:sz w:val="16"/>
                <w:szCs w:val="16"/>
                <w:color w:val="auto"/>
              </w:rPr>
              <w:t>Other intangible assets, net of accumulated amortization, consist of the following:</w:t>
            </w:r>
          </w:p>
        </w:tc>
        <w:tc>
          <w:tcPr>
            <w:tcW w:w="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3"/>
        </w:trPr>
        <w:tc>
          <w:tcPr>
            <w:tcW w:w="4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rPr>
              <w:t>May 28, 2022</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58"/>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1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Gross Carrying Amount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Net Carrying Value</w:t>
            </w: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352,250</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Dealer networks</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179,981</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56,801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123,180</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r>
      <w:tr>
        <w:trPr>
          <w:trHeight w:val="21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r>
      <w:tr>
        <w:trPr>
          <w:trHeight w:val="238"/>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581,205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477,603</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322"/>
        </w:trPr>
        <w:tc>
          <w:tcPr>
            <w:tcW w:w="4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August 28, 2021</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59"/>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1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Gross Carrying Amount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Net Carrying Value</w:t>
            </w: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275,250</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Dealer networks</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159,581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45,652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113,929</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w:t>
            </w:r>
          </w:p>
        </w:tc>
      </w:tr>
      <w:tr>
        <w:trPr>
          <w:trHeight w:val="238"/>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469,805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390,407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495"/>
        </w:trPr>
        <w:tc>
          <w:tcPr>
            <w:tcW w:w="9180" w:type="dxa"/>
            <w:vAlign w:val="bottom"/>
            <w:gridSpan w:val="7"/>
          </w:tcPr>
          <w:p>
            <w:pPr>
              <w:spacing w:after="0"/>
              <w:rPr>
                <w:sz w:val="20"/>
                <w:szCs w:val="20"/>
                <w:color w:val="auto"/>
              </w:rPr>
            </w:pPr>
            <w:r>
              <w:rPr>
                <w:rFonts w:ascii="Arial" w:cs="Arial" w:eastAsia="Arial" w:hAnsi="Arial"/>
                <w:sz w:val="16"/>
                <w:szCs w:val="16"/>
                <w:color w:val="auto"/>
              </w:rPr>
              <w:t>The weighted average remaining amortization period for intangible assets as of May 28, 2022 was approximately 9 years.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7020" w:type="dxa"/>
            <w:vAlign w:val="bottom"/>
            <w:gridSpan w:val="4"/>
          </w:tcPr>
          <w:p>
            <w:pPr>
              <w:spacing w:after="0"/>
              <w:rPr>
                <w:sz w:val="20"/>
                <w:szCs w:val="20"/>
                <w:color w:val="auto"/>
              </w:rPr>
            </w:pPr>
            <w:r>
              <w:rPr>
                <w:rFonts w:ascii="Arial" w:cs="Arial" w:eastAsia="Arial" w:hAnsi="Arial"/>
                <w:sz w:val="16"/>
                <w:szCs w:val="16"/>
                <w:color w:val="auto"/>
              </w:rPr>
              <w:t>Estimated future amortization expense related to finite-lived intangible assets is as follows:</w:t>
            </w: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5"/>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Amount</w:t>
            </w: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2022</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5,216</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15,226</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15,124</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14,919</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14,865</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Fiscal 2027</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14,865</w:t>
            </w: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45,138</w:t>
            </w:r>
          </w:p>
        </w:tc>
      </w:tr>
      <w:tr>
        <w:trPr>
          <w:trHeight w:val="213"/>
        </w:trPr>
        <w:tc>
          <w:tcPr>
            <w:tcW w:w="4860" w:type="dxa"/>
            <w:vAlign w:val="bottom"/>
          </w:tcPr>
          <w:p>
            <w:pPr>
              <w:ind w:left="140"/>
              <w:spacing w:after="0"/>
              <w:rPr>
                <w:sz w:val="20"/>
                <w:szCs w:val="20"/>
                <w:color w:val="auto"/>
              </w:rPr>
            </w:pPr>
            <w:r>
              <w:rPr>
                <w:rFonts w:ascii="Arial" w:cs="Arial" w:eastAsia="Arial" w:hAnsi="Arial"/>
                <w:sz w:val="16"/>
                <w:szCs w:val="16"/>
                <w:color w:val="auto"/>
              </w:rPr>
              <w:t>Total amortization expense remaining</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125,353</w:t>
            </w: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8.</w:t>
        <w:tab/>
        <w:t>Product Warranties</w:t>
      </w:r>
    </w:p>
    <w:p>
      <w:pPr>
        <w:spacing w:after="0" w:line="26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provide certain service and warranty on our products. From time to time, we also voluntarily incur costs for certain warranty-type expenses occurring after the normal warranty period expires to help protect the reputation of our products and maintain the goodwill of our customers. Estimated costs related to product warranty are accrued at the time of sale and are based upon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historical warranty and service claims experience. Adjustments are made to accruals as claim data and cost experience becomes available.</w:t>
      </w:r>
    </w:p>
    <w:p>
      <w:pPr>
        <w:spacing w:after="0" w:line="248"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In addition to the costs associated with the contractual warranty coverage provided on products, we also occasionally incur costs as a result of additional service actions not covered by warranties, including product recalls and customer satisfaction actions. Although we estimate and reserve for the cost of these service actions when probable and estimable, there can be no assurance that expense levels will remain at current levels or such reserves will continue to be adequate.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20"/>
                <w:szCs w:val="20"/>
                <w:color w:val="auto"/>
              </w:rPr>
            </w:pPr>
            <w:r>
              <w:rPr>
                <w:rFonts w:ascii="Arial" w:cs="Arial" w:eastAsia="Arial" w:hAnsi="Arial"/>
                <w:sz w:val="16"/>
                <w:szCs w:val="16"/>
                <w:color w:val="auto"/>
              </w:rPr>
              <w:t>Changes in the product warranty liability are as follows:</w:t>
            </w: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3"/>
        </w:trPr>
        <w:tc>
          <w:tcPr>
            <w:tcW w:w="4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2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20"/>
                <w:szCs w:val="20"/>
                <w:color w:val="auto"/>
              </w:rPr>
            </w:pPr>
          </w:p>
        </w:tc>
        <w:tc>
          <w:tcPr>
            <w:tcW w:w="302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44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200"/>
              <w:spacing w:after="0" w:line="158" w:lineRule="exact"/>
              <w:rPr>
                <w:sz w:val="20"/>
                <w:szCs w:val="20"/>
                <w:color w:val="auto"/>
              </w:rPr>
            </w:pPr>
            <w:r>
              <w:rPr>
                <w:rFonts w:ascii="Arial" w:cs="Arial" w:eastAsia="Arial" w:hAnsi="Arial"/>
                <w:sz w:val="16"/>
                <w:szCs w:val="16"/>
                <w:b w:val="1"/>
                <w:bCs w:val="1"/>
                <w:color w:val="auto"/>
              </w:rPr>
              <w:t>May 28,</w:t>
            </w:r>
          </w:p>
        </w:tc>
        <w:tc>
          <w:tcPr>
            <w:tcW w:w="3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439"/>
              <w:spacing w:after="0" w:line="158" w:lineRule="exact"/>
              <w:rPr>
                <w:sz w:val="20"/>
                <w:szCs w:val="20"/>
                <w:color w:val="auto"/>
              </w:rPr>
            </w:pPr>
            <w:r>
              <w:rPr>
                <w:rFonts w:ascii="Arial" w:cs="Arial" w:eastAsia="Arial" w:hAnsi="Arial"/>
                <w:sz w:val="16"/>
                <w:szCs w:val="16"/>
                <w:b w:val="1"/>
                <w:bCs w:val="1"/>
                <w:color w:val="auto"/>
              </w:rPr>
              <w:t>May 29,</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00"/>
              <w:spacing w:after="0" w:line="158" w:lineRule="exact"/>
              <w:rPr>
                <w:sz w:val="20"/>
                <w:szCs w:val="20"/>
                <w:color w:val="auto"/>
              </w:rPr>
            </w:pPr>
            <w:r>
              <w:rPr>
                <w:rFonts w:ascii="Arial" w:cs="Arial" w:eastAsia="Arial" w:hAnsi="Arial"/>
                <w:sz w:val="16"/>
                <w:szCs w:val="16"/>
                <w:b w:val="1"/>
                <w:bCs w:val="1"/>
                <w:color w:val="auto"/>
              </w:rPr>
              <w:t>May 28,</w:t>
            </w:r>
          </w:p>
        </w:tc>
        <w:tc>
          <w:tcPr>
            <w:tcW w:w="3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439"/>
              <w:spacing w:after="0" w:line="158" w:lineRule="exact"/>
              <w:rPr>
                <w:sz w:val="20"/>
                <w:szCs w:val="20"/>
                <w:color w:val="auto"/>
              </w:rPr>
            </w:pPr>
            <w:r>
              <w:rPr>
                <w:rFonts w:ascii="Arial" w:cs="Arial" w:eastAsia="Arial" w:hAnsi="Arial"/>
                <w:sz w:val="16"/>
                <w:szCs w:val="16"/>
                <w:b w:val="1"/>
                <w:bCs w:val="1"/>
                <w:color w:val="auto"/>
              </w:rPr>
              <w:t>May 29,</w:t>
            </w:r>
          </w:p>
        </w:tc>
      </w:tr>
      <w:tr>
        <w:trPr>
          <w:trHeight w:val="216"/>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0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64,031</w:t>
            </w:r>
          </w:p>
        </w:tc>
      </w:tr>
      <w:tr>
        <w:trPr>
          <w:trHeight w:val="216"/>
        </w:trPr>
        <w:tc>
          <w:tcPr>
            <w:tcW w:w="4460" w:type="dxa"/>
            <w:vAlign w:val="bottom"/>
          </w:tcPr>
          <w:p>
            <w:pPr>
              <w:ind w:left="140"/>
              <w:spacing w:after="0" w:line="216" w:lineRule="exact"/>
              <w:rPr>
                <w:sz w:val="20"/>
                <w:szCs w:val="20"/>
                <w:color w:val="auto"/>
              </w:rPr>
            </w:pPr>
            <w:r>
              <w:rPr>
                <w:rFonts w:ascii="Arial" w:cs="Arial" w:eastAsia="Arial" w:hAnsi="Arial"/>
                <w:sz w:val="16"/>
                <w:szCs w:val="16"/>
                <w:color w:val="auto"/>
              </w:rPr>
              <w:t>Business acquisition</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37,052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64,986</w:t>
            </w:r>
          </w:p>
        </w:tc>
      </w:tr>
      <w:tr>
        <w:trPr>
          <w:trHeight w:val="213"/>
        </w:trPr>
        <w:tc>
          <w:tcPr>
            <w:tcW w:w="4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Claims paid</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(23,607)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(62,889)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(46,955)</w:t>
            </w:r>
          </w:p>
        </w:tc>
      </w:tr>
      <w:tr>
        <w:trPr>
          <w:trHeight w:val="23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127,263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82,062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127,263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82,062</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right="180" w:hanging="252"/>
        <w:spacing w:after="0" w:line="199" w:lineRule="auto"/>
        <w:tabs>
          <w:tab w:leader="none" w:pos="305" w:val="left"/>
        </w:tabs>
        <w:numPr>
          <w:ilvl w:val="0"/>
          <w:numId w:val="3"/>
        </w:numPr>
        <w:rPr>
          <w:rFonts w:ascii="Arial" w:cs="Arial" w:eastAsia="Arial" w:hAnsi="Arial"/>
          <w:sz w:val="21"/>
          <w:szCs w:val="21"/>
          <w:color w:val="auto"/>
          <w:vertAlign w:val="superscript"/>
        </w:rPr>
      </w:pPr>
      <w:r>
        <w:rPr>
          <w:rFonts w:ascii="Arial" w:cs="Arial" w:eastAsia="Arial" w:hAnsi="Arial"/>
          <w:sz w:val="14"/>
          <w:szCs w:val="14"/>
          <w:color w:val="auto"/>
        </w:rPr>
        <w:t>Relates to the acquisition of Barletta on August 31, 2021. See Note 2 to the Consolidated Financial Statements in Item 1 of Part I of this quarterly report on Form 10-Q for additional acquisition information.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20"/>
                <w:szCs w:val="20"/>
                <w:color w:val="auto"/>
              </w:rPr>
            </w:pPr>
            <w:r>
              <w:rPr>
                <w:rFonts w:ascii="Arial" w:cs="Arial" w:eastAsia="Arial" w:hAnsi="Arial"/>
                <w:sz w:val="16"/>
                <w:szCs w:val="16"/>
                <w:b w:val="1"/>
                <w:bCs w:val="1"/>
                <w:color w:val="auto"/>
              </w:rPr>
              <w:t>Note 9.  Long-Term Debt</w:t>
            </w: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2"/>
        </w:trPr>
        <w:tc>
          <w:tcPr>
            <w:tcW w:w="7000" w:type="dxa"/>
            <w:vAlign w:val="bottom"/>
          </w:tcPr>
          <w:p>
            <w:pPr>
              <w:spacing w:after="0"/>
              <w:rPr>
                <w:sz w:val="20"/>
                <w:szCs w:val="20"/>
                <w:color w:val="auto"/>
              </w:rPr>
            </w:pPr>
            <w:r>
              <w:rPr>
                <w:rFonts w:ascii="Arial" w:cs="Arial" w:eastAsia="Arial" w:hAnsi="Arial"/>
                <w:sz w:val="16"/>
                <w:szCs w:val="16"/>
                <w:color w:val="auto"/>
              </w:rPr>
              <w:t>Long-term debt consists of the following:</w:t>
            </w: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1"/>
        </w:trPr>
        <w:tc>
          <w:tcPr>
            <w:tcW w:w="7000" w:type="dxa"/>
            <w:vAlign w:val="bottom"/>
          </w:tcPr>
          <w:p>
            <w:pPr>
              <w:spacing w:after="0"/>
              <w:rPr>
                <w:sz w:val="15"/>
                <w:szCs w:val="15"/>
                <w:color w:val="auto"/>
              </w:rPr>
            </w:pPr>
          </w:p>
        </w:tc>
        <w:tc>
          <w:tcPr>
            <w:tcW w:w="13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May 28,</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jc w:val="right"/>
              <w:ind w:right="539"/>
              <w:spacing w:after="0" w:line="181" w:lineRule="exact"/>
              <w:rPr>
                <w:sz w:val="20"/>
                <w:szCs w:val="20"/>
                <w:color w:val="auto"/>
              </w:rPr>
            </w:pPr>
            <w:r>
              <w:rPr>
                <w:rFonts w:ascii="Arial" w:cs="Arial" w:eastAsia="Arial" w:hAnsi="Arial"/>
                <w:sz w:val="16"/>
                <w:szCs w:val="16"/>
                <w:b w:val="1"/>
                <w:bCs w:val="1"/>
                <w:color w:val="auto"/>
              </w:rPr>
              <w:t>August 28,</w:t>
            </w:r>
          </w:p>
        </w:tc>
      </w:tr>
      <w:tr>
        <w:trPr>
          <w:trHeight w:val="216"/>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2021</w:t>
            </w:r>
          </w:p>
        </w:tc>
      </w:tr>
      <w:tr>
        <w:trPr>
          <w:trHeight w:val="20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Credit Facility</w:t>
            </w:r>
          </w:p>
        </w:tc>
        <w:tc>
          <w:tcPr>
            <w:tcW w:w="1360" w:type="dxa"/>
            <w:vAlign w:val="bottom"/>
            <w:shd w:val="clear" w:color="auto" w:fill="CCEEFF"/>
          </w:tcPr>
          <w:p>
            <w:pPr>
              <w:jc w:val="right"/>
              <w:ind w:right="1179"/>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1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300,000</w:t>
            </w: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1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r>
      <w:tr>
        <w:trPr>
          <w:trHeight w:val="209"/>
        </w:trPr>
        <w:tc>
          <w:tcPr>
            <w:tcW w:w="7000" w:type="dxa"/>
            <w:vAlign w:val="bottom"/>
          </w:tcPr>
          <w:p>
            <w:pPr>
              <w:ind w:left="140"/>
              <w:spacing w:after="0"/>
              <w:rPr>
                <w:sz w:val="20"/>
                <w:szCs w:val="20"/>
                <w:color w:val="auto"/>
              </w:rPr>
            </w:pPr>
            <w:r>
              <w:rPr>
                <w:rFonts w:ascii="Arial" w:cs="Arial" w:eastAsia="Arial" w:hAnsi="Arial"/>
                <w:sz w:val="16"/>
                <w:szCs w:val="16"/>
                <w:color w:val="auto"/>
              </w:rPr>
              <w:t>Long-term debt, gross</w:t>
            </w:r>
          </w:p>
        </w:tc>
        <w:tc>
          <w:tcPr>
            <w:tcW w:w="1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600,000</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 unamortized interest discount</w:t>
            </w:r>
          </w:p>
        </w:tc>
        <w:tc>
          <w:tcPr>
            <w:tcW w:w="1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(60,366)</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 issuance costs, net</w:t>
            </w:r>
          </w:p>
        </w:tc>
        <w:tc>
          <w:tcPr>
            <w:tcW w:w="1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(11,075)</w:t>
            </w:r>
          </w:p>
        </w:tc>
      </w:tr>
      <w:tr>
        <w:trPr>
          <w:trHeight w:val="238"/>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541,453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528,559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Agreements</w:t>
      </w:r>
    </w:p>
    <w:p>
      <w:pPr>
        <w:spacing w:after="0" w:line="13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On July 8, 2020, we closed our private offering (the “Senior Secured Notes Offering”) of $300.0 million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which began on January 15, 2021.</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Debt issuance costs incurred and capitalized are amortized on a straight-line basis over the term of the associated debt agreement. If early principal payments are made on the Senior Secured Notes, a proportional amount of the unamortized debt issuance costs is expensed. As part of the Senior Secured Notes Offering, we capitalized $7.5 million in debt issuance costs that will be amortized over the eight-year term of the agreement.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On November 8, 2016, we entered into an asset-based revolving credit agreement ("ABL") and a loan agreement ("Term Loan") with JPMorgan Chase Bank,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N.A. ("JPMorgan Chase"), as administrative agent and certain lenders from time to time party thereto. Under the ABL, we have a $192.5 million credit facility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that matures on October 22, 2024 (subject to certain factors which may accelerate the maturity date) on a revolving basis, subject to availability under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borrowing base consisting of eligible accounts receivable and eligible inventory. The ABL is available for issuance of letters of credit to a specified limit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$19.3 million. We pay a commitment fee of 0.25% on the average daily amount of the facility available, but unused. We can elect to base the interest rate 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various rates plus specific spreads depending on the amount of borrowings outstanding. If drawn, we would pay interest on ABL borrowings at a floating rate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based upon a spread between 1.25% and 1.75% plus LIBOR, depending on the usage of the facility during the most recent quarter. Based on current usage,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 would pay LIBOR plus 1.25%.</w:t>
      </w:r>
    </w:p>
    <w:p>
      <w:pPr>
        <w:spacing w:after="0" w:line="248"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Refer to Note 9 of the Notes to the Consolidated Financial Statements included in Item 8 of Part II of our Annual Report on Form 10-K for the fiscal year ended August 28, 2021 for additional information regarding these credit agreements.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Notes</w:t>
      </w:r>
    </w:p>
    <w:p>
      <w:pPr>
        <w:spacing w:after="0" w:line="13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On November 1, 2019, we issued $300.0 million in aggregate principal amount of 1.5% unsecured convertible senior notes due 2025 (“Convertible Notes”). The net proceeds from the issuance of the Convertible Notes, after deducting the initial purchasers' transaction fees and offering expense payable by us, were approximately $290.2 million. The Convertible Notes bear interest at the annual rate of 1.5%, payable on April 1 and October 1 of each year, beginning on April 1, 2020, and will mature on April 1, 2025, unless earlier converted or repurchased by us.</w:t>
      </w:r>
    </w:p>
    <w:p>
      <w:pPr>
        <w:spacing w:after="0" w:line="22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Convertible Notes will be convertible into cash, shares of our common stock or a combination thereof, at the election of us, at an initial conversion rate of 15.6906 shares of common stock per $1 thousand principal amount of Convertible Notes, which is equivalent to an initial conversion price of approximately $63.73 per share, as adjusted pursuant to the terms of the indenture governing the Convertible Notes. The Convertible Notes may be converted at any time on or after October 1, 2024, until the close of business on the second scheduled trading day immediately preceding the maturity date.</w:t>
      </w:r>
    </w:p>
    <w:p>
      <w:pPr>
        <w:spacing w:after="0" w:line="22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Prior to the close of business on the business day immediately preceding October 1, 2024, the Convertible Notes will be convertible only under the following circumstances:</w:t>
      </w:r>
    </w:p>
    <w:p>
      <w:pPr>
        <w:spacing w:after="0" w:line="330" w:lineRule="exact"/>
        <w:rPr>
          <w:sz w:val="20"/>
          <w:szCs w:val="20"/>
          <w:color w:val="auto"/>
        </w:rPr>
      </w:pPr>
    </w:p>
    <w:p>
      <w:pPr>
        <w:ind w:left="660" w:right="700" w:hanging="328"/>
        <w:spacing w:after="0" w:line="25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any calendar quarter commencing after December 31, 2019 if the closing sale price of the common stock is more than 130% of the applicable conversion price on each applicable trading day for at least 20 trading days (whether or not consecutive) during a period of 30 consecutive trading days ending on, and including, the last trading day of the immediately preceding calendar quarter;</w:t>
      </w:r>
    </w:p>
    <w:p>
      <w:pPr>
        <w:spacing w:after="0" w:line="93" w:lineRule="exact"/>
        <w:rPr>
          <w:rFonts w:ascii="Arial" w:cs="Arial" w:eastAsia="Arial" w:hAnsi="Arial"/>
          <w:sz w:val="16"/>
          <w:szCs w:val="16"/>
          <w:color w:val="auto"/>
        </w:rPr>
      </w:pPr>
    </w:p>
    <w:p>
      <w:pPr>
        <w:ind w:left="660" w:hanging="328"/>
        <w:spacing w:after="0" w:line="25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five consecutive business day period after any five consecutive trading day period (the "measurement period") in which the trading price per $1 thousand principal amount of Convertible Notes for each trading day of the measurement period was less than 98% of the product of the last reported sale price of the common stock and the conversion rate for the Convertible Notes on each such trading day; or</w:t>
      </w:r>
    </w:p>
    <w:p>
      <w:pPr>
        <w:spacing w:after="0" w:line="93"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upon the occurrence of certain specified corporate events set forth in the Convertible Notes Indenture.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may not redeem the Convertible Notes at our option prior to the maturity date, and no sinking fund is provided for the Convertible Notes.</w:t>
      </w:r>
    </w:p>
    <w:p>
      <w:pPr>
        <w:spacing w:after="0" w:line="248"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The conversion rate of the Convertible Notes may be adjusted in certain circumstances, including in connection with a conversion of the Convertible Notes made following certain fundamental changes and under other circumstances set forth in the indenture. It is our current intent to settle all conversions of the Convertible Notes in cash. Our ability to cash settle may be limited depending on the stock price at the time of conversion.</w:t>
      </w:r>
    </w:p>
    <w:p>
      <w:pPr>
        <w:spacing w:after="0" w:line="22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On October 29, 2019 and October 30, 2019, in connection with the offering of the Convertible Notes, we entered into privately negotiated convertible note hedge transactions (collectively, the “Hedge Transactions”) that cover, subject to customary anti-dilution adjustments, the number of shares of our common stock that initially underlie the Convertible Notes.</w:t>
      </w:r>
    </w:p>
    <w:p>
      <w:pPr>
        <w:spacing w:after="0" w:line="228" w:lineRule="exact"/>
        <w:rPr>
          <w:sz w:val="20"/>
          <w:szCs w:val="20"/>
          <w:color w:val="auto"/>
        </w:rPr>
      </w:pPr>
    </w:p>
    <w:p>
      <w:pPr>
        <w:jc w:val="both"/>
        <w:ind w:right="320"/>
        <w:spacing w:after="0" w:line="253" w:lineRule="auto"/>
        <w:rPr>
          <w:sz w:val="20"/>
          <w:szCs w:val="20"/>
          <w:color w:val="auto"/>
        </w:rPr>
      </w:pPr>
      <w:r>
        <w:rPr>
          <w:rFonts w:ascii="Arial" w:cs="Arial" w:eastAsia="Arial" w:hAnsi="Arial"/>
          <w:sz w:val="16"/>
          <w:szCs w:val="16"/>
          <w:color w:val="auto"/>
        </w:rPr>
        <w:t>On October 29, 2019 and October 30, 2019, we also entered into privately negotiated warrant transactions (collectively, the “Warrant Transactions” and, together with the Hedge Transactions, the “Call Spread Transactions”), whereby we sold warrants at a higher strike price relating to the same number of shares of our common stock that initially underlie the Convertible Notes, subject to customary anti-dilution adjustments.</w:t>
      </w:r>
    </w:p>
    <w:p>
      <w:pPr>
        <w:spacing w:after="0" w:line="17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Hedge Transactions and the Warrant Transactions are separate transactions, in each case, and are not part of the terms of the Convertible Notes and will not affect any holder’s rights under the Convertible Notes. Holders of the Convertible Notes will not have any rights with respect to the Call Spread Transactions.</w:t>
      </w:r>
    </w:p>
    <w:p>
      <w:pPr>
        <w:spacing w:after="0" w:line="228"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Refer to Note 9 of the Notes to the Consolidated Financial Statements included in Item 8 of Part II of our Annual Report on Form 10-K for the fiscal year ended August 28, 2021 for additional information regarding the Convertible Notes and the Call Spread Transactions.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Treatment of the Convertible Notes and Related Hedge Transactions and Warrant Transactions</w:t>
      </w:r>
    </w:p>
    <w:p>
      <w:pPr>
        <w:spacing w:after="0" w:line="7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net cost incurred in connection with the Call Spread Transactions was $11.2 million. These transactions are classified as equity and are not remeasured each reporting period. We bifurcated the proceeds from the offering of the Convertible Notes between liability and equity components. On the date of issuance, the liability and equity components were calculated to be approximately $215.0 million and $85.0 million, respectively. The initial $215.0</w:t>
      </w:r>
    </w:p>
    <w:p>
      <w:pPr>
        <w:spacing w:after="0" w:line="1"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million liability component was determined based on the fair value of similar debt instruments excluding the conversion feature assuming a hypothetical interest rate of 8%. The initial $85.0 million ($64.1 million net of tax) equity component represents the difference between the fair value of the initial $215.0 million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in debt and the $300.0 million of gross proceeds. The related initial debt discount of $85.0 million is being amortized over the life of the Convertible Notes as non-cash interest expense using the effective interest method.</w:t>
      </w:r>
    </w:p>
    <w:p>
      <w:pPr>
        <w:spacing w:after="0" w:line="222"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In connection with the above-noted transactions, we incurred approximately $9.8 million of offering-related costs. These offering fees were allocated to the liability and equity components in proportion to the allocation of proceeds and accounted for as debt and equity issuance costs, respectively. We allocated $7.0 million of debt issuance costs to the liability component, which were capitalized as deferred financing costs within long-term debt on the Consolidated Balance Sheets. These costs are being amortized as interest expense over the term of the debt using the effective interest method. The remaining $2.8 million of transaction costs allocated to the equity component were recorded as a reduction of the equity component.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and Future Maturities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As of May 28, 2022 and August 28, 2021, the fair value of long-term debt, gross, was $599.1 million and $726.6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2022</w:t>
            </w: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Fiscal 2027</w:t>
            </w: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12"/>
        </w:trPr>
        <w:tc>
          <w:tcPr>
            <w:tcW w:w="7100" w:type="dxa"/>
            <w:vAlign w:val="bottom"/>
          </w:tcPr>
          <w:p>
            <w:pPr>
              <w:ind w:left="140"/>
              <w:spacing w:after="0"/>
              <w:rPr>
                <w:sz w:val="20"/>
                <w:szCs w:val="20"/>
                <w:color w:val="auto"/>
              </w:rPr>
            </w:pPr>
            <w:r>
              <w:rPr>
                <w:rFonts w:ascii="Arial" w:cs="Arial" w:eastAsia="Arial" w:hAnsi="Arial"/>
                <w:sz w:val="16"/>
                <w:szCs w:val="16"/>
                <w:color w:val="auto"/>
              </w:rPr>
              <w:t>Total Senior Secured Notes and Convertible Notes</w:t>
            </w: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600,000</w:t>
            </w:r>
          </w:p>
        </w:tc>
        <w:tc>
          <w:tcPr>
            <w:tcW w:w="0" w:type="dxa"/>
            <w:vAlign w:val="bottom"/>
          </w:tcPr>
          <w:p>
            <w:pPr>
              <w:spacing w:after="0"/>
              <w:rPr>
                <w:sz w:val="1"/>
                <w:szCs w:val="1"/>
                <w:color w:val="auto"/>
              </w:rPr>
            </w:pPr>
          </w:p>
        </w:tc>
      </w:tr>
      <w:tr>
        <w:trPr>
          <w:trHeight w:val="21"/>
        </w:trPr>
        <w:tc>
          <w:tcPr>
            <w:tcW w:w="7100" w:type="dxa"/>
            <w:vAlign w:val="bottom"/>
            <w:vMerge w:val="restart"/>
          </w:tcPr>
          <w:p>
            <w:pPr>
              <w:spacing w:after="0"/>
              <w:rPr>
                <w:sz w:val="20"/>
                <w:szCs w:val="20"/>
                <w:color w:val="auto"/>
              </w:rPr>
            </w:pPr>
            <w:r>
              <w:rPr>
                <w:rFonts w:ascii="Arial" w:cs="Arial" w:eastAsia="Arial" w:hAnsi="Arial"/>
                <w:sz w:val="16"/>
                <w:szCs w:val="16"/>
                <w:b w:val="1"/>
                <w:bCs w:val="1"/>
                <w:color w:val="auto"/>
              </w:rPr>
              <w:t>Note 10.  Employee and Retiree Benefits</w:t>
            </w: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71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tcPr>
          <w:p>
            <w:pPr>
              <w:spacing w:after="0"/>
              <w:rPr>
                <w:sz w:val="20"/>
                <w:szCs w:val="20"/>
                <w:color w:val="auto"/>
              </w:rPr>
            </w:pPr>
            <w:r>
              <w:rPr>
                <w:rFonts w:ascii="Arial" w:cs="Arial" w:eastAsia="Arial" w:hAnsi="Arial"/>
                <w:sz w:val="16"/>
                <w:szCs w:val="16"/>
                <w:color w:val="auto"/>
              </w:rPr>
              <w:t>Deferred compensation liabilities are as follows:</w:t>
            </w: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100" w:type="dxa"/>
            <w:vAlign w:val="bottom"/>
          </w:tcPr>
          <w:p>
            <w:pPr>
              <w:spacing w:after="0"/>
              <w:rPr>
                <w:sz w:val="15"/>
                <w:szCs w:val="15"/>
                <w:color w:val="auto"/>
              </w:rPr>
            </w:pPr>
          </w:p>
        </w:tc>
        <w:tc>
          <w:tcPr>
            <w:tcW w:w="142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May 28,</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tcPr>
          <w:p>
            <w:pPr>
              <w:jc w:val="right"/>
              <w:ind w:right="479"/>
              <w:spacing w:after="0" w:line="181" w:lineRule="exact"/>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Non-qualified deferred compensation</w:t>
            </w:r>
          </w:p>
        </w:tc>
        <w:tc>
          <w:tcPr>
            <w:tcW w:w="1420" w:type="dxa"/>
            <w:vAlign w:val="bottom"/>
            <w:shd w:val="clear" w:color="auto" w:fill="CCEEFF"/>
          </w:tcPr>
          <w:p>
            <w:pPr>
              <w:jc w:val="right"/>
              <w:ind w:right="12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9,731</w:t>
            </w:r>
          </w:p>
        </w:tc>
        <w:tc>
          <w:tcPr>
            <w:tcW w:w="0" w:type="dxa"/>
            <w:vAlign w:val="bottom"/>
          </w:tcPr>
          <w:p>
            <w:pPr>
              <w:spacing w:after="0"/>
              <w:rPr>
                <w:sz w:val="1"/>
                <w:szCs w:val="1"/>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Supplemental executive retirement plan</w:t>
            </w: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1,615</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deferred compensation plan</w:t>
            </w:r>
          </w:p>
        </w:tc>
        <w:tc>
          <w:tcPr>
            <w:tcW w:w="14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w:t>
            </w:r>
          </w:p>
        </w:tc>
        <w:tc>
          <w:tcPr>
            <w:tcW w:w="0" w:type="dxa"/>
            <w:vAlign w:val="bottom"/>
          </w:tcPr>
          <w:p>
            <w:pPr>
              <w:spacing w:after="0"/>
              <w:rPr>
                <w:sz w:val="1"/>
                <w:szCs w:val="1"/>
                <w:color w:val="auto"/>
              </w:rPr>
            </w:pPr>
          </w:p>
        </w:tc>
      </w:tr>
      <w:tr>
        <w:trPr>
          <w:trHeight w:val="210"/>
        </w:trPr>
        <w:tc>
          <w:tcPr>
            <w:tcW w:w="7100" w:type="dxa"/>
            <w:vAlign w:val="bottom"/>
          </w:tcPr>
          <w:p>
            <w:pPr>
              <w:ind w:left="140"/>
              <w:spacing w:after="0"/>
              <w:rPr>
                <w:sz w:val="20"/>
                <w:szCs w:val="20"/>
                <w:color w:val="auto"/>
              </w:rPr>
            </w:pPr>
            <w:r>
              <w:rPr>
                <w:rFonts w:ascii="Arial" w:cs="Arial" w:eastAsia="Arial" w:hAnsi="Arial"/>
                <w:sz w:val="16"/>
                <w:szCs w:val="16"/>
                <w:color w:val="auto"/>
              </w:rPr>
              <w:t>Total deferred compensation benefits</w:t>
            </w: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11,283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12,375</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Less current portion</w:t>
            </w:r>
            <w:r>
              <w:rPr>
                <w:rFonts w:ascii="Arial" w:cs="Arial" w:eastAsia="Arial" w:hAnsi="Arial"/>
                <w:sz w:val="21"/>
                <w:szCs w:val="21"/>
                <w:color w:val="auto"/>
                <w:vertAlign w:val="superscript"/>
              </w:rPr>
              <w:t>(1)</w:t>
            </w:r>
          </w:p>
        </w:tc>
        <w:tc>
          <w:tcPr>
            <w:tcW w:w="1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2,825</w:t>
            </w:r>
          </w:p>
        </w:tc>
        <w:tc>
          <w:tcPr>
            <w:tcW w:w="0" w:type="dxa"/>
            <w:vAlign w:val="bottom"/>
          </w:tcPr>
          <w:p>
            <w:pPr>
              <w:spacing w:after="0"/>
              <w:rPr>
                <w:sz w:val="1"/>
                <w:szCs w:val="1"/>
                <w:color w:val="auto"/>
              </w:rPr>
            </w:pPr>
          </w:p>
        </w:tc>
      </w:tr>
      <w:tr>
        <w:trPr>
          <w:trHeight w:val="210"/>
        </w:trPr>
        <w:tc>
          <w:tcPr>
            <w:tcW w:w="7100" w:type="dxa"/>
            <w:vAlign w:val="bottom"/>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1420" w:type="dxa"/>
            <w:vAlign w:val="bottom"/>
          </w:tcPr>
          <w:p>
            <w:pPr>
              <w:jc w:val="right"/>
              <w:ind w:right="12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8,550</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9,550</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Included in accrued compensation on the Consolidated Balance Sheets.</w:t>
      </w:r>
    </w:p>
    <w:p>
      <w:pPr>
        <w:spacing w:after="0" w:line="160"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Note 11.</w:t>
        <w:tab/>
        <w:t>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13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Generally, manufacturers in the same industries as us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22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of our repurchase agreements was approximately $1,720.7 million and $727.7 million at May 28, 2022 and August 28,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Repurchased sales are not recorded as a revenue transaction, rather the net difference between the original repurchase price and the resale price is recorded against the loss reserve, which is a deduction from gross revenue. 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period-end reporting date subject to a repurchase agreement, net of the greater of periodic reductions per the agreement or dealer principal payments. Based on these repurchase agreements and our historical loss experience, an associated loss reserve is established which is included in accrued expenses: other on the Consolidated Balance Sheets. Our repurchase accrual was $1.4 million and $0.9 million at May 28, 2022 and August 28, 2021, respectively. Repurchase risk is affected by the credit worthiness of our dealer network. We do not believe there is a reasonable likelihood that there will be a material change in the estimates or assumptions used to establish the loss reserve for repurchase commitments.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There was no material activity related to repurchase agreements during the nine months ended May 28, 2022 and May 29, 2021.</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13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We are involved in various legal proceedings which are considered ordinary and routine litigation incidental to the business, some of which are covered in whole or in part by insurance. While we believe the ultimate disposition of litigation will not have a material adverse effect on our financial position, results of operations or liquidity, the possibility exists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our view of these matters may change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Revenue</w:t>
      </w:r>
    </w:p>
    <w:p>
      <w:pPr>
        <w:spacing w:after="0" w:line="26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All operating revenue is generated from contracts with customers. Our primary revenue source is generated through the sale of manufactured non-motorized towable units, motorized units and marine units to our independent dealer network (our customers). The following table disaggregates revenue by reportable segment and product category:</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302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44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200"/>
              <w:spacing w:after="0" w:line="158" w:lineRule="exact"/>
              <w:rPr>
                <w:sz w:val="20"/>
                <w:szCs w:val="20"/>
                <w:color w:val="auto"/>
              </w:rPr>
            </w:pPr>
            <w:r>
              <w:rPr>
                <w:rFonts w:ascii="Arial" w:cs="Arial" w:eastAsia="Arial" w:hAnsi="Arial"/>
                <w:sz w:val="16"/>
                <w:szCs w:val="16"/>
                <w:b w:val="1"/>
                <w:bCs w:val="1"/>
                <w:color w:val="auto"/>
              </w:rPr>
              <w:t>May 28,</w:t>
            </w:r>
          </w:p>
        </w:tc>
        <w:tc>
          <w:tcPr>
            <w:tcW w:w="3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439"/>
              <w:spacing w:after="0" w:line="158" w:lineRule="exact"/>
              <w:rPr>
                <w:sz w:val="20"/>
                <w:szCs w:val="20"/>
                <w:color w:val="auto"/>
              </w:rPr>
            </w:pPr>
            <w:r>
              <w:rPr>
                <w:rFonts w:ascii="Arial" w:cs="Arial" w:eastAsia="Arial" w:hAnsi="Arial"/>
                <w:sz w:val="16"/>
                <w:szCs w:val="16"/>
                <w:b w:val="1"/>
                <w:bCs w:val="1"/>
                <w:color w:val="auto"/>
              </w:rPr>
              <w:t>May 29,</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00"/>
              <w:spacing w:after="0" w:line="158" w:lineRule="exact"/>
              <w:rPr>
                <w:sz w:val="20"/>
                <w:szCs w:val="20"/>
                <w:color w:val="auto"/>
              </w:rPr>
            </w:pPr>
            <w:r>
              <w:rPr>
                <w:rFonts w:ascii="Arial" w:cs="Arial" w:eastAsia="Arial" w:hAnsi="Arial"/>
                <w:sz w:val="16"/>
                <w:szCs w:val="16"/>
                <w:b w:val="1"/>
                <w:bCs w:val="1"/>
                <w:color w:val="auto"/>
              </w:rPr>
              <w:t>May 28,</w:t>
            </w:r>
          </w:p>
        </w:tc>
        <w:tc>
          <w:tcPr>
            <w:tcW w:w="3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439"/>
              <w:spacing w:after="0" w:line="158" w:lineRule="exact"/>
              <w:rPr>
                <w:sz w:val="20"/>
                <w:szCs w:val="20"/>
                <w:color w:val="auto"/>
              </w:rPr>
            </w:pPr>
            <w:r>
              <w:rPr>
                <w:rFonts w:ascii="Arial" w:cs="Arial" w:eastAsia="Arial" w:hAnsi="Arial"/>
                <w:sz w:val="16"/>
                <w:szCs w:val="16"/>
                <w:b w:val="1"/>
                <w:bCs w:val="1"/>
                <w:color w:val="auto"/>
              </w:rPr>
              <w:t>May 29,</w:t>
            </w:r>
          </w:p>
        </w:tc>
      </w:tr>
      <w:tr>
        <w:trPr>
          <w:trHeight w:val="216"/>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Towable</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Fifth Wheel</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392,116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284,432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999,025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751,822</w:t>
            </w:r>
          </w:p>
        </w:tc>
      </w:tr>
      <w:tr>
        <w:trPr>
          <w:trHeight w:val="213"/>
        </w:trPr>
        <w:tc>
          <w:tcPr>
            <w:tcW w:w="4460" w:type="dxa"/>
            <w:vAlign w:val="bottom"/>
          </w:tcPr>
          <w:p>
            <w:pPr>
              <w:ind w:left="140"/>
              <w:spacing w:after="0"/>
              <w:rPr>
                <w:sz w:val="20"/>
                <w:szCs w:val="20"/>
                <w:color w:val="auto"/>
              </w:rPr>
            </w:pPr>
            <w:r>
              <w:rPr>
                <w:rFonts w:ascii="Arial" w:cs="Arial" w:eastAsia="Arial" w:hAnsi="Arial"/>
                <w:sz w:val="16"/>
                <w:szCs w:val="16"/>
                <w:color w:val="auto"/>
              </w:rPr>
              <w:t>Travel Trailer</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404,462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264,450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1,076,626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680,088</w:t>
            </w:r>
          </w:p>
        </w:tc>
      </w:tr>
      <w:tr>
        <w:trPr>
          <w:trHeight w:val="219"/>
        </w:trPr>
        <w:tc>
          <w:tcPr>
            <w:tcW w:w="446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18,024</w:t>
            </w:r>
          </w:p>
        </w:tc>
      </w:tr>
      <w:tr>
        <w:trPr>
          <w:trHeight w:val="206"/>
        </w:trPr>
        <w:tc>
          <w:tcPr>
            <w:tcW w:w="4460" w:type="dxa"/>
            <w:vAlign w:val="bottom"/>
          </w:tcPr>
          <w:p>
            <w:pPr>
              <w:ind w:left="220"/>
              <w:spacing w:after="0"/>
              <w:rPr>
                <w:sz w:val="20"/>
                <w:szCs w:val="20"/>
                <w:color w:val="auto"/>
              </w:rPr>
            </w:pPr>
            <w:r>
              <w:rPr>
                <w:rFonts w:ascii="Arial" w:cs="Arial" w:eastAsia="Arial" w:hAnsi="Arial"/>
                <w:sz w:val="16"/>
                <w:szCs w:val="16"/>
                <w:color w:val="auto"/>
              </w:rPr>
              <w:t>Total Towable</w:t>
            </w: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805,567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555,749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2,103,192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1,449,934</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4460" w:type="dxa"/>
            <w:vAlign w:val="bottom"/>
          </w:tcPr>
          <w:p>
            <w:pPr>
              <w:ind w:left="140"/>
              <w:spacing w:after="0"/>
              <w:rPr>
                <w:sz w:val="20"/>
                <w:szCs w:val="20"/>
                <w:color w:val="auto"/>
              </w:rPr>
            </w:pPr>
            <w:r>
              <w:rPr>
                <w:rFonts w:ascii="Arial" w:cs="Arial" w:eastAsia="Arial" w:hAnsi="Arial"/>
                <w:sz w:val="16"/>
                <w:szCs w:val="16"/>
                <w:color w:val="auto"/>
              </w:rPr>
              <w:t>Class A</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208,387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172,437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568,683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464,347</w:t>
            </w:r>
          </w:p>
        </w:tc>
      </w:tr>
      <w:tr>
        <w:trPr>
          <w:trHeight w:val="219"/>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Class B</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507,171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382,162</w:t>
            </w:r>
          </w:p>
        </w:tc>
      </w:tr>
      <w:tr>
        <w:trPr>
          <w:trHeight w:val="216"/>
        </w:trPr>
        <w:tc>
          <w:tcPr>
            <w:tcW w:w="446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Class C and Other</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113,489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77,115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279,535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243,712</w:t>
            </w:r>
          </w:p>
        </w:tc>
      </w:tr>
      <w:tr>
        <w:trPr>
          <w:trHeight w:val="210"/>
        </w:trPr>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Motorhome</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516,345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385,257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1,355,389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1,090,221</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Marine</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126,548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17,170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303,175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43,527</w:t>
            </w:r>
          </w:p>
        </w:tc>
      </w:tr>
      <w:tr>
        <w:trPr>
          <w:trHeight w:val="219"/>
        </w:trPr>
        <w:tc>
          <w:tcPr>
            <w:tcW w:w="44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Corporate / All Other</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10,072</w:t>
            </w:r>
          </w:p>
        </w:tc>
      </w:tr>
      <w:tr>
        <w:trPr>
          <w:trHeight w:val="210"/>
        </w:trPr>
        <w:tc>
          <w:tcPr>
            <w:tcW w:w="4460" w:type="dxa"/>
            <w:vAlign w:val="bottom"/>
          </w:tcPr>
          <w:p>
            <w:pPr>
              <w:ind w:left="360"/>
              <w:spacing w:after="0"/>
              <w:rPr>
                <w:sz w:val="20"/>
                <w:szCs w:val="20"/>
                <w:color w:val="auto"/>
              </w:rPr>
            </w:pPr>
            <w:r>
              <w:rPr>
                <w:rFonts w:ascii="Arial" w:cs="Arial" w:eastAsia="Arial" w:hAnsi="Arial"/>
                <w:sz w:val="16"/>
                <w:szCs w:val="16"/>
                <w:color w:val="auto"/>
              </w:rPr>
              <w:t>Consolidated Net Revenues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1,458,138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960,737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3,778,609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2,593,754</w:t>
            </w:r>
          </w:p>
        </w:tc>
      </w:tr>
      <w:tr>
        <w:trPr>
          <w:trHeight w:val="20"/>
        </w:trPr>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300" w:hanging="292"/>
        <w:spacing w:after="0"/>
        <w:tabs>
          <w:tab w:leader="none" w:pos="30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Relates to parts, accessories, and services.</w:t>
      </w:r>
    </w:p>
    <w:p>
      <w:pPr>
        <w:ind w:left="300" w:hanging="292"/>
        <w:spacing w:after="0" w:line="189" w:lineRule="auto"/>
        <w:tabs>
          <w:tab w:leader="none" w:pos="300" w:val="left"/>
        </w:tabs>
        <w:numPr>
          <w:ilvl w:val="0"/>
          <w:numId w:val="5"/>
        </w:numPr>
        <w:rPr>
          <w:rFonts w:ascii="Arial" w:cs="Arial" w:eastAsia="Arial" w:hAnsi="Arial"/>
          <w:sz w:val="19"/>
          <w:szCs w:val="19"/>
          <w:color w:val="auto"/>
          <w:vertAlign w:val="superscript"/>
        </w:rPr>
      </w:pPr>
      <w:r>
        <w:rPr>
          <w:rFonts w:ascii="Arial" w:cs="Arial" w:eastAsia="Arial" w:hAnsi="Arial"/>
          <w:sz w:val="13"/>
          <w:szCs w:val="13"/>
          <w:color w:val="auto"/>
        </w:rPr>
        <w:t>Relates to specialty vehicle units, parts, accessories, and services.</w:t>
      </w:r>
    </w:p>
    <w:p>
      <w:pPr>
        <w:spacing w:after="0" w:line="230"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We do not have material contract assets or liabilities. Allowances for uncollectible receivables are established based on historical collection trends, write-off history, consideration of current conditions and expectations for future economic conditions.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 single dealer organization accounted for more than 10% of net revenue for the nine months ended May 28, 2022 or May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Stock-Based Compensation</w:t>
      </w:r>
    </w:p>
    <w:p>
      <w:pPr>
        <w:spacing w:after="0" w:line="26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December 11, 2018, our shareholders approved the Winnebago Industries, Inc. 2019 Omnibus Incentive Plan ("2019 Plan") as detailed in our Proxy Statement for the 2018 Annual Meeting of Shareholders. The 2019 Plan allows us to grant or issue non-qualified stock options, incentive stock options, restricted share units, and other equity compensation to key employees and to non-employee directors. The 2019 Plan replaces the 2014 Omnibus Equity, Performance Award, and Incentive Compensation Plan (as amended, the "2014 Plan"). The number of shares of our common stock that may be awarded and issued under the 2019 Plan is 4.1 million shares, plus the shares subject to any awards outstanding under the 2014 Plan and our predecessor plan, the 2004 Incentive Compensation Plan (the “2004 Plan”), on December 11, 2018 that subsequently expire, are forfeited or canceled, or are settled for cash. Until such time, awards under the 2014 Plan and the 2004 Plan, respectively, that were outstanding on December 11, 2018 will continue to be subject to the terms of the 2014 Plan or 2004 Plan, as applicable. Shares remaining available for future awards under the 2014 Plan were not carried over into the 2019 Plan.</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was $5.6 million and $4.7 million during the three months ended May 28, 2022 and May 29, 2021, respectively; and</w:t>
      </w:r>
    </w:p>
    <w:p>
      <w:pPr>
        <w:spacing w:after="0" w:line="5"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$12.5 million and $11.7 million during the nine months ended May 28, 2022 and May 29, 2021, respectively. Compensation expense is recognized over the requisite service or performance period of the award.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Income Taxes</w:t>
      </w:r>
    </w:p>
    <w:p>
      <w:pPr>
        <w:spacing w:after="0" w:line="268" w:lineRule="exact"/>
        <w:rPr>
          <w:sz w:val="20"/>
          <w:szCs w:val="20"/>
          <w:color w:val="auto"/>
        </w:rPr>
      </w:pPr>
    </w:p>
    <w:p>
      <w:pPr>
        <w:jc w:val="both"/>
        <w:ind w:right="220"/>
        <w:spacing w:after="0" w:line="251" w:lineRule="auto"/>
        <w:rPr>
          <w:sz w:val="20"/>
          <w:szCs w:val="20"/>
          <w:color w:val="auto"/>
        </w:rPr>
      </w:pPr>
      <w:r>
        <w:rPr>
          <w:rFonts w:ascii="Arial" w:cs="Arial" w:eastAsia="Arial" w:hAnsi="Arial"/>
          <w:sz w:val="16"/>
          <w:szCs w:val="16"/>
          <w:color w:val="auto"/>
        </w:rPr>
        <w:t>Our effective tax rate was 24.2% and 22.8% for the three months ended May 28, 2022 and May 29, 2021, respectively, and 23.8% and 23.2% for the nine months ended May 28, 2022 and May 29, 2021, respectively. The increase in tax rate for the three and nine months ended May 28, 2022 compared to the three and nine months ended May 29, 2021 was driven primarily by the impact of both consistent tax credits year-over-year over increased income in the current year and a net unfavorable expense in the current year related to stock compensation.</w:t>
      </w:r>
    </w:p>
    <w:p>
      <w:pPr>
        <w:spacing w:after="0" w:line="229"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We file a U.S. Federal tax return, as well as returns in various international and state jurisdictions. As of May 28, 2022, our Federal returns from Fiscal 2018 to present are subject to review by the Internal Revenue Service. With limited exceptions, state returns from Fiscal 2017 to present continue to be subject to review by state taxing jurisdictions. We are currently under review by certain U.S. state tax authorities for Fiscal 2016 through Fiscal 2019. We believe we have adequately reserved for our exposure to potential additional payments for uncertain tax positions in our liability for unrecognized tax benefits.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Earnings Per Share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earnings per share are calculated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304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9"/>
        </w:trPr>
        <w:tc>
          <w:tcPr>
            <w:tcW w:w="44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200"/>
              <w:spacing w:after="0" w:line="158" w:lineRule="exact"/>
              <w:rPr>
                <w:sz w:val="20"/>
                <w:szCs w:val="20"/>
                <w:color w:val="auto"/>
              </w:rPr>
            </w:pPr>
            <w:r>
              <w:rPr>
                <w:rFonts w:ascii="Arial" w:cs="Arial" w:eastAsia="Arial" w:hAnsi="Arial"/>
                <w:sz w:val="16"/>
                <w:szCs w:val="16"/>
                <w:b w:val="1"/>
                <w:bCs w:val="1"/>
                <w:color w:val="auto"/>
              </w:rPr>
              <w:t>May 28,</w:t>
            </w:r>
          </w:p>
        </w:tc>
        <w:tc>
          <w:tcPr>
            <w:tcW w:w="3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439"/>
              <w:spacing w:after="0" w:line="158" w:lineRule="exact"/>
              <w:rPr>
                <w:sz w:val="20"/>
                <w:szCs w:val="20"/>
                <w:color w:val="auto"/>
              </w:rPr>
            </w:pPr>
            <w:r>
              <w:rPr>
                <w:rFonts w:ascii="Arial" w:cs="Arial" w:eastAsia="Arial" w:hAnsi="Arial"/>
                <w:sz w:val="16"/>
                <w:szCs w:val="16"/>
                <w:b w:val="1"/>
                <w:bCs w:val="1"/>
                <w:color w:val="auto"/>
              </w:rPr>
              <w:t>May 29,</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200"/>
              <w:spacing w:after="0" w:line="158" w:lineRule="exact"/>
              <w:rPr>
                <w:sz w:val="20"/>
                <w:szCs w:val="20"/>
                <w:color w:val="auto"/>
              </w:rPr>
            </w:pPr>
            <w:r>
              <w:rPr>
                <w:rFonts w:ascii="Arial" w:cs="Arial" w:eastAsia="Arial" w:hAnsi="Arial"/>
                <w:sz w:val="16"/>
                <w:szCs w:val="16"/>
                <w:b w:val="1"/>
                <w:bCs w:val="1"/>
                <w:color w:val="auto"/>
              </w:rPr>
              <w:t>May 28,</w:t>
            </w:r>
          </w:p>
        </w:tc>
        <w:tc>
          <w:tcPr>
            <w:tcW w:w="3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439"/>
              <w:spacing w:after="0" w:line="158" w:lineRule="exact"/>
              <w:rPr>
                <w:sz w:val="20"/>
                <w:szCs w:val="20"/>
                <w:color w:val="auto"/>
              </w:rPr>
            </w:pPr>
            <w:r>
              <w:rPr>
                <w:rFonts w:ascii="Arial" w:cs="Arial" w:eastAsia="Arial" w:hAnsi="Arial"/>
                <w:sz w:val="16"/>
                <w:szCs w:val="16"/>
                <w:b w:val="1"/>
                <w:bCs w:val="1"/>
                <w:color w:val="auto"/>
              </w:rPr>
              <w:t>May 29,</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35"/>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117,222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71,295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308,027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197,786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33,565</w:t>
            </w: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Dilutive impact of stock compensation awards</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Dilutive impact of convertible notes</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57"/>
        </w:trPr>
        <w:tc>
          <w:tcPr>
            <w:tcW w:w="4440" w:type="dxa"/>
            <w:vAlign w:val="bottom"/>
          </w:tcPr>
          <w:p>
            <w:pPr>
              <w:ind w:left="20"/>
              <w:spacing w:after="0" w:line="158" w:lineRule="exact"/>
              <w:rPr>
                <w:sz w:val="20"/>
                <w:szCs w:val="20"/>
                <w:color w:val="auto"/>
              </w:rPr>
            </w:pPr>
            <w:r>
              <w:rPr>
                <w:rFonts w:ascii="Arial" w:cs="Arial" w:eastAsia="Arial" w:hAnsi="Arial"/>
                <w:sz w:val="16"/>
                <w:szCs w:val="16"/>
                <w:color w:val="auto"/>
              </w:rPr>
              <w:t>Weighted average common shares outstanding, assuming</w:t>
            </w:r>
          </w:p>
        </w:tc>
        <w:tc>
          <w:tcPr>
            <w:tcW w:w="3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32,855</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34,772</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33,559</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33,943</w:t>
            </w:r>
          </w:p>
        </w:tc>
        <w:tc>
          <w:tcPr>
            <w:tcW w:w="0" w:type="dxa"/>
            <w:vAlign w:val="bottom"/>
          </w:tcPr>
          <w:p>
            <w:pPr>
              <w:spacing w:after="0"/>
              <w:rPr>
                <w:sz w:val="1"/>
                <w:szCs w:val="1"/>
                <w:color w:val="auto"/>
              </w:rPr>
            </w:pPr>
          </w:p>
        </w:tc>
      </w:tr>
      <w:tr>
        <w:trPr>
          <w:trHeight w:val="174"/>
        </w:trPr>
        <w:tc>
          <w:tcPr>
            <w:tcW w:w="4440" w:type="dxa"/>
            <w:vAlign w:val="bottom"/>
          </w:tcPr>
          <w:p>
            <w:pPr>
              <w:ind w:left="20"/>
              <w:spacing w:after="0" w:line="174" w:lineRule="exact"/>
              <w:rPr>
                <w:sz w:val="20"/>
                <w:szCs w:val="20"/>
                <w:color w:val="auto"/>
              </w:rPr>
            </w:pPr>
            <w:r>
              <w:rPr>
                <w:rFonts w:ascii="Arial" w:cs="Arial" w:eastAsia="Arial" w:hAnsi="Arial"/>
                <w:sz w:val="16"/>
                <w:szCs w:val="16"/>
                <w:color w:val="auto"/>
              </w:rPr>
              <w:t>dilution</w:t>
            </w: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440" w:type="dxa"/>
            <w:vAlign w:val="bottom"/>
          </w:tcPr>
          <w:p>
            <w:pPr>
              <w:ind w:left="20"/>
              <w:spacing w:after="0" w:line="178" w:lineRule="exact"/>
              <w:rPr>
                <w:sz w:val="20"/>
                <w:szCs w:val="20"/>
                <w:color w:val="auto"/>
              </w:rPr>
            </w:pPr>
            <w:r>
              <w:rPr>
                <w:rFonts w:ascii="Arial" w:cs="Arial" w:eastAsia="Arial" w:hAnsi="Arial"/>
                <w:sz w:val="16"/>
                <w:szCs w:val="16"/>
                <w:color w:val="auto"/>
              </w:rPr>
              <w:t>Anti-dilutive securities excluded from weighted average</w:t>
            </w: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440" w:type="dxa"/>
            <w:vAlign w:val="bottom"/>
          </w:tcPr>
          <w:p>
            <w:pPr>
              <w:ind w:left="20"/>
              <w:spacing w:after="0"/>
              <w:rPr>
                <w:sz w:val="20"/>
                <w:szCs w:val="20"/>
                <w:color w:val="auto"/>
              </w:rPr>
            </w:pPr>
            <w:r>
              <w:rPr>
                <w:rFonts w:ascii="Arial" w:cs="Arial" w:eastAsia="Arial" w:hAnsi="Arial"/>
                <w:sz w:val="16"/>
                <w:szCs w:val="16"/>
                <w:color w:val="auto"/>
              </w:rPr>
              <w:t>common shares outstanding, assuming dilution</w:t>
            </w: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65"/>
        </w:trPr>
        <w:tc>
          <w:tcPr>
            <w:tcW w:w="4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Basic earnings per common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Under the treasury stock method, shares associated with certain anti-dilutive securities have been excluded from the diluted weighted average shares outstanding calculation because the exercise of those options would lead to a net reduction in common shares outstanding or anti-dilution.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228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6"/>
        </w:trPr>
        <w:tc>
          <w:tcPr>
            <w:tcW w:w="4640" w:type="dxa"/>
            <w:vAlign w:val="bottom"/>
            <w:gridSpan w:val="5"/>
          </w:tcPr>
          <w:p>
            <w:pPr>
              <w:spacing w:after="0"/>
              <w:rPr>
                <w:sz w:val="20"/>
                <w:szCs w:val="20"/>
                <w:color w:val="auto"/>
              </w:rPr>
            </w:pPr>
            <w:r>
              <w:rPr>
                <w:rFonts w:ascii="Arial" w:cs="Arial" w:eastAsia="Arial" w:hAnsi="Arial"/>
                <w:sz w:val="16"/>
                <w:szCs w:val="16"/>
                <w:b w:val="1"/>
                <w:bCs w:val="1"/>
                <w:color w:val="auto"/>
              </w:rPr>
              <w:t>Note 16. Accumulated Other Comprehensive Income (Loss)</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00" w:type="dxa"/>
            <w:vAlign w:val="bottom"/>
            <w:gridSpan w:val="13"/>
          </w:tcPr>
          <w:p>
            <w:pPr>
              <w:spacing w:after="0"/>
              <w:rPr>
                <w:sz w:val="20"/>
                <w:szCs w:val="20"/>
                <w:color w:val="auto"/>
              </w:rPr>
            </w:pPr>
            <w:r>
              <w:rPr>
                <w:rFonts w:ascii="Arial" w:cs="Arial" w:eastAsia="Arial" w:hAnsi="Arial"/>
                <w:sz w:val="16"/>
                <w:szCs w:val="16"/>
                <w:color w:val="auto"/>
              </w:rPr>
              <w:t>Changes in Accumulated Other Comprehensive Income ("AOCI") by component, net of tax, were:</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8"/>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6"/>
          </w:tcPr>
          <w:p>
            <w:pPr>
              <w:jc w:val="right"/>
              <w:ind w:right="8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6"/>
                <w:szCs w:val="16"/>
                <w:b w:val="1"/>
                <w:bCs w:val="1"/>
                <w:color w:val="auto"/>
              </w:rPr>
              <w:t>May 28, 2022</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May 29, 2021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6"/>
                <w:szCs w:val="16"/>
                <w:b w:val="1"/>
                <w:bCs w:val="1"/>
                <w:color w:val="auto"/>
              </w:rPr>
              <w:t>May 28, 2022</w:t>
            </w: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May 29, 2021</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99"/>
              <w:spacing w:after="0" w:line="156" w:lineRule="exact"/>
              <w:rPr>
                <w:sz w:val="20"/>
                <w:szCs w:val="20"/>
                <w:color w:val="auto"/>
              </w:rPr>
            </w:pPr>
            <w:r>
              <w:rPr>
                <w:rFonts w:ascii="Arial" w:cs="Arial" w:eastAsia="Arial" w:hAnsi="Arial"/>
                <w:sz w:val="16"/>
                <w:szCs w:val="16"/>
                <w:b w:val="1"/>
                <w:bCs w:val="1"/>
                <w:color w:val="auto"/>
              </w:rPr>
              <w:t>Defined Benefit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center"/>
              <w:ind w:right="99"/>
              <w:spacing w:after="0" w:line="156" w:lineRule="exact"/>
              <w:rPr>
                <w:sz w:val="20"/>
                <w:szCs w:val="20"/>
                <w:color w:val="auto"/>
              </w:rPr>
            </w:pPr>
            <w:r>
              <w:rPr>
                <w:rFonts w:ascii="Arial" w:cs="Arial" w:eastAsia="Arial" w:hAnsi="Arial"/>
                <w:sz w:val="16"/>
                <w:szCs w:val="16"/>
                <w:b w:val="1"/>
                <w:bCs w:val="1"/>
                <w:color w:val="auto"/>
              </w:rPr>
              <w:t>Defined Benefit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center"/>
              <w:ind w:right="119"/>
              <w:spacing w:after="0" w:line="156" w:lineRule="exact"/>
              <w:rPr>
                <w:sz w:val="20"/>
                <w:szCs w:val="20"/>
                <w:color w:val="auto"/>
              </w:rPr>
            </w:pPr>
            <w:r>
              <w:rPr>
                <w:rFonts w:ascii="Arial" w:cs="Arial" w:eastAsia="Arial" w:hAnsi="Arial"/>
                <w:sz w:val="16"/>
                <w:szCs w:val="16"/>
                <w:b w:val="1"/>
                <w:bCs w:val="1"/>
                <w:color w:val="auto"/>
              </w:rPr>
              <w:t>Defined Benefit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center"/>
              <w:ind w:right="79"/>
              <w:spacing w:after="0" w:line="156" w:lineRule="exact"/>
              <w:rPr>
                <w:sz w:val="20"/>
                <w:szCs w:val="20"/>
                <w:color w:val="auto"/>
              </w:rPr>
            </w:pPr>
            <w:r>
              <w:rPr>
                <w:rFonts w:ascii="Arial" w:cs="Arial" w:eastAsia="Arial" w:hAnsi="Arial"/>
                <w:sz w:val="16"/>
                <w:szCs w:val="16"/>
                <w:b w:val="1"/>
                <w:bCs w:val="1"/>
                <w:color w:val="auto"/>
              </w:rPr>
              <w:t>Defined Benefit</w:t>
            </w:r>
          </w:p>
        </w:tc>
        <w:tc>
          <w:tcPr>
            <w:tcW w:w="0" w:type="dxa"/>
            <w:vAlign w:val="bottom"/>
          </w:tcPr>
          <w:p>
            <w:pPr>
              <w:spacing w:after="0"/>
              <w:rPr>
                <w:sz w:val="1"/>
                <w:szCs w:val="1"/>
                <w:color w:val="auto"/>
              </w:rPr>
            </w:pPr>
          </w:p>
        </w:tc>
      </w:tr>
      <w:tr>
        <w:trPr>
          <w:trHeight w:val="216"/>
        </w:trPr>
        <w:tc>
          <w:tcPr>
            <w:tcW w:w="228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9"/>
              </w:rPr>
              <w:t>Pension Items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rPr>
              <w:t>Pension Items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rPr>
              <w:t>Pension Items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79"/>
              <w:spacing w:after="0"/>
              <w:rPr>
                <w:sz w:val="20"/>
                <w:szCs w:val="20"/>
                <w:color w:val="auto"/>
              </w:rPr>
            </w:pPr>
            <w:r>
              <w:rPr>
                <w:rFonts w:ascii="Arial" w:cs="Arial" w:eastAsia="Arial" w:hAnsi="Arial"/>
                <w:sz w:val="16"/>
                <w:szCs w:val="16"/>
                <w:b w:val="1"/>
                <w:bCs w:val="1"/>
                <w:color w:val="auto"/>
              </w:rPr>
              <w:t>Pension Items</w:t>
            </w:r>
          </w:p>
        </w:tc>
        <w:tc>
          <w:tcPr>
            <w:tcW w:w="0" w:type="dxa"/>
            <w:vAlign w:val="bottom"/>
          </w:tcPr>
          <w:p>
            <w:pPr>
              <w:spacing w:after="0"/>
              <w:rPr>
                <w:sz w:val="1"/>
                <w:szCs w:val="1"/>
                <w:color w:val="auto"/>
              </w:rPr>
            </w:pPr>
          </w:p>
        </w:tc>
      </w:tr>
      <w:tr>
        <w:trPr>
          <w:trHeight w:val="209"/>
        </w:trPr>
        <w:tc>
          <w:tcPr>
            <w:tcW w:w="22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Amounts reclassified from AOCI</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0"/>
        </w:trPr>
        <w:tc>
          <w:tcPr>
            <w:tcW w:w="2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current-period OCI</w:t>
            </w:r>
          </w:p>
        </w:tc>
        <w:tc>
          <w:tcPr>
            <w:tcW w:w="2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2"/>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Balance at end of period</w:t>
            </w:r>
          </w:p>
        </w:tc>
        <w:tc>
          <w:tcPr>
            <w:tcW w:w="216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
        </w:trPr>
        <w:tc>
          <w:tcPr>
            <w:tcW w:w="4440" w:type="dxa"/>
            <w:vAlign w:val="bottom"/>
            <w:gridSpan w:val="3"/>
            <w:vMerge w:val="restart"/>
          </w:tcPr>
          <w:p>
            <w:pPr>
              <w:spacing w:after="0"/>
              <w:rPr>
                <w:sz w:val="20"/>
                <w:szCs w:val="20"/>
                <w:color w:val="auto"/>
              </w:rPr>
            </w:pPr>
            <w:r>
              <w:rPr>
                <w:rFonts w:ascii="Arial" w:cs="Arial" w:eastAsia="Arial" w:hAnsi="Arial"/>
                <w:sz w:val="16"/>
                <w:szCs w:val="16"/>
                <w:color w:val="auto"/>
              </w:rPr>
              <w:t>Reclassifications out of AOCI, net of tax, were:</w:t>
            </w: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44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gridSpan w:val="8"/>
          </w:tcPr>
          <w:p>
            <w:pPr>
              <w:ind w:left="74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60" w:type="dxa"/>
            <w:vAlign w:val="bottom"/>
            <w:gridSpan w:val="6"/>
          </w:tcPr>
          <w:p>
            <w:pPr>
              <w:jc w:val="right"/>
              <w:ind w:right="8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60" w:type="dxa"/>
            <w:vAlign w:val="bottom"/>
          </w:tcPr>
          <w:p>
            <w:pPr>
              <w:jc w:val="center"/>
              <w:spacing w:after="0" w:line="148" w:lineRule="exact"/>
              <w:rPr>
                <w:sz w:val="20"/>
                <w:szCs w:val="20"/>
                <w:color w:val="auto"/>
              </w:rPr>
            </w:pPr>
            <w:r>
              <w:rPr>
                <w:rFonts w:ascii="Arial" w:cs="Arial" w:eastAsia="Arial" w:hAnsi="Arial"/>
                <w:sz w:val="16"/>
                <w:szCs w:val="16"/>
                <w:b w:val="1"/>
                <w:bCs w:val="1"/>
                <w:color w:val="auto"/>
              </w:rPr>
              <w:t>Location on Consolidated</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Statements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vMerge w:val="restart"/>
          </w:tcPr>
          <w:p>
            <w:pPr>
              <w:ind w:left="380"/>
              <w:spacing w:after="0"/>
              <w:rPr>
                <w:sz w:val="20"/>
                <w:szCs w:val="20"/>
                <w:color w:val="auto"/>
              </w:rPr>
            </w:pPr>
            <w:r>
              <w:rPr>
                <w:rFonts w:ascii="Arial" w:cs="Arial" w:eastAsia="Arial" w:hAnsi="Arial"/>
                <w:sz w:val="16"/>
                <w:szCs w:val="16"/>
                <w:b w:val="1"/>
                <w:bCs w:val="1"/>
                <w:color w:val="auto"/>
              </w:rPr>
              <w:t>May 28,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vMerge w:val="restart"/>
          </w:tcPr>
          <w:p>
            <w:pPr>
              <w:ind w:left="380"/>
              <w:spacing w:after="0"/>
              <w:rPr>
                <w:sz w:val="20"/>
                <w:szCs w:val="20"/>
                <w:color w:val="auto"/>
              </w:rPr>
            </w:pPr>
            <w:r>
              <w:rPr>
                <w:rFonts w:ascii="Arial" w:cs="Arial" w:eastAsia="Arial" w:hAnsi="Arial"/>
                <w:sz w:val="16"/>
                <w:szCs w:val="16"/>
                <w:b w:val="1"/>
                <w:bCs w:val="1"/>
                <w:color w:val="auto"/>
              </w:rPr>
              <w:t>May 29,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vMerge w:val="restart"/>
          </w:tcPr>
          <w:p>
            <w:pPr>
              <w:ind w:left="360"/>
              <w:spacing w:after="0"/>
              <w:rPr>
                <w:sz w:val="20"/>
                <w:szCs w:val="20"/>
                <w:color w:val="auto"/>
              </w:rPr>
            </w:pPr>
            <w:r>
              <w:rPr>
                <w:rFonts w:ascii="Arial" w:cs="Arial" w:eastAsia="Arial" w:hAnsi="Arial"/>
                <w:sz w:val="16"/>
                <w:szCs w:val="16"/>
                <w:b w:val="1"/>
                <w:bCs w:val="1"/>
                <w:color w:val="auto"/>
              </w:rPr>
              <w:t>May 28,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May 29,</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of Income and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Comprehensive Income</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71"/>
        </w:trPr>
        <w:tc>
          <w:tcPr>
            <w:tcW w:w="228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6"/>
                <w:szCs w:val="16"/>
                <w:color w:val="auto"/>
              </w:rPr>
              <w:t>Amortization of net actuarial</w:t>
            </w:r>
          </w:p>
        </w:tc>
        <w:tc>
          <w:tcPr>
            <w:tcW w:w="21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SG&amp;A</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14"/>
        </w:trPr>
        <w:tc>
          <w:tcPr>
            <w:tcW w:w="22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loss</w:t>
            </w:r>
          </w:p>
        </w:tc>
        <w:tc>
          <w:tcPr>
            <w:tcW w:w="2160" w:type="dxa"/>
            <w:vAlign w:val="bottom"/>
            <w:vMerge w:val="continue"/>
            <w:shd w:val="clear" w:color="auto" w:fill="CCEEFF"/>
          </w:tcPr>
          <w:p>
            <w:pPr>
              <w:spacing w:after="0"/>
              <w:rPr>
                <w:sz w:val="9"/>
                <w:szCs w:val="9"/>
                <w:color w:val="auto"/>
              </w:rPr>
            </w:pPr>
          </w:p>
        </w:tc>
        <w:tc>
          <w:tcPr>
            <w:tcW w:w="20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gridSpan w:val="2"/>
            <w:vMerge w:val="continue"/>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gridSpan w:val="2"/>
            <w:vMerge w:val="continue"/>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gridSpan w:val="2"/>
            <w:vMerge w:val="continue"/>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280" w:type="dxa"/>
            <w:vAlign w:val="bottom"/>
            <w:gridSpan w:val="2"/>
            <w:vMerge w:val="continue"/>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23"/>
        </w:trPr>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22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2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terms "Winnebago," "we," "us," and "our," unless the context otherwise requires, refer to Winnebago Industries, Inc. and its wholly-owned subsidiaries.</w:t>
      </w:r>
    </w:p>
    <w:p>
      <w:pPr>
        <w:spacing w:after="0" w:line="24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w:t>
      </w:r>
    </w:p>
    <w:p>
      <w:pPr>
        <w:spacing w:after="0" w:line="22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Our MD&amp;A should be read in conjunction with the Consolidated Financial Statements and related Notes included in Item 1 of Part I of this Quarterly Report on Form 10-Q and our Annual Report on Form 10-K for the fiscal year ended August 28, 2021 (including the information presented therein under Risk Factors), as well as our reports on Forms 10-Q and 8-K and other publicly available information. All amounts herein are unaudited. All amounts in tables are in thousands, except share and per share data, unless otherwise noted.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Winnebago Industries, Inc. is one of the leading North American manufacturers of recreation vehicles ("RV"s) and marine products with a diversified portfolio used primarily in leisure travel and outdoor recreational activities. We produce our motorhome units in Iowa and Indiana; our towable units in Indiana; and our marine units in Indiana and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Macroeconomic Events</w:t>
      </w:r>
    </w:p>
    <w:p>
      <w:pPr>
        <w:spacing w:after="0" w:line="13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February 2022, the United States announced targeted economic sanctions on Russia in response to the military conflict in Ukraine. As described in Part I, Item 1A — Risk Factors, in the Annual Report on Form 10-K for the fiscal year ended August 28, 2021, our business may be sensitive to economic conditions such as the adverse impact of global tensions, which could impact input costs, consumer spending, and fuel prices. As our operations are primarily in North America, we have no direct exposure to Russia and Ukraine. However, we are actively monitoring the broader economic impact of the crisis, especially the potential impact of rising commodity and fuel prices, and the potential decreased demand for our products.</w:t>
      </w:r>
    </w:p>
    <w:p>
      <w:pPr>
        <w:spacing w:after="0" w:line="230"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212529"/>
        </w:rPr>
        <w:t xml:space="preserve">The COVID-19 pandemic has resulted in </w:t>
      </w:r>
      <w:r>
        <w:rPr>
          <w:rFonts w:ascii="Arial" w:cs="Arial" w:eastAsia="Arial" w:hAnsi="Arial"/>
          <w:sz w:val="16"/>
          <w:szCs w:val="16"/>
          <w:color w:val="000000"/>
        </w:rPr>
        <w:t>strong retail demand by consumers of RVs as a safe travel option, and of marine products as a safe way to</w:t>
      </w:r>
      <w:r>
        <w:rPr>
          <w:rFonts w:ascii="Arial" w:cs="Arial" w:eastAsia="Arial" w:hAnsi="Arial"/>
          <w:sz w:val="16"/>
          <w:szCs w:val="16"/>
          <w:color w:val="212529"/>
        </w:rPr>
        <w:t xml:space="preserve"> </w:t>
      </w:r>
      <w:r>
        <w:rPr>
          <w:rFonts w:ascii="Arial" w:cs="Arial" w:eastAsia="Arial" w:hAnsi="Arial"/>
          <w:sz w:val="16"/>
          <w:szCs w:val="16"/>
          <w:color w:val="000000"/>
        </w:rPr>
        <w:t xml:space="preserve">experience the outdoors. However, the pandemic has also caused global supply chain disruption. Our production has experienced certain supply shortages, particularly within our Motorhome and Marine segments, as well as material and component cost inflation. If these disruptions continue, or if there are additional disruptions in our supply chain, it could materially or adversely impact our operating results and financial condition. Despite certain supply shortages and inflationary cost input pressures, we continue to actively manage through these temporary supply chain disruptions. </w:t>
      </w:r>
      <w:r>
        <w:rPr>
          <w:rFonts w:ascii="Arial" w:cs="Arial" w:eastAsia="Arial" w:hAnsi="Arial"/>
          <w:sz w:val="16"/>
          <w:szCs w:val="16"/>
          <w:color w:val="212529"/>
        </w:rPr>
        <w:t>Refer to the COVID-19</w:t>
      </w:r>
      <w:r>
        <w:rPr>
          <w:rFonts w:ascii="Arial" w:cs="Arial" w:eastAsia="Arial" w:hAnsi="Arial"/>
          <w:sz w:val="16"/>
          <w:szCs w:val="16"/>
          <w:color w:val="000000"/>
        </w:rPr>
        <w:t xml:space="preserve"> </w:t>
      </w:r>
      <w:r>
        <w:rPr>
          <w:rFonts w:ascii="Arial" w:cs="Arial" w:eastAsia="Arial" w:hAnsi="Arial"/>
          <w:sz w:val="16"/>
          <w:szCs w:val="16"/>
          <w:color w:val="212529"/>
        </w:rPr>
        <w:t>related risk factors disclosed in Item 1A of Part I in our Annual Report on Form 10-K for the fiscal year ended August 28, 2021.</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Barletta</w:t>
      </w:r>
    </w:p>
    <w:p>
      <w:pPr>
        <w:spacing w:after="0" w:line="13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On August 31, 2021, we completed our acquisition of all the equity interests of Barletta for $286.3 million funded with cash payments of $240.1 million, $25.0 million in common stock issued to the sellers (subject to a 12% discount), and contingent consideration from earnout provisions. For further discussion regarding the acquisition, refer to Note 2 to the Notes to Consolidated Financial Statements, included in Item 1 of Part I in this Quarterly Report on Form 10-Q.</w:t>
      </w:r>
    </w:p>
    <w:p>
      <w:pPr>
        <w:spacing w:after="0" w:line="200" w:lineRule="exact"/>
        <w:rPr>
          <w:sz w:val="20"/>
          <w:szCs w:val="20"/>
          <w:color w:val="auto"/>
        </w:rPr>
      </w:pPr>
    </w:p>
    <w:p>
      <w:pPr>
        <w:spacing w:after="0" w:line="219"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acquisition of Barletta resulted in a newly created Marine reportable segment effective as of the first quarter of Fiscal 2022. The segment consists of Barletta and our existing Chris-Craft operating segment.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33"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This MD&amp;A includes financial information prepared in accordance with generally accepted accounting principles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Included in "Results of Operations" below for the three and nine months ended May 28, 2022 compared to the comparable prior year period is a reconciliation of EBITDA and Adjusted EBITDA from net income, the nearest GAAP measure. We have included these non-GAAP performance measures as a comparable measure to illustrate the effect of non-recurring transactions that occurred during the reported periods and to improve comparability of our results from period to period. We believe Adjusted EBITDA provides meaningful supplemental information about our operating performance as this measure excludes amounts from net income that we do not consider part of our core operating results when assessing our performance. Examples of items excluded from Adjusted EBITDA include acquisition-related costs, litigation reserves, restructuring expenses, gain or loss on sale of property, plant and equipment, contingent consideration fair value adjustment, and non-operating income or loss.</w:t>
      </w:r>
    </w:p>
    <w:p>
      <w:pPr>
        <w:spacing w:after="0" w:line="23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used by management in their assessment of performance and in forecasting; (d) to evaluate potential acquisitions; and (e) to ensure compliance with covenants and restricted activities under the terms of our ABL Credit Facility and outstanding notes, as further described in Note 9 to the Consolidated Financial Statements included in Item 1 of Part I of this Quarterly Report on Form 10-Q. We believe these non-GAAP financial measures are frequently used by securities analysts, investors and other interested parties to evaluate companies in the industry.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120" w:lineRule="exact"/>
        <w:rPr>
          <w:sz w:val="20"/>
          <w:szCs w:val="20"/>
          <w:color w:val="auto"/>
        </w:rPr>
      </w:pPr>
    </w:p>
    <w:p>
      <w:pPr>
        <w:jc w:val="both"/>
        <w:ind w:right="260"/>
        <w:spacing w:after="0" w:line="237" w:lineRule="auto"/>
        <w:rPr>
          <w:sz w:val="20"/>
          <w:szCs w:val="20"/>
          <w:color w:val="auto"/>
        </w:rPr>
      </w:pPr>
      <w:r>
        <w:rPr>
          <w:rFonts w:ascii="Arial" w:cs="Arial" w:eastAsia="Arial" w:hAnsi="Arial"/>
          <w:sz w:val="16"/>
          <w:szCs w:val="16"/>
          <w:color w:val="auto"/>
        </w:rPr>
        <w:t>The RV and marine industries continue to experience shipping delays, and material and component cost inflation. In addition, both industries continue to experience supply chain disruptions and shortages, particularly within the Motorhome and Marine segments. While we continue to manage through these supply chain disruptions, they have impacted our ability to increase production to meet existing demand in the current fiscal year.</w:t>
      </w:r>
    </w:p>
    <w:p>
      <w:pPr>
        <w:spacing w:after="0" w:line="224"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We believe field inventory for our Towable segment is returning to normalized levels to adequately serve end consumer demand, whereas field inventory for our Motorhome and Marine segments remain lower than desired by our dealer network, which indicates future strength in wholesale shipments. We continue to produce and ship in accordance with dealer demand as evidenced and requested by dealer orders.</w:t>
      </w:r>
    </w:p>
    <w:p>
      <w:pPr>
        <w:spacing w:after="0" w:line="224" w:lineRule="exact"/>
        <w:rPr>
          <w:sz w:val="20"/>
          <w:szCs w:val="20"/>
          <w:color w:val="auto"/>
        </w:rPr>
      </w:pPr>
    </w:p>
    <w:p>
      <w:pPr>
        <w:ind w:right="60"/>
        <w:spacing w:after="0" w:line="232" w:lineRule="auto"/>
        <w:rPr>
          <w:sz w:val="20"/>
          <w:szCs w:val="20"/>
          <w:color w:val="auto"/>
        </w:rPr>
      </w:pPr>
      <w:r>
        <w:rPr>
          <w:rFonts w:ascii="Arial" w:cs="Arial" w:eastAsia="Arial" w:hAnsi="Arial"/>
          <w:sz w:val="16"/>
          <w:szCs w:val="16"/>
          <w:color w:val="auto"/>
        </w:rPr>
        <w:t>RV industry retail sales have been softening compared to record prior year levels, however we still believe in the long-term health of consumer demand for RV and marine products. More people are pursuing outdoor activities, household penetration of RVs is increasing, and campers are more diverse than ever. According to statistics published by Kampgrounds of America, Inc. (KOA), over 14 million households camped for the first time in 2020 and 2021, and combined with record levels of first-time buyers of RVs over the past two years, a tailwind exists for new product and upgrade-related sales. While we believe in these outdoor lifestyle secular trends in the long term, current macroeconomic trends such as inflation, rising interest rates and low consumer sentiment, as well as global political issues, do provide a risk to short-term consumer demand for large discretionary products such as RVs and Marine products, which could in turn impact our future revenue and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Three Months Ended May 28, 2022 Compared to the Three Months Ended May 29, 2021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for the three months ended May 28, 2022 compared to the three months ended May 29,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4"/>
                <w:szCs w:val="14"/>
                <w:color w:val="auto"/>
              </w:rPr>
              <w:t>($ in thousands, except per share data)</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28, 2022</w:t>
            </w:r>
          </w:p>
        </w:tc>
        <w:tc>
          <w:tcPr>
            <w:tcW w:w="1440" w:type="dxa"/>
            <w:vAlign w:val="bottom"/>
            <w:gridSpan w:val="2"/>
          </w:tcPr>
          <w:p>
            <w:pPr>
              <w:ind w:left="20"/>
              <w:spacing w:after="0" w:line="213"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May 29, 2021</w:t>
            </w:r>
          </w:p>
        </w:tc>
        <w:tc>
          <w:tcPr>
            <w:tcW w:w="1420" w:type="dxa"/>
            <w:vAlign w:val="bottom"/>
            <w:gridSpan w:val="2"/>
          </w:tcPr>
          <w:p>
            <w:pPr>
              <w:ind w:left="20"/>
              <w:spacing w:after="0" w:line="213"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1,458,138</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960,737</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497,401</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51.8 %</w:t>
            </w:r>
          </w:p>
        </w:tc>
      </w:tr>
      <w:tr>
        <w:trPr>
          <w:trHeight w:val="213"/>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1,185,174</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791,125</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82.3 %</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394,049</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49.8 %</w:t>
            </w:r>
          </w:p>
        </w:tc>
      </w:tr>
      <w:tr>
        <w:trPr>
          <w:trHeight w:val="213"/>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272,964</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169,612</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17.7 %</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103,352</w:t>
            </w: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60.9 %</w:t>
            </w:r>
          </w:p>
        </w:tc>
      </w:tr>
      <w:tr>
        <w:trPr>
          <w:trHeight w:val="157"/>
        </w:trPr>
        <w:tc>
          <w:tcPr>
            <w:tcW w:w="2880" w:type="dxa"/>
            <w:vAlign w:val="bottom"/>
          </w:tcPr>
          <w:p>
            <w:pPr>
              <w:ind w:left="20"/>
              <w:spacing w:after="0" w:line="158" w:lineRule="exact"/>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98"/>
        </w:trPr>
        <w:tc>
          <w:tcPr>
            <w:tcW w:w="2880" w:type="dxa"/>
            <w:vAlign w:val="bottom"/>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88,231</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63,586</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24,645</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38.8 %</w:t>
            </w: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8,016</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4,426</w:t>
            </w: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123.3 %</w:t>
            </w:r>
          </w:p>
        </w:tc>
      </w:tr>
      <w:tr>
        <w:trPr>
          <w:trHeight w:val="209"/>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96,247</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67,176</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29,071</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43.3 %</w:t>
            </w:r>
          </w:p>
        </w:tc>
      </w:tr>
      <w:tr>
        <w:trPr>
          <w:trHeight w:val="213"/>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176,717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102,436</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74,281</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72.5 %</w:t>
            </w: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10,511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10,229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(11,751)</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(12,635.5)%</w:t>
            </w: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154,548</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10.6 %</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92,300</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62,248</w:t>
            </w:r>
          </w:p>
        </w:tc>
        <w:tc>
          <w:tcPr>
            <w:tcW w:w="1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67.4 %</w:t>
            </w: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37,326</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21,005</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16,321</w:t>
            </w: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77.7 %</w:t>
            </w: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117,222</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71,295</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45,927</w:t>
            </w: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64.4 %</w:t>
            </w: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74.1 %</w:t>
            </w:r>
          </w:p>
        </w:tc>
      </w:tr>
      <w:tr>
        <w:trPr>
          <w:trHeight w:val="180"/>
        </w:trPr>
        <w:tc>
          <w:tcPr>
            <w:tcW w:w="28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Diluted weighted average shares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01"/>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32,855</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34,772</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bl>
    <w:p>
      <w:pPr>
        <w:spacing w:after="0" w:line="84" w:lineRule="exact"/>
        <w:rPr>
          <w:sz w:val="20"/>
          <w:szCs w:val="20"/>
          <w:color w:val="auto"/>
        </w:rPr>
      </w:pPr>
    </w:p>
    <w:p>
      <w:pPr>
        <w:ind w:left="300" w:hanging="292"/>
        <w:spacing w:after="0"/>
        <w:tabs>
          <w:tab w:leader="none" w:pos="300" w:val="left"/>
        </w:tabs>
        <w:numPr>
          <w:ilvl w:val="0"/>
          <w:numId w:val="6"/>
        </w:numPr>
        <w:rPr>
          <w:rFonts w:ascii="Arial" w:cs="Arial" w:eastAsia="Arial" w:hAnsi="Arial"/>
          <w:sz w:val="21"/>
          <w:szCs w:val="21"/>
          <w:color w:val="auto"/>
          <w:vertAlign w:val="superscript"/>
        </w:rPr>
      </w:pPr>
      <w:r>
        <w:rPr>
          <w:rFonts w:ascii="Arial" w:cs="Arial" w:eastAsia="Arial" w:hAnsi="Arial"/>
          <w:sz w:val="14"/>
          <w:szCs w:val="14"/>
          <w:color w:val="auto"/>
        </w:rPr>
        <w:t>Percentages may not add due to rounding differences.</w:t>
      </w:r>
    </w:p>
    <w:p>
      <w:pPr>
        <w:spacing w:after="0" w:line="230"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Net revenues increased in the third quarter of Fiscal 2022 compared to the third quarter of Fiscal 2021 primarily due to price increases related to current and anticipated higher material and component costs, as well as unit growth, including incremental volume from the acquisition of Barletta.</w:t>
      </w:r>
    </w:p>
    <w:p>
      <w:pPr>
        <w:spacing w:after="0" w:line="22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Gross profit as a percentage of revenue increased in the third quarter of Fiscal 2022 compared to the third quarter of Fiscal 2021 primarily due to operating leverage, in addition to price increases and favorable segment mix, partially offset by higher material and component costs.</w:t>
      </w:r>
    </w:p>
    <w:p>
      <w:pPr>
        <w:spacing w:after="0" w:line="222"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Operating expenses increased in the third quarter of Fiscal 2022 compared to the third quarter of Fiscal 2021 primarily due to higher operating expenses to support increasing sales, and incremental operating expenses and amortization associated with the acquisition of Barletta.</w:t>
      </w:r>
    </w:p>
    <w:p>
      <w:pPr>
        <w:spacing w:after="0" w:line="222"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Non-operating loss increased in the third quarter of Fiscal 2022 compared to the third quarter of Fiscal 2021 due to the contingent consideration fair value adjustment related to the acquisition of Barletta.</w:t>
      </w:r>
    </w:p>
    <w:p>
      <w:pPr>
        <w:spacing w:after="0" w:line="209" w:lineRule="exact"/>
        <w:rPr>
          <w:sz w:val="20"/>
          <w:szCs w:val="20"/>
          <w:color w:val="auto"/>
        </w:rPr>
      </w:pPr>
    </w:p>
    <w:p>
      <w:pPr>
        <w:ind w:right="220"/>
        <w:spacing w:after="0" w:line="242" w:lineRule="auto"/>
        <w:rPr>
          <w:sz w:val="20"/>
          <w:szCs w:val="20"/>
          <w:color w:val="auto"/>
        </w:rPr>
      </w:pPr>
      <w:r>
        <w:rPr>
          <w:rFonts w:ascii="Arial" w:cs="Arial" w:eastAsia="Arial" w:hAnsi="Arial"/>
          <w:sz w:val="16"/>
          <w:szCs w:val="16"/>
          <w:color w:val="auto"/>
        </w:rPr>
        <w:t>Our effective tax rate increased in the third quarter of Fiscal 2022 compared to the third quarter of Fiscal 2021 primarily due to the impact of consistent tax credits compared to prior year over increased income in the current year and net unfavorable expense in the current year related to stock compensation.</w:t>
      </w:r>
    </w:p>
    <w:p>
      <w:pPr>
        <w:spacing w:after="0" w:line="23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Net income and diluted earnings per share increased in the third quarter of Fiscal 2022 compared to the third quarter of Fiscal 2021 primarily due to leverage gained on higher revenues, partially offset by increased operating expenses and higher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 for the three months ended May 28, 2022 and May 29,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b w:val="1"/>
                <w:bCs w:val="1"/>
                <w:color w:val="auto"/>
              </w:rPr>
              <w:t>Three Months Ended</w:t>
            </w:r>
          </w:p>
        </w:tc>
      </w:tr>
      <w:tr>
        <w:trPr>
          <w:trHeight w:val="213"/>
        </w:trPr>
        <w:tc>
          <w:tcPr>
            <w:tcW w:w="74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28, 2022</w:t>
            </w:r>
          </w:p>
        </w:tc>
        <w:tc>
          <w:tcPr>
            <w:tcW w:w="260" w:type="dxa"/>
            <w:vAlign w:val="bottom"/>
          </w:tcPr>
          <w:p>
            <w:pPr>
              <w:spacing w:after="0"/>
              <w:rPr>
                <w:sz w:val="18"/>
                <w:szCs w:val="18"/>
                <w:color w:val="auto"/>
              </w:rPr>
            </w:pPr>
          </w:p>
        </w:tc>
        <w:tc>
          <w:tcPr>
            <w:tcW w:w="158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29, 2021</w:t>
            </w:r>
          </w:p>
        </w:tc>
      </w:tr>
      <w:tr>
        <w:trPr>
          <w:trHeight w:val="209"/>
        </w:trPr>
        <w:tc>
          <w:tcPr>
            <w:tcW w:w="7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117,222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71,295</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10,511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10,229</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21,005</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6,264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4,917</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r>
      <w:tr>
        <w:trPr>
          <w:trHeight w:val="209"/>
        </w:trPr>
        <w:tc>
          <w:tcPr>
            <w:tcW w:w="7460" w:type="dxa"/>
            <w:vAlign w:val="bottom"/>
          </w:tcPr>
          <w:p>
            <w:pPr>
              <w:ind w:left="140"/>
              <w:spacing w:after="0"/>
              <w:rPr>
                <w:sz w:val="20"/>
                <w:szCs w:val="20"/>
                <w:color w:val="auto"/>
              </w:rPr>
            </w:pPr>
            <w:r>
              <w:rPr>
                <w:rFonts w:ascii="Arial" w:cs="Arial" w:eastAsia="Arial" w:hAnsi="Arial"/>
                <w:sz w:val="16"/>
                <w:szCs w:val="16"/>
                <w:color w:val="auto"/>
              </w:rPr>
              <w:t>EBITDA</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179,339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111,036</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26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property, plant and equipment</w:t>
            </w:r>
          </w:p>
        </w:tc>
        <w:tc>
          <w:tcPr>
            <w:tcW w:w="2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11,830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13"/>
        </w:trPr>
        <w:tc>
          <w:tcPr>
            <w:tcW w:w="746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191,721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109,774</w:t>
            </w:r>
          </w:p>
        </w:tc>
      </w:tr>
      <w:tr>
        <w:trPr>
          <w:trHeight w:val="20"/>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129"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The following is an analysis of key changes in our Towable segment for the three months ended May 28, 2022 compared to the three months ended May 29,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rPr>
              <w:t>May 28,</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May 29,</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4"/>
                <w:szCs w:val="14"/>
                <w:color w:val="auto"/>
              </w:rPr>
              <w:t>(in thousands, except ASP and units)</w:t>
            </w:r>
          </w:p>
        </w:tc>
        <w:tc>
          <w:tcPr>
            <w:tcW w:w="280" w:type="dxa"/>
            <w:vAlign w:val="bottom"/>
          </w:tcPr>
          <w:p>
            <w:pPr>
              <w:spacing w:after="0"/>
              <w:rPr>
                <w:sz w:val="18"/>
                <w:szCs w:val="18"/>
                <w:color w:val="auto"/>
              </w:rPr>
            </w:pPr>
          </w:p>
        </w:tc>
        <w:tc>
          <w:tcPr>
            <w:tcW w:w="1160" w:type="dxa"/>
            <w:vAlign w:val="bottom"/>
          </w:tcPr>
          <w:p>
            <w:pPr>
              <w:jc w:val="center"/>
              <w:ind w:right="1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240" w:type="dxa"/>
            <w:vAlign w:val="bottom"/>
          </w:tcPr>
          <w:p>
            <w:pPr>
              <w:spacing w:after="0"/>
              <w:rPr>
                <w:sz w:val="18"/>
                <w:szCs w:val="18"/>
                <w:color w:val="auto"/>
              </w:rPr>
            </w:pPr>
          </w:p>
        </w:tc>
        <w:tc>
          <w:tcPr>
            <w:tcW w:w="1180" w:type="dxa"/>
            <w:vAlign w:val="bottom"/>
          </w:tcPr>
          <w:p>
            <w:pPr>
              <w:jc w:val="center"/>
              <w:ind w:right="1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805,567</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555,749</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249,818</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45.0 %</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117,767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80,130</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37,637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47.0 %</w:t>
            </w:r>
          </w:p>
        </w:tc>
        <w:tc>
          <w:tcPr>
            <w:tcW w:w="0" w:type="dxa"/>
            <w:vAlign w:val="bottom"/>
          </w:tcPr>
          <w:p>
            <w:pPr>
              <w:spacing w:after="0"/>
              <w:rPr>
                <w:sz w:val="1"/>
                <w:szCs w:val="1"/>
                <w:color w:val="auto"/>
              </w:rPr>
            </w:pPr>
          </w:p>
        </w:tc>
      </w:tr>
      <w:tr>
        <w:trPr>
          <w:trHeight w:val="260"/>
        </w:trPr>
        <w:tc>
          <w:tcPr>
            <w:tcW w:w="3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160" w:type="dxa"/>
            <w:vAlign w:val="bottom"/>
          </w:tcPr>
          <w:p>
            <w:pPr>
              <w:ind w:left="20"/>
              <w:spacing w:after="0"/>
              <w:rPr>
                <w:sz w:val="20"/>
                <w:szCs w:val="20"/>
                <w:color w:val="auto"/>
              </w:rPr>
            </w:pPr>
            <w:r>
              <w:rPr>
                <w:rFonts w:ascii="Arial" w:cs="Arial" w:eastAsia="Arial" w:hAnsi="Arial"/>
                <w:sz w:val="16"/>
                <w:szCs w:val="16"/>
                <w:color w:val="auto"/>
              </w:rPr>
              <w:t>Average Selling Price ("ASP")</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45,322</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32,958</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12,364</w:t>
            </w: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37.5 %</w:t>
            </w:r>
          </w:p>
        </w:tc>
        <w:tc>
          <w:tcPr>
            <w:tcW w:w="0" w:type="dxa"/>
            <w:vAlign w:val="bottom"/>
          </w:tcPr>
          <w:p>
            <w:pPr>
              <w:spacing w:after="0"/>
              <w:rPr>
                <w:sz w:val="1"/>
                <w:szCs w:val="1"/>
                <w:color w:val="auto"/>
              </w:rPr>
            </w:pPr>
          </w:p>
        </w:tc>
      </w:tr>
      <w:tr>
        <w:trPr>
          <w:trHeight w:val="323"/>
        </w:trPr>
        <w:tc>
          <w:tcPr>
            <w:tcW w:w="3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280" w:type="dxa"/>
            <w:vAlign w:val="bottom"/>
          </w:tcPr>
          <w:p>
            <w:pPr>
              <w:spacing w:after="0"/>
              <w:rPr>
                <w:sz w:val="13"/>
                <w:szCs w:val="13"/>
                <w:color w:val="auto"/>
              </w:rPr>
            </w:pPr>
          </w:p>
        </w:tc>
        <w:tc>
          <w:tcPr>
            <w:tcW w:w="126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rPr>
              <w:t>May 28,</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24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May 29,</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Unit 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center"/>
              <w:ind w:right="1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ind w:right="1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12,031</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11,089</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5,644</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5,620</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17,675</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16,709</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280" w:hanging="272"/>
        <w:spacing w:after="0"/>
        <w:tabs>
          <w:tab w:leader="none" w:pos="280" w:val="left"/>
        </w:tabs>
        <w:numPr>
          <w:ilvl w:val="0"/>
          <w:numId w:val="7"/>
        </w:numPr>
        <w:rPr>
          <w:rFonts w:ascii="Arial" w:cs="Arial" w:eastAsia="Arial" w:hAnsi="Arial"/>
          <w:sz w:val="21"/>
          <w:szCs w:val="21"/>
          <w:color w:val="auto"/>
          <w:vertAlign w:val="superscript"/>
        </w:rPr>
      </w:pPr>
      <w:r>
        <w:rPr>
          <w:rFonts w:ascii="Arial" w:cs="Arial" w:eastAsia="Arial" w:hAnsi="Arial"/>
          <w:sz w:val="14"/>
          <w:szCs w:val="14"/>
          <w:color w:val="auto"/>
        </w:rPr>
        <w:t>Average selling price excludes off-invoice dealer incentives.</w:t>
      </w:r>
    </w:p>
    <w:p>
      <w:pPr>
        <w:ind w:left="300" w:hanging="292"/>
        <w:spacing w:after="0" w:line="189" w:lineRule="auto"/>
        <w:tabs>
          <w:tab w:leader="none" w:pos="300"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Percentages may not add due to rounding differences.</w:t>
      </w:r>
    </w:p>
    <w:p>
      <w:pPr>
        <w:spacing w:after="0" w:line="230"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Net revenues increased in the third quarter of Fiscal 2022 compared to the third quarter of Fiscal 2021 primarily due to price increases related to current and anticipated higher material and component costs, and unit growth.</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Adjusted EBITDA increased in the third quarter of Fiscal 2022 compared to the third quarter of Fiscal 2021 primarily due to revenue growth, partially offset by higher operating expenses to support increasing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segment for the three months ended May 28, 2022 compared to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May 29,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May 28,</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rPr>
              <w:t>May 29,</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Arial" w:cs="Arial" w:eastAsia="Arial" w:hAnsi="Arial"/>
                <w:sz w:val="14"/>
                <w:szCs w:val="14"/>
                <w:color w:val="auto"/>
              </w:rPr>
              <w:t>(in thousands, except ASP and units)</w:t>
            </w:r>
          </w:p>
        </w:tc>
        <w:tc>
          <w:tcPr>
            <w:tcW w:w="280" w:type="dxa"/>
            <w:vAlign w:val="bottom"/>
          </w:tcPr>
          <w:p>
            <w:pPr>
              <w:spacing w:after="0"/>
              <w:rPr>
                <w:sz w:val="18"/>
                <w:szCs w:val="18"/>
                <w:color w:val="auto"/>
              </w:rPr>
            </w:pPr>
          </w:p>
        </w:tc>
        <w:tc>
          <w:tcPr>
            <w:tcW w:w="1160" w:type="dxa"/>
            <w:vAlign w:val="bottom"/>
          </w:tcPr>
          <w:p>
            <w:pPr>
              <w:jc w:val="center"/>
              <w:ind w:right="1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240" w:type="dxa"/>
            <w:vAlign w:val="bottom"/>
          </w:tcPr>
          <w:p>
            <w:pPr>
              <w:spacing w:after="0"/>
              <w:rPr>
                <w:sz w:val="18"/>
                <w:szCs w:val="18"/>
                <w:color w:val="auto"/>
              </w:rPr>
            </w:pPr>
          </w:p>
        </w:tc>
        <w:tc>
          <w:tcPr>
            <w:tcW w:w="1200" w:type="dxa"/>
            <w:vAlign w:val="bottom"/>
          </w:tcPr>
          <w:p>
            <w:pPr>
              <w:jc w:val="center"/>
              <w:ind w:right="1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516,345</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385,257</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131,088</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34.0 %</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64,388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37,467</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26,921</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71.9 %</w:t>
            </w:r>
          </w:p>
        </w:tc>
        <w:tc>
          <w:tcPr>
            <w:tcW w:w="0" w:type="dxa"/>
            <w:vAlign w:val="bottom"/>
          </w:tcPr>
          <w:p>
            <w:pPr>
              <w:spacing w:after="0"/>
              <w:rPr>
                <w:sz w:val="1"/>
                <w:szCs w:val="1"/>
                <w:color w:val="auto"/>
              </w:rPr>
            </w:pPr>
          </w:p>
        </w:tc>
      </w:tr>
      <w:tr>
        <w:trPr>
          <w:trHeight w:val="260"/>
        </w:trPr>
        <w:tc>
          <w:tcPr>
            <w:tcW w:w="3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20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159,699</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138,810</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20,889</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15.0 %</w:t>
            </w:r>
          </w:p>
        </w:tc>
        <w:tc>
          <w:tcPr>
            <w:tcW w:w="0" w:type="dxa"/>
            <w:vAlign w:val="bottom"/>
          </w:tcPr>
          <w:p>
            <w:pPr>
              <w:spacing w:after="0"/>
              <w:rPr>
                <w:sz w:val="1"/>
                <w:szCs w:val="1"/>
                <w:color w:val="auto"/>
              </w:rPr>
            </w:pPr>
          </w:p>
        </w:tc>
      </w:tr>
      <w:tr>
        <w:trPr>
          <w:trHeight w:val="310"/>
        </w:trPr>
        <w:tc>
          <w:tcPr>
            <w:tcW w:w="3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280" w:type="dxa"/>
            <w:vAlign w:val="bottom"/>
          </w:tcPr>
          <w:p>
            <w:pPr>
              <w:spacing w:after="0"/>
              <w:rPr>
                <w:sz w:val="13"/>
                <w:szCs w:val="13"/>
                <w:color w:val="auto"/>
              </w:rPr>
            </w:pPr>
          </w:p>
        </w:tc>
        <w:tc>
          <w:tcPr>
            <w:tcW w:w="12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May 28,</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(2)</w:t>
            </w:r>
          </w:p>
        </w:tc>
        <w:tc>
          <w:tcPr>
            <w:tcW w:w="240" w:type="dxa"/>
            <w:vAlign w:val="bottom"/>
          </w:tcPr>
          <w:p>
            <w:pPr>
              <w:spacing w:after="0"/>
              <w:rPr>
                <w:sz w:val="13"/>
                <w:szCs w:val="13"/>
                <w:color w:val="auto"/>
              </w:rPr>
            </w:pPr>
          </w:p>
        </w:tc>
        <w:tc>
          <w:tcPr>
            <w:tcW w:w="132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rPr>
              <w:t>May 29,</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1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Unit 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32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center"/>
              <w:ind w:right="1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1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27.3 %</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Arial" w:cs="Arial" w:eastAsia="Arial" w:hAnsi="Arial"/>
                <w:sz w:val="16"/>
                <w:szCs w:val="16"/>
                <w:color w:val="auto"/>
              </w:rPr>
              <w:t>Class B</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1,384</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50.8 %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30.1 %</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21.7 %</w:t>
            </w:r>
          </w:p>
        </w:tc>
        <w:tc>
          <w:tcPr>
            <w:tcW w:w="0" w:type="dxa"/>
            <w:vAlign w:val="bottom"/>
          </w:tcPr>
          <w:p>
            <w:pPr>
              <w:spacing w:after="0"/>
              <w:rPr>
                <w:sz w:val="1"/>
                <w:szCs w:val="1"/>
                <w:color w:val="auto"/>
              </w:rPr>
            </w:pPr>
          </w:p>
        </w:tc>
      </w:tr>
      <w:tr>
        <w:trPr>
          <w:trHeight w:val="212"/>
        </w:trPr>
        <w:tc>
          <w:tcPr>
            <w:tcW w:w="320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3,201</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2,727</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17.4 %</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80" w:hanging="272"/>
        <w:spacing w:after="0"/>
        <w:tabs>
          <w:tab w:leader="none" w:pos="280"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ASP excludes off-invoice dealer incentives.</w:t>
      </w:r>
    </w:p>
    <w:p>
      <w:pPr>
        <w:ind w:left="300" w:hanging="292"/>
        <w:spacing w:after="0" w:line="189" w:lineRule="auto"/>
        <w:tabs>
          <w:tab w:leader="none" w:pos="300" w:val="left"/>
        </w:tabs>
        <w:numPr>
          <w:ilvl w:val="0"/>
          <w:numId w:val="8"/>
        </w:numPr>
        <w:rPr>
          <w:rFonts w:ascii="Arial" w:cs="Arial" w:eastAsia="Arial" w:hAnsi="Arial"/>
          <w:sz w:val="19"/>
          <w:szCs w:val="19"/>
          <w:color w:val="auto"/>
          <w:vertAlign w:val="superscript"/>
        </w:rPr>
      </w:pPr>
      <w:r>
        <w:rPr>
          <w:rFonts w:ascii="Arial" w:cs="Arial" w:eastAsia="Arial" w:hAnsi="Arial"/>
          <w:sz w:val="13"/>
          <w:szCs w:val="13"/>
          <w:color w:val="auto"/>
        </w:rPr>
        <w:t>Percentages may not add due to rounding differences.</w:t>
      </w:r>
    </w:p>
    <w:p>
      <w:pPr>
        <w:spacing w:after="0" w:line="230"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Net revenues increased in the third quarter of Fiscal 2022 compared to the third quarter of Fiscal 2021 primarily due to price increases related to current and anticipated higher material and component costs, and unit growth.</w:t>
      </w:r>
    </w:p>
    <w:p>
      <w:pPr>
        <w:spacing w:after="0" w:line="209" w:lineRule="exact"/>
        <w:rPr>
          <w:sz w:val="20"/>
          <w:szCs w:val="20"/>
          <w:color w:val="auto"/>
        </w:rPr>
      </w:pPr>
    </w:p>
    <w:p>
      <w:pPr>
        <w:ind w:right="160"/>
        <w:spacing w:after="0" w:line="232" w:lineRule="auto"/>
        <w:rPr>
          <w:sz w:val="20"/>
          <w:szCs w:val="20"/>
          <w:color w:val="auto"/>
        </w:rPr>
      </w:pPr>
      <w:r>
        <w:rPr>
          <w:rFonts w:ascii="Arial" w:cs="Arial" w:eastAsia="Arial" w:hAnsi="Arial"/>
          <w:sz w:val="16"/>
          <w:szCs w:val="16"/>
          <w:color w:val="auto"/>
        </w:rPr>
        <w:t>Adjusted EBITDA increased in the third quarter of Fiscal 2022 compared to the third quarter of Fiscal 2021 due to revenue growth, partially offset by higher input costs.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Marine</w:t>
      </w:r>
    </w:p>
    <w:p>
      <w:pPr>
        <w:spacing w:after="0" w:line="129"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following is an analysis of key changes in our Marine segment for the three months ended May 28, 2022 compared to the three months ended May 29,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4"/>
                <w:szCs w:val="14"/>
                <w:color w:val="auto"/>
              </w:rPr>
              <w:t>(in thousands, except ASP and units)</w:t>
            </w:r>
          </w:p>
        </w:tc>
        <w:tc>
          <w:tcPr>
            <w:tcW w:w="18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29, 2021</w:t>
            </w:r>
          </w:p>
        </w:tc>
        <w:tc>
          <w:tcPr>
            <w:tcW w:w="12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126,548</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17,170</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109,378</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637.0 %</w:t>
            </w: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19,813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15.7 %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1,624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9.5 %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18,189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1,120.0 %</w:t>
            </w:r>
          </w:p>
        </w:tc>
      </w:tr>
      <w:tr>
        <w:trPr>
          <w:trHeight w:val="260"/>
        </w:trPr>
        <w:tc>
          <w:tcPr>
            <w:tcW w:w="3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68"/>
        </w:trPr>
        <w:tc>
          <w:tcPr>
            <w:tcW w:w="316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76,371</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204,114</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(127,743)</w:t>
            </w: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(62.6)%</w:t>
            </w:r>
          </w:p>
        </w:tc>
      </w:tr>
      <w:tr>
        <w:trPr>
          <w:trHeight w:val="320"/>
        </w:trPr>
        <w:tc>
          <w:tcPr>
            <w:tcW w:w="3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15"/>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29, 2021</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ind w:left="60"/>
              <w:spacing w:after="0"/>
              <w:rPr>
                <w:sz w:val="20"/>
                <w:szCs w:val="20"/>
                <w:color w:val="auto"/>
              </w:rPr>
            </w:pPr>
            <w:r>
              <w:rPr>
                <w:rFonts w:ascii="Arial" w:cs="Arial" w:eastAsia="Arial" w:hAnsi="Arial"/>
                <w:sz w:val="16"/>
                <w:szCs w:val="16"/>
                <w:b w:val="1"/>
                <w:bCs w:val="1"/>
                <w:color w:val="auto"/>
              </w:rPr>
              <w:t>Unit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1,894.0 %</w:t>
            </w:r>
          </w:p>
        </w:tc>
      </w:tr>
    </w:tbl>
    <w:p>
      <w:pPr>
        <w:spacing w:after="0" w:line="71" w:lineRule="exact"/>
        <w:rPr>
          <w:sz w:val="20"/>
          <w:szCs w:val="20"/>
          <w:color w:val="auto"/>
        </w:rPr>
      </w:pPr>
    </w:p>
    <w:p>
      <w:pPr>
        <w:ind w:left="280" w:hanging="272"/>
        <w:spacing w:after="0"/>
        <w:tabs>
          <w:tab w:leader="none" w:pos="280"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ASP excludes off-invoice dealer incentives.</w:t>
      </w:r>
    </w:p>
    <w:p>
      <w:pPr>
        <w:spacing w:after="0" w:line="230"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Net revenues increased in the third quarter of Fiscal 2022 compared to the third quarter of Fiscal 2021 primarily due to the acquisition of Barletta at the beginning of the first quarter of Fiscal 2022.</w:t>
      </w:r>
    </w:p>
    <w:p>
      <w:pPr>
        <w:spacing w:after="0" w:line="22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Adjusted EBITDA increased in the third quarter of Fiscal 2022 compared to the third quarter of Fiscal 2021 primarily due to the acquisition of Barletta at the beginning of the first quarter of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Nine Months Ended May 28, 2022 Compared to the Nine Months Ended May 29, 2021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for the nine months ended May 28, 2022 compared to the nine months ended May 29,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Nine Months Ended</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2"/>
        </w:trPr>
        <w:tc>
          <w:tcPr>
            <w:tcW w:w="2860" w:type="dxa"/>
            <w:vAlign w:val="bottom"/>
          </w:tcPr>
          <w:p>
            <w:pPr>
              <w:ind w:left="20"/>
              <w:spacing w:after="0"/>
              <w:rPr>
                <w:sz w:val="20"/>
                <w:szCs w:val="20"/>
                <w:color w:val="auto"/>
              </w:rPr>
            </w:pPr>
            <w:r>
              <w:rPr>
                <w:rFonts w:ascii="Arial" w:cs="Arial" w:eastAsia="Arial" w:hAnsi="Arial"/>
                <w:sz w:val="14"/>
                <w:szCs w:val="14"/>
                <w:color w:val="auto"/>
              </w:rPr>
              <w:t>($ in thousands, except per share data)</w:t>
            </w:r>
          </w:p>
        </w:tc>
        <w:tc>
          <w:tcPr>
            <w:tcW w:w="16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May 28, 2022</w:t>
            </w:r>
          </w:p>
        </w:tc>
        <w:tc>
          <w:tcPr>
            <w:tcW w:w="1440" w:type="dxa"/>
            <w:vAlign w:val="bottom"/>
            <w:gridSpan w:val="2"/>
          </w:tcPr>
          <w:p>
            <w:pPr>
              <w:ind w:left="20"/>
              <w:spacing w:after="0" w:line="213"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29, 2021</w:t>
            </w:r>
          </w:p>
        </w:tc>
        <w:tc>
          <w:tcPr>
            <w:tcW w:w="1420" w:type="dxa"/>
            <w:vAlign w:val="bottom"/>
            <w:gridSpan w:val="2"/>
          </w:tcPr>
          <w:p>
            <w:pPr>
              <w:ind w:left="20"/>
              <w:spacing w:after="0" w:line="213"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3,778,609</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2,593,754</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1,184,855</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45.7 %</w:t>
            </w:r>
          </w:p>
        </w:tc>
      </w:tr>
      <w:tr>
        <w:trPr>
          <w:trHeight w:val="21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3,059,656</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2,130,556</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82.1 %</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929,100</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43.6 %</w:t>
            </w: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718,953</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463,198</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17.9 %</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255,755</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55.2 %</w:t>
            </w:r>
          </w:p>
        </w:tc>
      </w:tr>
      <w:tr>
        <w:trPr>
          <w:trHeight w:val="157"/>
        </w:trPr>
        <w:tc>
          <w:tcPr>
            <w:tcW w:w="2860" w:type="dxa"/>
            <w:vAlign w:val="bottom"/>
          </w:tcPr>
          <w:p>
            <w:pPr>
              <w:ind w:left="20"/>
              <w:spacing w:after="0" w:line="158" w:lineRule="exact"/>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98"/>
        </w:trPr>
        <w:tc>
          <w:tcPr>
            <w:tcW w:w="2860" w:type="dxa"/>
            <w:vAlign w:val="bottom"/>
          </w:tcPr>
          <w:p>
            <w:pPr>
              <w:ind w:left="20"/>
              <w:spacing w:after="0"/>
              <w:rPr>
                <w:sz w:val="20"/>
                <w:szCs w:val="20"/>
                <w:color w:val="auto"/>
              </w:rPr>
            </w:pPr>
            <w:r>
              <w:rPr>
                <w:rFonts w:ascii="Arial" w:cs="Arial" w:eastAsia="Arial" w:hAnsi="Arial"/>
                <w:sz w:val="16"/>
                <w:szCs w:val="16"/>
                <w:color w:val="auto"/>
              </w:rPr>
              <w:t>expenses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234,896</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165,001</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69,895</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42.4 %</w:t>
            </w: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24,203</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10,771</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13,432</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124.7 %</w:t>
            </w:r>
          </w:p>
        </w:tc>
      </w:tr>
      <w:tr>
        <w:trPr>
          <w:trHeight w:val="210"/>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259,099</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175,772</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83,327</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47.4 %</w:t>
            </w:r>
          </w:p>
        </w:tc>
      </w:tr>
      <w:tr>
        <w:trPr>
          <w:trHeight w:val="21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459,854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287,426</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172,428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60.0 %</w:t>
            </w: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31,078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30,222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24,522</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(8,010.3)%</w:t>
            </w:r>
          </w:p>
        </w:tc>
      </w:tr>
      <w:tr>
        <w:trPr>
          <w:trHeight w:val="209"/>
        </w:trPr>
        <w:tc>
          <w:tcPr>
            <w:tcW w:w="28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404,254</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10.7 %</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257,514</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9.9 %</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146,740</w:t>
            </w:r>
          </w:p>
        </w:tc>
        <w:tc>
          <w:tcPr>
            <w:tcW w:w="1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57.0 %</w:t>
            </w: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96,227</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59,728</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36,499</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61.1 %</w:t>
            </w:r>
          </w:p>
        </w:tc>
      </w:tr>
      <w:tr>
        <w:trPr>
          <w:trHeight w:val="212"/>
        </w:trPr>
        <w:tc>
          <w:tcPr>
            <w:tcW w:w="2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308,027</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197,786</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7.6 %</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110,241</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55.7 %</w:t>
            </w: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2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57.5 %</w:t>
            </w: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average shares outstanding</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33,559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33,943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bl>
    <w:p>
      <w:pPr>
        <w:spacing w:after="0" w:line="84"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Percentages may not add due to rounding differences.</w:t>
      </w:r>
    </w:p>
    <w:p>
      <w:pPr>
        <w:spacing w:after="0" w:line="230"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Net revenues increased in the first nine months of Fiscal 2022 compared to the first nine months of Fiscal 2021 primarily due to price increases related to current and anticipated higher material and component costs, and unit growth, including incremental volume from the acquisition of Barletta.</w:t>
      </w:r>
    </w:p>
    <w:p>
      <w:pPr>
        <w:spacing w:after="0" w:line="222"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Gross profit as a percentage of revenue increased in the first nine months of Fiscal 2022 compared to the first nine months of Fiscal 2021 primarily due to improved operating leverage on higher revenues and price increases, partially offset by higher material and component costs.</w:t>
      </w:r>
    </w:p>
    <w:p>
      <w:pPr>
        <w:spacing w:after="0" w:line="222" w:lineRule="exact"/>
        <w:rPr>
          <w:sz w:val="20"/>
          <w:szCs w:val="20"/>
          <w:color w:val="auto"/>
        </w:rPr>
      </w:pPr>
    </w:p>
    <w:p>
      <w:pPr>
        <w:jc w:val="both"/>
        <w:ind w:right="380"/>
        <w:spacing w:after="0" w:line="253" w:lineRule="auto"/>
        <w:rPr>
          <w:sz w:val="20"/>
          <w:szCs w:val="20"/>
          <w:color w:val="auto"/>
        </w:rPr>
      </w:pPr>
      <w:r>
        <w:rPr>
          <w:rFonts w:ascii="Arial" w:cs="Arial" w:eastAsia="Arial" w:hAnsi="Arial"/>
          <w:sz w:val="16"/>
          <w:szCs w:val="16"/>
          <w:color w:val="auto"/>
        </w:rPr>
        <w:t>Operating expenses increased in the first nine months of Fiscal 2022 compared to the first nine months of Fiscal 2021 primarily due to higher operating expenses to support increasing sales, acquisition-related costs, and incremental operating expenses and amortization associated with the acquisition of Barletta.</w:t>
      </w:r>
    </w:p>
    <w:p>
      <w:pPr>
        <w:spacing w:after="0" w:line="22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Non-operating loss increased in the first nine months of Fiscal 2022 compared to the first nine months of Fiscal 2021 due to the contingent consideration fair value adjustment related to the acquisition of Barletta.</w:t>
      </w:r>
    </w:p>
    <w:p>
      <w:pPr>
        <w:spacing w:after="0" w:line="209" w:lineRule="exact"/>
        <w:rPr>
          <w:sz w:val="20"/>
          <w:szCs w:val="20"/>
          <w:color w:val="auto"/>
        </w:rPr>
      </w:pPr>
    </w:p>
    <w:p>
      <w:pPr>
        <w:ind w:right="260"/>
        <w:spacing w:after="0" w:line="237" w:lineRule="auto"/>
        <w:rPr>
          <w:sz w:val="20"/>
          <w:szCs w:val="20"/>
          <w:color w:val="auto"/>
        </w:rPr>
      </w:pPr>
      <w:r>
        <w:rPr>
          <w:rFonts w:ascii="Arial" w:cs="Arial" w:eastAsia="Arial" w:hAnsi="Arial"/>
          <w:sz w:val="16"/>
          <w:szCs w:val="16"/>
          <w:color w:val="auto"/>
        </w:rPr>
        <w:t>Our effective tax rate increased in the first nine months of Fiscal 2022 compared to the first nine months of Fiscal 2021 primarily due to the impact of consistent tax credits compared to prior year over increased income in the current year and a net unfavorable expense in the current year related to stock compensation.</w:t>
      </w:r>
    </w:p>
    <w:p>
      <w:pPr>
        <w:spacing w:after="0" w:line="23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Net income and diluted earnings per share increased in the first nine months of Fiscal 2022 compared to the first nine months of Fiscal 2021 primarily due to leverage gained on higher revenues, partially offset by increased operating expenses and higher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 for the nine months ended May 28, 2022 and May 29,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Nine Months Ended</w:t>
            </w:r>
          </w:p>
        </w:tc>
      </w:tr>
      <w:tr>
        <w:trPr>
          <w:trHeight w:val="212"/>
        </w:trPr>
        <w:tc>
          <w:tcPr>
            <w:tcW w:w="74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28, 2022</w:t>
            </w:r>
          </w:p>
        </w:tc>
        <w:tc>
          <w:tcPr>
            <w:tcW w:w="260" w:type="dxa"/>
            <w:vAlign w:val="bottom"/>
          </w:tcPr>
          <w:p>
            <w:pPr>
              <w:spacing w:after="0"/>
              <w:rPr>
                <w:sz w:val="18"/>
                <w:szCs w:val="18"/>
                <w:color w:val="auto"/>
              </w:rPr>
            </w:pPr>
          </w:p>
        </w:tc>
        <w:tc>
          <w:tcPr>
            <w:tcW w:w="158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29, 2021</w:t>
            </w:r>
          </w:p>
        </w:tc>
      </w:tr>
      <w:tr>
        <w:trPr>
          <w:trHeight w:val="210"/>
        </w:trPr>
        <w:tc>
          <w:tcPr>
            <w:tcW w:w="7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308,027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197,786</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31,078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30,222</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59,728</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17,031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13,476</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10,771</w:t>
            </w:r>
          </w:p>
        </w:tc>
      </w:tr>
      <w:tr>
        <w:trPr>
          <w:trHeight w:val="210"/>
        </w:trPr>
        <w:tc>
          <w:tcPr>
            <w:tcW w:w="7460" w:type="dxa"/>
            <w:vAlign w:val="bottom"/>
          </w:tcPr>
          <w:p>
            <w:pPr>
              <w:ind w:left="140"/>
              <w:spacing w:after="0"/>
              <w:rPr>
                <w:sz w:val="20"/>
                <w:szCs w:val="20"/>
                <w:color w:val="auto"/>
              </w:rPr>
            </w:pPr>
            <w:r>
              <w:rPr>
                <w:rFonts w:ascii="Arial" w:cs="Arial" w:eastAsia="Arial" w:hAnsi="Arial"/>
                <w:sz w:val="16"/>
                <w:szCs w:val="16"/>
                <w:color w:val="auto"/>
              </w:rPr>
              <w:t>EBITDA</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476,566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311,983</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Litigation reserves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w:t>
            </w:r>
          </w:p>
        </w:tc>
        <w:tc>
          <w:tcPr>
            <w:tcW w:w="2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Gain on sale of property, plant and equipment</w:t>
            </w:r>
          </w:p>
        </w:tc>
        <w:tc>
          <w:tcPr>
            <w:tcW w:w="26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(4,753)</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r>
      <w:tr>
        <w:trPr>
          <w:trHeight w:val="238"/>
        </w:trPr>
        <w:tc>
          <w:tcPr>
            <w:tcW w:w="7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509,682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307,032</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following is an analysis of key changes in our Towable segment for the nine months ended May 28, 2022 compared to the nine months ended May 29,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2"/>
        </w:trPr>
        <w:tc>
          <w:tcPr>
            <w:tcW w:w="3240" w:type="dxa"/>
            <w:vAlign w:val="bottom"/>
          </w:tcPr>
          <w:p>
            <w:pPr>
              <w:ind w:left="20"/>
              <w:spacing w:after="0"/>
              <w:rPr>
                <w:sz w:val="20"/>
                <w:szCs w:val="20"/>
                <w:color w:val="auto"/>
              </w:rPr>
            </w:pPr>
            <w:r>
              <w:rPr>
                <w:rFonts w:ascii="Arial" w:cs="Arial" w:eastAsia="Arial" w:hAnsi="Arial"/>
                <w:sz w:val="14"/>
                <w:szCs w:val="14"/>
                <w:color w:val="auto"/>
              </w:rPr>
              <w:t>(in thousands, except ASP and units)</w:t>
            </w:r>
          </w:p>
        </w:tc>
        <w:tc>
          <w:tcPr>
            <w:tcW w:w="16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28, 2022</w:t>
            </w:r>
          </w:p>
        </w:tc>
        <w:tc>
          <w:tcPr>
            <w:tcW w:w="8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p>
        </w:tc>
        <w:tc>
          <w:tcPr>
            <w:tcW w:w="18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29, 2021</w:t>
            </w:r>
          </w:p>
        </w:tc>
        <w:tc>
          <w:tcPr>
            <w:tcW w:w="10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2,103,192</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1,449,934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653,258</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45.1 %</w:t>
            </w: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330,417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15.7 %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205,639</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14.2 %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124,778</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60.7 %</w:t>
            </w:r>
          </w:p>
        </w:tc>
      </w:tr>
      <w:tr>
        <w:trPr>
          <w:trHeight w:val="273"/>
        </w:trPr>
        <w:tc>
          <w:tcPr>
            <w:tcW w:w="3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8"/>
        </w:trPr>
        <w:tc>
          <w:tcPr>
            <w:tcW w:w="324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42,244</w:t>
            </w: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32,503</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9,741</w:t>
            </w:r>
          </w:p>
        </w:tc>
        <w:tc>
          <w:tcPr>
            <w:tcW w:w="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30.0 %</w:t>
            </w:r>
          </w:p>
        </w:tc>
      </w:tr>
      <w:tr>
        <w:trPr>
          <w:trHeight w:val="320"/>
        </w:trPr>
        <w:tc>
          <w:tcPr>
            <w:tcW w:w="3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16"/>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May 28, 2022</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29, 2021</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33,938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68.7 %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4,813</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16.5 %</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15,462</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31.3 %</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15,306</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233"/>
        </w:trPr>
        <w:tc>
          <w:tcPr>
            <w:tcW w:w="3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49,400</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44,431</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4,969</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11.2 %</w:t>
            </w: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22"/>
        </w:trPr>
        <w:tc>
          <w:tcPr>
            <w:tcW w:w="3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28, 2022</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29, 2021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324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31,606</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46,646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(15,040)</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(32.2)%</w:t>
            </w: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1,312,878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1,522,069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(209,191)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25,230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13,583</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116.6 %</w:t>
            </w:r>
          </w:p>
        </w:tc>
      </w:tr>
    </w:tbl>
    <w:p>
      <w:pPr>
        <w:spacing w:after="0" w:line="60"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Average selling price excludes off-invoice dealer incentives.</w:t>
      </w:r>
    </w:p>
    <w:p>
      <w:pPr>
        <w:ind w:left="300" w:hanging="292"/>
        <w:spacing w:after="0" w:line="189" w:lineRule="auto"/>
        <w:tabs>
          <w:tab w:leader="none" w:pos="300" w:val="left"/>
        </w:tabs>
        <w:numPr>
          <w:ilvl w:val="0"/>
          <w:numId w:val="11"/>
        </w:numPr>
        <w:rPr>
          <w:rFonts w:ascii="Arial" w:cs="Arial" w:eastAsia="Arial" w:hAnsi="Arial"/>
          <w:sz w:val="19"/>
          <w:szCs w:val="19"/>
          <w:color w:val="auto"/>
          <w:vertAlign w:val="superscript"/>
        </w:rPr>
      </w:pPr>
      <w:r>
        <w:rPr>
          <w:rFonts w:ascii="Arial" w:cs="Arial" w:eastAsia="Arial" w:hAnsi="Arial"/>
          <w:sz w:val="13"/>
          <w:szCs w:val="13"/>
          <w:color w:val="auto"/>
        </w:rPr>
        <w:t>Percentages may not add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60" w:right="180" w:hanging="252"/>
        <w:spacing w:after="0" w:line="199" w:lineRule="auto"/>
        <w:tabs>
          <w:tab w:leader="none" w:pos="305" w:val="left"/>
        </w:tabs>
        <w:numPr>
          <w:ilvl w:val="0"/>
          <w:numId w:val="12"/>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30"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Net revenues increased in the first nine months of Fiscal 2022 compared to the first nine months of Fiscal 2021 primarily due to price increases related to current and anticipated higher material and component costs, and unit growth.</w:t>
      </w:r>
    </w:p>
    <w:p>
      <w:pPr>
        <w:spacing w:after="0" w:line="22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Adjusted EBITDA increased in the first nine months of Fiscal 2022 compared to the first nine months of Fiscal 2021 primarily due to revenue growth, partially offset by higher operating expenses to support increasing sales.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segment for the nine months ended May 28, 2022 compared to the nine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May 29,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3"/>
        </w:trPr>
        <w:tc>
          <w:tcPr>
            <w:tcW w:w="3240" w:type="dxa"/>
            <w:vAlign w:val="bottom"/>
          </w:tcPr>
          <w:p>
            <w:pPr>
              <w:ind w:left="20"/>
              <w:spacing w:after="0"/>
              <w:rPr>
                <w:sz w:val="20"/>
                <w:szCs w:val="20"/>
                <w:color w:val="auto"/>
              </w:rPr>
            </w:pPr>
            <w:r>
              <w:rPr>
                <w:rFonts w:ascii="Arial" w:cs="Arial" w:eastAsia="Arial" w:hAnsi="Arial"/>
                <w:sz w:val="14"/>
                <w:szCs w:val="14"/>
                <w:color w:val="auto"/>
              </w:rPr>
              <w:t>(in thousands, except ASP and units)</w:t>
            </w:r>
          </w:p>
        </w:tc>
        <w:tc>
          <w:tcPr>
            <w:tcW w:w="18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28, 2022</w:t>
            </w:r>
          </w:p>
        </w:tc>
        <w:tc>
          <w:tcPr>
            <w:tcW w:w="8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p>
        </w:tc>
        <w:tc>
          <w:tcPr>
            <w:tcW w:w="18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29, 2021</w:t>
            </w:r>
          </w:p>
        </w:tc>
        <w:tc>
          <w:tcPr>
            <w:tcW w:w="10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1,355,389</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1,090,221</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265,168</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24.3 %</w:t>
            </w: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160,636</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11.9 %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118,779</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41,857</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35.2 %</w:t>
            </w:r>
          </w:p>
        </w:tc>
      </w:tr>
      <w:tr>
        <w:trPr>
          <w:trHeight w:val="273"/>
        </w:trPr>
        <w:tc>
          <w:tcPr>
            <w:tcW w:w="3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373"/>
        </w:trPr>
        <w:tc>
          <w:tcPr>
            <w:tcW w:w="3240" w:type="dxa"/>
            <w:vAlign w:val="bottom"/>
          </w:tcPr>
          <w:p>
            <w:pPr>
              <w:ind w:left="20"/>
              <w:spacing w:after="0"/>
              <w:rPr>
                <w:sz w:val="20"/>
                <w:szCs w:val="20"/>
                <w:color w:val="auto"/>
              </w:rPr>
            </w:pPr>
            <w:r>
              <w:rPr>
                <w:rFonts w:ascii="Arial" w:cs="Arial" w:eastAsia="Arial" w:hAnsi="Arial"/>
                <w:sz w:val="32"/>
                <w:szCs w:val="32"/>
                <w:color w:val="auto"/>
                <w:vertAlign w:val="subscript"/>
              </w:rPr>
              <w:t>ASP</w:t>
            </w:r>
            <w:r>
              <w:rPr>
                <w:rFonts w:ascii="Arial" w:cs="Arial" w:eastAsia="Arial" w:hAnsi="Arial"/>
                <w:sz w:val="11"/>
                <w:szCs w:val="11"/>
                <w:color w:val="auto"/>
              </w:rPr>
              <w:t>(1)</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153,139</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135,356</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17,783</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13.1 %</w:t>
            </w:r>
          </w:p>
        </w:tc>
      </w:tr>
      <w:tr>
        <w:trPr>
          <w:trHeight w:val="215"/>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5"/>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May 28, 2022</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29, 2021</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22.9 %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25.8 %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Class B</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4,889</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55.8 %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3,901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49.1 %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988</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25.3 %</w:t>
            </w: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1,874</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21.4 %</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1,994</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2"/>
        </w:trPr>
        <w:tc>
          <w:tcPr>
            <w:tcW w:w="324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8,767</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7,942</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10.4 %</w:t>
            </w:r>
          </w:p>
        </w:tc>
      </w:tr>
      <w:tr>
        <w:trPr>
          <w:trHeight w:val="21"/>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42"/>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28, 2022</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29, 2021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324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15,180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18,145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(2,965)</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2,285,236</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2,180,149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105,087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23.8 %</w:t>
            </w:r>
          </w:p>
        </w:tc>
      </w:tr>
    </w:tbl>
    <w:p>
      <w:pPr>
        <w:spacing w:after="0" w:line="74"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Average selling price excludes off-invoice dealer incentives.</w:t>
      </w:r>
    </w:p>
    <w:p>
      <w:pPr>
        <w:ind w:left="300" w:hanging="292"/>
        <w:spacing w:after="0" w:line="187" w:lineRule="auto"/>
        <w:tabs>
          <w:tab w:leader="none" w:pos="300" w:val="left"/>
        </w:tabs>
        <w:numPr>
          <w:ilvl w:val="0"/>
          <w:numId w:val="13"/>
        </w:numPr>
        <w:rPr>
          <w:rFonts w:ascii="Arial" w:cs="Arial" w:eastAsia="Arial" w:hAnsi="Arial"/>
          <w:sz w:val="18"/>
          <w:szCs w:val="18"/>
          <w:color w:val="auto"/>
          <w:vertAlign w:val="superscript"/>
        </w:rPr>
      </w:pPr>
      <w:r>
        <w:rPr>
          <w:rFonts w:ascii="Arial" w:cs="Arial" w:eastAsia="Arial" w:hAnsi="Arial"/>
          <w:sz w:val="12"/>
          <w:szCs w:val="12"/>
          <w:color w:val="auto"/>
        </w:rPr>
        <w:t>Percentages may not add due to rounding differences.</w:t>
      </w:r>
    </w:p>
    <w:p>
      <w:pPr>
        <w:ind w:left="260" w:right="180" w:hanging="252"/>
        <w:spacing w:after="0" w:line="199" w:lineRule="auto"/>
        <w:tabs>
          <w:tab w:leader="none" w:pos="305"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30"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Net revenues increased in the first nine months of Fiscal 2022 compared to the first nine months of Fiscal 2021 primarily due to price increases and unit growth.</w:t>
      </w:r>
    </w:p>
    <w:p>
      <w:pPr>
        <w:spacing w:after="0" w:line="22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Adjusted EBITDA increased in the first nine months of Fiscal 2022 compared to the first nine months of Fiscal 2021 primarily due to revenue growth, partially offset by higher input costs and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Marine</w:t>
      </w:r>
    </w:p>
    <w:p>
      <w:pPr>
        <w:spacing w:after="0" w:line="129"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The following is an analysis of key changes in our Marine segment for the nine months ended May 28, 2022 compared to the nine months ended May 29,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3"/>
        </w:trPr>
        <w:tc>
          <w:tcPr>
            <w:tcW w:w="3240" w:type="dxa"/>
            <w:vAlign w:val="bottom"/>
          </w:tcPr>
          <w:p>
            <w:pPr>
              <w:ind w:left="20"/>
              <w:spacing w:after="0"/>
              <w:rPr>
                <w:sz w:val="20"/>
                <w:szCs w:val="20"/>
                <w:color w:val="auto"/>
              </w:rPr>
            </w:pPr>
            <w:r>
              <w:rPr>
                <w:rFonts w:ascii="Arial" w:cs="Arial" w:eastAsia="Arial" w:hAnsi="Arial"/>
                <w:sz w:val="14"/>
                <w:szCs w:val="14"/>
                <w:color w:val="auto"/>
              </w:rPr>
              <w:t>(in thousands, except ASP and units)</w:t>
            </w:r>
          </w:p>
        </w:tc>
        <w:tc>
          <w:tcPr>
            <w:tcW w:w="18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28, 2022</w:t>
            </w:r>
          </w:p>
        </w:tc>
        <w:tc>
          <w:tcPr>
            <w:tcW w:w="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 of Revenues</w:t>
            </w:r>
          </w:p>
        </w:tc>
        <w:tc>
          <w:tcPr>
            <w:tcW w:w="18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29, 2021</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303,175</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43,527</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259,648</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596.5 %</w:t>
            </w: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43,336</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14.3 %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3,502</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39,834</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1,137.5 %</w:t>
            </w:r>
          </w:p>
        </w:tc>
      </w:tr>
      <w:tr>
        <w:trPr>
          <w:trHeight w:val="273"/>
        </w:trPr>
        <w:tc>
          <w:tcPr>
            <w:tcW w:w="3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81"/>
        </w:trPr>
        <w:tc>
          <w:tcPr>
            <w:tcW w:w="324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73,669</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203,418</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(129,749)</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(63.8)%</w:t>
            </w:r>
          </w:p>
        </w:tc>
      </w:tr>
      <w:tr>
        <w:trPr>
          <w:trHeight w:val="307"/>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28, 2022</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29, 2021</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Unit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35"/>
        </w:trPr>
        <w:tc>
          <w:tcPr>
            <w:tcW w:w="3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1,830.5 %</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322"/>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28, 2022</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29, 2021</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24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2,491</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492</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1,999</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406.3 %</w:t>
            </w: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245,416</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110,472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134,944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122.2 %</w:t>
            </w: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1,369.5 %</w:t>
            </w:r>
          </w:p>
        </w:tc>
      </w:tr>
    </w:tbl>
    <w:p>
      <w:pPr>
        <w:spacing w:after="0" w:line="74"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21"/>
          <w:szCs w:val="21"/>
          <w:color w:val="auto"/>
          <w:vertAlign w:val="superscript"/>
        </w:rPr>
      </w:pPr>
      <w:r>
        <w:rPr>
          <w:rFonts w:ascii="Arial" w:cs="Arial" w:eastAsia="Arial" w:hAnsi="Arial"/>
          <w:sz w:val="14"/>
          <w:szCs w:val="14"/>
          <w:color w:val="auto"/>
        </w:rPr>
        <w:t>ASP excludes off-invoice dealer incentives.</w:t>
      </w:r>
    </w:p>
    <w:p>
      <w:pPr>
        <w:ind w:left="260" w:right="180" w:hanging="252"/>
        <w:spacing w:after="0" w:line="199" w:lineRule="auto"/>
        <w:tabs>
          <w:tab w:leader="none" w:pos="305" w:val="left"/>
        </w:tabs>
        <w:numPr>
          <w:ilvl w:val="0"/>
          <w:numId w:val="14"/>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3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Net revenues increased in the first nine months of Fiscal 2022 compared to the first nine months of Fiscal 2021 primarily due to the acquisition of Barletta at the beginning of the first quarter of Fiscal 2022.</w:t>
      </w:r>
    </w:p>
    <w:p>
      <w:pPr>
        <w:spacing w:after="0" w:line="222"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Adjusted EBITDA increased in the first nine months of Fiscal 2022 compared to the first nine months of Fiscal 2021 primarily due to the acquisition of Barletta at the beginning of the first quarter of Fiscal 2022.</w:t>
      </w:r>
    </w:p>
    <w:p>
      <w:pPr>
        <w:sectPr>
          <w:pgSz w:w="11900" w:h="16838" w:orient="portrait"/>
          <w:cols w:equalWidth="0" w:num="1">
            <w:col w:w="11240"/>
          </w:cols>
          <w:pgMar w:left="320" w:top="141" w:right="339" w:bottom="144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from operations:</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cash provided by (used in):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Investing activities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(decrease) increase in cash and cash equivalents</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Nine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jc w:val="center"/>
              <w:ind w:right="420"/>
              <w:spacing w:after="0" w:line="161" w:lineRule="exact"/>
              <w:rPr>
                <w:sz w:val="20"/>
                <w:szCs w:val="20"/>
                <w:color w:val="auto"/>
              </w:rPr>
            </w:pPr>
            <w:r>
              <w:rPr>
                <w:rFonts w:ascii="Arial" w:cs="Arial" w:eastAsia="Arial" w:hAnsi="Arial"/>
                <w:sz w:val="16"/>
                <w:szCs w:val="16"/>
                <w:b w:val="1"/>
                <w:bCs w:val="1"/>
                <w:color w:val="auto"/>
              </w:rPr>
              <w:t>May 28,</w:t>
            </w:r>
          </w:p>
        </w:tc>
        <w:tc>
          <w:tcPr>
            <w:tcW w:w="3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439"/>
              <w:spacing w:after="0" w:line="161" w:lineRule="exact"/>
              <w:rPr>
                <w:sz w:val="20"/>
                <w:szCs w:val="20"/>
                <w:color w:val="auto"/>
              </w:rPr>
            </w:pPr>
            <w:r>
              <w:rPr>
                <w:rFonts w:ascii="Arial" w:cs="Arial" w:eastAsia="Arial" w:hAnsi="Arial"/>
                <w:sz w:val="16"/>
                <w:szCs w:val="16"/>
                <w:b w:val="1"/>
                <w:bCs w:val="1"/>
                <w:color w:val="auto"/>
              </w:rPr>
              <w:t>May 29,</w:t>
            </w:r>
          </w:p>
        </w:tc>
      </w:tr>
      <w:tr>
        <w:trPr>
          <w:trHeight w:val="215"/>
        </w:trPr>
        <w:tc>
          <w:tcPr>
            <w:tcW w:w="320" w:type="dxa"/>
            <w:vAlign w:val="bottom"/>
          </w:tcPr>
          <w:p>
            <w:pPr>
              <w:spacing w:after="0"/>
              <w:rPr>
                <w:sz w:val="18"/>
                <w:szCs w:val="18"/>
                <w:color w:val="auto"/>
              </w:rPr>
            </w:pPr>
          </w:p>
        </w:tc>
        <w:tc>
          <w:tcPr>
            <w:tcW w:w="1320" w:type="dxa"/>
            <w:vAlign w:val="bottom"/>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420"/>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left="499"/>
              <w:spacing w:after="0"/>
              <w:rPr>
                <w:sz w:val="20"/>
                <w:szCs w:val="20"/>
                <w:color w:val="auto"/>
              </w:rPr>
            </w:pPr>
            <w:r>
              <w:rPr>
                <w:rFonts w:ascii="Arial" w:cs="Arial" w:eastAsia="Arial" w:hAnsi="Arial"/>
                <w:sz w:val="16"/>
                <w:szCs w:val="16"/>
                <w:color w:val="auto"/>
              </w:rPr>
              <w:t>245,245</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147,954</w:t>
            </w:r>
          </w:p>
        </w:tc>
      </w:tr>
      <w:tr>
        <w:trPr>
          <w:trHeight w:val="216"/>
        </w:trPr>
        <w:tc>
          <w:tcPr>
            <w:tcW w:w="320" w:type="dxa"/>
            <w:vAlign w:val="bottom"/>
          </w:tcPr>
          <w:p>
            <w:pPr>
              <w:spacing w:after="0"/>
              <w:rPr>
                <w:sz w:val="18"/>
                <w:szCs w:val="18"/>
                <w:color w:val="auto"/>
              </w:rPr>
            </w:pPr>
          </w:p>
        </w:tc>
        <w:tc>
          <w:tcPr>
            <w:tcW w:w="1320" w:type="dxa"/>
            <w:vAlign w:val="bottom"/>
          </w:tcPr>
          <w:p>
            <w:pPr>
              <w:jc w:val="center"/>
              <w:ind w:left="499"/>
              <w:spacing w:after="0"/>
              <w:rPr>
                <w:sz w:val="20"/>
                <w:szCs w:val="20"/>
                <w:color w:val="auto"/>
              </w:rPr>
            </w:pPr>
            <w:r>
              <w:rPr>
                <w:rFonts w:ascii="Arial" w:cs="Arial" w:eastAsia="Arial" w:hAnsi="Arial"/>
                <w:sz w:val="16"/>
                <w:szCs w:val="16"/>
                <w:color w:val="auto"/>
              </w:rPr>
              <w:t>(291,334)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(11,370)</w:t>
            </w:r>
          </w:p>
        </w:tc>
      </w:tr>
      <w:tr>
        <w:trPr>
          <w:trHeight w:val="219"/>
        </w:trPr>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color w:val="auto"/>
              </w:rPr>
              <w:t>(150,401)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(23,318)</w:t>
            </w:r>
          </w:p>
        </w:tc>
      </w:tr>
      <w:tr>
        <w:trPr>
          <w:trHeight w:val="210"/>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color w:val="auto"/>
              </w:rPr>
              <w:t>(196,490)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113,266</w:t>
            </w:r>
          </w:p>
        </w:tc>
      </w:tr>
      <w:tr>
        <w:trPr>
          <w:trHeight w:val="23"/>
        </w:trPr>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595" w:lineRule="exact"/>
        <w:rPr>
          <w:sz w:val="20"/>
          <w:szCs w:val="20"/>
          <w:color w:val="auto"/>
        </w:rPr>
      </w:pPr>
    </w:p>
    <w:p>
      <w:pPr>
        <w:sectPr>
          <w:pgSz w:w="11900" w:h="16838" w:orient="portrait"/>
          <w:cols w:equalWidth="0" w:num="2">
            <w:col w:w="7140" w:space="720"/>
            <w:col w:w="3380"/>
          </w:cols>
          <w:pgMar w:left="320" w:top="141" w:right="339" w:bottom="1440" w:gutter="0" w:footer="0" w:header="0"/>
          <w:type w:val="continuous"/>
        </w:sectPr>
      </w:pPr>
    </w:p>
    <w:p>
      <w:pPr>
        <w:ind w:right="220"/>
        <w:spacing w:after="0" w:line="251" w:lineRule="auto"/>
        <w:rPr>
          <w:sz w:val="20"/>
          <w:szCs w:val="20"/>
          <w:color w:val="auto"/>
        </w:rPr>
      </w:pPr>
      <w:r>
        <w:rPr>
          <w:rFonts w:ascii="Arial" w:cs="Arial" w:eastAsia="Arial" w:hAnsi="Arial"/>
          <w:sz w:val="16"/>
          <w:szCs w:val="16"/>
          <w:color w:val="auto"/>
        </w:rPr>
        <w:t>Cash provided by operating activities increased for the nine months ended May 28, 2022 compared to the nine months ended May 29, 2021 due to higher profitability, partially offset by investments in working capital to support current year revenue growth. The investments in working capital included a $117.4 million increase in accounts receivable due to timing of invoicing/collections, a $129.1 million increase in inventory to support customer demand and to support operational activities during a period impacted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by supply chain disruption, partially offset by a $41.6 million increase in accounts payable due to inventory growth and timing of payments.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29"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Cash used in investing activities increased in the nine months ended May 28, 2022 compared to the nine months ended May 29, 2021 primarily due to our acquisition of Barletta during the first quarter of Fiscal 2022.</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29"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Cash used in financing activities increased in the nine months ended May 28, 2022 compared to the nine months ended May 29, 2021 primarily due to an increase in stock repurchases in the first nine months of Fiscal 2022.</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and Capital</w:t>
      </w:r>
    </w:p>
    <w:p>
      <w:pPr>
        <w:spacing w:after="0" w:line="133"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We maintain a $192.5 million asset-based revolving credit facility ("ABL Credit Facility") with a maturity date of October 22, 2024 subject to certain factors which may accelerate the maturity date. As of May 28, 2022, we had no borrowings against the ABL Credit Facility.</w:t>
      </w:r>
    </w:p>
    <w:p>
      <w:pPr>
        <w:spacing w:after="0" w:line="222"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As of May 28, 2022, we had $238.1 million in cash and cash equivalents and $192.5 million in unused ABL Credit Facility. Our cash and cash equivalent balances consist of high quality, short-term money market instruments.</w:t>
      </w: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believe cash flow from operations, existing lines of credit, and access to debt and capital markets will be sufficient to meet our current liquidity needs, and we have committed liquidity and cash reserves in excess of our anticipated funding requirements. We evaluate the financial stability of the counterparties for the Convertible Notes, the Senior Secured Notes, and the ABL Credit Facility, and will continue to monitor counterparty risk on an on-going basis.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Financial Measures</w:t>
      </w:r>
    </w:p>
    <w:p>
      <w:pPr>
        <w:spacing w:after="0" w:line="133" w:lineRule="exact"/>
        <w:rPr>
          <w:sz w:val="20"/>
          <w:szCs w:val="20"/>
          <w:color w:val="auto"/>
        </w:rPr>
      </w:pPr>
    </w:p>
    <w:p>
      <w:pPr>
        <w:ind w:right="520"/>
        <w:spacing w:after="0" w:line="253" w:lineRule="auto"/>
        <w:rPr>
          <w:sz w:val="20"/>
          <w:szCs w:val="20"/>
          <w:color w:val="auto"/>
        </w:rPr>
      </w:pPr>
      <w:r>
        <w:rPr>
          <w:rFonts w:ascii="Arial" w:cs="Arial" w:eastAsia="Arial" w:hAnsi="Arial"/>
          <w:sz w:val="16"/>
          <w:szCs w:val="16"/>
          <w:color w:val="auto"/>
        </w:rPr>
        <w:t>Working capital at May 28, 2022 and August 28, 2021 was $582.7 million and $651.6 million, respectively. We currently expect cash on hand, funds generated from operations, and the borrowing available under our ABL Credit Facility to be sufficient to cover both short-term and long-term operating requirements.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 and Dividends</w:t>
      </w:r>
    </w:p>
    <w:p>
      <w:pPr>
        <w:spacing w:after="0" w:line="13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w:t>
      </w:r>
    </w:p>
    <w:p>
      <w:pPr>
        <w:spacing w:after="0" w:line="228"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On October 13, 2021, our Board of Directors authorized a new share repurchase program in the amount of $200.0 million with no time restriction on the authorization, which took effect immediately and replaced the prior program. In the nine months ended May 28, 2022, we repurchased 2,143,000 shares of our own common stock at a cost of $129.6 million under this authorization and the previous authorization, and 62,000 shares at a cost of $4.6 million to satisfy tax obligations on employee equity awards vested. We continually evaluate if share repurchases reflect a prudent use of our capital and, subject to compliance with our ABL Credit Facility and Senior Secured Notes, we may purchase shares in the future. At May 28, 2022, we have $80.0 million remaining on our Board approved repurchase authorization.</w:t>
      </w:r>
    </w:p>
    <w:p>
      <w:pPr>
        <w:spacing w:after="0" w:line="232"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On May 18, 2022, our Board of Directors approved a quarterly cash dividend of $0.18 per share payable on June 29, 2022, to common stockholders of record at the close of business on June 8, 2022.</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33"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There has been no material change in our contractual obligations since the end of Fiscal 2021. See our Annual Report on Form 10-K for the fiscal year ended August 28, 2021 for additional information regarding our contractual obligations and commercial commitments.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13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describe our significant accounting policies in Note 1 to the Consolidated Financial Statements included in Item 8 of Part II of our Annual Report on Form 10-K for the fiscal year ended August 28, 2021. We discuss our critical accounting estimates in Item 7 of Part II of our Annual Report on Form 10-K for the fiscal year ended August 28, 2021. There have been no material changes to our critical accounting policies or critical accounting estimates since the end of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For a summary of recently issued applicable accounting pronouncements, see Note 1 to the Consolidated Financial Statements included in Item 1 of Part I of this Quarterly Report on Form 10-Q.</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w:t>
      </w:r>
    </w:p>
    <w:p>
      <w:pPr>
        <w:spacing w:after="0" w:line="133"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Section 27A of the Securities Act of 1933, as amended (“Securities Act”), and Section 21E of the Securities Exchange Act of 1934, as amended (“Exchange Act”), provide a “safe harbor” for forward-looking statements to encourage companies to provide prospective information about their companies. With the exception of historical information, the matters discussed in this Quarterly Report on Form 10-Q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of Part I of our Annual Report on Form 10-K for the fiscal year ended August 28, 2021, and Item 1A of Part II of this Quarterly Report on Form 10-Q, for a description of important factors that could cause our actual results to differ materially from those contemplated by the forward-looking statements made in this Quarterly Report on Form 10-Q. Among the factors that could cause actual results and outcomes to differ materially from those contained in such forward-looking statements are the following:</w:t>
      </w:r>
    </w:p>
    <w:p>
      <w:pPr>
        <w:spacing w:after="0" w:line="5"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Uncertainty surrounding the COVID-19 pandemic.</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General economic uncertainty in key markets and a worsening of domestic and global economic conditions or low levels of economic growth.</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Availability of financing for RV and marine dealers.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Ability to innovate and commercialize new products.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Ability to manage our inventory to meet demand.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Competition and new product introductions by competitors.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Risk related to cyclicality and seasonality of our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Significant increase in repurchase obligations.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Business or production disruptions.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Inadequate inventory and distribution channel management.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Ability to retain relationships with our suppliers.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Increased material and component costs, including availability and price of fuel and other raw materials.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Ability to integrate mergers and acquisitions.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Ability to attract and retain qualified personnel and changes in market compensation rates.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Exposure to warranty claims.</w:t>
      </w:r>
    </w:p>
    <w:p>
      <w:pPr>
        <w:spacing w:after="0" w:line="5" w:lineRule="exact"/>
        <w:rPr>
          <w:rFonts w:ascii="Arial" w:cs="Arial" w:eastAsia="Arial" w:hAnsi="Arial"/>
          <w:sz w:val="16"/>
          <w:szCs w:val="16"/>
          <w:color w:val="auto"/>
        </w:rPr>
      </w:pPr>
    </w:p>
    <w:p>
      <w:pPr>
        <w:ind w:left="660" w:right="280" w:hanging="328"/>
        <w:spacing w:after="0" w:line="24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Ability to protect our information technology systems from data security, cyberattacks, and network disruption risks and the ability to successfully upgrade and evolve our information technology systems.</w:t>
      </w: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Ability to retain brand reputation and related exposure to product liability claims.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Governmental regulation, including for climate change.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Impairment of goodwill.</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Risks related to our Convertible and Senior Secured Notes, including our ability to satisfy our obligations under these notes.</w:t>
      </w:r>
    </w:p>
    <w:p>
      <w:pPr>
        <w:spacing w:after="0" w:line="5"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We caution that the foregoing list of important factors is not complete. Any forward-looking statements speak only as of the date they are made, and we assume no obligation to update any forward-looking statement that we may make.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33"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3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As of May 28, 2022, we have no interest rate swaps outstanding and the Term Loan, that had been subject to variable interest rates, was repaid in the fourth quarter of Fiscal 2020 using the proceeds from the Senior Secured Notes. The ABL Credit Facility is our only floating rate debt instrument which remains undrawn as of May 28, 2022.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29" w:lineRule="exact"/>
        <w:rPr>
          <w:sz w:val="20"/>
          <w:szCs w:val="20"/>
          <w:color w:val="auto"/>
        </w:rPr>
      </w:pPr>
    </w:p>
    <w:p>
      <w:pPr>
        <w:jc w:val="both"/>
        <w:ind w:right="180"/>
        <w:spacing w:after="0" w:line="251"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evaluated the effectiveness of the design and operation of our disclosure controls and procedures (as defined in Rule 13a-15(e) under the Securities Exchange Act of 1934, as amended (the "Exchange Act")), as of the end of the period covered by this report (the "Evaluation Date"). Based on this evaluation, the Chief Executive Officer and Chief Financial Officer concluded that our disclosure controls and procedures were effective as of the Evaluation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6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There were no changes in our internal control over financial reporting that occurred during the third quarter of Fiscal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1" w:right="59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33"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For a description of our legal proceedings, see Note 11 to the Consolidated Financial Statements included in Item 1 of Part I of this Quarterly Report on Form 10-Q.</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33"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There have been no material changes from the risk factors previously disclosed in Item 1A of Part I of our Annual Report on Form 10-K for the fiscal year ended August 28, 2021.</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(c) Stock Repurchases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third quarter of Fiscal 2022 are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Total Number of</w:t>
            </w:r>
          </w:p>
        </w:tc>
        <w:tc>
          <w:tcPr>
            <w:tcW w:w="1400" w:type="dxa"/>
            <w:vAlign w:val="bottom"/>
            <w:gridSpan w:val="2"/>
            <w:vMerge w:val="restart"/>
          </w:tcPr>
          <w:p>
            <w:pPr>
              <w:jc w:val="right"/>
              <w:ind w:right="79"/>
              <w:spacing w:after="0"/>
              <w:rPr>
                <w:sz w:val="20"/>
                <w:szCs w:val="20"/>
                <w:color w:val="auto"/>
              </w:rPr>
            </w:pPr>
            <w:r>
              <w:rPr>
                <w:rFonts w:ascii="Arial" w:cs="Arial" w:eastAsia="Arial" w:hAnsi="Arial"/>
                <w:sz w:val="16"/>
                <w:szCs w:val="16"/>
                <w:b w:val="1"/>
                <w:bCs w:val="1"/>
                <w:color w:val="auto"/>
              </w:rPr>
              <w:t>Average Price</w:t>
            </w:r>
          </w:p>
        </w:tc>
        <w:tc>
          <w:tcPr>
            <w:tcW w:w="2760" w:type="dxa"/>
            <w:vAlign w:val="bottom"/>
          </w:tcPr>
          <w:p>
            <w:pPr>
              <w:jc w:val="center"/>
              <w:spacing w:after="0"/>
              <w:rPr>
                <w:sz w:val="20"/>
                <w:szCs w:val="20"/>
                <w:color w:val="auto"/>
              </w:rPr>
            </w:pPr>
            <w:r>
              <w:rPr>
                <w:rFonts w:ascii="Arial" w:cs="Arial" w:eastAsia="Arial" w:hAnsi="Arial"/>
                <w:sz w:val="16"/>
                <w:szCs w:val="16"/>
                <w:b w:val="1"/>
                <w:bCs w:val="1"/>
                <w:color w:val="auto"/>
              </w:rPr>
              <w:t>Number of Shares Purchased as</w:t>
            </w:r>
          </w:p>
        </w:tc>
        <w:tc>
          <w:tcPr>
            <w:tcW w:w="260" w:type="dxa"/>
            <w:vAlign w:val="bottom"/>
          </w:tcPr>
          <w:p>
            <w:pPr>
              <w:spacing w:after="0"/>
              <w:rPr>
                <w:sz w:val="16"/>
                <w:szCs w:val="16"/>
                <w:color w:val="auto"/>
              </w:rPr>
            </w:pPr>
          </w:p>
        </w:tc>
        <w:tc>
          <w:tcPr>
            <w:tcW w:w="2620" w:type="dxa"/>
            <w:vAlign w:val="bottom"/>
          </w:tcPr>
          <w:p>
            <w:pPr>
              <w:jc w:val="right"/>
              <w:ind w:right="219"/>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1400" w:type="dxa"/>
            <w:vAlign w:val="bottom"/>
            <w:gridSpan w:val="2"/>
            <w:vMerge w:val="continue"/>
          </w:tcPr>
          <w:p>
            <w:pPr>
              <w:spacing w:after="0"/>
              <w:rPr>
                <w:sz w:val="14"/>
                <w:szCs w:val="14"/>
                <w:color w:val="auto"/>
              </w:rPr>
            </w:pPr>
          </w:p>
        </w:tc>
        <w:tc>
          <w:tcPr>
            <w:tcW w:w="2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Publicly Announced Plans</w:t>
            </w:r>
          </w:p>
        </w:tc>
        <w:tc>
          <w:tcPr>
            <w:tcW w:w="2880" w:type="dxa"/>
            <w:vAlign w:val="bottom"/>
            <w:gridSpan w:val="2"/>
          </w:tcPr>
          <w:p>
            <w:pPr>
              <w:ind w:left="140"/>
              <w:spacing w:after="0" w:line="162" w:lineRule="exact"/>
              <w:rPr>
                <w:sz w:val="20"/>
                <w:szCs w:val="20"/>
                <w:color w:val="auto"/>
              </w:rPr>
            </w:pPr>
            <w:r>
              <w:rPr>
                <w:rFonts w:ascii="Arial" w:cs="Arial" w:eastAsia="Arial" w:hAnsi="Arial"/>
                <w:sz w:val="16"/>
                <w:szCs w:val="16"/>
                <w:b w:val="1"/>
                <w:bCs w:val="1"/>
                <w:color w:val="auto"/>
              </w:rPr>
              <w:t>Shares That May Yet Be Purchased</w:t>
            </w:r>
          </w:p>
        </w:tc>
        <w:tc>
          <w:tcPr>
            <w:tcW w:w="0" w:type="dxa"/>
            <w:vAlign w:val="bottom"/>
          </w:tcPr>
          <w:p>
            <w:pPr>
              <w:spacing w:after="0"/>
              <w:rPr>
                <w:sz w:val="1"/>
                <w:szCs w:val="1"/>
                <w:color w:val="auto"/>
              </w:rPr>
            </w:pPr>
          </w:p>
        </w:tc>
      </w:tr>
      <w:tr>
        <w:trPr>
          <w:trHeight w:val="216"/>
        </w:trPr>
        <w:tc>
          <w:tcPr>
            <w:tcW w:w="26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3"/>
              </w:rPr>
              <w:t>Purchased</w:t>
            </w:r>
            <w:r>
              <w:rPr>
                <w:rFonts w:ascii="Arial" w:cs="Arial" w:eastAsia="Arial" w:hAnsi="Arial"/>
                <w:sz w:val="21"/>
                <w:szCs w:val="21"/>
                <w:b w:val="1"/>
                <w:bCs w:val="1"/>
                <w:color w:val="auto"/>
                <w:w w:val="93"/>
                <w:vertAlign w:val="superscript"/>
              </w:rPr>
              <w:t>(1,2)</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Paid per Share</w:t>
            </w:r>
          </w:p>
        </w:tc>
        <w:tc>
          <w:tcPr>
            <w:tcW w:w="27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5"/>
              </w:rPr>
              <w:t>or Programs</w:t>
            </w:r>
            <w:r>
              <w:rPr>
                <w:rFonts w:ascii="Arial" w:cs="Arial" w:eastAsia="Arial" w:hAnsi="Arial"/>
                <w:sz w:val="21"/>
                <w:szCs w:val="21"/>
                <w:b w:val="1"/>
                <w:bCs w:val="1"/>
                <w:color w:val="auto"/>
                <w:w w:val="95"/>
                <w:vertAlign w:val="superscript"/>
              </w:rPr>
              <w:t>(1,2)</w:t>
            </w: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ind w:right="119"/>
              <w:spacing w:after="0" w:line="216" w:lineRule="exact"/>
              <w:rPr>
                <w:sz w:val="20"/>
                <w:szCs w:val="20"/>
                <w:color w:val="auto"/>
              </w:rPr>
            </w:pPr>
            <w:r>
              <w:rPr>
                <w:rFonts w:ascii="Arial" w:cs="Arial" w:eastAsia="Arial" w:hAnsi="Arial"/>
                <w:sz w:val="16"/>
                <w:szCs w:val="16"/>
                <w:b w:val="1"/>
                <w:bCs w:val="1"/>
                <w:color w:val="auto"/>
              </w:rPr>
              <w:t>Under the Plans or Programs</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02/27/22 - 04/02/22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137,258</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54.64</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137,258</w:t>
            </w:r>
          </w:p>
        </w:tc>
        <w:tc>
          <w:tcPr>
            <w:tcW w:w="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142,500</w:t>
            </w: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Arial" w:cs="Arial" w:eastAsia="Arial" w:hAnsi="Arial"/>
                <w:sz w:val="16"/>
                <w:szCs w:val="16"/>
                <w:color w:val="auto"/>
              </w:rPr>
              <w:t>04/03/22 - 04/30/22</w:t>
            </w:r>
          </w:p>
        </w:tc>
        <w:tc>
          <w:tcPr>
            <w:tcW w:w="1560" w:type="dxa"/>
            <w:vAlign w:val="bottom"/>
          </w:tcPr>
          <w:p>
            <w:pPr>
              <w:jc w:val="right"/>
              <w:spacing w:after="0"/>
              <w:rPr>
                <w:sz w:val="20"/>
                <w:szCs w:val="20"/>
                <w:color w:val="auto"/>
              </w:rPr>
            </w:pPr>
            <w:r>
              <w:rPr>
                <w:rFonts w:ascii="Arial" w:cs="Arial" w:eastAsia="Arial" w:hAnsi="Arial"/>
                <w:sz w:val="16"/>
                <w:szCs w:val="16"/>
                <w:color w:val="auto"/>
              </w:rPr>
              <w:t>572,940</w:t>
            </w:r>
          </w:p>
        </w:tc>
        <w:tc>
          <w:tcPr>
            <w:tcW w:w="52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54.54</w:t>
            </w:r>
          </w:p>
        </w:tc>
        <w:tc>
          <w:tcPr>
            <w:tcW w:w="2760" w:type="dxa"/>
            <w:vAlign w:val="bottom"/>
          </w:tcPr>
          <w:p>
            <w:pPr>
              <w:jc w:val="right"/>
              <w:spacing w:after="0"/>
              <w:rPr>
                <w:sz w:val="20"/>
                <w:szCs w:val="20"/>
                <w:color w:val="auto"/>
              </w:rPr>
            </w:pPr>
            <w:r>
              <w:rPr>
                <w:rFonts w:ascii="Arial" w:cs="Arial" w:eastAsia="Arial" w:hAnsi="Arial"/>
                <w:sz w:val="16"/>
                <w:szCs w:val="16"/>
                <w:color w:val="auto"/>
              </w:rPr>
              <w:t>572,940</w:t>
            </w:r>
          </w:p>
        </w:tc>
        <w:tc>
          <w:tcPr>
            <w:tcW w:w="26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6"/>
                <w:szCs w:val="16"/>
                <w:color w:val="auto"/>
              </w:rPr>
              <w:t>111,250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05/01/22 - 05/28/22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557,931</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56.01</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557,931</w:t>
            </w: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0" w:type="dxa"/>
            <w:vAlign w:val="bottom"/>
          </w:tcPr>
          <w:p>
            <w:pPr>
              <w:spacing w:after="0"/>
              <w:rPr>
                <w:sz w:val="1"/>
                <w:szCs w:val="1"/>
                <w:color w:val="auto"/>
              </w:rPr>
            </w:pPr>
          </w:p>
        </w:tc>
      </w:tr>
      <w:tr>
        <w:trPr>
          <w:trHeight w:val="212"/>
        </w:trPr>
        <w:tc>
          <w:tcPr>
            <w:tcW w:w="2600" w:type="dxa"/>
            <w:vAlign w:val="bottom"/>
          </w:tcPr>
          <w:p>
            <w:pPr>
              <w:ind w:left="14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1,268,129</w:t>
            </w:r>
          </w:p>
        </w:tc>
        <w:tc>
          <w:tcPr>
            <w:tcW w:w="52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55.20</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1,268,129</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620" w:type="dxa"/>
            <w:vAlign w:val="bottom"/>
          </w:tcPr>
          <w:p>
            <w:pPr>
              <w:jc w:val="right"/>
              <w:spacing w:after="0"/>
              <w:rPr>
                <w:sz w:val="20"/>
                <w:szCs w:val="20"/>
                <w:color w:val="auto"/>
              </w:rPr>
            </w:pPr>
            <w:r>
              <w:rPr>
                <w:rFonts w:ascii="Arial" w:cs="Arial" w:eastAsia="Arial" w:hAnsi="Arial"/>
                <w:sz w:val="16"/>
                <w:szCs w:val="16"/>
                <w:color w:val="auto"/>
              </w:rPr>
              <w:t>80,000</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21"/>
          <w:szCs w:val="21"/>
          <w:color w:val="auto"/>
          <w:vertAlign w:val="superscript"/>
        </w:rPr>
      </w:pPr>
      <w:r>
        <w:rPr>
          <w:rFonts w:ascii="Arial" w:cs="Arial" w:eastAsia="Arial" w:hAnsi="Arial"/>
          <w:sz w:val="14"/>
          <w:szCs w:val="14"/>
          <w:color w:val="auto"/>
        </w:rPr>
        <w:t>Number of shares in the table are shown in whole numbers.</w:t>
      </w:r>
    </w:p>
    <w:p>
      <w:pPr>
        <w:ind w:left="260" w:right="180" w:hanging="252"/>
        <w:spacing w:after="0" w:line="193" w:lineRule="auto"/>
        <w:tabs>
          <w:tab w:leader="none" w:pos="263" w:val="left"/>
        </w:tabs>
        <w:numPr>
          <w:ilvl w:val="0"/>
          <w:numId w:val="16"/>
        </w:numPr>
        <w:rPr>
          <w:rFonts w:ascii="Arial" w:cs="Arial" w:eastAsia="Arial" w:hAnsi="Arial"/>
          <w:sz w:val="21"/>
          <w:szCs w:val="21"/>
          <w:color w:val="auto"/>
          <w:vertAlign w:val="superscript"/>
        </w:rPr>
      </w:pPr>
      <w:r>
        <w:rPr>
          <w:rFonts w:ascii="Arial" w:cs="Arial" w:eastAsia="Arial" w:hAnsi="Arial"/>
          <w:sz w:val="14"/>
          <w:szCs w:val="14"/>
          <w:color w:val="auto"/>
        </w:rPr>
        <w:t>Shares not purchased as part of a publicly announced program were repurchased from employees who vested in Company shares and elected to pay their payroll tax via the value of shares delivered as opposed to cash.</w:t>
      </w:r>
    </w:p>
    <w:p>
      <w:pPr>
        <w:ind w:left="260" w:hanging="252"/>
        <w:spacing w:after="0" w:line="189" w:lineRule="auto"/>
        <w:tabs>
          <w:tab w:leader="none" w:pos="260" w:val="left"/>
        </w:tabs>
        <w:numPr>
          <w:ilvl w:val="0"/>
          <w:numId w:val="16"/>
        </w:numPr>
        <w:rPr>
          <w:rFonts w:ascii="Arial" w:cs="Arial" w:eastAsia="Arial" w:hAnsi="Arial"/>
          <w:sz w:val="19"/>
          <w:szCs w:val="19"/>
          <w:color w:val="auto"/>
          <w:vertAlign w:val="superscript"/>
        </w:rPr>
      </w:pPr>
      <w:r>
        <w:rPr>
          <w:rFonts w:ascii="Arial" w:cs="Arial" w:eastAsia="Arial" w:hAnsi="Arial"/>
          <w:sz w:val="13"/>
          <w:szCs w:val="13"/>
          <w:color w:val="auto"/>
        </w:rPr>
        <w:t>Pursuant to a $200.0 million share repurchase program authorized by our Board of Directors on October 13, 2021. There is no time restriction on the authorization.</w:t>
      </w:r>
    </w:p>
    <w:p>
      <w:pPr>
        <w:spacing w:after="0" w:line="23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Senior Secured Notes, as defined in Note 9 to the Consolidated Financial Statements included in Item 1 of Part I of this Quarterly Report on Form 10-Q, contains occurrence based restrictions that may limit our ability to make distributions or payments with respect to purchases of our common stock without consent of the lenders, except for limited purchases of our common stock from employees, in the event of a significant reduction in our EBITDA or in the event of a significant borrowing on our ABL Credit Facility.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35" w:name="page36"/>
    <w:bookmarkEnd w:id="35"/>
    <w:p>
      <w:pPr>
        <w:ind w:left="100"/>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6"/>
          <w:szCs w:val="16"/>
          <w:b w:val="1"/>
          <w:bCs w:val="1"/>
          <w:color w:val="auto"/>
        </w:rPr>
        <w:t>Item 6.</w:t>
        <w:tab/>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rFonts w:ascii="Arial" w:cs="Arial" w:eastAsia="Arial" w:hAnsi="Arial"/>
                <w:sz w:val="13"/>
                <w:szCs w:val="13"/>
                <w:color w:val="0000FF"/>
                <w:w w:val="73"/>
              </w:rPr>
            </w:pPr>
            <w:hyperlink r:id="rId51">
              <w:r>
                <w:rPr>
                  <w:rFonts w:ascii="Arial" w:cs="Arial" w:eastAsia="Arial" w:hAnsi="Arial"/>
                  <w:sz w:val="13"/>
                  <w:szCs w:val="13"/>
                  <w:color w:val="0000FF"/>
                  <w:w w:val="73"/>
                </w:rPr>
                <w:t>3.</w:t>
              </w:r>
            </w:hyperlink>
          </w:p>
        </w:tc>
        <w:tc>
          <w:tcPr>
            <w:tcW w:w="80" w:type="dxa"/>
            <w:vAlign w:val="bottom"/>
            <w:shd w:val="clear" w:color="auto" w:fill="CCEEFF"/>
          </w:tcPr>
          <w:p>
            <w:pPr>
              <w:spacing w:after="0"/>
              <w:rPr>
                <w:rFonts w:ascii="Arial" w:cs="Arial" w:eastAsia="Arial" w:hAnsi="Arial"/>
                <w:sz w:val="10"/>
                <w:szCs w:val="10"/>
                <w:u w:val="single" w:color="auto"/>
                <w:color w:val="0000FF"/>
                <w:w w:val="70"/>
              </w:rPr>
            </w:pPr>
            <w:hyperlink r:id="rId51">
              <w:r>
                <w:rPr>
                  <w:rFonts w:ascii="Arial" w:cs="Arial" w:eastAsia="Arial" w:hAnsi="Arial"/>
                  <w:sz w:val="10"/>
                  <w:szCs w:val="10"/>
                  <w:u w:val="single" w:color="auto"/>
                  <w:color w:val="0000FF"/>
                  <w:w w:val="70"/>
                </w:rPr>
                <w:t>1</w:t>
              </w:r>
            </w:hyperlink>
          </w:p>
        </w:tc>
        <w:tc>
          <w:tcPr>
            <w:tcW w:w="360" w:type="dxa"/>
            <w:vAlign w:val="bottom"/>
            <w:tcBorders>
              <w:left w:val="single" w:sz="8" w:color="CCEEFF"/>
              <w:right w:val="single" w:sz="8" w:color="CCEEFF"/>
            </w:tcBorders>
            <w:shd w:val="clear" w:color="auto" w:fill="CCEEFF"/>
          </w:tcPr>
          <w:p>
            <w:pPr>
              <w:spacing w:after="0"/>
              <w:rPr>
                <w:sz w:val="16"/>
                <w:szCs w:val="16"/>
                <w:color w:val="auto"/>
              </w:rPr>
            </w:pPr>
          </w:p>
        </w:tc>
        <w:tc>
          <w:tcPr>
            <w:tcW w:w="9860" w:type="dxa"/>
            <w:vAlign w:val="bottom"/>
            <w:gridSpan w:val="14"/>
            <w:shd w:val="clear" w:color="auto" w:fill="CCEEFF"/>
          </w:tcPr>
          <w:p>
            <w:pPr>
              <w:spacing w:after="0"/>
              <w:rPr>
                <w:rFonts w:ascii="Arial" w:cs="Arial" w:eastAsia="Arial" w:hAnsi="Arial"/>
                <w:sz w:val="16"/>
                <w:szCs w:val="16"/>
                <w:color w:val="0000FF"/>
              </w:rPr>
            </w:pPr>
            <w:hyperlink r:id="rId51">
              <w:r>
                <w:rPr>
                  <w:rFonts w:ascii="Arial" w:cs="Arial" w:eastAsia="Arial" w:hAnsi="Arial"/>
                  <w:sz w:val="16"/>
                  <w:szCs w:val="16"/>
                  <w:color w:val="0000FF"/>
                </w:rPr>
                <w:t>Articles of Incorporation of Winnebago Industries, Inc., effective January 1, 2022 (incorporated by reference from Exhibit 3.1 to the</w:t>
              </w:r>
            </w:hyperlink>
          </w:p>
        </w:tc>
      </w:tr>
      <w:tr>
        <w:trPr>
          <w:trHeight w:val="142"/>
        </w:trPr>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360" w:type="dxa"/>
            <w:vAlign w:val="bottom"/>
            <w:tcBorders>
              <w:top w:val="single" w:sz="8" w:color="CCEEFF"/>
              <w:left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0000FF"/>
            </w:tcBorders>
            <w:shd w:val="clear" w:color="auto" w:fill="CCEEFF"/>
          </w:tcPr>
          <w:p>
            <w:pPr>
              <w:spacing w:after="0"/>
              <w:rPr>
                <w:sz w:val="12"/>
                <w:szCs w:val="12"/>
                <w:color w:val="auto"/>
              </w:rPr>
            </w:pPr>
          </w:p>
        </w:tc>
        <w:tc>
          <w:tcPr>
            <w:tcW w:w="8820" w:type="dxa"/>
            <w:vAlign w:val="bottom"/>
            <w:tcBorders>
              <w:top w:val="single" w:sz="8" w:color="0000FF"/>
            </w:tcBorders>
            <w:gridSpan w:val="8"/>
            <w:shd w:val="clear" w:color="auto" w:fill="CCEEFF"/>
          </w:tcPr>
          <w:p>
            <w:pPr>
              <w:spacing w:after="0" w:line="142" w:lineRule="exact"/>
              <w:rPr>
                <w:rFonts w:ascii="Arial" w:cs="Arial" w:eastAsia="Arial" w:hAnsi="Arial"/>
                <w:sz w:val="16"/>
                <w:szCs w:val="16"/>
                <w:color w:val="0000FF"/>
              </w:rPr>
            </w:pPr>
            <w:hyperlink r:id="rId51">
              <w:r>
                <w:rPr>
                  <w:rFonts w:ascii="Arial" w:cs="Arial" w:eastAsia="Arial" w:hAnsi="Arial"/>
                  <w:sz w:val="16"/>
                  <w:szCs w:val="16"/>
                  <w:color w:val="0000FF"/>
                </w:rPr>
                <w:t>Registrant’s Current Report on Form 8-K dated January 1, 2022).</w:t>
              </w:r>
            </w:hyperlink>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r>
      <w:tr>
        <w:trPr>
          <w:trHeight w:val="21"/>
        </w:trPr>
        <w:tc>
          <w:tcPr>
            <w:tcW w:w="100" w:type="dxa"/>
            <w:vAlign w:val="bottom"/>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8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gridSpan w:val="2"/>
          </w:tcPr>
          <w:p>
            <w:pPr>
              <w:spacing w:after="0"/>
              <w:rPr>
                <w:rFonts w:ascii="Arial" w:cs="Arial" w:eastAsia="Arial" w:hAnsi="Arial"/>
                <w:sz w:val="14"/>
                <w:szCs w:val="14"/>
                <w:color w:val="0000FF"/>
                <w:w w:val="71"/>
              </w:rPr>
            </w:pPr>
            <w:hyperlink r:id="rId52">
              <w:r>
                <w:rPr>
                  <w:rFonts w:ascii="Arial" w:cs="Arial" w:eastAsia="Arial" w:hAnsi="Arial"/>
                  <w:sz w:val="14"/>
                  <w:szCs w:val="14"/>
                  <w:color w:val="0000FF"/>
                  <w:w w:val="71"/>
                </w:rPr>
                <w:t>3.</w:t>
              </w:r>
              <w:r>
                <w:rPr>
                  <w:rFonts w:ascii="Arial" w:cs="Arial" w:eastAsia="Arial" w:hAnsi="Arial"/>
                  <w:sz w:val="14"/>
                  <w:szCs w:val="14"/>
                  <w:u w:val="single" w:color="auto"/>
                  <w:color w:val="0000FF"/>
                  <w:w w:val="71"/>
                </w:rPr>
                <w:t>2</w:t>
              </w:r>
            </w:hyperlink>
          </w:p>
        </w:tc>
        <w:tc>
          <w:tcPr>
            <w:tcW w:w="360" w:type="dxa"/>
            <w:vAlign w:val="bottom"/>
          </w:tcPr>
          <w:p>
            <w:pPr>
              <w:spacing w:after="0"/>
              <w:rPr>
                <w:sz w:val="15"/>
                <w:szCs w:val="15"/>
                <w:color w:val="auto"/>
              </w:rPr>
            </w:pPr>
          </w:p>
        </w:tc>
        <w:tc>
          <w:tcPr>
            <w:tcW w:w="9860" w:type="dxa"/>
            <w:vAlign w:val="bottom"/>
            <w:gridSpan w:val="14"/>
          </w:tcPr>
          <w:p>
            <w:pPr>
              <w:spacing w:after="0" w:line="175" w:lineRule="exact"/>
              <w:rPr>
                <w:rFonts w:ascii="Arial" w:cs="Arial" w:eastAsia="Arial" w:hAnsi="Arial"/>
                <w:sz w:val="16"/>
                <w:szCs w:val="16"/>
                <w:color w:val="0000FF"/>
              </w:rPr>
            </w:pPr>
            <w:hyperlink r:id="rId52">
              <w:r>
                <w:rPr>
                  <w:rFonts w:ascii="Arial" w:cs="Arial" w:eastAsia="Arial" w:hAnsi="Arial"/>
                  <w:sz w:val="16"/>
                  <w:szCs w:val="16"/>
                  <w:color w:val="0000FF"/>
                </w:rPr>
                <w:t>By-Laws of the Registrant effective January 1, 2022 (incorporated by reference from Exhibit 3.2 to the Registrant’s Current Report on</w:t>
              </w:r>
            </w:hyperlink>
          </w:p>
        </w:tc>
      </w:tr>
      <w:tr>
        <w:trPr>
          <w:trHeight w:val="142"/>
        </w:trPr>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902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52">
              <w:r>
                <w:rPr>
                  <w:rFonts w:ascii="Arial" w:cs="Arial" w:eastAsia="Arial" w:hAnsi="Arial"/>
                  <w:sz w:val="16"/>
                  <w:szCs w:val="16"/>
                  <w:color w:val="0000FF"/>
                </w:rPr>
                <w:t>Form 8-K dated January 1, 2022).</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6"/>
        </w:trPr>
        <w:tc>
          <w:tcPr>
            <w:tcW w:w="100" w:type="dxa"/>
            <w:vAlign w:val="bottom"/>
          </w:tcPr>
          <w:p>
            <w:pPr>
              <w:spacing w:after="0"/>
              <w:rPr>
                <w:rFonts w:ascii="Arial" w:cs="Arial" w:eastAsia="Arial" w:hAnsi="Arial"/>
                <w:sz w:val="13"/>
                <w:szCs w:val="13"/>
                <w:color w:val="0000FF"/>
                <w:w w:val="73"/>
              </w:rPr>
            </w:pPr>
            <w:hyperlink r:id="rId53">
              <w:r>
                <w:rPr>
                  <w:rFonts w:ascii="Arial" w:cs="Arial" w:eastAsia="Arial" w:hAnsi="Arial"/>
                  <w:sz w:val="13"/>
                  <w:szCs w:val="13"/>
                  <w:color w:val="0000FF"/>
                  <w:w w:val="73"/>
                </w:rPr>
                <w:t>4.</w:t>
              </w:r>
            </w:hyperlink>
          </w:p>
        </w:tc>
        <w:tc>
          <w:tcPr>
            <w:tcW w:w="80" w:type="dxa"/>
            <w:vAlign w:val="bottom"/>
            <w:shd w:val="clear" w:color="auto" w:fill="CCEEFF"/>
          </w:tcPr>
          <w:p>
            <w:pPr>
              <w:spacing w:after="0"/>
              <w:rPr>
                <w:rFonts w:ascii="Arial" w:cs="Arial" w:eastAsia="Arial" w:hAnsi="Arial"/>
                <w:sz w:val="10"/>
                <w:szCs w:val="10"/>
                <w:u w:val="single" w:color="auto"/>
                <w:color w:val="0000FF"/>
                <w:w w:val="70"/>
              </w:rPr>
            </w:pPr>
            <w:hyperlink r:id="rId53">
              <w:r>
                <w:rPr>
                  <w:rFonts w:ascii="Arial" w:cs="Arial" w:eastAsia="Arial" w:hAnsi="Arial"/>
                  <w:sz w:val="10"/>
                  <w:szCs w:val="10"/>
                  <w:u w:val="single" w:color="auto"/>
                  <w:color w:val="0000FF"/>
                  <w:w w:val="70"/>
                </w:rPr>
                <w:t>1</w:t>
              </w:r>
            </w:hyperlink>
          </w:p>
        </w:tc>
        <w:tc>
          <w:tcPr>
            <w:tcW w:w="360" w:type="dxa"/>
            <w:vAlign w:val="bottom"/>
            <w:tcBorders>
              <w:left w:val="single" w:sz="8" w:color="CCEEFF"/>
              <w:right w:val="single" w:sz="8" w:color="CCEEFF"/>
            </w:tcBorders>
            <w:shd w:val="clear" w:color="auto" w:fill="CCEEFF"/>
          </w:tcPr>
          <w:p>
            <w:pPr>
              <w:spacing w:after="0"/>
              <w:rPr>
                <w:sz w:val="15"/>
                <w:szCs w:val="15"/>
                <w:color w:val="auto"/>
              </w:rPr>
            </w:pPr>
          </w:p>
        </w:tc>
        <w:tc>
          <w:tcPr>
            <w:tcW w:w="9860" w:type="dxa"/>
            <w:vAlign w:val="bottom"/>
            <w:gridSpan w:val="14"/>
            <w:shd w:val="clear" w:color="auto" w:fill="CCEEFF"/>
          </w:tcPr>
          <w:p>
            <w:pPr>
              <w:spacing w:after="0" w:line="175" w:lineRule="exact"/>
              <w:rPr>
                <w:rFonts w:ascii="Arial" w:cs="Arial" w:eastAsia="Arial" w:hAnsi="Arial"/>
                <w:sz w:val="16"/>
                <w:szCs w:val="16"/>
                <w:color w:val="0000FF"/>
              </w:rPr>
            </w:pPr>
            <w:hyperlink r:id="rId53">
              <w:r>
                <w:rPr>
                  <w:rFonts w:ascii="Arial" w:cs="Arial" w:eastAsia="Arial" w:hAnsi="Arial"/>
                  <w:sz w:val="16"/>
                  <w:szCs w:val="16"/>
                  <w:color w:val="0000FF"/>
                </w:rPr>
                <w:t>Indenture, dated November 1, 2019, by and between Winnebago Industries, Inc. and U.S. Bank National Association (incorporated by</w:t>
              </w:r>
            </w:hyperlink>
          </w:p>
        </w:tc>
      </w:tr>
      <w:tr>
        <w:trPr>
          <w:trHeight w:val="142"/>
        </w:trPr>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360" w:type="dxa"/>
            <w:vAlign w:val="bottom"/>
            <w:tcBorders>
              <w:top w:val="single" w:sz="8" w:color="CCEEFF"/>
              <w:left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0000FF"/>
            </w:tcBorders>
            <w:shd w:val="clear" w:color="auto" w:fill="CCEEFF"/>
          </w:tcPr>
          <w:p>
            <w:pPr>
              <w:spacing w:after="0"/>
              <w:rPr>
                <w:sz w:val="12"/>
                <w:szCs w:val="12"/>
                <w:color w:val="auto"/>
              </w:rPr>
            </w:pPr>
          </w:p>
        </w:tc>
        <w:tc>
          <w:tcPr>
            <w:tcW w:w="9100" w:type="dxa"/>
            <w:vAlign w:val="bottom"/>
            <w:tcBorders>
              <w:top w:val="single" w:sz="8" w:color="0000FF"/>
              <w:right w:val="single" w:sz="8" w:color="CCEEFF"/>
            </w:tcBorders>
            <w:gridSpan w:val="12"/>
            <w:shd w:val="clear" w:color="auto" w:fill="CCEEFF"/>
          </w:tcPr>
          <w:p>
            <w:pPr>
              <w:spacing w:after="0" w:line="142" w:lineRule="exact"/>
              <w:rPr>
                <w:rFonts w:ascii="Arial" w:cs="Arial" w:eastAsia="Arial" w:hAnsi="Arial"/>
                <w:sz w:val="16"/>
                <w:szCs w:val="16"/>
                <w:color w:val="0000FF"/>
              </w:rPr>
            </w:pPr>
            <w:hyperlink r:id="rId53">
              <w:r>
                <w:rPr>
                  <w:rFonts w:ascii="Arial" w:cs="Arial" w:eastAsia="Arial" w:hAnsi="Arial"/>
                  <w:sz w:val="16"/>
                  <w:szCs w:val="16"/>
                  <w:color w:val="0000FF"/>
                </w:rPr>
                <w:t>reference from Exhibit 4.1 to the Registrant’s Current Report on Form 8-K dated October 29, 2019).</w:t>
              </w:r>
            </w:hyperlink>
          </w:p>
        </w:tc>
        <w:tc>
          <w:tcPr>
            <w:tcW w:w="260" w:type="dxa"/>
            <w:vAlign w:val="bottom"/>
            <w:tcBorders>
              <w:top w:val="single" w:sz="8" w:color="CCEEFF"/>
            </w:tcBorders>
            <w:shd w:val="clear" w:color="auto" w:fill="CCEEFF"/>
          </w:tcPr>
          <w:p>
            <w:pPr>
              <w:spacing w:after="0"/>
              <w:rPr>
                <w:sz w:val="12"/>
                <w:szCs w:val="12"/>
                <w:color w:val="auto"/>
              </w:rPr>
            </w:pPr>
          </w:p>
        </w:tc>
      </w:tr>
      <w:tr>
        <w:trPr>
          <w:trHeight w:val="21"/>
        </w:trPr>
        <w:tc>
          <w:tcPr>
            <w:tcW w:w="100" w:type="dxa"/>
            <w:vAlign w:val="bottom"/>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8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gridSpan w:val="2"/>
          </w:tcPr>
          <w:p>
            <w:pPr>
              <w:spacing w:after="0"/>
              <w:rPr>
                <w:rFonts w:ascii="Arial" w:cs="Arial" w:eastAsia="Arial" w:hAnsi="Arial"/>
                <w:sz w:val="14"/>
                <w:szCs w:val="14"/>
                <w:color w:val="0000FF"/>
                <w:w w:val="71"/>
              </w:rPr>
            </w:pPr>
            <w:hyperlink r:id="rId53">
              <w:r>
                <w:rPr>
                  <w:rFonts w:ascii="Arial" w:cs="Arial" w:eastAsia="Arial" w:hAnsi="Arial"/>
                  <w:sz w:val="14"/>
                  <w:szCs w:val="14"/>
                  <w:color w:val="0000FF"/>
                  <w:w w:val="71"/>
                </w:rPr>
                <w:t>4.</w:t>
              </w:r>
              <w:r>
                <w:rPr>
                  <w:rFonts w:ascii="Arial" w:cs="Arial" w:eastAsia="Arial" w:hAnsi="Arial"/>
                  <w:sz w:val="14"/>
                  <w:szCs w:val="14"/>
                  <w:u w:val="single" w:color="auto"/>
                  <w:color w:val="0000FF"/>
                  <w:w w:val="71"/>
                </w:rPr>
                <w:t>2</w:t>
              </w:r>
            </w:hyperlink>
          </w:p>
        </w:tc>
        <w:tc>
          <w:tcPr>
            <w:tcW w:w="360" w:type="dxa"/>
            <w:vAlign w:val="bottom"/>
          </w:tcPr>
          <w:p>
            <w:pPr>
              <w:spacing w:after="0"/>
              <w:rPr>
                <w:sz w:val="15"/>
                <w:szCs w:val="15"/>
                <w:color w:val="auto"/>
              </w:rPr>
            </w:pPr>
          </w:p>
        </w:tc>
        <w:tc>
          <w:tcPr>
            <w:tcW w:w="9860" w:type="dxa"/>
            <w:vAlign w:val="bottom"/>
            <w:gridSpan w:val="14"/>
          </w:tcPr>
          <w:p>
            <w:pPr>
              <w:spacing w:after="0" w:line="175" w:lineRule="exact"/>
              <w:rPr>
                <w:rFonts w:ascii="Arial" w:cs="Arial" w:eastAsia="Arial" w:hAnsi="Arial"/>
                <w:sz w:val="16"/>
                <w:szCs w:val="16"/>
                <w:color w:val="0000FF"/>
              </w:rPr>
            </w:pPr>
            <w:hyperlink r:id="rId53">
              <w:r>
                <w:rPr>
                  <w:rFonts w:ascii="Arial" w:cs="Arial" w:eastAsia="Arial" w:hAnsi="Arial"/>
                  <w:sz w:val="16"/>
                  <w:szCs w:val="16"/>
                  <w:color w:val="0000FF"/>
                </w:rPr>
                <w:t>Form of 1.50% Convertible Senior Note due 2025 (included in Exhibit 4.1).</w:t>
              </w:r>
            </w:hyperlink>
          </w:p>
        </w:tc>
      </w:tr>
      <w:tr>
        <w:trPr>
          <w:trHeight w:val="183"/>
        </w:trPr>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02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8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5"/>
        </w:trPr>
        <w:tc>
          <w:tcPr>
            <w:tcW w:w="100" w:type="dxa"/>
            <w:vAlign w:val="bottom"/>
          </w:tcPr>
          <w:p>
            <w:pPr>
              <w:spacing w:after="0"/>
              <w:rPr>
                <w:rFonts w:ascii="Arial" w:cs="Arial" w:eastAsia="Arial" w:hAnsi="Arial"/>
                <w:sz w:val="13"/>
                <w:szCs w:val="13"/>
                <w:color w:val="0000FF"/>
                <w:w w:val="73"/>
              </w:rPr>
            </w:pPr>
            <w:hyperlink r:id="rId54">
              <w:r>
                <w:rPr>
                  <w:rFonts w:ascii="Arial" w:cs="Arial" w:eastAsia="Arial" w:hAnsi="Arial"/>
                  <w:sz w:val="13"/>
                  <w:szCs w:val="13"/>
                  <w:color w:val="0000FF"/>
                  <w:w w:val="73"/>
                </w:rPr>
                <w:t>4.</w:t>
              </w:r>
            </w:hyperlink>
          </w:p>
        </w:tc>
        <w:tc>
          <w:tcPr>
            <w:tcW w:w="80" w:type="dxa"/>
            <w:vAlign w:val="bottom"/>
            <w:shd w:val="clear" w:color="auto" w:fill="CCEEFF"/>
          </w:tcPr>
          <w:p>
            <w:pPr>
              <w:spacing w:after="0"/>
              <w:rPr>
                <w:rFonts w:ascii="Arial" w:cs="Arial" w:eastAsia="Arial" w:hAnsi="Arial"/>
                <w:sz w:val="10"/>
                <w:szCs w:val="10"/>
                <w:u w:val="single" w:color="auto"/>
                <w:color w:val="0000FF"/>
                <w:w w:val="70"/>
              </w:rPr>
            </w:pPr>
            <w:hyperlink r:id="rId54">
              <w:r>
                <w:rPr>
                  <w:rFonts w:ascii="Arial" w:cs="Arial" w:eastAsia="Arial" w:hAnsi="Arial"/>
                  <w:sz w:val="10"/>
                  <w:szCs w:val="10"/>
                  <w:u w:val="single" w:color="auto"/>
                  <w:color w:val="0000FF"/>
                  <w:w w:val="70"/>
                </w:rPr>
                <w:t>3</w:t>
              </w:r>
            </w:hyperlink>
          </w:p>
        </w:tc>
        <w:tc>
          <w:tcPr>
            <w:tcW w:w="360" w:type="dxa"/>
            <w:vAlign w:val="bottom"/>
            <w:tcBorders>
              <w:left w:val="single" w:sz="8" w:color="CCEEFF"/>
              <w:right w:val="single" w:sz="8" w:color="CCEEFF"/>
            </w:tcBorders>
            <w:shd w:val="clear" w:color="auto" w:fill="CCEEFF"/>
          </w:tcPr>
          <w:p>
            <w:pPr>
              <w:spacing w:after="0"/>
              <w:rPr>
                <w:sz w:val="15"/>
                <w:szCs w:val="15"/>
                <w:color w:val="auto"/>
              </w:rPr>
            </w:pPr>
          </w:p>
        </w:tc>
        <w:tc>
          <w:tcPr>
            <w:tcW w:w="9860" w:type="dxa"/>
            <w:vAlign w:val="bottom"/>
            <w:gridSpan w:val="14"/>
            <w:shd w:val="clear" w:color="auto" w:fill="CCEEFF"/>
          </w:tcPr>
          <w:p>
            <w:pPr>
              <w:spacing w:after="0" w:line="175" w:lineRule="exact"/>
              <w:rPr>
                <w:rFonts w:ascii="Arial" w:cs="Arial" w:eastAsia="Arial" w:hAnsi="Arial"/>
                <w:sz w:val="16"/>
                <w:szCs w:val="16"/>
                <w:color w:val="0000FF"/>
              </w:rPr>
            </w:pPr>
            <w:hyperlink r:id="rId54">
              <w:r>
                <w:rPr>
                  <w:rFonts w:ascii="Arial" w:cs="Arial" w:eastAsia="Arial" w:hAnsi="Arial"/>
                  <w:sz w:val="16"/>
                  <w:szCs w:val="16"/>
                  <w:color w:val="0000FF"/>
                </w:rPr>
                <w:t>Indenture, dated as of July 8, 2020, by and among Winnebago Industries, Inc., the guarantors named therein and U.S. Bank National</w:t>
              </w:r>
            </w:hyperlink>
          </w:p>
        </w:tc>
      </w:tr>
      <w:tr>
        <w:trPr>
          <w:trHeight w:val="20"/>
        </w:trPr>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156"/>
        </w:trPr>
        <w:tc>
          <w:tcPr>
            <w:tcW w:w="10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left w:val="single" w:sz="8" w:color="CCEEFF"/>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360" w:type="dxa"/>
            <w:vAlign w:val="bottom"/>
            <w:gridSpan w:val="13"/>
            <w:shd w:val="clear" w:color="auto" w:fill="CCEEFF"/>
          </w:tcPr>
          <w:p>
            <w:pPr>
              <w:spacing w:after="0" w:line="155" w:lineRule="exact"/>
              <w:rPr>
                <w:rFonts w:ascii="Arial" w:cs="Arial" w:eastAsia="Arial" w:hAnsi="Arial"/>
                <w:sz w:val="16"/>
                <w:szCs w:val="16"/>
                <w:color w:val="0000FF"/>
              </w:rPr>
            </w:pPr>
            <w:hyperlink r:id="rId54">
              <w:r>
                <w:rPr>
                  <w:rFonts w:ascii="Arial" w:cs="Arial" w:eastAsia="Arial" w:hAnsi="Arial"/>
                  <w:sz w:val="16"/>
                  <w:szCs w:val="16"/>
                  <w:color w:val="0000FF"/>
                </w:rPr>
                <w:t>Association, as trustee (incorporated by reference from Exhibit 4.1 to the Registrant’s Current Report on Form 8-K dated July 8,</w:t>
              </w:r>
            </w:hyperlink>
          </w:p>
        </w:tc>
      </w:tr>
      <w:tr>
        <w:trPr>
          <w:trHeight w:val="20"/>
        </w:trPr>
        <w:tc>
          <w:tcPr>
            <w:tcW w:w="100" w:type="dxa"/>
            <w:vAlign w:val="bottom"/>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156"/>
        </w:trPr>
        <w:tc>
          <w:tcPr>
            <w:tcW w:w="10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left w:val="single" w:sz="8" w:color="CCEEFF"/>
              <w:right w:val="single" w:sz="8" w:color="CCEEFF"/>
            </w:tcBorders>
            <w:shd w:val="clear" w:color="auto" w:fill="CCEEFF"/>
          </w:tcPr>
          <w:p>
            <w:pPr>
              <w:spacing w:after="0"/>
              <w:rPr>
                <w:sz w:val="13"/>
                <w:szCs w:val="13"/>
                <w:color w:val="auto"/>
              </w:rPr>
            </w:pPr>
          </w:p>
        </w:tc>
        <w:tc>
          <w:tcPr>
            <w:tcW w:w="900" w:type="dxa"/>
            <w:vAlign w:val="bottom"/>
            <w:gridSpan w:val="2"/>
            <w:shd w:val="clear" w:color="auto" w:fill="CCEEFF"/>
          </w:tcPr>
          <w:p>
            <w:pPr>
              <w:ind w:left="500"/>
              <w:spacing w:after="0" w:line="155" w:lineRule="exact"/>
              <w:rPr>
                <w:rFonts w:ascii="Arial" w:cs="Arial" w:eastAsia="Arial" w:hAnsi="Arial"/>
                <w:sz w:val="16"/>
                <w:szCs w:val="16"/>
                <w:color w:val="0000FF"/>
                <w:w w:val="92"/>
              </w:rPr>
            </w:pPr>
            <w:hyperlink r:id="rId54">
              <w:r>
                <w:rPr>
                  <w:rFonts w:ascii="Arial" w:cs="Arial" w:eastAsia="Arial" w:hAnsi="Arial"/>
                  <w:sz w:val="16"/>
                  <w:szCs w:val="16"/>
                  <w:color w:val="0000FF"/>
                  <w:w w:val="92"/>
                </w:rPr>
                <w:t>2020)</w:t>
              </w:r>
            </w:hyperlink>
          </w:p>
        </w:tc>
        <w:tc>
          <w:tcPr>
            <w:tcW w:w="20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34"/>
        </w:trPr>
        <w:tc>
          <w:tcPr>
            <w:tcW w:w="10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75"/>
        </w:trPr>
        <w:tc>
          <w:tcPr>
            <w:tcW w:w="180" w:type="dxa"/>
            <w:vAlign w:val="bottom"/>
            <w:gridSpan w:val="2"/>
          </w:tcPr>
          <w:p>
            <w:pPr>
              <w:spacing w:after="0"/>
              <w:rPr>
                <w:rFonts w:ascii="Arial" w:cs="Arial" w:eastAsia="Arial" w:hAnsi="Arial"/>
                <w:sz w:val="14"/>
                <w:szCs w:val="14"/>
                <w:color w:val="0000FF"/>
                <w:w w:val="71"/>
              </w:rPr>
            </w:pPr>
            <w:hyperlink r:id="rId55">
              <w:r>
                <w:rPr>
                  <w:rFonts w:ascii="Arial" w:cs="Arial" w:eastAsia="Arial" w:hAnsi="Arial"/>
                  <w:sz w:val="14"/>
                  <w:szCs w:val="14"/>
                  <w:color w:val="0000FF"/>
                  <w:w w:val="71"/>
                </w:rPr>
                <w:t>4.</w:t>
              </w:r>
              <w:r>
                <w:rPr>
                  <w:rFonts w:ascii="Arial" w:cs="Arial" w:eastAsia="Arial" w:hAnsi="Arial"/>
                  <w:sz w:val="14"/>
                  <w:szCs w:val="14"/>
                  <w:u w:val="single" w:color="auto"/>
                  <w:color w:val="0000FF"/>
                  <w:w w:val="71"/>
                </w:rPr>
                <w:t>4</w:t>
              </w:r>
            </w:hyperlink>
          </w:p>
        </w:tc>
        <w:tc>
          <w:tcPr>
            <w:tcW w:w="360" w:type="dxa"/>
            <w:vAlign w:val="bottom"/>
          </w:tcPr>
          <w:p>
            <w:pPr>
              <w:spacing w:after="0"/>
              <w:rPr>
                <w:sz w:val="15"/>
                <w:szCs w:val="15"/>
                <w:color w:val="auto"/>
              </w:rPr>
            </w:pPr>
          </w:p>
        </w:tc>
        <w:tc>
          <w:tcPr>
            <w:tcW w:w="9860" w:type="dxa"/>
            <w:vAlign w:val="bottom"/>
            <w:gridSpan w:val="14"/>
          </w:tcPr>
          <w:p>
            <w:pPr>
              <w:spacing w:after="0" w:line="175" w:lineRule="exact"/>
              <w:rPr>
                <w:rFonts w:ascii="Arial" w:cs="Arial" w:eastAsia="Arial" w:hAnsi="Arial"/>
                <w:sz w:val="16"/>
                <w:szCs w:val="16"/>
                <w:color w:val="0000FF"/>
              </w:rPr>
            </w:pPr>
            <w:hyperlink r:id="rId55">
              <w:r>
                <w:rPr>
                  <w:rFonts w:ascii="Arial" w:cs="Arial" w:eastAsia="Arial" w:hAnsi="Arial"/>
                  <w:sz w:val="16"/>
                  <w:szCs w:val="16"/>
                  <w:color w:val="0000FF"/>
                </w:rPr>
                <w:t>Form of 6.250% Senior Secured Note due 2028 (included in Exhibit 4.3)</w:t>
              </w:r>
            </w:hyperlink>
          </w:p>
        </w:tc>
      </w:tr>
      <w:tr>
        <w:trPr>
          <w:trHeight w:val="20"/>
        </w:trPr>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58"/>
        </w:trPr>
        <w:tc>
          <w:tcPr>
            <w:tcW w:w="180" w:type="dxa"/>
            <w:vAlign w:val="bottom"/>
            <w:gridSpan w:val="2"/>
          </w:tcPr>
          <w:p>
            <w:pPr>
              <w:spacing w:after="0"/>
              <w:rPr>
                <w:rFonts w:ascii="Arial" w:cs="Arial" w:eastAsia="Arial" w:hAnsi="Arial"/>
                <w:sz w:val="14"/>
                <w:szCs w:val="14"/>
                <w:color w:val="0000FF"/>
                <w:w w:val="71"/>
              </w:rPr>
            </w:pPr>
            <w:hyperlink w:anchor="page38">
              <w:r>
                <w:rPr>
                  <w:rFonts w:ascii="Arial" w:cs="Arial" w:eastAsia="Arial" w:hAnsi="Arial"/>
                  <w:sz w:val="14"/>
                  <w:szCs w:val="14"/>
                  <w:color w:val="0000FF"/>
                  <w:w w:val="71"/>
                </w:rPr>
                <w:t>1.</w:t>
              </w:r>
              <w:r>
                <w:rPr>
                  <w:rFonts w:ascii="Arial" w:cs="Arial" w:eastAsia="Arial" w:hAnsi="Arial"/>
                  <w:sz w:val="14"/>
                  <w:szCs w:val="14"/>
                  <w:u w:val="single" w:color="auto"/>
                  <w:color w:val="0000FF"/>
                  <w:w w:val="71"/>
                </w:rPr>
                <w:t>1</w:t>
              </w:r>
            </w:hyperlink>
          </w:p>
        </w:tc>
        <w:tc>
          <w:tcPr>
            <w:tcW w:w="360" w:type="dxa"/>
            <w:vAlign w:val="bottom"/>
          </w:tcPr>
          <w:p>
            <w:pPr>
              <w:spacing w:after="0"/>
              <w:rPr>
                <w:sz w:val="24"/>
                <w:szCs w:val="24"/>
                <w:color w:val="auto"/>
              </w:rPr>
            </w:pPr>
          </w:p>
        </w:tc>
        <w:tc>
          <w:tcPr>
            <w:tcW w:w="9860" w:type="dxa"/>
            <w:vAlign w:val="bottom"/>
            <w:gridSpan w:val="14"/>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Certification by the Chief Executive Officer pursuant to Section 302 of the Sarbanes-Oxley Act of 2002 (filed herewith)</w:t>
              </w:r>
            </w:hyperlink>
            <w:r>
              <w:rPr>
                <w:rFonts w:ascii="Arial" w:cs="Arial" w:eastAsia="Arial" w:hAnsi="Arial"/>
                <w:sz w:val="16"/>
                <w:szCs w:val="16"/>
                <w:color w:val="000000"/>
              </w:rPr>
              <w:t>.</w:t>
            </w:r>
          </w:p>
        </w:tc>
      </w:tr>
      <w:tr>
        <w:trPr>
          <w:trHeight w:val="358"/>
        </w:trPr>
        <w:tc>
          <w:tcPr>
            <w:tcW w:w="180" w:type="dxa"/>
            <w:vAlign w:val="bottom"/>
            <w:tcBorders>
              <w:top w:val="single" w:sz="8" w:color="0000FF"/>
              <w:bottom w:val="single" w:sz="8" w:color="0000FF"/>
            </w:tcBorders>
            <w:gridSpan w:val="2"/>
          </w:tcPr>
          <w:p>
            <w:pPr>
              <w:spacing w:after="0"/>
              <w:rPr>
                <w:rFonts w:ascii="Arial" w:cs="Arial" w:eastAsia="Arial" w:hAnsi="Arial"/>
                <w:sz w:val="14"/>
                <w:szCs w:val="14"/>
                <w:color w:val="0000FF"/>
                <w:w w:val="71"/>
              </w:rPr>
            </w:pPr>
            <w:hyperlink w:anchor="page39">
              <w:r>
                <w:rPr>
                  <w:rFonts w:ascii="Arial" w:cs="Arial" w:eastAsia="Arial" w:hAnsi="Arial"/>
                  <w:sz w:val="14"/>
                  <w:szCs w:val="14"/>
                  <w:color w:val="0000FF"/>
                  <w:w w:val="71"/>
                </w:rPr>
                <w:t>1.</w:t>
              </w:r>
              <w:r>
                <w:rPr>
                  <w:rFonts w:ascii="Arial" w:cs="Arial" w:eastAsia="Arial" w:hAnsi="Arial"/>
                  <w:sz w:val="14"/>
                  <w:szCs w:val="14"/>
                  <w:u w:val="single" w:color="auto"/>
                  <w:color w:val="0000FF"/>
                  <w:w w:val="71"/>
                </w:rPr>
                <w:t>2</w:t>
              </w:r>
            </w:hyperlink>
          </w:p>
        </w:tc>
        <w:tc>
          <w:tcPr>
            <w:tcW w:w="360" w:type="dxa"/>
            <w:vAlign w:val="bottom"/>
          </w:tcPr>
          <w:p>
            <w:pPr>
              <w:spacing w:after="0"/>
              <w:rPr>
                <w:sz w:val="24"/>
                <w:szCs w:val="24"/>
                <w:color w:val="auto"/>
              </w:rPr>
            </w:pPr>
          </w:p>
        </w:tc>
        <w:tc>
          <w:tcPr>
            <w:tcW w:w="8420" w:type="dxa"/>
            <w:vAlign w:val="bottom"/>
            <w:tcBorders>
              <w:top w:val="single" w:sz="8" w:color="0000FF"/>
              <w:bottom w:val="single" w:sz="8" w:color="0000FF"/>
            </w:tcBorders>
            <w:gridSpan w:val="8"/>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Certification by the Chief Financial Officer pursuant to Section 302 of the Sarbanes-Oxley Act of 2002 (filed herewith).</w:t>
              </w:r>
            </w:hyperlink>
          </w:p>
        </w:tc>
        <w:tc>
          <w:tcPr>
            <w:tcW w:w="1440" w:type="dxa"/>
            <w:vAlign w:val="bottom"/>
            <w:gridSpan w:val="6"/>
          </w:tcPr>
          <w:p>
            <w:pPr>
              <w:spacing w:after="0"/>
              <w:rPr>
                <w:sz w:val="24"/>
                <w:szCs w:val="24"/>
                <w:color w:val="auto"/>
              </w:rPr>
            </w:pPr>
          </w:p>
        </w:tc>
      </w:tr>
      <w:tr>
        <w:trPr>
          <w:trHeight w:val="358"/>
        </w:trPr>
        <w:tc>
          <w:tcPr>
            <w:tcW w:w="540" w:type="dxa"/>
            <w:vAlign w:val="bottom"/>
            <w:gridSpan w:val="3"/>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2.</w:t>
              </w:r>
              <w:r>
                <w:rPr>
                  <w:rFonts w:ascii="Arial" w:cs="Arial" w:eastAsia="Arial" w:hAnsi="Arial"/>
                  <w:sz w:val="16"/>
                  <w:szCs w:val="16"/>
                  <w:u w:val="single" w:color="auto"/>
                  <w:color w:val="0000FF"/>
                </w:rPr>
                <w:t>1</w:t>
              </w:r>
            </w:hyperlink>
          </w:p>
        </w:tc>
        <w:tc>
          <w:tcPr>
            <w:tcW w:w="9860" w:type="dxa"/>
            <w:vAlign w:val="bottom"/>
            <w:gridSpan w:val="14"/>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Certification by the Chief Executive Officer pursuant to 18 U.S.C. Section 1350, as adopted pursuant to Section 906 of the Sarbanes-</w:t>
              </w:r>
            </w:hyperlink>
          </w:p>
        </w:tc>
      </w:tr>
      <w:tr>
        <w:trPr>
          <w:trHeight w:val="142"/>
        </w:trPr>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80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w:anchor="page40">
              <w:r>
                <w:rPr>
                  <w:rFonts w:ascii="Arial" w:cs="Arial" w:eastAsia="Arial" w:hAnsi="Arial"/>
                  <w:sz w:val="16"/>
                  <w:szCs w:val="16"/>
                  <w:color w:val="0000FF"/>
                </w:rPr>
                <w:t>Oxley Act of 2002 (furnished herewith).</w:t>
              </w:r>
            </w:hyperlink>
          </w:p>
        </w:tc>
        <w:tc>
          <w:tcPr>
            <w:tcW w:w="6260" w:type="dxa"/>
            <w:vAlign w:val="bottom"/>
            <w:tcBorders>
              <w:top w:val="single" w:sz="8" w:color="0000FF"/>
            </w:tcBorders>
            <w:gridSpan w:val="8"/>
          </w:tcPr>
          <w:p>
            <w:pPr>
              <w:spacing w:after="0"/>
              <w:rPr>
                <w:sz w:val="12"/>
                <w:szCs w:val="12"/>
                <w:color w:val="auto"/>
              </w:rPr>
            </w:pPr>
          </w:p>
        </w:tc>
        <w:tc>
          <w:tcPr>
            <w:tcW w:w="300" w:type="dxa"/>
            <w:vAlign w:val="bottom"/>
            <w:gridSpan w:val="2"/>
          </w:tcPr>
          <w:p>
            <w:pPr>
              <w:spacing w:after="0"/>
              <w:rPr>
                <w:sz w:val="12"/>
                <w:szCs w:val="12"/>
                <w:color w:val="auto"/>
              </w:rPr>
            </w:pPr>
          </w:p>
        </w:tc>
      </w:tr>
      <w:tr>
        <w:trPr>
          <w:trHeight w:val="196"/>
        </w:trPr>
        <w:tc>
          <w:tcPr>
            <w:tcW w:w="540" w:type="dxa"/>
            <w:vAlign w:val="bottom"/>
            <w:gridSpan w:val="3"/>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2.</w:t>
              </w:r>
              <w:r>
                <w:rPr>
                  <w:rFonts w:ascii="Arial" w:cs="Arial" w:eastAsia="Arial" w:hAnsi="Arial"/>
                  <w:sz w:val="16"/>
                  <w:szCs w:val="16"/>
                  <w:u w:val="single" w:color="auto"/>
                  <w:color w:val="0000FF"/>
                </w:rPr>
                <w:t>2</w:t>
              </w:r>
            </w:hyperlink>
          </w:p>
        </w:tc>
        <w:tc>
          <w:tcPr>
            <w:tcW w:w="9860" w:type="dxa"/>
            <w:vAlign w:val="bottom"/>
            <w:gridSpan w:val="14"/>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Certification by the Chief Financial Officer pursuant to 18 U.S.C. Section 1350, as adopted pursuant to Section 906 of the Sarbanes-</w:t>
              </w:r>
            </w:hyperlink>
          </w:p>
        </w:tc>
      </w:tr>
      <w:tr>
        <w:trPr>
          <w:trHeight w:val="142"/>
        </w:trPr>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896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w:anchor="page41">
              <w:r>
                <w:rPr>
                  <w:rFonts w:ascii="Arial" w:cs="Arial" w:eastAsia="Arial" w:hAnsi="Arial"/>
                  <w:sz w:val="16"/>
                  <w:szCs w:val="16"/>
                  <w:color w:val="0000FF"/>
                </w:rPr>
                <w:t>Oxley Act of 2002 (furnished herewith).</w:t>
              </w:r>
            </w:hyperlink>
          </w:p>
        </w:tc>
        <w:tc>
          <w:tcPr>
            <w:tcW w:w="400" w:type="dxa"/>
            <w:vAlign w:val="bottom"/>
            <w:gridSpan w:val="4"/>
          </w:tcPr>
          <w:p>
            <w:pPr>
              <w:spacing w:after="0"/>
              <w:rPr>
                <w:sz w:val="12"/>
                <w:szCs w:val="12"/>
                <w:color w:val="auto"/>
              </w:rPr>
            </w:pPr>
          </w:p>
        </w:tc>
      </w:tr>
      <w:tr>
        <w:trPr>
          <w:trHeight w:val="21"/>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7"/>
        </w:trPr>
        <w:tc>
          <w:tcPr>
            <w:tcW w:w="100" w:type="dxa"/>
            <w:vAlign w:val="bottom"/>
          </w:tcPr>
          <w:p>
            <w:pPr>
              <w:spacing w:after="0"/>
              <w:rPr>
                <w:sz w:val="20"/>
                <w:szCs w:val="20"/>
                <w:color w:val="auto"/>
              </w:rPr>
            </w:pPr>
            <w:r>
              <w:rPr>
                <w:rFonts w:ascii="Arial" w:cs="Arial" w:eastAsia="Arial" w:hAnsi="Arial"/>
                <w:sz w:val="13"/>
                <w:szCs w:val="13"/>
                <w:color w:val="auto"/>
                <w:w w:val="73"/>
              </w:rPr>
              <w:t>1.</w:t>
            </w:r>
          </w:p>
        </w:tc>
        <w:tc>
          <w:tcPr>
            <w:tcW w:w="440" w:type="dxa"/>
            <w:vAlign w:val="bottom"/>
            <w:tcBorders>
              <w:right w:val="single" w:sz="8" w:color="CCEEFF"/>
            </w:tcBorders>
            <w:gridSpan w:val="2"/>
            <w:shd w:val="clear" w:color="auto" w:fill="CCEEFF"/>
          </w:tcPr>
          <w:p>
            <w:pPr>
              <w:spacing w:after="0" w:line="178" w:lineRule="exact"/>
              <w:rPr>
                <w:sz w:val="20"/>
                <w:szCs w:val="20"/>
                <w:color w:val="auto"/>
              </w:rPr>
            </w:pPr>
            <w:r>
              <w:rPr>
                <w:rFonts w:ascii="Arial" w:cs="Arial" w:eastAsia="Arial" w:hAnsi="Arial"/>
                <w:sz w:val="16"/>
                <w:szCs w:val="16"/>
                <w:color w:val="auto"/>
              </w:rPr>
              <w:t>INS</w:t>
            </w:r>
          </w:p>
        </w:tc>
        <w:tc>
          <w:tcPr>
            <w:tcW w:w="9860" w:type="dxa"/>
            <w:vAlign w:val="bottom"/>
            <w:gridSpan w:val="14"/>
            <w:shd w:val="clear" w:color="auto" w:fill="CCEEFF"/>
          </w:tcPr>
          <w:p>
            <w:pPr>
              <w:spacing w:after="0" w:line="178"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201"/>
        </w:trPr>
        <w:tc>
          <w:tcPr>
            <w:tcW w:w="10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left w:val="single" w:sz="8" w:color="CCEEFF"/>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360" w:type="dxa"/>
            <w:vAlign w:val="bottom"/>
            <w:gridSpan w:val="13"/>
            <w:shd w:val="clear" w:color="auto" w:fill="CCEEFF"/>
          </w:tcPr>
          <w:p>
            <w:pPr>
              <w:spacing w:after="0"/>
              <w:rPr>
                <w:sz w:val="20"/>
                <w:szCs w:val="20"/>
                <w:color w:val="auto"/>
              </w:rPr>
            </w:pPr>
            <w:r>
              <w:rPr>
                <w:rFonts w:ascii="Arial" w:cs="Arial" w:eastAsia="Arial" w:hAnsi="Arial"/>
                <w:sz w:val="16"/>
                <w:szCs w:val="16"/>
                <w:color w:val="auto"/>
              </w:rPr>
              <w:t>within the Inline XBRL document (furnished herewith).</w:t>
            </w:r>
          </w:p>
        </w:tc>
      </w:tr>
      <w:tr>
        <w:trPr>
          <w:trHeight w:val="213"/>
        </w:trPr>
        <w:tc>
          <w:tcPr>
            <w:tcW w:w="540" w:type="dxa"/>
            <w:vAlign w:val="bottom"/>
            <w:gridSpan w:val="3"/>
          </w:tcPr>
          <w:p>
            <w:pPr>
              <w:ind w:left="20"/>
              <w:spacing w:after="0"/>
              <w:rPr>
                <w:sz w:val="20"/>
                <w:szCs w:val="20"/>
                <w:color w:val="auto"/>
              </w:rPr>
            </w:pPr>
            <w:r>
              <w:rPr>
                <w:rFonts w:ascii="Arial" w:cs="Arial" w:eastAsia="Arial" w:hAnsi="Arial"/>
                <w:sz w:val="16"/>
                <w:szCs w:val="16"/>
                <w:color w:val="auto"/>
              </w:rPr>
              <w:t>.SCH</w:t>
            </w:r>
          </w:p>
        </w:tc>
        <w:tc>
          <w:tcPr>
            <w:tcW w:w="9860" w:type="dxa"/>
            <w:vAlign w:val="bottom"/>
            <w:gridSpan w:val="14"/>
          </w:tcPr>
          <w:p>
            <w:pPr>
              <w:spacing w:after="0"/>
              <w:rPr>
                <w:sz w:val="20"/>
                <w:szCs w:val="20"/>
                <w:color w:val="auto"/>
              </w:rPr>
            </w:pPr>
            <w:r>
              <w:rPr>
                <w:rFonts w:ascii="Arial" w:cs="Arial" w:eastAsia="Arial" w:hAnsi="Arial"/>
                <w:sz w:val="16"/>
                <w:szCs w:val="16"/>
                <w:color w:val="auto"/>
              </w:rPr>
              <w:t>Inline XBRL Taxonomy Extension Schema Document (furnished herewith).</w:t>
            </w:r>
          </w:p>
        </w:tc>
      </w:tr>
      <w:tr>
        <w:trPr>
          <w:trHeight w:val="219"/>
        </w:trPr>
        <w:tc>
          <w:tcPr>
            <w:tcW w:w="100" w:type="dxa"/>
            <w:vAlign w:val="bottom"/>
          </w:tcPr>
          <w:p>
            <w:pPr>
              <w:spacing w:after="0"/>
              <w:rPr>
                <w:sz w:val="19"/>
                <w:szCs w:val="19"/>
                <w:color w:val="auto"/>
              </w:rPr>
            </w:pPr>
          </w:p>
        </w:tc>
        <w:tc>
          <w:tcPr>
            <w:tcW w:w="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.CAL</w:t>
            </w:r>
          </w:p>
        </w:tc>
        <w:tc>
          <w:tcPr>
            <w:tcW w:w="9860" w:type="dxa"/>
            <w:vAlign w:val="bottom"/>
            <w:gridSpan w:val="14"/>
            <w:shd w:val="clear" w:color="auto" w:fill="CCEEFF"/>
          </w:tcPr>
          <w:p>
            <w:pPr>
              <w:spacing w:after="0"/>
              <w:rPr>
                <w:sz w:val="20"/>
                <w:szCs w:val="20"/>
                <w:color w:val="auto"/>
              </w:rPr>
            </w:pPr>
            <w:r>
              <w:rPr>
                <w:rFonts w:ascii="Arial" w:cs="Arial" w:eastAsia="Arial" w:hAnsi="Arial"/>
                <w:sz w:val="16"/>
                <w:szCs w:val="16"/>
                <w:color w:val="auto"/>
              </w:rPr>
              <w:t>Inline XBRL Taxonomy Calculation Linkbase Document (furnished herewith).</w:t>
            </w:r>
          </w:p>
        </w:tc>
      </w:tr>
      <w:tr>
        <w:trPr>
          <w:trHeight w:val="213"/>
        </w:trPr>
        <w:tc>
          <w:tcPr>
            <w:tcW w:w="540" w:type="dxa"/>
            <w:vAlign w:val="bottom"/>
            <w:gridSpan w:val="3"/>
          </w:tcPr>
          <w:p>
            <w:pPr>
              <w:ind w:left="20"/>
              <w:spacing w:after="0"/>
              <w:rPr>
                <w:sz w:val="20"/>
                <w:szCs w:val="20"/>
                <w:color w:val="auto"/>
              </w:rPr>
            </w:pPr>
            <w:r>
              <w:rPr>
                <w:rFonts w:ascii="Arial" w:cs="Arial" w:eastAsia="Arial" w:hAnsi="Arial"/>
                <w:sz w:val="16"/>
                <w:szCs w:val="16"/>
                <w:color w:val="auto"/>
              </w:rPr>
              <w:t>.DEF</w:t>
            </w:r>
          </w:p>
        </w:tc>
        <w:tc>
          <w:tcPr>
            <w:tcW w:w="9860" w:type="dxa"/>
            <w:vAlign w:val="bottom"/>
            <w:gridSpan w:val="14"/>
          </w:tcPr>
          <w:p>
            <w:pPr>
              <w:spacing w:after="0"/>
              <w:rPr>
                <w:sz w:val="20"/>
                <w:szCs w:val="20"/>
                <w:color w:val="auto"/>
              </w:rPr>
            </w:pPr>
            <w:r>
              <w:rPr>
                <w:rFonts w:ascii="Arial" w:cs="Arial" w:eastAsia="Arial" w:hAnsi="Arial"/>
                <w:sz w:val="16"/>
                <w:szCs w:val="16"/>
                <w:color w:val="auto"/>
              </w:rPr>
              <w:t>Inline XBRL Taxonomy Extension Definition Linkbase Document (furnished herewith).</w:t>
            </w:r>
          </w:p>
        </w:tc>
      </w:tr>
      <w:tr>
        <w:trPr>
          <w:trHeight w:val="219"/>
        </w:trPr>
        <w:tc>
          <w:tcPr>
            <w:tcW w:w="100" w:type="dxa"/>
            <w:vAlign w:val="bottom"/>
          </w:tcPr>
          <w:p>
            <w:pPr>
              <w:spacing w:after="0"/>
              <w:rPr>
                <w:sz w:val="19"/>
                <w:szCs w:val="19"/>
                <w:color w:val="auto"/>
              </w:rPr>
            </w:pPr>
          </w:p>
        </w:tc>
        <w:tc>
          <w:tcPr>
            <w:tcW w:w="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.LAB</w:t>
            </w:r>
          </w:p>
        </w:tc>
        <w:tc>
          <w:tcPr>
            <w:tcW w:w="9860" w:type="dxa"/>
            <w:vAlign w:val="bottom"/>
            <w:gridSpan w:val="14"/>
            <w:shd w:val="clear" w:color="auto" w:fill="CCEEFF"/>
          </w:tcPr>
          <w:p>
            <w:pPr>
              <w:spacing w:after="0"/>
              <w:rPr>
                <w:sz w:val="20"/>
                <w:szCs w:val="20"/>
                <w:color w:val="auto"/>
              </w:rPr>
            </w:pPr>
            <w:r>
              <w:rPr>
                <w:rFonts w:ascii="Arial" w:cs="Arial" w:eastAsia="Arial" w:hAnsi="Arial"/>
                <w:sz w:val="16"/>
                <w:szCs w:val="16"/>
                <w:color w:val="auto"/>
              </w:rPr>
              <w:t>Inline XBRL Taxonomy Label Linkbase Document (furnished herewith).</w:t>
            </w:r>
          </w:p>
        </w:tc>
      </w:tr>
      <w:tr>
        <w:trPr>
          <w:trHeight w:val="210"/>
        </w:trPr>
        <w:tc>
          <w:tcPr>
            <w:tcW w:w="540" w:type="dxa"/>
            <w:vAlign w:val="bottom"/>
            <w:gridSpan w:val="3"/>
          </w:tcPr>
          <w:p>
            <w:pPr>
              <w:ind w:left="20"/>
              <w:spacing w:after="0"/>
              <w:rPr>
                <w:sz w:val="20"/>
                <w:szCs w:val="20"/>
                <w:color w:val="auto"/>
              </w:rPr>
            </w:pPr>
            <w:r>
              <w:rPr>
                <w:rFonts w:ascii="Arial" w:cs="Arial" w:eastAsia="Arial" w:hAnsi="Arial"/>
                <w:sz w:val="16"/>
                <w:szCs w:val="16"/>
                <w:color w:val="auto"/>
              </w:rPr>
              <w:t>.PRE</w:t>
            </w:r>
          </w:p>
        </w:tc>
        <w:tc>
          <w:tcPr>
            <w:tcW w:w="9860" w:type="dxa"/>
            <w:vAlign w:val="bottom"/>
            <w:gridSpan w:val="14"/>
          </w:tcPr>
          <w:p>
            <w:pPr>
              <w:spacing w:after="0"/>
              <w:rPr>
                <w:sz w:val="20"/>
                <w:szCs w:val="20"/>
                <w:color w:val="auto"/>
              </w:rPr>
            </w:pPr>
            <w:r>
              <w:rPr>
                <w:rFonts w:ascii="Arial" w:cs="Arial" w:eastAsia="Arial" w:hAnsi="Arial"/>
                <w:sz w:val="16"/>
                <w:szCs w:val="16"/>
                <w:color w:val="auto"/>
              </w:rPr>
              <w:t>Inline XBRL Taxonomy Presentation Linkbase Document (furnished herewith).</w:t>
            </w:r>
          </w:p>
        </w:tc>
      </w:tr>
      <w:tr>
        <w:trPr>
          <w:trHeight w:val="216"/>
        </w:trPr>
        <w:tc>
          <w:tcPr>
            <w:tcW w:w="180" w:type="dxa"/>
            <w:vAlign w:val="bottom"/>
            <w:gridSpan w:val="2"/>
          </w:tcPr>
          <w:p>
            <w:pPr>
              <w:ind w:left="20"/>
              <w:spacing w:after="0"/>
              <w:rPr>
                <w:sz w:val="20"/>
                <w:szCs w:val="20"/>
                <w:color w:val="auto"/>
              </w:rPr>
            </w:pPr>
            <w:r>
              <w:rPr>
                <w:rFonts w:ascii="Arial" w:cs="Arial" w:eastAsia="Arial" w:hAnsi="Arial"/>
                <w:sz w:val="15"/>
                <w:szCs w:val="15"/>
                <w:color w:val="auto"/>
                <w:w w:val="71"/>
              </w:rPr>
              <w:t>04</w:t>
            </w:r>
          </w:p>
        </w:tc>
        <w:tc>
          <w:tcPr>
            <w:tcW w:w="360" w:type="dxa"/>
            <w:vAlign w:val="bottom"/>
          </w:tcPr>
          <w:p>
            <w:pPr>
              <w:spacing w:after="0"/>
              <w:rPr>
                <w:sz w:val="18"/>
                <w:szCs w:val="18"/>
                <w:color w:val="auto"/>
              </w:rPr>
            </w:pPr>
          </w:p>
        </w:tc>
        <w:tc>
          <w:tcPr>
            <w:tcW w:w="9860" w:type="dxa"/>
            <w:vAlign w:val="bottom"/>
            <w:gridSpan w:val="14"/>
          </w:tcPr>
          <w:p>
            <w:pPr>
              <w:spacing w:after="0"/>
              <w:rPr>
                <w:sz w:val="20"/>
                <w:szCs w:val="20"/>
                <w:color w:val="auto"/>
              </w:rPr>
            </w:pPr>
            <w:r>
              <w:rPr>
                <w:rFonts w:ascii="Arial" w:cs="Arial" w:eastAsia="Arial" w:hAnsi="Arial"/>
                <w:sz w:val="16"/>
                <w:szCs w:val="16"/>
                <w:color w:val="auto"/>
              </w:rPr>
              <w:t>Cover Page Interactive Data File (formatted in Inline XBRL and contained in Exhibit 101) (furnished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-2018665</wp:posOffset>
            </wp:positionV>
            <wp:extent cx="6532245" cy="240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6532245" cy="24003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-1538605</wp:posOffset>
            </wp:positionV>
            <wp:extent cx="6532245"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6532245" cy="24003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-132715</wp:posOffset>
            </wp:positionV>
            <wp:extent cx="6532245"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653224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57785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220" w:top="141" w:right="127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66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7440" w:type="dxa"/>
            <w:vAlign w:val="bottom"/>
            <w:gridSpan w:val="2"/>
          </w:tcPr>
          <w:p>
            <w:pPr>
              <w:ind w:left="1760"/>
              <w:spacing w:after="0"/>
              <w:rPr>
                <w:sz w:val="20"/>
                <w:szCs w:val="20"/>
                <w:color w:val="auto"/>
              </w:rPr>
            </w:pPr>
            <w:r>
              <w:rPr>
                <w:rFonts w:ascii="Arial" w:cs="Arial" w:eastAsia="Arial" w:hAnsi="Arial"/>
                <w:sz w:val="16"/>
                <w:szCs w:val="16"/>
                <w:color w:val="auto"/>
              </w:rPr>
              <w:t>WINNEBAGO INDUSTRIES, INC.</w:t>
            </w:r>
          </w:p>
        </w:tc>
      </w:tr>
      <w:tr>
        <w:trPr>
          <w:trHeight w:val="435"/>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940" w:type="dxa"/>
            <w:vAlign w:val="bottom"/>
          </w:tcPr>
          <w:p>
            <w:pPr>
              <w:ind w:left="160"/>
              <w:spacing w:after="0"/>
              <w:rPr>
                <w:sz w:val="20"/>
                <w:szCs w:val="20"/>
                <w:color w:val="auto"/>
              </w:rPr>
            </w:pPr>
            <w:r>
              <w:rPr>
                <w:rFonts w:ascii="Arial" w:cs="Arial" w:eastAsia="Arial" w:hAnsi="Arial"/>
                <w:sz w:val="16"/>
                <w:szCs w:val="16"/>
                <w:color w:val="auto"/>
              </w:rPr>
              <w:t>June 22, 2022</w:t>
            </w:r>
          </w:p>
        </w:tc>
        <w:tc>
          <w:tcPr>
            <w:tcW w:w="7440" w:type="dxa"/>
            <w:vAlign w:val="bottom"/>
            <w:gridSpan w:val="2"/>
          </w:tcPr>
          <w:p>
            <w:pPr>
              <w:ind w:left="17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J. Happe</w:t>
            </w:r>
          </w:p>
        </w:tc>
      </w:tr>
      <w:tr>
        <w:trPr>
          <w:trHeight w:val="260"/>
        </w:trPr>
        <w:tc>
          <w:tcPr>
            <w:tcW w:w="5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Michael J. Happe</w:t>
            </w:r>
          </w:p>
        </w:tc>
      </w:tr>
      <w:tr>
        <w:trPr>
          <w:trHeight w:val="270"/>
        </w:trPr>
        <w:tc>
          <w:tcPr>
            <w:tcW w:w="54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Chief Executive Officer, President</w:t>
            </w:r>
          </w:p>
        </w:tc>
      </w:tr>
      <w:tr>
        <w:trPr>
          <w:trHeight w:val="216"/>
        </w:trPr>
        <w:tc>
          <w:tcPr>
            <w:tcW w:w="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435"/>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940" w:type="dxa"/>
            <w:vAlign w:val="bottom"/>
          </w:tcPr>
          <w:p>
            <w:pPr>
              <w:ind w:left="160"/>
              <w:spacing w:after="0"/>
              <w:rPr>
                <w:sz w:val="20"/>
                <w:szCs w:val="20"/>
                <w:color w:val="auto"/>
              </w:rPr>
            </w:pPr>
            <w:r>
              <w:rPr>
                <w:rFonts w:ascii="Arial" w:cs="Arial" w:eastAsia="Arial" w:hAnsi="Arial"/>
                <w:sz w:val="16"/>
                <w:szCs w:val="16"/>
                <w:color w:val="auto"/>
              </w:rPr>
              <w:t>June 22, 2022</w:t>
            </w:r>
          </w:p>
        </w:tc>
        <w:tc>
          <w:tcPr>
            <w:tcW w:w="7440" w:type="dxa"/>
            <w:vAlign w:val="bottom"/>
            <w:gridSpan w:val="2"/>
          </w:tcPr>
          <w:p>
            <w:pPr>
              <w:ind w:left="17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Bryan L. Hughes</w:t>
            </w:r>
          </w:p>
        </w:tc>
      </w:tr>
      <w:tr>
        <w:trPr>
          <w:trHeight w:val="207"/>
        </w:trPr>
        <w:tc>
          <w:tcPr>
            <w:tcW w:w="5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Bryan L. Hughes</w:t>
            </w:r>
          </w:p>
        </w:tc>
      </w:tr>
      <w:tr>
        <w:trPr>
          <w:trHeight w:val="216"/>
        </w:trPr>
        <w:tc>
          <w:tcPr>
            <w:tcW w:w="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Chief Financial Officer and Senior Vice President</w:t>
            </w:r>
          </w:p>
        </w:tc>
      </w:tr>
      <w:tr>
        <w:trPr>
          <w:trHeight w:val="216"/>
        </w:trPr>
        <w:tc>
          <w:tcPr>
            <w:tcW w:w="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0940"/>
          </w:cols>
          <w:pgMar w:left="320" w:top="141" w:right="6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Chief Executive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53"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ind w:left="660" w:right="300" w:hanging="328"/>
        <w:spacing w:after="0" w:line="253"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jc w:val="both"/>
        <w:ind w:left="660" w:right="820" w:hanging="328"/>
        <w:spacing w:after="0" w:line="260" w:lineRule="auto"/>
        <w:tabs>
          <w:tab w:leader="none" w:pos="65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60" w:hanging="328"/>
        <w:spacing w:after="0" w:line="260"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680"/>
        <w:spacing w:after="0"/>
        <w:tabs>
          <w:tab w:leader="none" w:pos="1560" w:val="left"/>
          <w:tab w:leader="none" w:pos="64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22, 2022</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20955</wp:posOffset>
            </wp:positionV>
            <wp:extent cx="25457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9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31.2</w:t>
      </w:r>
    </w:p>
    <w:p>
      <w:pPr>
        <w:spacing w:after="0" w:line="25"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5"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OF THE SARBANES-OXLEY ACT OF 2002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Chief Financial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53"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ind w:left="660" w:right="300" w:hanging="328"/>
        <w:spacing w:after="0" w:line="253"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jc w:val="both"/>
        <w:ind w:left="660" w:right="820" w:hanging="328"/>
        <w:spacing w:after="0" w:line="260" w:lineRule="auto"/>
        <w:tabs>
          <w:tab w:leader="none" w:pos="651"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60" w:hanging="328"/>
        <w:spacing w:after="0" w:line="260"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1140"/>
        <w:spacing w:after="0"/>
        <w:tabs>
          <w:tab w:leader="none" w:pos="1760" w:val="left"/>
          <w:tab w:leader="none" w:pos="6480" w:val="left"/>
        </w:tabs>
        <w:rPr>
          <w:sz w:val="20"/>
          <w:szCs w:val="20"/>
          <w:color w:val="auto"/>
        </w:rPr>
      </w:pPr>
      <w:r>
        <w:rPr>
          <w:rFonts w:ascii="Arial" w:cs="Arial" w:eastAsia="Arial" w:hAnsi="Arial"/>
          <w:sz w:val="16"/>
          <w:szCs w:val="16"/>
          <w:color w:val="auto"/>
        </w:rPr>
        <w:t>Date:</w:t>
        <w:tab/>
        <w:t>June 22, 2022</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20955</wp:posOffset>
            </wp:positionV>
            <wp:extent cx="24599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4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Senior Vice President, Chief Financial Officer</w:t>
      </w:r>
    </w:p>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Michael J. Happe, Chief Executive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8" w:lineRule="exact"/>
        <w:rPr>
          <w:sz w:val="20"/>
          <w:szCs w:val="20"/>
          <w:color w:val="auto"/>
        </w:rPr>
      </w:pPr>
    </w:p>
    <w:p>
      <w:pPr>
        <w:ind w:left="660" w:right="160" w:hanging="328"/>
        <w:spacing w:after="0" w:line="260"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May 28, 2022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73" w:lineRule="exact"/>
        <w:rPr>
          <w:sz w:val="20"/>
          <w:szCs w:val="20"/>
          <w:color w:val="auto"/>
        </w:rPr>
      </w:pPr>
    </w:p>
    <w:p>
      <w:pPr>
        <w:ind w:left="720"/>
        <w:spacing w:after="0"/>
        <w:tabs>
          <w:tab w:leader="none" w:pos="1540" w:val="left"/>
          <w:tab w:leader="none" w:pos="67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22, 2022</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20955</wp:posOffset>
            </wp:positionV>
            <wp:extent cx="2700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2700655" cy="8890"/>
                    </a:xfrm>
                    <a:prstGeom prst="rect">
                      <a:avLst/>
                    </a:prstGeom>
                    <a:noFill/>
                  </pic:spPr>
                </pic:pic>
              </a:graphicData>
            </a:graphic>
          </wp:anchor>
        </w:drawing>
      </w:r>
    </w:p>
    <w:p>
      <w:pPr>
        <w:spacing w:after="0" w:line="96"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Bryan L. Hughes, Chief Financial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8" w:lineRule="exact"/>
        <w:rPr>
          <w:sz w:val="20"/>
          <w:szCs w:val="20"/>
          <w:color w:val="auto"/>
        </w:rPr>
      </w:pPr>
    </w:p>
    <w:p>
      <w:pPr>
        <w:ind w:left="660" w:right="160" w:hanging="328"/>
        <w:spacing w:after="0" w:line="260"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May 28, 2022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73" w:lineRule="exact"/>
        <w:rPr>
          <w:sz w:val="20"/>
          <w:szCs w:val="20"/>
          <w:color w:val="auto"/>
        </w:rPr>
      </w:pPr>
    </w:p>
    <w:p>
      <w:pPr>
        <w:ind w:left="700"/>
        <w:spacing w:after="0"/>
        <w:tabs>
          <w:tab w:leader="none" w:pos="1400" w:val="left"/>
          <w:tab w:leader="none" w:pos="65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22, 2022</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20955</wp:posOffset>
            </wp:positionV>
            <wp:extent cx="2691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Senior Vice President,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3"/>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51" Type="http://schemas.openxmlformats.org/officeDocument/2006/relationships/hyperlink" Target="https://www.sec.gov/Archives/edgar/data/107687/000010768722000004/wgo-mnarticlesreincorporat.htm" TargetMode="External"/><Relationship Id="rId52" Type="http://schemas.openxmlformats.org/officeDocument/2006/relationships/hyperlink" Target="https://www.sec.gov/Archives/edgar/data/107687/000010768722000004/wgo-mnbylawsreincorporatio.htm" TargetMode="External"/><Relationship Id="rId53" Type="http://schemas.openxmlformats.org/officeDocument/2006/relationships/hyperlink" Target="http://www.sec.gov/Archives/edgar/data/107687/000110465919059604/a19-21005_2ex4d1.htm" TargetMode="External"/><Relationship Id="rId54" Type="http://schemas.openxmlformats.org/officeDocument/2006/relationships/hyperlink" Target="https://www.sec.gov/Archives/edgar/data/0000107687/000110465920082433/tm2024371d1_ex4-1.htm" TargetMode="External"/><Relationship Id="rId55" Type="http://schemas.openxmlformats.org/officeDocument/2006/relationships/hyperlink" Target="https://www.sec.gov/Archives/edgar/data/107687/000110465920082433/tm2024371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2022-06-22T15:18:29Z</dcterms:created>
  <dcterms:modified xsi:type="dcterms:W3CDTF">2022-06-22T15:18:29Z</dcterms:modified>
</cp:coreProperties>
</file>