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7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63" w:lineRule="exact"/>
        <w:rPr>
          <w:sz w:val="24"/>
          <w:szCs w:val="24"/>
          <w:color w:val="auto"/>
        </w:rPr>
      </w:pPr>
    </w:p>
    <w:p>
      <w:pPr>
        <w:jc w:val="center"/>
        <w:ind w:right="-179"/>
        <w:spacing w:after="0"/>
        <w:tabs>
          <w:tab w:leader="none" w:pos="200" w:val="left"/>
        </w:tabs>
        <w:rPr>
          <w:sz w:val="20"/>
          <w:szCs w:val="20"/>
          <w:color w:val="auto"/>
        </w:rPr>
      </w:pPr>
      <w:r>
        <w:rPr>
          <w:rFonts w:ascii="Times New Roman" w:cs="Times New Roman" w:eastAsia="Times New Roman" w:hAnsi="Times New Roman"/>
          <w:sz w:val="22"/>
          <w:szCs w:val="22"/>
          <w:color w:val="auto"/>
        </w:rPr>
        <w:t>Date of report (Date of earliest event reported)</w:t>
      </w:r>
      <w:r>
        <w:rPr>
          <w:sz w:val="20"/>
          <w:szCs w:val="20"/>
          <w:color w:val="auto"/>
        </w:rPr>
        <w:tab/>
      </w:r>
      <w:r>
        <w:rPr>
          <w:rFonts w:ascii="Times New Roman" w:cs="Times New Roman" w:eastAsia="Times New Roman" w:hAnsi="Times New Roman"/>
          <w:sz w:val="21"/>
          <w:szCs w:val="21"/>
          <w:color w:val="auto"/>
        </w:rPr>
        <w:t>October 12, 2006</w:t>
      </w:r>
    </w:p>
    <w:p>
      <w:pPr>
        <w:spacing w:after="0" w:line="1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color w:val="auto"/>
        </w:rPr>
        <w:t>Winnebago Industries, Inc.</w:t>
      </w:r>
    </w:p>
    <w:p>
      <w:pPr>
        <w:spacing w:after="0" w:line="5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Times New Roman" w:cs="Times New Roman" w:eastAsia="Times New Roman" w:hAnsi="Times New Roman"/>
                <w:sz w:val="22"/>
                <w:szCs w:val="22"/>
                <w:color w:val="auto"/>
                <w:w w:val="95"/>
              </w:rPr>
              <w:t>Iowa</w:t>
            </w:r>
          </w:p>
        </w:tc>
        <w:tc>
          <w:tcPr>
            <w:tcW w:w="3220" w:type="dxa"/>
            <w:vAlign w:val="bottom"/>
          </w:tcPr>
          <w:p>
            <w:pPr>
              <w:jc w:val="right"/>
              <w:ind w:right="982"/>
              <w:spacing w:after="0"/>
              <w:rPr>
                <w:sz w:val="20"/>
                <w:szCs w:val="20"/>
                <w:color w:val="auto"/>
              </w:rPr>
            </w:pPr>
            <w:r>
              <w:rPr>
                <w:rFonts w:ascii="Times New Roman" w:cs="Times New Roman" w:eastAsia="Times New Roman" w:hAnsi="Times New Roman"/>
                <w:sz w:val="22"/>
                <w:szCs w:val="22"/>
                <w:color w:val="auto"/>
              </w:rPr>
              <w:t>001-06403</w:t>
            </w:r>
          </w:p>
        </w:tc>
        <w:tc>
          <w:tcPr>
            <w:tcW w:w="2880" w:type="dxa"/>
            <w:vAlign w:val="bottom"/>
          </w:tcPr>
          <w:p>
            <w:pPr>
              <w:jc w:val="right"/>
              <w:ind w:right="42"/>
              <w:spacing w:after="0"/>
              <w:rPr>
                <w:sz w:val="20"/>
                <w:szCs w:val="20"/>
                <w:color w:val="auto"/>
              </w:rPr>
            </w:pPr>
            <w:r>
              <w:rPr>
                <w:rFonts w:ascii="Times New Roman" w:cs="Times New Roman" w:eastAsia="Times New Roman" w:hAnsi="Times New Roman"/>
                <w:sz w:val="22"/>
                <w:szCs w:val="22"/>
                <w:color w:val="auto"/>
              </w:rPr>
              <w:t>42-0802678</w:t>
            </w:r>
          </w:p>
        </w:tc>
      </w:tr>
      <w:tr>
        <w:trPr>
          <w:trHeight w:val="228"/>
        </w:trPr>
        <w:tc>
          <w:tcPr>
            <w:tcW w:w="3580" w:type="dxa"/>
            <w:vAlign w:val="bottom"/>
          </w:tcPr>
          <w:p>
            <w:pPr>
              <w:jc w:val="center"/>
              <w:ind w:right="622"/>
              <w:spacing w:after="0"/>
              <w:rPr>
                <w:sz w:val="20"/>
                <w:szCs w:val="20"/>
                <w:color w:val="auto"/>
              </w:rPr>
            </w:pPr>
            <w:r>
              <w:rPr>
                <w:rFonts w:ascii="Times New Roman" w:cs="Times New Roman" w:eastAsia="Times New Roman" w:hAnsi="Times New Roman"/>
                <w:sz w:val="18"/>
                <w:szCs w:val="18"/>
                <w:color w:val="auto"/>
                <w:w w:val="97"/>
              </w:rPr>
              <w:t>(State or Other Jurisdiction</w:t>
            </w:r>
          </w:p>
        </w:tc>
        <w:tc>
          <w:tcPr>
            <w:tcW w:w="3220" w:type="dxa"/>
            <w:vAlign w:val="bottom"/>
          </w:tcPr>
          <w:p>
            <w:pPr>
              <w:jc w:val="center"/>
              <w:ind w:left="6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2880" w:type="dxa"/>
            <w:vAlign w:val="bottom"/>
          </w:tcPr>
          <w:p>
            <w:pPr>
              <w:jc w:val="center"/>
              <w:ind w:left="1462"/>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43"/>
        </w:trPr>
        <w:tc>
          <w:tcPr>
            <w:tcW w:w="3580" w:type="dxa"/>
            <w:vAlign w:val="bottom"/>
          </w:tcPr>
          <w:p>
            <w:pPr>
              <w:jc w:val="center"/>
              <w:ind w:right="602"/>
              <w:spacing w:after="0"/>
              <w:rPr>
                <w:sz w:val="20"/>
                <w:szCs w:val="20"/>
                <w:color w:val="auto"/>
              </w:rPr>
            </w:pPr>
            <w:r>
              <w:rPr>
                <w:rFonts w:ascii="Times New Roman" w:cs="Times New Roman" w:eastAsia="Times New Roman" w:hAnsi="Times New Roman"/>
                <w:sz w:val="18"/>
                <w:szCs w:val="18"/>
                <w:color w:val="auto"/>
                <w:w w:val="97"/>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74"/>
        </w:trPr>
        <w:tc>
          <w:tcPr>
            <w:tcW w:w="3580" w:type="dxa"/>
            <w:vAlign w:val="bottom"/>
          </w:tcPr>
          <w:p>
            <w:pPr>
              <w:jc w:val="center"/>
              <w:ind w:right="622"/>
              <w:spacing w:after="0"/>
              <w:rPr>
                <w:sz w:val="20"/>
                <w:szCs w:val="20"/>
                <w:color w:val="auto"/>
              </w:rPr>
            </w:pPr>
            <w:r>
              <w:rPr>
                <w:rFonts w:ascii="Times New Roman" w:cs="Times New Roman" w:eastAsia="Times New Roman" w:hAnsi="Times New Roman"/>
                <w:sz w:val="22"/>
                <w:szCs w:val="22"/>
                <w:color w:val="auto"/>
                <w:w w:val="96"/>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Times New Roman" w:cs="Times New Roman" w:eastAsia="Times New Roman" w:hAnsi="Times New Roman"/>
                <w:sz w:val="22"/>
                <w:szCs w:val="22"/>
                <w:color w:val="auto"/>
              </w:rPr>
              <w:t>50436</w:t>
            </w:r>
          </w:p>
        </w:tc>
      </w:tr>
      <w:tr>
        <w:trPr>
          <w:trHeight w:val="228"/>
        </w:trPr>
        <w:tc>
          <w:tcPr>
            <w:tcW w:w="3580" w:type="dxa"/>
            <w:vAlign w:val="bottom"/>
          </w:tcPr>
          <w:p>
            <w:pPr>
              <w:jc w:val="center"/>
              <w:ind w:right="62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716"/>
        </w:trPr>
        <w:tc>
          <w:tcPr>
            <w:tcW w:w="6800" w:type="dxa"/>
            <w:vAlign w:val="bottom"/>
            <w:gridSpan w:val="2"/>
          </w:tcPr>
          <w:p>
            <w:pPr>
              <w:ind w:left="2260"/>
              <w:spacing w:after="0"/>
              <w:rPr>
                <w:sz w:val="20"/>
                <w:szCs w:val="20"/>
                <w:color w:val="auto"/>
              </w:rPr>
            </w:pPr>
            <w:r>
              <w:rPr>
                <w:rFonts w:ascii="Times New Roman" w:cs="Times New Roman" w:eastAsia="Times New Roman" w:hAnsi="Times New Roman"/>
                <w:sz w:val="22"/>
                <w:szCs w:val="22"/>
                <w:color w:val="auto"/>
                <w:w w:val="99"/>
              </w:rPr>
              <w:t>Registrant’s telephone number, including area code</w:t>
            </w:r>
          </w:p>
        </w:tc>
        <w:tc>
          <w:tcPr>
            <w:tcW w:w="2880" w:type="dxa"/>
            <w:vAlign w:val="bottom"/>
          </w:tcPr>
          <w:p>
            <w:pPr>
              <w:jc w:val="right"/>
              <w:ind w:right="1442"/>
              <w:spacing w:after="0"/>
              <w:rPr>
                <w:sz w:val="20"/>
                <w:szCs w:val="20"/>
                <w:color w:val="auto"/>
              </w:rPr>
            </w:pPr>
            <w:r>
              <w:rPr>
                <w:rFonts w:ascii="Times New Roman" w:cs="Times New Roman" w:eastAsia="Times New Roman" w:hAnsi="Times New Roman"/>
                <w:sz w:val="22"/>
                <w:szCs w:val="22"/>
                <w:color w:val="auto"/>
              </w:rPr>
              <w:t>641-585-3535</w:t>
            </w:r>
          </w:p>
        </w:tc>
      </w:tr>
    </w:tbl>
    <w:p>
      <w:pPr>
        <w:spacing w:after="0" w:line="190"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w:t>
      </w:r>
    </w:p>
    <w:p>
      <w:pPr>
        <w:spacing w:after="0" w:line="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58" w:lineRule="exact"/>
        <w:rPr>
          <w:sz w:val="24"/>
          <w:szCs w:val="24"/>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3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3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233"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703580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Winnebago Industries, Inc. is filing herewith a press release issued on October 12, 2006, as Exhibit 99.1 which is included herein.</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press release was issued to report earnings for the fourth quarter and fiscal year 2006 ended August 26, 2006.</w:t>
      </w:r>
    </w:p>
    <w:p>
      <w:pPr>
        <w:spacing w:after="0" w:line="246" w:lineRule="exact"/>
        <w:rPr>
          <w:sz w:val="24"/>
          <w:szCs w:val="24"/>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91" w:lineRule="exact"/>
        <w:rPr>
          <w:sz w:val="24"/>
          <w:szCs w:val="24"/>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Exhibits</w:t>
      </w:r>
    </w:p>
    <w:p>
      <w:pPr>
        <w:spacing w:after="0" w:line="20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Exhibit</w:t>
      </w:r>
    </w:p>
    <w:p>
      <w:pPr>
        <w:spacing w:after="0" w:line="18" w:lineRule="exact"/>
        <w:rPr>
          <w:sz w:val="24"/>
          <w:szCs w:val="24"/>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22"/>
          <w:szCs w:val="22"/>
          <w:b w:val="1"/>
          <w:bCs w:val="1"/>
          <w:color w:val="auto"/>
        </w:rPr>
        <w:t>Number</w:t>
        <w:tab/>
        <w:t>Description</w:t>
      </w:r>
    </w:p>
    <w:p>
      <w:pPr>
        <w:spacing w:after="0" w:line="209" w:lineRule="exact"/>
        <w:rPr>
          <w:sz w:val="24"/>
          <w:szCs w:val="24"/>
          <w:color w:val="auto"/>
        </w:rPr>
      </w:pPr>
    </w:p>
    <w:p>
      <w:pPr>
        <w:ind w:left="800"/>
        <w:spacing w:after="0"/>
        <w:tabs>
          <w:tab w:leader="none" w:pos="164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Press release of Winnebago Industries, Inc. dated October 12, 2006.</w:t>
      </w:r>
    </w:p>
    <w:p>
      <w:pPr>
        <w:sectPr>
          <w:pgSz w:w="11900" w:h="16838" w:orient="portrait"/>
          <w:cols w:equalWidth="0" w:num="1">
            <w:col w:w="11240"/>
          </w:cols>
          <w:pgMar w:left="240" w:top="1309" w:right="4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SIGNATURES</w:t>
      </w:r>
    </w:p>
    <w:p>
      <w:pPr>
        <w:sectPr>
          <w:pgSz w:w="11900" w:h="16838" w:orient="portrait"/>
          <w:cols w:equalWidth="0" w:num="1">
            <w:col w:w="11240"/>
          </w:cols>
          <w:pgMar w:left="240" w:top="1309" w:right="419" w:bottom="0" w:gutter="0" w:footer="0" w:header="0"/>
          <w:type w:val="continuous"/>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160"/>
          </w:cols>
          <w:pgMar w:left="240" w:top="111" w:right="499" w:bottom="1440" w:gutter="0" w:footer="0" w:header="0"/>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12,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Exhibit</w:t>
      </w:r>
    </w:p>
    <w:p>
      <w:pPr>
        <w:spacing w:after="0" w:line="18"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21"/>
          <w:szCs w:val="21"/>
          <w:b w:val="1"/>
          <w:bCs w:val="1"/>
          <w:color w:val="auto"/>
        </w:rPr>
        <w:t>Number</w:t>
        <w:tab/>
        <w:t>Description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W</w:t>
      </w:r>
      <w:r>
        <w:rPr>
          <w:rFonts w:ascii="Times New Roman" w:cs="Times New Roman" w:eastAsia="Times New Roman" w:hAnsi="Times New Roman"/>
          <w:sz w:val="17"/>
          <w:szCs w:val="17"/>
          <w:color w:val="auto"/>
        </w:rPr>
        <w:t>INNEBAGO</w:t>
      </w:r>
      <w:r>
        <w:rPr>
          <w:rFonts w:ascii="Times New Roman" w:cs="Times New Roman" w:eastAsia="Times New Roman" w:hAnsi="Times New Roman"/>
          <w:sz w:val="26"/>
          <w:szCs w:val="26"/>
          <w:color w:val="auto"/>
        </w:rPr>
        <w:t xml:space="preserve"> I</w:t>
      </w:r>
      <w:r>
        <w:rPr>
          <w:rFonts w:ascii="Times New Roman" w:cs="Times New Roman" w:eastAsia="Times New Roman" w:hAnsi="Times New Roman"/>
          <w:sz w:val="17"/>
          <w:szCs w:val="17"/>
          <w:color w:val="auto"/>
        </w:rPr>
        <w:t>NDUSTRIES,</w:t>
      </w:r>
      <w:r>
        <w:rPr>
          <w:rFonts w:ascii="Times New Roman" w:cs="Times New Roman" w:eastAsia="Times New Roman" w:hAnsi="Times New Roman"/>
          <w:sz w:val="26"/>
          <w:szCs w:val="26"/>
          <w:color w:val="auto"/>
        </w:rPr>
        <w:t xml:space="preserve"> I</w:t>
      </w:r>
      <w:r>
        <w:rPr>
          <w:rFonts w:ascii="Times New Roman" w:cs="Times New Roman" w:eastAsia="Times New Roman" w:hAnsi="Times New Roman"/>
          <w:sz w:val="17"/>
          <w:szCs w:val="17"/>
          <w:color w:val="auto"/>
        </w:rPr>
        <w:t>NC.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Bruce D. Hertzke</w:t>
            </w:r>
          </w:p>
        </w:tc>
      </w:tr>
      <w:tr>
        <w:trPr>
          <w:trHeight w:val="236"/>
        </w:trPr>
        <w:tc>
          <w:tcPr>
            <w:tcW w:w="7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52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Bruce D. Hertzke</w:t>
            </w: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6"/>
          <w:szCs w:val="26"/>
          <w:b w:val="1"/>
          <w:bCs w:val="1"/>
          <w:color w:val="auto"/>
        </w:rPr>
        <w:t>E</w:t>
      </w:r>
      <w:r>
        <w:rPr>
          <w:rFonts w:ascii="Times New Roman" w:cs="Times New Roman" w:eastAsia="Times New Roman" w:hAnsi="Times New Roman"/>
          <w:sz w:val="21"/>
          <w:szCs w:val="21"/>
          <w:b w:val="1"/>
          <w:bCs w:val="1"/>
          <w:color w:val="auto"/>
        </w:rPr>
        <w:t>XHIBIT</w:t>
      </w:r>
      <w:r>
        <w:rPr>
          <w:rFonts w:ascii="Times New Roman" w:cs="Times New Roman" w:eastAsia="Times New Roman" w:hAnsi="Times New Roman"/>
          <w:sz w:val="26"/>
          <w:szCs w:val="26"/>
          <w:b w:val="1"/>
          <w:bCs w:val="1"/>
          <w:color w:val="auto"/>
        </w:rPr>
        <w:t xml:space="preserve"> I</w:t>
      </w:r>
      <w:r>
        <w:rPr>
          <w:rFonts w:ascii="Times New Roman" w:cs="Times New Roman" w:eastAsia="Times New Roman" w:hAnsi="Times New Roman"/>
          <w:sz w:val="21"/>
          <w:szCs w:val="21"/>
          <w:b w:val="1"/>
          <w:bCs w:val="1"/>
          <w:color w:val="auto"/>
        </w:rPr>
        <w:t>NDEX</w:t>
      </w:r>
    </w:p>
    <w:p>
      <w:pPr>
        <w:spacing w:after="0" w:line="1011" w:lineRule="exact"/>
        <w:rPr>
          <w:sz w:val="20"/>
          <w:szCs w:val="20"/>
          <w:color w:val="auto"/>
        </w:rPr>
      </w:pPr>
    </w:p>
    <w:p>
      <w:pPr>
        <w:sectPr>
          <w:pgSz w:w="11900" w:h="16838" w:orient="portrait"/>
          <w:cols w:equalWidth="0" w:num="2">
            <w:col w:w="3920" w:space="720"/>
            <w:col w:w="6520"/>
          </w:cols>
          <w:pgMar w:left="240" w:top="111" w:right="499" w:bottom="1440" w:gutter="0" w:footer="0" w:header="0"/>
          <w:type w:val="continuous"/>
        </w:sectPr>
      </w:pPr>
    </w:p>
    <w:p>
      <w:pPr>
        <w:spacing w:after="0" w:line="21" w:lineRule="exact"/>
        <w:rPr>
          <w:sz w:val="20"/>
          <w:szCs w:val="20"/>
          <w:color w:val="auto"/>
        </w:rPr>
      </w:pPr>
    </w:p>
    <w:p>
      <w:pPr>
        <w:ind w:left="800"/>
        <w:spacing w:after="0"/>
        <w:tabs>
          <w:tab w:leader="none" w:pos="164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Press release of Winnebago Industries, Inc. dated October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Sheila Davis – PR/IR Mgr. – 641-585-6803 – sdavis@winnebagoind.com</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WINNEBAGO INDUSTRIES REPORTS RESULTS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FOURTH QUARTER AND FISCAL YEAR 2006</w:t>
      </w:r>
    </w:p>
    <w:p>
      <w:pPr>
        <w:jc w:val="center"/>
        <w:spacing w:after="0"/>
        <w:rPr>
          <w:sz w:val="20"/>
          <w:szCs w:val="20"/>
          <w:color w:val="auto"/>
        </w:rPr>
      </w:pPr>
      <w:r>
        <w:rPr>
          <w:rFonts w:ascii="Times New Roman" w:cs="Times New Roman" w:eastAsia="Times New Roman" w:hAnsi="Times New Roman"/>
          <w:sz w:val="22"/>
          <w:szCs w:val="22"/>
          <w:b w:val="1"/>
          <w:bCs w:val="1"/>
          <w:color w:val="auto"/>
        </w:rPr>
        <w:t>– Cash Dividend Announced –</w:t>
      </w:r>
    </w:p>
    <w:p>
      <w:pPr>
        <w:spacing w:after="0" w:line="195" w:lineRule="exact"/>
        <w:rPr>
          <w:sz w:val="20"/>
          <w:szCs w:val="20"/>
          <w:color w:val="auto"/>
        </w:rPr>
      </w:pPr>
    </w:p>
    <w:p>
      <w:pPr>
        <w:ind w:right="480"/>
        <w:spacing w:after="0" w:line="257" w:lineRule="auto"/>
        <w:rPr>
          <w:sz w:val="20"/>
          <w:szCs w:val="20"/>
          <w:color w:val="auto"/>
        </w:rPr>
      </w:pPr>
      <w:r>
        <w:rPr>
          <w:rFonts w:ascii="Times New Roman" w:cs="Times New Roman" w:eastAsia="Times New Roman" w:hAnsi="Times New Roman"/>
          <w:sz w:val="18"/>
          <w:szCs w:val="18"/>
          <w:color w:val="auto"/>
        </w:rPr>
        <w:t>FOREST CITY, IOWA, October 12, 2006 – Winnebago Industries, Inc. (NYSE:WGO), the leading United States motor home manufacturer, today reported financial results for the Company’s fourth quarter and fiscal year 2006 ended August 26, 2006.</w:t>
      </w:r>
    </w:p>
    <w:p>
      <w:pPr>
        <w:spacing w:after="0" w:line="1" w:lineRule="exact"/>
        <w:rPr>
          <w:sz w:val="20"/>
          <w:szCs w:val="20"/>
          <w:color w:val="auto"/>
        </w:rPr>
      </w:pPr>
    </w:p>
    <w:p>
      <w:pPr>
        <w:ind w:right="140" w:firstLine="324"/>
        <w:spacing w:after="0" w:line="250" w:lineRule="auto"/>
        <w:rPr>
          <w:sz w:val="20"/>
          <w:szCs w:val="20"/>
          <w:color w:val="auto"/>
        </w:rPr>
      </w:pPr>
      <w:r>
        <w:rPr>
          <w:rFonts w:ascii="Times New Roman" w:cs="Times New Roman" w:eastAsia="Times New Roman" w:hAnsi="Times New Roman"/>
          <w:sz w:val="18"/>
          <w:szCs w:val="18"/>
          <w:color w:val="auto"/>
        </w:rPr>
        <w:t xml:space="preserve">Net income for the fourth quarter was $9.3 million, compared to net income of $15.4 million for the fourth quarter of fiscal 2005. On a diluted per share basis, the Company earned 30 cents a share for the fourth quarter of fiscal 2006, compared to 46 cents per diluted share for the fourth quarter last year. Included as an increase to net income in the fourth quarter was $924,000, or 3 cents per diluted share, due to a liquidation of last-in, first-out (LIFO) inventory values as a result of a significant reduction of inventory levels during 2006. Conversely, product liability expense increased in the fourth quarter of 2006 as a result of increased claims payment experience and the number of claims filed, which resulted in a decrease in net income of $1.2 million, or 4 cents per diluted share. Lastly, included as a reduction to net income in the fourth quarter of fiscal 2006 was $717,000, or 2 cents per diluted share, of stock option expense due to the adoption of Statement of Financial Accounting Standards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beginning August 28, 2005, which was not effective in the fourth quarter of last year.</w:t>
      </w:r>
    </w:p>
    <w:p>
      <w:pPr>
        <w:spacing w:after="0" w:line="4" w:lineRule="exact"/>
        <w:rPr>
          <w:sz w:val="20"/>
          <w:szCs w:val="20"/>
          <w:color w:val="auto"/>
        </w:rPr>
      </w:pPr>
    </w:p>
    <w:p>
      <w:pPr>
        <w:ind w:right="440" w:firstLine="324"/>
        <w:spacing w:after="0" w:line="250" w:lineRule="auto"/>
        <w:rPr>
          <w:sz w:val="20"/>
          <w:szCs w:val="20"/>
          <w:color w:val="auto"/>
        </w:rPr>
      </w:pPr>
      <w:r>
        <w:rPr>
          <w:rFonts w:ascii="Times New Roman" w:cs="Times New Roman" w:eastAsia="Times New Roman" w:hAnsi="Times New Roman"/>
          <w:sz w:val="18"/>
          <w:szCs w:val="18"/>
          <w:color w:val="auto"/>
        </w:rPr>
        <w:t>Revenues for the fourth quarter ended August 26, 2006 were $205.4 million, a decrease of 11.3 percent, compared to revenues of $231.5 million for the fourth quarter last year.</w:t>
      </w:r>
    </w:p>
    <w:p>
      <w:pPr>
        <w:spacing w:after="0" w:line="1" w:lineRule="exact"/>
        <w:rPr>
          <w:sz w:val="20"/>
          <w:szCs w:val="20"/>
          <w:color w:val="auto"/>
        </w:rPr>
      </w:pPr>
    </w:p>
    <w:p>
      <w:pPr>
        <w:jc w:val="both"/>
        <w:ind w:right="280" w:firstLine="324"/>
        <w:spacing w:after="0" w:line="250" w:lineRule="auto"/>
        <w:rPr>
          <w:sz w:val="20"/>
          <w:szCs w:val="20"/>
          <w:color w:val="auto"/>
        </w:rPr>
      </w:pPr>
      <w:r>
        <w:rPr>
          <w:rFonts w:ascii="Times New Roman" w:cs="Times New Roman" w:eastAsia="Times New Roman" w:hAnsi="Times New Roman"/>
          <w:sz w:val="18"/>
          <w:szCs w:val="18"/>
          <w:color w:val="auto"/>
        </w:rPr>
        <w:t>Net income for fiscal 2006 was $44.7 million, compared to $65.1 million for fiscal 2005. On a diluted per share basis, the Company earned $1.37 a share, compared to $1.92 a share for fiscal 2005. Included as a reduction to net income for fiscal 2006 was $3.8 million, or 12 cents per diluted share, of stock option expense.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for fiscal 2006 were $864.4 million, a decrease of 12.9 percent compared to $992.0 million for the previous fiscal year.</w:t>
      </w:r>
    </w:p>
    <w:p>
      <w:pPr>
        <w:spacing w:after="0" w:line="9" w:lineRule="exact"/>
        <w:rPr>
          <w:sz w:val="20"/>
          <w:szCs w:val="20"/>
          <w:color w:val="auto"/>
        </w:rPr>
      </w:pPr>
    </w:p>
    <w:p>
      <w:pPr>
        <w:jc w:val="both"/>
        <w:ind w:right="440" w:firstLine="428"/>
        <w:spacing w:after="0" w:line="250" w:lineRule="auto"/>
        <w:rPr>
          <w:sz w:val="20"/>
          <w:szCs w:val="20"/>
          <w:color w:val="auto"/>
        </w:rPr>
      </w:pPr>
      <w:r>
        <w:rPr>
          <w:rFonts w:ascii="Times New Roman" w:cs="Times New Roman" w:eastAsia="Times New Roman" w:hAnsi="Times New Roman"/>
          <w:sz w:val="18"/>
          <w:szCs w:val="18"/>
          <w:color w:val="auto"/>
        </w:rPr>
        <w:t>“We were encouraged with our financial performance during fiscal 2006, particularly in light of such challenging market conditions,” said Winnebago Industries’ Chairman and CEO Bruce Hertzke. “While negative economic factors, including rising interest rates, record fuel prices and declining consumer confidence created a very difficult market for the motor home industry, we remained solidly profitable.”</w:t>
      </w:r>
    </w:p>
    <w:p>
      <w:pPr>
        <w:spacing w:after="0" w:line="1" w:lineRule="exact"/>
        <w:rPr>
          <w:sz w:val="20"/>
          <w:szCs w:val="20"/>
          <w:color w:val="auto"/>
        </w:rPr>
      </w:pPr>
    </w:p>
    <w:p>
      <w:pPr>
        <w:ind w:right="180" w:firstLine="324"/>
        <w:spacing w:after="0" w:line="250" w:lineRule="auto"/>
        <w:rPr>
          <w:sz w:val="20"/>
          <w:szCs w:val="20"/>
          <w:color w:val="auto"/>
        </w:rPr>
      </w:pPr>
      <w:r>
        <w:rPr>
          <w:rFonts w:ascii="Times New Roman" w:cs="Times New Roman" w:eastAsia="Times New Roman" w:hAnsi="Times New Roman"/>
          <w:sz w:val="18"/>
          <w:szCs w:val="18"/>
          <w:color w:val="auto"/>
        </w:rPr>
        <w:t>“The innovative, fuel-efficient Winnebago View and Itasca Navion Class C diesel motor homes have continued to sell extremely well in the marketplace,” continued Hertzke. “As a result, the View and Navion have helped us achieve a significant increase in our Class C market share, capturing 25.1 percent of the Class C retail market for the first eight months of calendar 2006, compared to 19.3 percent for the same period a year ago, according to Statistical Surveys, Inc., an independent retail reporting service.”</w:t>
      </w:r>
    </w:p>
    <w:p>
      <w:pPr>
        <w:spacing w:after="0" w:line="2" w:lineRule="exact"/>
        <w:rPr>
          <w:sz w:val="20"/>
          <w:szCs w:val="20"/>
          <w:color w:val="auto"/>
        </w:rPr>
      </w:pPr>
    </w:p>
    <w:p>
      <w:pPr>
        <w:ind w:right="160" w:firstLine="324"/>
        <w:spacing w:after="0" w:line="250" w:lineRule="auto"/>
        <w:rPr>
          <w:sz w:val="20"/>
          <w:szCs w:val="20"/>
          <w:color w:val="auto"/>
        </w:rPr>
      </w:pPr>
      <w:r>
        <w:rPr>
          <w:rFonts w:ascii="Times New Roman" w:cs="Times New Roman" w:eastAsia="Times New Roman" w:hAnsi="Times New Roman"/>
          <w:sz w:val="18"/>
          <w:szCs w:val="18"/>
          <w:color w:val="auto"/>
        </w:rPr>
        <w:t>“Fourth quarter and fiscal 2006 results for Winnebago Industries were impacted by a significant shift in mix to lower priced products, primarily Class C motor homes,” said Winnebago Industries’ President Ed Barker. “Contributing to the shift in mix during the fourth quarter was the introduction of the value-priced 2007 Winnebago Access and Itasca Impulse Class C motor homes. We also achieved a record level of operating cash flow of $113.3 million during fiscal 2006 as a result of aggressive management of our inventory and receivable levels.”</w:t>
      </w:r>
    </w:p>
    <w:p>
      <w:pPr>
        <w:spacing w:after="0" w:line="2" w:lineRule="exact"/>
        <w:rPr>
          <w:sz w:val="20"/>
          <w:szCs w:val="20"/>
          <w:color w:val="auto"/>
        </w:rPr>
      </w:pPr>
    </w:p>
    <w:p>
      <w:pPr>
        <w:jc w:val="both"/>
        <w:ind w:right="260" w:firstLine="324"/>
        <w:spacing w:after="0" w:line="250" w:lineRule="auto"/>
        <w:rPr>
          <w:sz w:val="20"/>
          <w:szCs w:val="20"/>
          <w:color w:val="auto"/>
        </w:rPr>
      </w:pPr>
      <w:r>
        <w:rPr>
          <w:rFonts w:ascii="Times New Roman" w:cs="Times New Roman" w:eastAsia="Times New Roman" w:hAnsi="Times New Roman"/>
          <w:sz w:val="18"/>
          <w:szCs w:val="18"/>
          <w:color w:val="auto"/>
        </w:rPr>
        <w:t>During the Company’s fourth quarter ended August 26, 2006, Winnebago Industries repurchased 219,000 shares of common stock for approximately $6.2 million. During fiscal 2006, the Company repurchased 1,977,000 shares of common stock for an aggregate price of $57.8 million. As of August 26, 2006, the Company had $22.2 million remaining on the current share repurchase authorization.</w:t>
      </w:r>
    </w:p>
    <w:p>
      <w:pPr>
        <w:spacing w:after="0" w:line="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recent decline in fuel prices and the pause in interest rate hikes by the Federal Reserve suggests more positive economic conditions going forward,” said Hertzke. “We do not currently, however, see an immediate change in motor home buying patterns, and anticipate continued softness throughout our first and second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In a meeting held yesterday, Winnebago Industries’ Board of Directors declared a quarterly cash dividend of ten cents a share, payable on January 8, 2007 to shareholders of record as of December 8, 2006.</w:t>
      </w:r>
    </w:p>
    <w:p>
      <w:pPr>
        <w:spacing w:after="0" w:line="1"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6"/>
          <w:szCs w:val="16"/>
          <w:color w:val="auto"/>
        </w:rPr>
        <w:t xml:space="preserve">Winnebago Industries will conduct a conference call in conjunction with this release at 9 a.m. Central Time today, Thursday, October 12, 2006. Members of the news media, investors and the general public are invited to access a live broadcast of the conference call via the Investor Relations page of the Company’s website at </w:t>
      </w:r>
      <w:r>
        <w:rPr>
          <w:rFonts w:ascii="Times New Roman" w:cs="Times New Roman" w:eastAsia="Times New Roman" w:hAnsi="Times New Roman"/>
          <w:sz w:val="16"/>
          <w:szCs w:val="16"/>
          <w:u w:val="single" w:color="auto"/>
          <w:color w:val="auto"/>
        </w:rPr>
        <w:t>http://www.winnebagoind.com/investor.html</w:t>
      </w:r>
      <w:r>
        <w:rPr>
          <w:rFonts w:ascii="Times New Roman" w:cs="Times New Roman" w:eastAsia="Times New Roman" w:hAnsi="Times New Roman"/>
          <w:sz w:val="16"/>
          <w:szCs w:val="16"/>
          <w:color w:val="auto"/>
        </w:rPr>
        <w:t xml:space="preserve">, or from </w:t>
      </w:r>
      <w:r>
        <w:rPr>
          <w:rFonts w:ascii="Times New Roman" w:cs="Times New Roman" w:eastAsia="Times New Roman" w:hAnsi="Times New Roman"/>
          <w:sz w:val="16"/>
          <w:szCs w:val="16"/>
          <w:u w:val="single" w:color="auto"/>
          <w:color w:val="auto"/>
        </w:rPr>
        <w:t>www.vcall.com</w:t>
      </w:r>
      <w:r>
        <w:rPr>
          <w:rFonts w:ascii="Times New Roman" w:cs="Times New Roman" w:eastAsia="Times New Roman" w:hAnsi="Times New Roman"/>
          <w:sz w:val="16"/>
          <w:szCs w:val="16"/>
          <w:color w:val="auto"/>
        </w:rPr>
        <w:t>. The event will be archived and available for replay for the next 90 days.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Winnebago Industries</w:t>
      </w:r>
    </w:p>
    <w:p>
      <w:pPr>
        <w:spacing w:after="0" w:line="9"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 xml:space="preserve">Winnebago Industries, Inc. is the leading U.S.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Times New Roman" w:cs="Times New Roman" w:eastAsia="Times New Roman" w:hAnsi="Times New Roman"/>
          <w:sz w:val="18"/>
          <w:szCs w:val="18"/>
          <w:u w:val="single" w:color="auto"/>
          <w:color w:val="auto"/>
        </w:rPr>
        <w:t>http://www.winnebagoind.com/investor.html</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the effect of global tensions, declines in consumer confidence, the availability and price of fuel, a significant increase in interest rates, a slowdown in the economy, availability of chassis and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420"/>
          </w:cols>
          <w:pgMar w:left="240" w:top="351" w:right="239" w:bottom="1440" w:gutter="0" w:footer="0" w:header="0"/>
        </w:sectPr>
      </w:pPr>
    </w:p>
    <w:bookmarkStart w:id="3" w:name="page4"/>
    <w:bookmarkEnd w:id="3"/>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618490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ind w:left="474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Unaudited Consolidated Statements of Income</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8/26/2006</w:t>
            </w:r>
          </w:p>
        </w:tc>
        <w:tc>
          <w:tcPr>
            <w:tcW w:w="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8/27/2005</w:t>
            </w:r>
          </w:p>
        </w:tc>
        <w:tc>
          <w:tcPr>
            <w:tcW w:w="8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8/26/2006</w:t>
            </w: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8/27/2005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D6F3E8"/>
          </w:tcPr>
          <w:p>
            <w:pPr>
              <w:jc w:val="right"/>
              <w:ind w:right="780"/>
              <w:spacing w:after="0"/>
              <w:rPr>
                <w:sz w:val="20"/>
                <w:szCs w:val="20"/>
                <w:color w:val="auto"/>
              </w:rPr>
            </w:pPr>
            <w:r>
              <w:rPr>
                <w:rFonts w:ascii="Times New Roman" w:cs="Times New Roman" w:eastAsia="Times New Roman" w:hAnsi="Times New Roman"/>
                <w:sz w:val="18"/>
                <w:szCs w:val="18"/>
                <w:color w:val="auto"/>
              </w:rPr>
              <w:t>205,411</w:t>
            </w:r>
          </w:p>
        </w:tc>
        <w:tc>
          <w:tcPr>
            <w:tcW w:w="2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231,461</w:t>
            </w:r>
          </w:p>
        </w:tc>
        <w:tc>
          <w:tcPr>
            <w:tcW w:w="200" w:type="dxa"/>
            <w:vAlign w:val="bottom"/>
            <w:shd w:val="clear" w:color="auto" w:fill="D6F3E8"/>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864,403</w:t>
            </w:r>
          </w:p>
        </w:tc>
        <w:tc>
          <w:tcPr>
            <w:tcW w:w="1000" w:type="dxa"/>
            <w:vAlign w:val="bottom"/>
            <w:gridSpan w:val="2"/>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991,975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180,070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199,002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759,502</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25,341</w:t>
            </w:r>
          </w:p>
        </w:tc>
        <w:tc>
          <w:tcPr>
            <w:tcW w:w="7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74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32,459</w:t>
            </w:r>
          </w:p>
        </w:tc>
        <w:tc>
          <w:tcPr>
            <w:tcW w:w="2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104,901</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136,978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shd w:val="clear" w:color="auto" w:fill="D6F3E8"/>
          </w:tcPr>
          <w:p>
            <w:pPr>
              <w:spacing w:after="0"/>
              <w:rPr>
                <w:sz w:val="18"/>
                <w:szCs w:val="18"/>
                <w:color w:val="auto"/>
              </w:rPr>
            </w:pPr>
          </w:p>
        </w:tc>
        <w:tc>
          <w:tcPr>
            <w:tcW w:w="1740" w:type="dxa"/>
            <w:vAlign w:val="bottom"/>
            <w:gridSpan w:val="2"/>
            <w:shd w:val="clear" w:color="auto" w:fill="D6F3E8"/>
          </w:tcPr>
          <w:p>
            <w:pPr>
              <w:jc w:val="right"/>
              <w:ind w:right="780"/>
              <w:spacing w:after="0"/>
              <w:rPr>
                <w:sz w:val="20"/>
                <w:szCs w:val="20"/>
                <w:color w:val="auto"/>
              </w:rPr>
            </w:pPr>
            <w:r>
              <w:rPr>
                <w:rFonts w:ascii="Times New Roman" w:cs="Times New Roman" w:eastAsia="Times New Roman" w:hAnsi="Times New Roman"/>
                <w:sz w:val="18"/>
                <w:szCs w:val="18"/>
                <w:color w:val="auto"/>
              </w:rPr>
              <w:t>5,905</w:t>
            </w:r>
          </w:p>
        </w:tc>
        <w:tc>
          <w:tcPr>
            <w:tcW w:w="200" w:type="dxa"/>
            <w:vAlign w:val="bottom"/>
            <w:shd w:val="clear" w:color="auto" w:fill="D6F3E8"/>
          </w:tcPr>
          <w:p>
            <w:pPr>
              <w:spacing w:after="0"/>
              <w:rPr>
                <w:sz w:val="18"/>
                <w:szCs w:val="18"/>
                <w:color w:val="auto"/>
              </w:rPr>
            </w:pPr>
          </w:p>
        </w:tc>
        <w:tc>
          <w:tcPr>
            <w:tcW w:w="174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6,516</w:t>
            </w:r>
          </w:p>
        </w:tc>
        <w:tc>
          <w:tcPr>
            <w:tcW w:w="2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19,936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2,895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6F3E8"/>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7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74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9,411</w:t>
            </w:r>
          </w:p>
        </w:tc>
        <w:tc>
          <w:tcPr>
            <w:tcW w:w="2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41,803</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38,723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23,048</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63,098</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2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7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74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23,789</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68,195</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22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7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74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8,411</w:t>
            </w:r>
          </w:p>
        </w:tc>
        <w:tc>
          <w:tcPr>
            <w:tcW w:w="2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23,451</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35,817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7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15,378</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restart"/>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22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6F3E8"/>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D6F3E8"/>
          </w:tcPr>
          <w:p>
            <w:pPr>
              <w:jc w:val="right"/>
              <w:ind w:right="780"/>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shd w:val="clear" w:color="auto" w:fill="D6F3E8"/>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0" w:type="dxa"/>
            <w:vAlign w:val="bottom"/>
            <w:gridSpan w:val="2"/>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outstanding:</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D6F3E8"/>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D6F3E8"/>
          </w:tcPr>
          <w:p>
            <w:pPr>
              <w:spacing w:after="0"/>
              <w:rPr>
                <w:sz w:val="18"/>
                <w:szCs w:val="18"/>
                <w:color w:val="auto"/>
              </w:rPr>
            </w:pPr>
          </w:p>
        </w:tc>
        <w:tc>
          <w:tcPr>
            <w:tcW w:w="1740" w:type="dxa"/>
            <w:vAlign w:val="bottom"/>
            <w:gridSpan w:val="2"/>
            <w:shd w:val="clear" w:color="auto" w:fill="D6F3E8"/>
          </w:tcPr>
          <w:p>
            <w:pPr>
              <w:jc w:val="right"/>
              <w:ind w:right="780"/>
              <w:spacing w:after="0"/>
              <w:rPr>
                <w:sz w:val="20"/>
                <w:szCs w:val="20"/>
                <w:color w:val="auto"/>
              </w:rPr>
            </w:pPr>
            <w:r>
              <w:rPr>
                <w:rFonts w:ascii="Times New Roman" w:cs="Times New Roman" w:eastAsia="Times New Roman" w:hAnsi="Times New Roman"/>
                <w:sz w:val="18"/>
                <w:szCs w:val="18"/>
                <w:color w:val="auto"/>
              </w:rPr>
              <w:t>31,126</w:t>
            </w:r>
          </w:p>
        </w:tc>
        <w:tc>
          <w:tcPr>
            <w:tcW w:w="200" w:type="dxa"/>
            <w:vAlign w:val="bottom"/>
            <w:shd w:val="clear" w:color="auto" w:fill="D6F3E8"/>
          </w:tcPr>
          <w:p>
            <w:pPr>
              <w:spacing w:after="0"/>
              <w:rPr>
                <w:sz w:val="18"/>
                <w:szCs w:val="18"/>
                <w:color w:val="auto"/>
              </w:rPr>
            </w:pPr>
          </w:p>
        </w:tc>
        <w:tc>
          <w:tcPr>
            <w:tcW w:w="174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32,946</w:t>
            </w:r>
          </w:p>
        </w:tc>
        <w:tc>
          <w:tcPr>
            <w:tcW w:w="2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32,265</w:t>
            </w:r>
          </w:p>
        </w:tc>
        <w:tc>
          <w:tcPr>
            <w:tcW w:w="7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33,382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19"/>
                <w:szCs w:val="19"/>
                <w:color w:val="auto"/>
              </w:rPr>
            </w:pPr>
          </w:p>
        </w:tc>
        <w:tc>
          <w:tcPr>
            <w:tcW w:w="1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31,407</w:t>
            </w:r>
          </w:p>
        </w:tc>
        <w:tc>
          <w:tcPr>
            <w:tcW w:w="200" w:type="dxa"/>
            <w:vAlign w:val="bottom"/>
          </w:tcPr>
          <w:p>
            <w:pPr>
              <w:spacing w:after="0"/>
              <w:rPr>
                <w:sz w:val="19"/>
                <w:szCs w:val="19"/>
                <w:color w:val="auto"/>
              </w:rPr>
            </w:pP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33,342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32,550</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1293495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 26, 2006</w:t>
            </w:r>
          </w:p>
        </w:tc>
        <w:tc>
          <w:tcPr>
            <w:tcW w:w="1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 27,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D6F3E8"/>
          </w:tcPr>
          <w:p>
            <w:pPr>
              <w:spacing w:after="0"/>
              <w:rPr>
                <w:sz w:val="18"/>
                <w:szCs w:val="18"/>
                <w:color w:val="auto"/>
              </w:rPr>
            </w:pPr>
          </w:p>
        </w:tc>
        <w:tc>
          <w:tcPr>
            <w:tcW w:w="1080" w:type="dxa"/>
            <w:vAlign w:val="bottom"/>
            <w:tcBorders>
              <w:top w:val="single" w:sz="8" w:color="auto"/>
            </w:tcBorders>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060" w:type="dxa"/>
            <w:vAlign w:val="bottom"/>
            <w:tcBorders>
              <w:top w:val="single" w:sz="8" w:color="auto"/>
            </w:tcBorders>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D6F3E8"/>
          </w:tcPr>
          <w:p>
            <w:pPr>
              <w:jc w:val="right"/>
              <w:ind w:right="1240"/>
              <w:spacing w:after="0"/>
              <w:rPr>
                <w:sz w:val="20"/>
                <w:szCs w:val="20"/>
                <w:color w:val="auto"/>
              </w:rPr>
            </w:pPr>
            <w:r>
              <w:rPr>
                <w:rFonts w:ascii="Times New Roman" w:cs="Times New Roman" w:eastAsia="Times New Roman" w:hAnsi="Times New Roman"/>
                <w:sz w:val="18"/>
                <w:szCs w:val="18"/>
                <w:color w:val="auto"/>
              </w:rPr>
              <w:t>24,934</w:t>
            </w:r>
          </w:p>
        </w:tc>
        <w:tc>
          <w:tcPr>
            <w:tcW w:w="1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232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129,950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shd w:val="clear" w:color="auto" w:fill="D6F3E8"/>
          </w:tcPr>
          <w:p>
            <w:pPr>
              <w:spacing w:after="0"/>
              <w:rPr>
                <w:sz w:val="18"/>
                <w:szCs w:val="18"/>
                <w:color w:val="auto"/>
              </w:rPr>
            </w:pPr>
          </w:p>
        </w:tc>
        <w:tc>
          <w:tcPr>
            <w:tcW w:w="2320" w:type="dxa"/>
            <w:vAlign w:val="bottom"/>
            <w:gridSpan w:val="2"/>
            <w:shd w:val="clear" w:color="auto" w:fill="D6F3E8"/>
          </w:tcPr>
          <w:p>
            <w:pPr>
              <w:jc w:val="right"/>
              <w:ind w:right="1240"/>
              <w:spacing w:after="0"/>
              <w:rPr>
                <w:sz w:val="20"/>
                <w:szCs w:val="20"/>
                <w:color w:val="auto"/>
              </w:rPr>
            </w:pPr>
            <w:r>
              <w:rPr>
                <w:rFonts w:ascii="Times New Roman" w:cs="Times New Roman" w:eastAsia="Times New Roman" w:hAnsi="Times New Roman"/>
                <w:sz w:val="18"/>
                <w:szCs w:val="18"/>
                <w:color w:val="auto"/>
              </w:rPr>
              <w:t>20,859</w:t>
            </w: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40,910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232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77,081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Prepaid and other</w:t>
            </w:r>
          </w:p>
        </w:tc>
        <w:tc>
          <w:tcPr>
            <w:tcW w:w="200" w:type="dxa"/>
            <w:vAlign w:val="bottom"/>
            <w:shd w:val="clear" w:color="auto" w:fill="D6F3E8"/>
          </w:tcPr>
          <w:p>
            <w:pPr>
              <w:spacing w:after="0"/>
              <w:rPr>
                <w:sz w:val="18"/>
                <w:szCs w:val="18"/>
                <w:color w:val="auto"/>
              </w:rPr>
            </w:pPr>
          </w:p>
        </w:tc>
        <w:tc>
          <w:tcPr>
            <w:tcW w:w="2320" w:type="dxa"/>
            <w:vAlign w:val="bottom"/>
            <w:gridSpan w:val="2"/>
            <w:shd w:val="clear" w:color="auto" w:fill="D6F3E8"/>
          </w:tcPr>
          <w:p>
            <w:pPr>
              <w:jc w:val="right"/>
              <w:ind w:right="1240"/>
              <w:spacing w:after="0"/>
              <w:rPr>
                <w:sz w:val="20"/>
                <w:szCs w:val="20"/>
                <w:color w:val="auto"/>
              </w:rPr>
            </w:pPr>
            <w:r>
              <w:rPr>
                <w:rFonts w:ascii="Times New Roman" w:cs="Times New Roman" w:eastAsia="Times New Roman" w:hAnsi="Times New Roman"/>
                <w:sz w:val="18"/>
                <w:szCs w:val="18"/>
                <w:color w:val="auto"/>
              </w:rPr>
              <w:t>14,336</w:t>
            </w: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267,160</w:t>
            </w:r>
          </w:p>
        </w:tc>
        <w:tc>
          <w:tcPr>
            <w:tcW w:w="1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D6F3E8"/>
          </w:tcPr>
          <w:p>
            <w:pPr>
              <w:spacing w:after="0"/>
              <w:rPr>
                <w:sz w:val="18"/>
                <w:szCs w:val="18"/>
                <w:color w:val="auto"/>
              </w:rPr>
            </w:pPr>
          </w:p>
        </w:tc>
        <w:tc>
          <w:tcPr>
            <w:tcW w:w="2320" w:type="dxa"/>
            <w:vAlign w:val="bottom"/>
            <w:gridSpan w:val="2"/>
            <w:shd w:val="clear" w:color="auto" w:fill="D6F3E8"/>
          </w:tcPr>
          <w:p>
            <w:pPr>
              <w:jc w:val="right"/>
              <w:ind w:right="1240"/>
              <w:spacing w:after="0"/>
              <w:rPr>
                <w:sz w:val="20"/>
                <w:szCs w:val="20"/>
                <w:color w:val="auto"/>
              </w:rPr>
            </w:pPr>
            <w:r>
              <w:rPr>
                <w:rFonts w:ascii="Times New Roman" w:cs="Times New Roman" w:eastAsia="Times New Roman" w:hAnsi="Times New Roman"/>
                <w:sz w:val="18"/>
                <w:szCs w:val="18"/>
                <w:color w:val="auto"/>
              </w:rPr>
              <w:t>56,907</w:t>
            </w: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63,853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232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25,002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Investment in life insurance</w:t>
            </w:r>
          </w:p>
        </w:tc>
        <w:tc>
          <w:tcPr>
            <w:tcW w:w="200" w:type="dxa"/>
            <w:vAlign w:val="bottom"/>
            <w:shd w:val="clear" w:color="auto" w:fill="D6F3E8"/>
          </w:tcPr>
          <w:p>
            <w:pPr>
              <w:spacing w:after="0"/>
              <w:rPr>
                <w:sz w:val="18"/>
                <w:szCs w:val="18"/>
                <w:color w:val="auto"/>
              </w:rPr>
            </w:pPr>
          </w:p>
        </w:tc>
        <w:tc>
          <w:tcPr>
            <w:tcW w:w="2320" w:type="dxa"/>
            <w:vAlign w:val="bottom"/>
            <w:gridSpan w:val="2"/>
            <w:shd w:val="clear" w:color="auto" w:fill="D6F3E8"/>
          </w:tcPr>
          <w:p>
            <w:pPr>
              <w:jc w:val="right"/>
              <w:ind w:right="1240"/>
              <w:spacing w:after="0"/>
              <w:rPr>
                <w:sz w:val="20"/>
                <w:szCs w:val="20"/>
                <w:color w:val="auto"/>
              </w:rPr>
            </w:pPr>
            <w:r>
              <w:rPr>
                <w:rFonts w:ascii="Times New Roman" w:cs="Times New Roman" w:eastAsia="Times New Roman" w:hAnsi="Times New Roman"/>
                <w:sz w:val="18"/>
                <w:szCs w:val="18"/>
                <w:color w:val="auto"/>
              </w:rPr>
              <w:t>20,814</w:t>
            </w: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22,066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6F3E8"/>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D6F3E8"/>
          </w:tcPr>
          <w:p>
            <w:pPr>
              <w:jc w:val="right"/>
              <w:ind w:right="1240"/>
              <w:spacing w:after="0"/>
              <w:rPr>
                <w:sz w:val="20"/>
                <w:szCs w:val="20"/>
                <w:color w:val="auto"/>
              </w:rPr>
            </w:pPr>
            <w:r>
              <w:rPr>
                <w:rFonts w:ascii="Times New Roman" w:cs="Times New Roman" w:eastAsia="Times New Roman" w:hAnsi="Times New Roman"/>
                <w:sz w:val="18"/>
                <w:szCs w:val="18"/>
                <w:color w:val="auto"/>
              </w:rPr>
              <w:t>384,715</w:t>
            </w:r>
          </w:p>
        </w:tc>
        <w:tc>
          <w:tcPr>
            <w:tcW w:w="1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412,960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4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27,923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D6F3E8"/>
          </w:tcPr>
          <w:p>
            <w:pPr>
              <w:spacing w:after="0"/>
              <w:rPr>
                <w:sz w:val="18"/>
                <w:szCs w:val="18"/>
                <w:color w:val="auto"/>
              </w:rPr>
            </w:pPr>
          </w:p>
        </w:tc>
        <w:tc>
          <w:tcPr>
            <w:tcW w:w="2320" w:type="dxa"/>
            <w:vAlign w:val="bottom"/>
            <w:gridSpan w:val="2"/>
            <w:shd w:val="clear" w:color="auto" w:fill="D6F3E8"/>
          </w:tcPr>
          <w:p>
            <w:pPr>
              <w:jc w:val="right"/>
              <w:ind w:right="1240"/>
              <w:spacing w:after="0"/>
              <w:rPr>
                <w:sz w:val="20"/>
                <w:szCs w:val="20"/>
                <w:color w:val="auto"/>
              </w:rPr>
            </w:pPr>
            <w:r>
              <w:rPr>
                <w:rFonts w:ascii="Times New Roman" w:cs="Times New Roman" w:eastAsia="Times New Roman" w:hAnsi="Times New Roman"/>
                <w:sz w:val="18"/>
                <w:szCs w:val="18"/>
                <w:color w:val="auto"/>
              </w:rPr>
              <w:t>7,876</w:t>
            </w: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44,323</w:t>
            </w: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51,505</w:t>
            </w:r>
          </w:p>
        </w:tc>
        <w:tc>
          <w:tcPr>
            <w:tcW w:w="220" w:type="dxa"/>
            <w:vAlign w:val="bottom"/>
          </w:tcPr>
          <w:p>
            <w:pPr>
              <w:spacing w:after="0"/>
              <w:rPr>
                <w:sz w:val="20"/>
                <w:szCs w:val="20"/>
                <w:color w:val="auto"/>
              </w:rPr>
            </w:pPr>
          </w:p>
        </w:tc>
      </w:tr>
      <w:tr>
        <w:trPr>
          <w:trHeight w:val="216"/>
        </w:trPr>
        <w:tc>
          <w:tcPr>
            <w:tcW w:w="7440" w:type="dxa"/>
            <w:vAlign w:val="bottom"/>
            <w:shd w:val="clear" w:color="auto" w:fill="D6F3E8"/>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80,122</w:t>
            </w:r>
          </w:p>
        </w:tc>
        <w:tc>
          <w:tcPr>
            <w:tcW w:w="12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90,623</w:t>
            </w:r>
          </w:p>
        </w:tc>
        <w:tc>
          <w:tcPr>
            <w:tcW w:w="220" w:type="dxa"/>
            <w:vAlign w:val="bottom"/>
            <w:shd w:val="clear" w:color="auto" w:fill="D6F3E8"/>
          </w:tcPr>
          <w:p>
            <w:pPr>
              <w:spacing w:after="0"/>
              <w:rPr>
                <w:sz w:val="18"/>
                <w:szCs w:val="18"/>
                <w:color w:val="auto"/>
              </w:rPr>
            </w:pPr>
          </w:p>
        </w:tc>
      </w:tr>
      <w:tr>
        <w:trPr>
          <w:trHeight w:val="445"/>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health care and deferred</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8"/>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benefits, net of current portion</w:t>
            </w:r>
          </w:p>
        </w:tc>
        <w:tc>
          <w:tcPr>
            <w:tcW w:w="4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86,271</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86,450</w:t>
            </w:r>
          </w:p>
        </w:tc>
        <w:tc>
          <w:tcPr>
            <w:tcW w:w="220" w:type="dxa"/>
            <w:vAlign w:val="bottom"/>
          </w:tcPr>
          <w:p>
            <w:pPr>
              <w:spacing w:after="0"/>
              <w:rPr>
                <w:sz w:val="19"/>
                <w:szCs w:val="19"/>
                <w:color w:val="auto"/>
              </w:rPr>
            </w:pPr>
          </w:p>
        </w:tc>
      </w:tr>
      <w:tr>
        <w:trPr>
          <w:trHeight w:val="218"/>
        </w:trPr>
        <w:tc>
          <w:tcPr>
            <w:tcW w:w="74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218,322</w:t>
            </w:r>
          </w:p>
        </w:tc>
        <w:tc>
          <w:tcPr>
            <w:tcW w:w="122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235,887</w:t>
            </w:r>
          </w:p>
        </w:tc>
        <w:tc>
          <w:tcPr>
            <w:tcW w:w="220" w:type="dxa"/>
            <w:vAlign w:val="bottom"/>
            <w:shd w:val="clear" w:color="auto" w:fill="D6F3E8"/>
          </w:tcPr>
          <w:p>
            <w:pPr>
              <w:spacing w:after="0"/>
              <w:rPr>
                <w:sz w:val="18"/>
                <w:szCs w:val="18"/>
                <w:color w:val="auto"/>
              </w:rPr>
            </w:pPr>
          </w:p>
        </w:tc>
      </w:tr>
      <w:tr>
        <w:trPr>
          <w:trHeight w:val="223"/>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384,715</w:t>
            </w:r>
          </w:p>
        </w:tc>
        <w:tc>
          <w:tcPr>
            <w:tcW w:w="2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412,960</w:t>
            </w:r>
          </w:p>
        </w:tc>
        <w:tc>
          <w:tcPr>
            <w:tcW w:w="22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information has been reclassified to conform to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2"/>
          </w:tcPr>
          <w:p>
            <w:pPr>
              <w:jc w:val="right"/>
              <w:ind w:right="1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Aug. 26, 2006</w:t>
            </w:r>
          </w:p>
        </w:tc>
        <w:tc>
          <w:tcPr>
            <w:tcW w:w="140" w:type="dxa"/>
            <w:vAlign w:val="bottom"/>
          </w:tcPr>
          <w:p>
            <w:pPr>
              <w:spacing w:after="0"/>
              <w:rPr>
                <w:sz w:val="12"/>
                <w:szCs w:val="12"/>
                <w:color w:val="auto"/>
              </w:rPr>
            </w:pPr>
          </w:p>
        </w:tc>
        <w:tc>
          <w:tcPr>
            <w:tcW w:w="9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w w:val="96"/>
              </w:rPr>
              <w:t>Aug. 27, 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spacing w:after="0"/>
              <w:rPr>
                <w:sz w:val="18"/>
                <w:szCs w:val="18"/>
                <w:color w:val="auto"/>
              </w:rPr>
            </w:pP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44,744</w:t>
            </w:r>
          </w:p>
        </w:tc>
        <w:tc>
          <w:tcPr>
            <w:tcW w:w="10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D6F3E8"/>
          </w:tcPr>
          <w:p>
            <w:pPr>
              <w:ind w:left="60"/>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140" w:type="dxa"/>
            <w:vAlign w:val="bottom"/>
            <w:shd w:val="clear" w:color="auto" w:fill="D6F3E8"/>
          </w:tcPr>
          <w:p>
            <w:pPr>
              <w:spacing w:after="0"/>
              <w:rPr>
                <w:sz w:val="17"/>
                <w:szCs w:val="17"/>
                <w:color w:val="auto"/>
              </w:rPr>
            </w:pPr>
          </w:p>
        </w:tc>
        <w:tc>
          <w:tcPr>
            <w:tcW w:w="1000" w:type="dxa"/>
            <w:vAlign w:val="bottom"/>
            <w:shd w:val="clear" w:color="auto" w:fill="D6F3E8"/>
          </w:tcPr>
          <w:p>
            <w:pPr>
              <w:spacing w:after="0"/>
              <w:rPr>
                <w:sz w:val="17"/>
                <w:szCs w:val="17"/>
                <w:color w:val="auto"/>
              </w:rPr>
            </w:pPr>
          </w:p>
        </w:tc>
        <w:tc>
          <w:tcPr>
            <w:tcW w:w="1040" w:type="dxa"/>
            <w:vAlign w:val="bottom"/>
            <w:tcBorders>
              <w:right w:val="single" w:sz="8" w:color="D6F3E8"/>
            </w:tcBorders>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98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140" w:type="dxa"/>
            <w:vAlign w:val="bottom"/>
            <w:shd w:val="clear" w:color="auto" w:fill="D6F3E8"/>
          </w:tcPr>
          <w:p>
            <w:pPr>
              <w:spacing w:after="0"/>
              <w:rPr>
                <w:sz w:val="20"/>
                <w:szCs w:val="20"/>
                <w:color w:val="auto"/>
              </w:rPr>
            </w:pPr>
          </w:p>
        </w:tc>
        <w:tc>
          <w:tcPr>
            <w:tcW w:w="1000" w:type="dxa"/>
            <w:vAlign w:val="bottom"/>
            <w:shd w:val="clear" w:color="auto" w:fill="D6F3E8"/>
          </w:tcPr>
          <w:p>
            <w:pPr>
              <w:spacing w:after="0"/>
              <w:rPr>
                <w:sz w:val="20"/>
                <w:szCs w:val="20"/>
                <w:color w:val="auto"/>
              </w:rPr>
            </w:pPr>
          </w:p>
        </w:tc>
        <w:tc>
          <w:tcPr>
            <w:tcW w:w="1040" w:type="dxa"/>
            <w:vAlign w:val="bottom"/>
            <w:tcBorders>
              <w:right w:val="single" w:sz="8" w:color="D6F3E8"/>
            </w:tcBorders>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98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Post retirement benefit income and deferred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expense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Loss on disposal of property</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w:t>
            </w:r>
          </w:p>
        </w:tc>
        <w:tc>
          <w:tcPr>
            <w:tcW w:w="140" w:type="dxa"/>
            <w:vAlign w:val="bottom"/>
            <w:shd w:val="clear" w:color="auto" w:fill="D6F3E8"/>
          </w:tcPr>
          <w:p>
            <w:pPr>
              <w:spacing w:after="0"/>
              <w:rPr>
                <w:sz w:val="18"/>
                <w:szCs w:val="18"/>
                <w:color w:val="auto"/>
              </w:rPr>
            </w:pPr>
          </w:p>
        </w:tc>
        <w:tc>
          <w:tcPr>
            <w:tcW w:w="2040" w:type="dxa"/>
            <w:vAlign w:val="bottom"/>
            <w:tcBorders>
              <w:right w:val="single" w:sz="8" w:color="D6F3E8"/>
            </w:tcBorders>
            <w:gridSpan w:val="2"/>
            <w:shd w:val="clear" w:color="auto" w:fill="D6F3E8"/>
          </w:tcPr>
          <w:p>
            <w:pPr>
              <w:jc w:val="right"/>
              <w:ind w:right="980"/>
              <w:spacing w:after="0"/>
              <w:rPr>
                <w:sz w:val="20"/>
                <w:szCs w:val="20"/>
                <w:color w:val="auto"/>
              </w:rPr>
            </w:pPr>
            <w:r>
              <w:rPr>
                <w:rFonts w:ascii="Times New Roman" w:cs="Times New Roman" w:eastAsia="Times New Roman" w:hAnsi="Times New Roman"/>
                <w:sz w:val="18"/>
                <w:szCs w:val="18"/>
                <w:color w:val="auto"/>
              </w:rPr>
              <w:t>(976)</w:t>
            </w: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Excess tax benefit of stock options</w:t>
            </w:r>
          </w:p>
        </w:tc>
        <w:tc>
          <w:tcPr>
            <w:tcW w:w="14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43,574</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Receivables and prepaid assets</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D6F3E8"/>
          </w:tcPr>
          <w:p>
            <w:pPr>
              <w:spacing w:after="0"/>
              <w:rPr>
                <w:sz w:val="18"/>
                <w:szCs w:val="18"/>
                <w:color w:val="auto"/>
              </w:rPr>
            </w:pPr>
          </w:p>
        </w:tc>
        <w:tc>
          <w:tcPr>
            <w:tcW w:w="2040" w:type="dxa"/>
            <w:vAlign w:val="bottom"/>
            <w:tcBorders>
              <w:right w:val="single" w:sz="8" w:color="D6F3E8"/>
            </w:tcBorders>
            <w:gridSpan w:val="2"/>
            <w:shd w:val="clear" w:color="auto" w:fill="D6F3E8"/>
          </w:tcPr>
          <w:p>
            <w:pPr>
              <w:jc w:val="right"/>
              <w:ind w:right="980"/>
              <w:spacing w:after="0"/>
              <w:rPr>
                <w:sz w:val="20"/>
                <w:szCs w:val="20"/>
                <w:color w:val="auto"/>
              </w:rPr>
            </w:pPr>
            <w:r>
              <w:rPr>
                <w:rFonts w:ascii="Times New Roman" w:cs="Times New Roman" w:eastAsia="Times New Roman" w:hAnsi="Times New Roman"/>
                <w:sz w:val="18"/>
                <w:szCs w:val="18"/>
                <w:color w:val="auto"/>
              </w:rPr>
              <w:t>(13,300)</w:t>
            </w: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(16,776)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Postretirement and deferred compensation benefits</w:t>
            </w:r>
          </w:p>
        </w:tc>
        <w:tc>
          <w:tcPr>
            <w:tcW w:w="140" w:type="dxa"/>
            <w:vAlign w:val="bottom"/>
          </w:tcPr>
          <w:p>
            <w:pPr>
              <w:spacing w:after="0"/>
              <w:rPr>
                <w:sz w:val="19"/>
                <w:szCs w:val="19"/>
                <w:color w:val="auto"/>
              </w:rPr>
            </w:pPr>
          </w:p>
        </w:tc>
        <w:tc>
          <w:tcPr>
            <w:tcW w:w="20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0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113,255</w:t>
            </w: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78,764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40" w:type="dxa"/>
            <w:vAlign w:val="bottom"/>
            <w:shd w:val="clear" w:color="auto" w:fill="D6F3E8"/>
          </w:tcPr>
          <w:p>
            <w:pPr>
              <w:spacing w:after="0"/>
              <w:rPr>
                <w:sz w:val="18"/>
                <w:szCs w:val="18"/>
                <w:color w:val="auto"/>
              </w:rPr>
            </w:pPr>
          </w:p>
        </w:tc>
        <w:tc>
          <w:tcPr>
            <w:tcW w:w="2040" w:type="dxa"/>
            <w:vAlign w:val="bottom"/>
            <w:tcBorders>
              <w:right w:val="single" w:sz="8" w:color="D6F3E8"/>
            </w:tcBorders>
            <w:gridSpan w:val="2"/>
            <w:shd w:val="clear" w:color="auto" w:fill="D6F3E8"/>
          </w:tcPr>
          <w:p>
            <w:pPr>
              <w:jc w:val="right"/>
              <w:ind w:right="980"/>
              <w:spacing w:after="0"/>
              <w:rPr>
                <w:sz w:val="20"/>
                <w:szCs w:val="20"/>
                <w:color w:val="auto"/>
              </w:rPr>
            </w:pPr>
            <w:r>
              <w:rPr>
                <w:rFonts w:ascii="Times New Roman" w:cs="Times New Roman" w:eastAsia="Times New Roman" w:hAnsi="Times New Roman"/>
                <w:sz w:val="18"/>
                <w:szCs w:val="18"/>
                <w:color w:val="auto"/>
              </w:rPr>
              <w:t>(214,825)</w:t>
            </w: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(255,023)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the sale or maturity of short-term investments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177,975</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Times New Roman" w:cs="Times New Roman" w:eastAsia="Times New Roman" w:hAnsi="Times New Roman"/>
                <w:sz w:val="18"/>
                <w:szCs w:val="18"/>
                <w:color w:val="auto"/>
              </w:rPr>
              <w:t>Proceeds from the sale of property</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D6F3E8"/>
          </w:tcPr>
          <w:p>
            <w:pPr>
              <w:spacing w:after="0"/>
              <w:rPr>
                <w:sz w:val="18"/>
                <w:szCs w:val="18"/>
                <w:color w:val="auto"/>
              </w:rPr>
            </w:pPr>
          </w:p>
        </w:tc>
        <w:tc>
          <w:tcPr>
            <w:tcW w:w="2040" w:type="dxa"/>
            <w:vAlign w:val="bottom"/>
            <w:tcBorders>
              <w:right w:val="single" w:sz="8" w:color="D6F3E8"/>
            </w:tcBorders>
            <w:gridSpan w:val="2"/>
            <w:shd w:val="clear" w:color="auto" w:fill="D6F3E8"/>
          </w:tcPr>
          <w:p>
            <w:pPr>
              <w:jc w:val="right"/>
              <w:ind w:right="980"/>
              <w:spacing w:after="0"/>
              <w:rPr>
                <w:sz w:val="20"/>
                <w:szCs w:val="20"/>
                <w:color w:val="auto"/>
              </w:rPr>
            </w:pPr>
            <w:r>
              <w:rPr>
                <w:rFonts w:ascii="Times New Roman" w:cs="Times New Roman" w:eastAsia="Times New Roman" w:hAnsi="Times New Roman"/>
                <w:sz w:val="18"/>
                <w:szCs w:val="18"/>
                <w:color w:val="auto"/>
              </w:rPr>
              <w:t>(4,830)</w:t>
            </w: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(40,712)</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7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 for purchase of common stock</w:t>
            </w:r>
          </w:p>
        </w:tc>
        <w:tc>
          <w:tcPr>
            <w:tcW w:w="14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(57,802)</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140" w:type="dxa"/>
            <w:vAlign w:val="bottom"/>
            <w:shd w:val="clear" w:color="auto" w:fill="D6F3E8"/>
          </w:tcPr>
          <w:p>
            <w:pPr>
              <w:spacing w:after="0"/>
              <w:rPr>
                <w:sz w:val="18"/>
                <w:szCs w:val="18"/>
                <w:color w:val="auto"/>
              </w:rPr>
            </w:pPr>
          </w:p>
        </w:tc>
        <w:tc>
          <w:tcPr>
            <w:tcW w:w="2040" w:type="dxa"/>
            <w:vAlign w:val="bottom"/>
            <w:tcBorders>
              <w:right w:val="single" w:sz="8" w:color="D6F3E8"/>
            </w:tcBorders>
            <w:gridSpan w:val="2"/>
            <w:shd w:val="clear" w:color="auto" w:fill="D6F3E8"/>
          </w:tcPr>
          <w:p>
            <w:pPr>
              <w:jc w:val="right"/>
              <w:ind w:right="980"/>
              <w:spacing w:after="0"/>
              <w:rPr>
                <w:sz w:val="20"/>
                <w:szCs w:val="20"/>
                <w:color w:val="auto"/>
              </w:rPr>
            </w:pPr>
            <w:r>
              <w:rPr>
                <w:rFonts w:ascii="Times New Roman" w:cs="Times New Roman" w:eastAsia="Times New Roman" w:hAnsi="Times New Roman"/>
                <w:sz w:val="18"/>
                <w:szCs w:val="18"/>
                <w:color w:val="auto"/>
              </w:rPr>
              <w:t>(11,670)</w:t>
            </w: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issuance of treasury stock</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Times New Roman" w:cs="Times New Roman" w:eastAsia="Times New Roman" w:hAnsi="Times New Roman"/>
                <w:sz w:val="18"/>
                <w:szCs w:val="18"/>
                <w:color w:val="auto"/>
              </w:rPr>
              <w:t>Excess tax benefit of stock options</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Pr>
          <w:p>
            <w:pPr>
              <w:spacing w:after="0"/>
              <w:rPr>
                <w:sz w:val="24"/>
                <w:szCs w:val="24"/>
                <w:color w:val="auto"/>
              </w:rPr>
            </w:pPr>
          </w:p>
        </w:tc>
        <w:tc>
          <w:tcPr>
            <w:tcW w:w="20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(67,093)</w:t>
            </w:r>
          </w:p>
        </w:tc>
        <w:tc>
          <w:tcPr>
            <w:tcW w:w="14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(31,796)</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78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(4,961)</w:t>
            </w:r>
          </w:p>
        </w:tc>
        <w:tc>
          <w:tcPr>
            <w:tcW w:w="0" w:type="dxa"/>
            <w:vAlign w:val="bottom"/>
          </w:tcPr>
          <w:p>
            <w:pPr>
              <w:spacing w:after="0"/>
              <w:rPr>
                <w:sz w:val="1"/>
                <w:szCs w:val="1"/>
                <w:color w:val="auto"/>
              </w:rPr>
            </w:pPr>
          </w:p>
        </w:tc>
      </w:tr>
      <w:tr>
        <w:trPr>
          <w:trHeight w:val="458"/>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1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7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4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24,934</w:t>
            </w:r>
          </w:p>
        </w:tc>
        <w:tc>
          <w:tcPr>
            <w:tcW w:w="1040" w:type="dxa"/>
            <w:vAlign w:val="bottom"/>
            <w:tcBorders>
              <w:right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22"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prior year information has been reclassified to conform to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122" w:gutter="0" w:footer="0" w:header="0"/>
          <w:type w:val="continuous"/>
        </w:sectPr>
      </w:pPr>
    </w:p>
    <w:bookmarkStart w:id="5" w:name="page6"/>
    <w:bookmarkEnd w:id="5"/>
    <w:p>
      <w:pPr>
        <w:ind w:left="474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Unaudited Motor Home Deliveries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
          </w:tcPr>
          <w:p>
            <w:pPr>
              <w:jc w:val="right"/>
              <w:ind w:right="1960"/>
              <w:spacing w:after="0"/>
              <w:rPr>
                <w:sz w:val="20"/>
                <w:szCs w:val="20"/>
                <w:color w:val="auto"/>
              </w:rPr>
            </w:pPr>
            <w:r>
              <w:rPr>
                <w:rFonts w:ascii="Times New Roman" w:cs="Times New Roman" w:eastAsia="Times New Roman" w:hAnsi="Times New Roman"/>
                <w:sz w:val="14"/>
                <w:szCs w:val="14"/>
                <w:b w:val="1"/>
                <w:bCs w:val="1"/>
                <w:color w:val="auto"/>
                <w:w w:val="94"/>
              </w:rPr>
              <w:t>Quarter Ended</w:t>
            </w:r>
          </w:p>
        </w:tc>
        <w:tc>
          <w:tcPr>
            <w:tcW w:w="20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04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8/26/2006</w:t>
            </w:r>
          </w:p>
        </w:tc>
        <w:tc>
          <w:tcPr>
            <w:tcW w:w="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8/27/2005</w:t>
            </w:r>
          </w:p>
        </w:tc>
        <w:tc>
          <w:tcPr>
            <w:tcW w:w="920" w:type="dxa"/>
            <w:vAlign w:val="bottom"/>
          </w:tcPr>
          <w:p>
            <w:pPr>
              <w:spacing w:after="0"/>
              <w:rPr>
                <w:sz w:val="12"/>
                <w:szCs w:val="12"/>
                <w:color w:val="auto"/>
              </w:rPr>
            </w:pPr>
          </w:p>
        </w:tc>
        <w:tc>
          <w:tcPr>
            <w:tcW w:w="100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8/26/2006</w:t>
            </w: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8/27/2005</w:t>
            </w:r>
          </w:p>
        </w:tc>
        <w:tc>
          <w:tcPr>
            <w:tcW w:w="220" w:type="dxa"/>
            <w:vAlign w:val="bottom"/>
          </w:tcPr>
          <w:p>
            <w:pPr>
              <w:spacing w:after="0"/>
              <w:rPr>
                <w:sz w:val="12"/>
                <w:szCs w:val="12"/>
                <w:color w:val="auto"/>
              </w:rPr>
            </w:pPr>
          </w:p>
        </w:tc>
      </w:tr>
      <w:tr>
        <w:trPr>
          <w:trHeight w:val="210"/>
        </w:trPr>
        <w:tc>
          <w:tcPr>
            <w:tcW w:w="43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Motor home unit deliveries</w:t>
            </w:r>
          </w:p>
        </w:tc>
        <w:tc>
          <w:tcPr>
            <w:tcW w:w="1040" w:type="dxa"/>
            <w:vAlign w:val="bottom"/>
            <w:tcBorders>
              <w:top w:val="single" w:sz="8" w:color="auto"/>
            </w:tcBorders>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r>
      <w:tr>
        <w:trPr>
          <w:trHeight w:val="2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A Gas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c>
          <w:tcPr>
            <w:tcW w:w="284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1,026</w:t>
            </w:r>
          </w:p>
        </w:tc>
        <w:tc>
          <w:tcPr>
            <w:tcW w:w="19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2,961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220" w:type="dxa"/>
            <w:vAlign w:val="bottom"/>
          </w:tcPr>
          <w:p>
            <w:pPr>
              <w:spacing w:after="0"/>
              <w:rPr>
                <w:sz w:val="18"/>
                <w:szCs w:val="18"/>
                <w:color w:val="auto"/>
              </w:rPr>
            </w:pPr>
          </w:p>
        </w:tc>
      </w:tr>
      <w:tr>
        <w:trPr>
          <w:trHeight w:val="216"/>
        </w:trPr>
        <w:tc>
          <w:tcPr>
            <w:tcW w:w="4380" w:type="dxa"/>
            <w:vAlign w:val="bottom"/>
            <w:shd w:val="clear" w:color="auto" w:fill="D6F3E8"/>
          </w:tcPr>
          <w:p>
            <w:pPr>
              <w:ind w:left="100"/>
              <w:spacing w:after="0"/>
              <w:rPr>
                <w:sz w:val="20"/>
                <w:szCs w:val="20"/>
                <w:color w:val="auto"/>
              </w:rPr>
            </w:pPr>
            <w:r>
              <w:rPr>
                <w:rFonts w:ascii="Times New Roman" w:cs="Times New Roman" w:eastAsia="Times New Roman" w:hAnsi="Times New Roman"/>
                <w:sz w:val="18"/>
                <w:szCs w:val="18"/>
                <w:color w:val="auto"/>
              </w:rPr>
              <w:t>Class A Diesel</w:t>
            </w:r>
          </w:p>
        </w:tc>
        <w:tc>
          <w:tcPr>
            <w:tcW w:w="10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260</w:t>
            </w:r>
          </w:p>
        </w:tc>
        <w:tc>
          <w:tcPr>
            <w:tcW w:w="2840" w:type="dxa"/>
            <w:vAlign w:val="bottom"/>
            <w:gridSpan w:val="3"/>
            <w:shd w:val="clear" w:color="auto" w:fill="D6F3E8"/>
          </w:tcPr>
          <w:p>
            <w:pPr>
              <w:jc w:val="right"/>
              <w:ind w:right="920"/>
              <w:spacing w:after="0"/>
              <w:rPr>
                <w:sz w:val="20"/>
                <w:szCs w:val="20"/>
                <w:color w:val="auto"/>
              </w:rPr>
            </w:pPr>
            <w:r>
              <w:rPr>
                <w:rFonts w:ascii="Times New Roman" w:cs="Times New Roman" w:eastAsia="Times New Roman" w:hAnsi="Times New Roman"/>
                <w:sz w:val="18"/>
                <w:szCs w:val="18"/>
                <w:color w:val="auto"/>
              </w:rPr>
              <w:t>440</w:t>
            </w:r>
          </w:p>
        </w:tc>
        <w:tc>
          <w:tcPr>
            <w:tcW w:w="1920" w:type="dxa"/>
            <w:vAlign w:val="bottom"/>
            <w:gridSpan w:val="2"/>
            <w:shd w:val="clear" w:color="auto" w:fill="D6F3E8"/>
          </w:tcPr>
          <w:p>
            <w:pPr>
              <w:jc w:val="right"/>
              <w:ind w:right="920"/>
              <w:spacing w:after="0"/>
              <w:rPr>
                <w:sz w:val="20"/>
                <w:szCs w:val="20"/>
                <w:color w:val="auto"/>
              </w:rPr>
            </w:pPr>
            <w:r>
              <w:rPr>
                <w:rFonts w:ascii="Times New Roman" w:cs="Times New Roman" w:eastAsia="Times New Roman" w:hAnsi="Times New Roman"/>
                <w:sz w:val="18"/>
                <w:szCs w:val="18"/>
                <w:color w:val="auto"/>
              </w:rPr>
              <w:t>1,494</w:t>
            </w: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20" w:type="dxa"/>
            <w:vAlign w:val="bottom"/>
            <w:shd w:val="clear" w:color="auto" w:fill="D6F3E8"/>
          </w:tcPr>
          <w:p>
            <w:pPr>
              <w:spacing w:after="0"/>
              <w:rPr>
                <w:sz w:val="18"/>
                <w:szCs w:val="18"/>
                <w:color w:val="auto"/>
              </w:rPr>
            </w:pPr>
          </w:p>
        </w:tc>
      </w:tr>
      <w:tr>
        <w:trPr>
          <w:trHeight w:val="22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Class A</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1,466</w:t>
            </w:r>
          </w:p>
        </w:tc>
        <w:tc>
          <w:tcPr>
            <w:tcW w:w="9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220" w:type="dxa"/>
            <w:vAlign w:val="bottom"/>
          </w:tcPr>
          <w:p>
            <w:pPr>
              <w:spacing w:after="0"/>
              <w:rPr>
                <w:sz w:val="19"/>
                <w:szCs w:val="19"/>
                <w:color w:val="auto"/>
              </w:rPr>
            </w:pPr>
          </w:p>
        </w:tc>
      </w:tr>
      <w:tr>
        <w:trPr>
          <w:trHeight w:val="217"/>
        </w:trPr>
        <w:tc>
          <w:tcPr>
            <w:tcW w:w="4380" w:type="dxa"/>
            <w:vAlign w:val="bottom"/>
            <w:shd w:val="clear" w:color="auto" w:fill="D6F3E8"/>
          </w:tcPr>
          <w:p>
            <w:pPr>
              <w:ind w:left="100"/>
              <w:spacing w:after="0"/>
              <w:rPr>
                <w:sz w:val="20"/>
                <w:szCs w:val="20"/>
                <w:color w:val="auto"/>
              </w:rPr>
            </w:pPr>
            <w:r>
              <w:rPr>
                <w:rFonts w:ascii="Times New Roman" w:cs="Times New Roman" w:eastAsia="Times New Roman" w:hAnsi="Times New Roman"/>
                <w:sz w:val="18"/>
                <w:szCs w:val="18"/>
                <w:color w:val="auto"/>
              </w:rPr>
              <w:t>Class C</w:t>
            </w:r>
          </w:p>
        </w:tc>
        <w:tc>
          <w:tcPr>
            <w:tcW w:w="10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1,635</w:t>
            </w:r>
          </w:p>
        </w:tc>
        <w:tc>
          <w:tcPr>
            <w:tcW w:w="2840" w:type="dxa"/>
            <w:vAlign w:val="bottom"/>
            <w:gridSpan w:val="3"/>
            <w:shd w:val="clear" w:color="auto" w:fill="D6F3E8"/>
          </w:tcPr>
          <w:p>
            <w:pPr>
              <w:ind w:left="1540"/>
              <w:spacing w:after="0"/>
              <w:rPr>
                <w:sz w:val="20"/>
                <w:szCs w:val="20"/>
                <w:color w:val="auto"/>
              </w:rPr>
            </w:pPr>
            <w:r>
              <w:rPr>
                <w:rFonts w:ascii="Times New Roman" w:cs="Times New Roman" w:eastAsia="Times New Roman" w:hAnsi="Times New Roman"/>
                <w:sz w:val="18"/>
                <w:szCs w:val="18"/>
                <w:color w:val="auto"/>
              </w:rPr>
              <w:t>1,085</w:t>
            </w:r>
          </w:p>
        </w:tc>
        <w:tc>
          <w:tcPr>
            <w:tcW w:w="1920" w:type="dxa"/>
            <w:vAlign w:val="bottom"/>
            <w:gridSpan w:val="2"/>
            <w:shd w:val="clear" w:color="auto" w:fill="D6F3E8"/>
          </w:tcPr>
          <w:p>
            <w:pPr>
              <w:jc w:val="right"/>
              <w:ind w:right="920"/>
              <w:spacing w:after="0"/>
              <w:rPr>
                <w:sz w:val="20"/>
                <w:szCs w:val="20"/>
                <w:color w:val="auto"/>
              </w:rPr>
            </w:pPr>
            <w:r>
              <w:rPr>
                <w:rFonts w:ascii="Times New Roman" w:cs="Times New Roman" w:eastAsia="Times New Roman" w:hAnsi="Times New Roman"/>
                <w:sz w:val="18"/>
                <w:szCs w:val="18"/>
                <w:color w:val="auto"/>
              </w:rPr>
              <w:t>5,388</w:t>
            </w: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220" w:type="dxa"/>
            <w:vAlign w:val="bottom"/>
            <w:shd w:val="clear" w:color="auto" w:fill="D6F3E8"/>
          </w:tcPr>
          <w:p>
            <w:pPr>
              <w:spacing w:after="0"/>
              <w:rPr>
                <w:sz w:val="18"/>
                <w:szCs w:val="18"/>
                <w:color w:val="auto"/>
              </w:rPr>
            </w:pPr>
          </w:p>
        </w:tc>
      </w:tr>
      <w:tr>
        <w:trPr>
          <w:trHeight w:val="22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deliveries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2,551</w:t>
            </w:r>
          </w:p>
        </w:tc>
        <w:tc>
          <w:tcPr>
            <w:tcW w:w="9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22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 Backlog and Dealer Inventory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8/26/2006</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8/27/2005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Sales order backlog</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A Gas</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D6F3E8"/>
          </w:tcPr>
          <w:p>
            <w:pPr>
              <w:ind w:left="80"/>
              <w:spacing w:after="0"/>
              <w:rPr>
                <w:sz w:val="20"/>
                <w:szCs w:val="20"/>
                <w:color w:val="auto"/>
              </w:rPr>
            </w:pPr>
            <w:r>
              <w:rPr>
                <w:rFonts w:ascii="Times New Roman" w:cs="Times New Roman" w:eastAsia="Times New Roman" w:hAnsi="Times New Roman"/>
                <w:sz w:val="18"/>
                <w:szCs w:val="18"/>
                <w:color w:val="auto"/>
              </w:rPr>
              <w:t>Class A Diesel</w:t>
            </w:r>
          </w:p>
        </w:tc>
        <w:tc>
          <w:tcPr>
            <w:tcW w:w="20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7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Class A</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D6F3E8"/>
          </w:tcPr>
          <w:p>
            <w:pPr>
              <w:ind w:left="80"/>
              <w:spacing w:after="0"/>
              <w:rPr>
                <w:sz w:val="20"/>
                <w:szCs w:val="20"/>
                <w:color w:val="auto"/>
              </w:rPr>
            </w:pPr>
            <w:r>
              <w:rPr>
                <w:rFonts w:ascii="Times New Roman" w:cs="Times New Roman" w:eastAsia="Times New Roman" w:hAnsi="Times New Roman"/>
                <w:sz w:val="18"/>
                <w:szCs w:val="18"/>
                <w:color w:val="auto"/>
              </w:rPr>
              <w:t>Class C</w:t>
            </w:r>
          </w:p>
        </w:tc>
        <w:tc>
          <w:tcPr>
            <w:tcW w:w="20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896</w:t>
            </w:r>
          </w:p>
        </w:tc>
        <w:tc>
          <w:tcPr>
            <w:tcW w:w="7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restart"/>
          </w:tcPr>
          <w:p>
            <w:pPr>
              <w:spacing w:after="0"/>
              <w:rPr>
                <w:sz w:val="20"/>
                <w:szCs w:val="20"/>
                <w:color w:val="auto"/>
              </w:rPr>
            </w:pPr>
          </w:p>
        </w:tc>
        <w:tc>
          <w:tcPr>
            <w:tcW w:w="8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Total approximate revenue dollars (in thousands)</w:t>
            </w:r>
          </w:p>
        </w:tc>
        <w:tc>
          <w:tcPr>
            <w:tcW w:w="2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142,000</w:t>
            </w:r>
          </w:p>
        </w:tc>
        <w:tc>
          <w:tcPr>
            <w:tcW w:w="920" w:type="dxa"/>
            <w:vAlign w:val="bottom"/>
            <w:gridSpan w:val="2"/>
            <w:shd w:val="clear" w:color="auto" w:fill="D6F3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Dealer inventory</w:t>
            </w:r>
          </w:p>
        </w:tc>
        <w:tc>
          <w:tcPr>
            <w:tcW w:w="2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4,733</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both"/>
        <w:ind w:right="740" w:firstLine="8"/>
        <w:spacing w:after="0" w:line="339" w:lineRule="auto"/>
        <w:tabs>
          <w:tab w:leader="none" w:pos="13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1607820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2019-12-13T08:32:34Z</dcterms:created>
  <dcterms:modified xsi:type="dcterms:W3CDTF">2019-12-13T08:32:34Z</dcterms:modified>
</cp:coreProperties>
</file>