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366395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SD</w:t>
      </w:r>
    </w:p>
    <w:p>
      <w:pPr>
        <w:spacing w:after="0" w:line="64"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-179705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454025</wp:posOffset>
            </wp:positionV>
            <wp:extent cx="3027045"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326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Iowa</w:t>
            </w:r>
          </w:p>
        </w:tc>
        <w:tc>
          <w:tcPr>
            <w:tcW w:w="302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001-06403</w:t>
            </w:r>
          </w:p>
        </w:tc>
        <w:tc>
          <w:tcPr>
            <w:tcW w:w="296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260" w:type="dxa"/>
            <w:vAlign w:val="bottom"/>
          </w:tcPr>
          <w:p>
            <w:pPr>
              <w:jc w:val="center"/>
              <w:ind w:left="179"/>
              <w:spacing w:after="0"/>
              <w:rPr>
                <w:sz w:val="20"/>
                <w:szCs w:val="20"/>
                <w:color w:val="auto"/>
              </w:rPr>
            </w:pPr>
            <w:r>
              <w:rPr>
                <w:rFonts w:ascii="Arial" w:cs="Arial" w:eastAsia="Arial" w:hAnsi="Arial"/>
                <w:sz w:val="16"/>
                <w:szCs w:val="16"/>
                <w:color w:val="auto"/>
              </w:rPr>
              <w:t>(State or other jurisdiction</w:t>
            </w:r>
          </w:p>
        </w:tc>
        <w:tc>
          <w:tcPr>
            <w:tcW w:w="3020" w:type="dxa"/>
            <w:vAlign w:val="bottom"/>
          </w:tcPr>
          <w:p>
            <w:pPr>
              <w:jc w:val="center"/>
              <w:ind w:right="339"/>
              <w:spacing w:after="0"/>
              <w:rPr>
                <w:sz w:val="20"/>
                <w:szCs w:val="20"/>
                <w:color w:val="auto"/>
              </w:rPr>
            </w:pPr>
            <w:r>
              <w:rPr>
                <w:rFonts w:ascii="Arial" w:cs="Arial" w:eastAsia="Arial" w:hAnsi="Arial"/>
                <w:sz w:val="16"/>
                <w:szCs w:val="16"/>
                <w:color w:val="auto"/>
              </w:rPr>
              <w:t>(Commission</w:t>
            </w:r>
          </w:p>
        </w:tc>
        <w:tc>
          <w:tcPr>
            <w:tcW w:w="2960" w:type="dxa"/>
            <w:vAlign w:val="bottom"/>
          </w:tcPr>
          <w:p>
            <w:pPr>
              <w:jc w:val="center"/>
              <w:ind w:right="599"/>
              <w:spacing w:after="0"/>
              <w:rPr>
                <w:sz w:val="20"/>
                <w:szCs w:val="20"/>
                <w:color w:val="auto"/>
              </w:rPr>
            </w:pPr>
            <w:r>
              <w:rPr>
                <w:rFonts w:ascii="Arial" w:cs="Arial" w:eastAsia="Arial" w:hAnsi="Arial"/>
                <w:sz w:val="16"/>
                <w:szCs w:val="16"/>
                <w:color w:val="auto"/>
              </w:rPr>
              <w:t>(I.R.S. Employer</w:t>
            </w:r>
          </w:p>
        </w:tc>
      </w:tr>
      <w:tr>
        <w:trPr>
          <w:trHeight w:val="195"/>
        </w:trPr>
        <w:tc>
          <w:tcPr>
            <w:tcW w:w="3260" w:type="dxa"/>
            <w:vAlign w:val="bottom"/>
          </w:tcPr>
          <w:p>
            <w:pPr>
              <w:jc w:val="center"/>
              <w:ind w:left="179"/>
              <w:spacing w:after="0"/>
              <w:rPr>
                <w:sz w:val="20"/>
                <w:szCs w:val="20"/>
                <w:color w:val="auto"/>
              </w:rPr>
            </w:pPr>
            <w:r>
              <w:rPr>
                <w:rFonts w:ascii="Arial" w:cs="Arial" w:eastAsia="Arial" w:hAnsi="Arial"/>
                <w:sz w:val="16"/>
                <w:szCs w:val="16"/>
                <w:color w:val="auto"/>
              </w:rPr>
              <w:t>of incorporation or organization)</w:t>
            </w:r>
          </w:p>
        </w:tc>
        <w:tc>
          <w:tcPr>
            <w:tcW w:w="3020" w:type="dxa"/>
            <w:vAlign w:val="bottom"/>
          </w:tcPr>
          <w:p>
            <w:pPr>
              <w:jc w:val="center"/>
              <w:ind w:right="339"/>
              <w:spacing w:after="0"/>
              <w:rPr>
                <w:sz w:val="20"/>
                <w:szCs w:val="20"/>
                <w:color w:val="auto"/>
              </w:rPr>
            </w:pPr>
            <w:r>
              <w:rPr>
                <w:rFonts w:ascii="Arial" w:cs="Arial" w:eastAsia="Arial" w:hAnsi="Arial"/>
                <w:sz w:val="16"/>
                <w:szCs w:val="16"/>
                <w:color w:val="auto"/>
                <w:w w:val="99"/>
              </w:rPr>
              <w:t>File Number)</w:t>
            </w:r>
          </w:p>
        </w:tc>
        <w:tc>
          <w:tcPr>
            <w:tcW w:w="2960" w:type="dxa"/>
            <w:vAlign w:val="bottom"/>
          </w:tcPr>
          <w:p>
            <w:pPr>
              <w:jc w:val="center"/>
              <w:ind w:right="619"/>
              <w:spacing w:after="0"/>
              <w:rPr>
                <w:sz w:val="20"/>
                <w:szCs w:val="20"/>
                <w:color w:val="auto"/>
              </w:rPr>
            </w:pPr>
            <w:r>
              <w:rPr>
                <w:rFonts w:ascii="Arial" w:cs="Arial" w:eastAsia="Arial" w:hAnsi="Arial"/>
                <w:sz w:val="16"/>
                <w:szCs w:val="16"/>
                <w:color w:val="auto"/>
              </w:rPr>
              <w:t>Identification No.)</w:t>
            </w:r>
          </w:p>
        </w:tc>
      </w:tr>
      <w:tr>
        <w:trPr>
          <w:trHeight w:val="580"/>
        </w:trPr>
        <w:tc>
          <w:tcPr>
            <w:tcW w:w="326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P. O. Box 152, Forest City, Iowa</w:t>
            </w:r>
          </w:p>
        </w:tc>
        <w:tc>
          <w:tcPr>
            <w:tcW w:w="30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right"/>
              <w:ind w:right="1519"/>
              <w:spacing w:after="0"/>
              <w:rPr>
                <w:sz w:val="20"/>
                <w:szCs w:val="20"/>
                <w:color w:val="auto"/>
              </w:rPr>
            </w:pPr>
            <w:r>
              <w:rPr>
                <w:rFonts w:ascii="Arial" w:cs="Arial" w:eastAsia="Arial" w:hAnsi="Arial"/>
                <w:sz w:val="16"/>
                <w:szCs w:val="16"/>
                <w:b w:val="1"/>
                <w:bCs w:val="1"/>
                <w:color w:val="auto"/>
              </w:rPr>
              <w:t>50436</w:t>
            </w:r>
          </w:p>
        </w:tc>
      </w:tr>
      <w:tr>
        <w:trPr>
          <w:trHeight w:val="251"/>
        </w:trPr>
        <w:tc>
          <w:tcPr>
            <w:tcW w:w="3260" w:type="dxa"/>
            <w:vAlign w:val="bottom"/>
          </w:tcPr>
          <w:p>
            <w:pPr>
              <w:jc w:val="center"/>
              <w:ind w:left="179"/>
              <w:spacing w:after="0"/>
              <w:rPr>
                <w:sz w:val="20"/>
                <w:szCs w:val="20"/>
                <w:color w:val="auto"/>
              </w:rPr>
            </w:pPr>
            <w:r>
              <w:rPr>
                <w:rFonts w:ascii="Arial" w:cs="Arial" w:eastAsia="Arial" w:hAnsi="Arial"/>
                <w:sz w:val="16"/>
                <w:szCs w:val="16"/>
                <w:color w:val="auto"/>
              </w:rPr>
              <w:t>(Address of principal executive offices)</w:t>
            </w:r>
          </w:p>
        </w:tc>
        <w:tc>
          <w:tcPr>
            <w:tcW w:w="3020" w:type="dxa"/>
            <w:vAlign w:val="bottom"/>
          </w:tcPr>
          <w:p>
            <w:pPr>
              <w:spacing w:after="0"/>
              <w:rPr>
                <w:sz w:val="21"/>
                <w:szCs w:val="21"/>
                <w:color w:val="auto"/>
              </w:rPr>
            </w:pPr>
          </w:p>
        </w:tc>
        <w:tc>
          <w:tcPr>
            <w:tcW w:w="2960" w:type="dxa"/>
            <w:vAlign w:val="bottom"/>
          </w:tcPr>
          <w:p>
            <w:pPr>
              <w:jc w:val="center"/>
              <w:ind w:right="599"/>
              <w:spacing w:after="0"/>
              <w:rPr>
                <w:sz w:val="20"/>
                <w:szCs w:val="20"/>
                <w:color w:val="auto"/>
              </w:rPr>
            </w:pPr>
            <w:r>
              <w:rPr>
                <w:rFonts w:ascii="Arial" w:cs="Arial" w:eastAsia="Arial" w:hAnsi="Arial"/>
                <w:sz w:val="16"/>
                <w:szCs w:val="16"/>
                <w:color w:val="auto"/>
              </w:rPr>
              <w:t>(Zip Code)</w:t>
            </w:r>
          </w:p>
        </w:tc>
      </w:tr>
      <w:tr>
        <w:trPr>
          <w:trHeight w:val="540"/>
        </w:trPr>
        <w:tc>
          <w:tcPr>
            <w:tcW w:w="3260" w:type="dxa"/>
            <w:vAlign w:val="bottom"/>
          </w:tcPr>
          <w:p>
            <w:pPr>
              <w:spacing w:after="0"/>
              <w:rPr>
                <w:sz w:val="24"/>
                <w:szCs w:val="24"/>
                <w:color w:val="auto"/>
              </w:rPr>
            </w:pPr>
          </w:p>
        </w:tc>
        <w:tc>
          <w:tcPr>
            <w:tcW w:w="3020" w:type="dxa"/>
            <w:vAlign w:val="bottom"/>
          </w:tcPr>
          <w:p>
            <w:pPr>
              <w:jc w:val="center"/>
              <w:ind w:right="339"/>
              <w:spacing w:after="0"/>
              <w:rPr>
                <w:sz w:val="20"/>
                <w:szCs w:val="20"/>
                <w:color w:val="auto"/>
              </w:rPr>
            </w:pPr>
            <w:r>
              <w:rPr>
                <w:rFonts w:ascii="Arial" w:cs="Arial" w:eastAsia="Arial" w:hAnsi="Arial"/>
                <w:sz w:val="16"/>
                <w:szCs w:val="16"/>
                <w:b w:val="1"/>
                <w:bCs w:val="1"/>
                <w:color w:val="auto"/>
              </w:rPr>
              <w:t>Scott C. Folkers</w:t>
            </w:r>
          </w:p>
        </w:tc>
        <w:tc>
          <w:tcPr>
            <w:tcW w:w="2960" w:type="dxa"/>
            <w:vAlign w:val="bottom"/>
          </w:tcPr>
          <w:p>
            <w:pPr>
              <w:spacing w:after="0"/>
              <w:rPr>
                <w:sz w:val="24"/>
                <w:szCs w:val="24"/>
                <w:color w:val="auto"/>
              </w:rPr>
            </w:pPr>
          </w:p>
        </w:tc>
      </w:tr>
      <w:tr>
        <w:trPr>
          <w:trHeight w:val="270"/>
        </w:trPr>
        <w:tc>
          <w:tcPr>
            <w:tcW w:w="3260" w:type="dxa"/>
            <w:vAlign w:val="bottom"/>
          </w:tcPr>
          <w:p>
            <w:pPr>
              <w:spacing w:after="0"/>
              <w:rPr>
                <w:sz w:val="23"/>
                <w:szCs w:val="23"/>
                <w:color w:val="auto"/>
              </w:rPr>
            </w:pPr>
          </w:p>
        </w:tc>
        <w:tc>
          <w:tcPr>
            <w:tcW w:w="3020" w:type="dxa"/>
            <w:vAlign w:val="bottom"/>
          </w:tcPr>
          <w:p>
            <w:pPr>
              <w:jc w:val="center"/>
              <w:ind w:right="339"/>
              <w:spacing w:after="0"/>
              <w:rPr>
                <w:sz w:val="20"/>
                <w:szCs w:val="20"/>
                <w:color w:val="auto"/>
              </w:rPr>
            </w:pPr>
            <w:r>
              <w:rPr>
                <w:rFonts w:ascii="Arial" w:cs="Arial" w:eastAsia="Arial" w:hAnsi="Arial"/>
                <w:sz w:val="16"/>
                <w:szCs w:val="16"/>
                <w:b w:val="1"/>
                <w:bCs w:val="1"/>
                <w:color w:val="auto"/>
              </w:rPr>
              <w:t>Vice President,</w:t>
            </w:r>
          </w:p>
        </w:tc>
        <w:tc>
          <w:tcPr>
            <w:tcW w:w="2960" w:type="dxa"/>
            <w:vAlign w:val="bottom"/>
          </w:tcPr>
          <w:p>
            <w:pPr>
              <w:spacing w:after="0"/>
              <w:rPr>
                <w:sz w:val="23"/>
                <w:szCs w:val="23"/>
                <w:color w:val="auto"/>
              </w:rPr>
            </w:pPr>
          </w:p>
        </w:tc>
      </w:tr>
      <w:tr>
        <w:trPr>
          <w:trHeight w:val="270"/>
        </w:trPr>
        <w:tc>
          <w:tcPr>
            <w:tcW w:w="3260" w:type="dxa"/>
            <w:vAlign w:val="bottom"/>
          </w:tcPr>
          <w:p>
            <w:pPr>
              <w:spacing w:after="0"/>
              <w:rPr>
                <w:sz w:val="23"/>
                <w:szCs w:val="23"/>
                <w:color w:val="auto"/>
              </w:rPr>
            </w:pPr>
          </w:p>
        </w:tc>
        <w:tc>
          <w:tcPr>
            <w:tcW w:w="3020" w:type="dxa"/>
            <w:vAlign w:val="bottom"/>
          </w:tcPr>
          <w:p>
            <w:pPr>
              <w:jc w:val="center"/>
              <w:ind w:right="339"/>
              <w:spacing w:after="0"/>
              <w:rPr>
                <w:sz w:val="20"/>
                <w:szCs w:val="20"/>
                <w:color w:val="auto"/>
              </w:rPr>
            </w:pPr>
            <w:r>
              <w:rPr>
                <w:rFonts w:ascii="Arial" w:cs="Arial" w:eastAsia="Arial" w:hAnsi="Arial"/>
                <w:sz w:val="16"/>
                <w:szCs w:val="16"/>
                <w:b w:val="1"/>
                <w:bCs w:val="1"/>
                <w:color w:val="auto"/>
              </w:rPr>
              <w:t>General Counsel and Secretary</w:t>
            </w:r>
          </w:p>
        </w:tc>
        <w:tc>
          <w:tcPr>
            <w:tcW w:w="2960" w:type="dxa"/>
            <w:vAlign w:val="bottom"/>
          </w:tcPr>
          <w:p>
            <w:pPr>
              <w:spacing w:after="0"/>
              <w:rPr>
                <w:sz w:val="23"/>
                <w:szCs w:val="23"/>
                <w:color w:val="auto"/>
              </w:rPr>
            </w:pPr>
          </w:p>
        </w:tc>
      </w:tr>
      <w:tr>
        <w:trPr>
          <w:trHeight w:val="270"/>
        </w:trPr>
        <w:tc>
          <w:tcPr>
            <w:tcW w:w="3260" w:type="dxa"/>
            <w:vAlign w:val="bottom"/>
          </w:tcPr>
          <w:p>
            <w:pPr>
              <w:spacing w:after="0"/>
              <w:rPr>
                <w:sz w:val="23"/>
                <w:szCs w:val="23"/>
                <w:color w:val="auto"/>
              </w:rPr>
            </w:pPr>
          </w:p>
        </w:tc>
        <w:tc>
          <w:tcPr>
            <w:tcW w:w="3020" w:type="dxa"/>
            <w:vAlign w:val="bottom"/>
          </w:tcPr>
          <w:p>
            <w:pPr>
              <w:jc w:val="right"/>
              <w:ind w:right="1139"/>
              <w:spacing w:after="0"/>
              <w:rPr>
                <w:sz w:val="20"/>
                <w:szCs w:val="20"/>
                <w:color w:val="auto"/>
              </w:rPr>
            </w:pPr>
            <w:r>
              <w:rPr>
                <w:rFonts w:ascii="Arial" w:cs="Arial" w:eastAsia="Arial" w:hAnsi="Arial"/>
                <w:sz w:val="16"/>
                <w:szCs w:val="16"/>
                <w:b w:val="1"/>
                <w:bCs w:val="1"/>
                <w:color w:val="auto"/>
              </w:rPr>
              <w:t>641-585-3535</w:t>
            </w:r>
          </w:p>
        </w:tc>
        <w:tc>
          <w:tcPr>
            <w:tcW w:w="29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12700</wp:posOffset>
            </wp:positionV>
            <wp:extent cx="586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42"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x Rule 13p-1 under the Securities Exchange Act (17 CFR240.13p-1)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1227455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1141730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1147"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and 1.02 Conflict Minerals Disclosure and Report; Exhibit.</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 copy of Winnebago Industries, Inc. (“Winnebago’s”) Conflict Minerals Report for the reporting period January 1, 2016 to December 31, 2016 is provided as Exhibit 1.01 hereto and is publicly available at </w:t>
      </w:r>
      <w:r>
        <w:rPr>
          <w:rFonts w:ascii="Arial" w:cs="Arial" w:eastAsia="Arial" w:hAnsi="Arial"/>
          <w:sz w:val="18"/>
          <w:szCs w:val="18"/>
          <w:u w:val="single" w:color="auto"/>
          <w:color w:val="0000FF"/>
        </w:rPr>
        <w:t>www.winnebagoind.com</w:t>
      </w:r>
      <w:r>
        <w:rPr>
          <w:rFonts w:ascii="Arial" w:cs="Arial" w:eastAsia="Arial" w:hAnsi="Arial"/>
          <w:sz w:val="18"/>
          <w:szCs w:val="18"/>
          <w:color w:val="auto"/>
        </w:rPr>
        <w:t xml:space="preserve"> under the tab “Company-Investor Relations”. Winnebago’s determination and related due diligence efforts are included in Winnebago’s Conflict Minerals Report and incorporated by reference herein.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for the reporting period January 1, 2016 to December 31, 2016</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SIGNATURE</w:t>
      </w:r>
    </w:p>
    <w:p>
      <w:pPr>
        <w:spacing w:after="0" w:line="21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5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WINNEBAGO INDUSTRIES, INC.</w:t>
      </w:r>
    </w:p>
    <w:p>
      <w:pPr>
        <w:spacing w:after="0" w:line="329" w:lineRule="exact"/>
        <w:rPr>
          <w:sz w:val="20"/>
          <w:szCs w:val="20"/>
          <w:color w:val="auto"/>
        </w:rPr>
      </w:pPr>
    </w:p>
    <w:p>
      <w:pPr>
        <w:ind w:left="40"/>
        <w:spacing w:after="0"/>
        <w:tabs>
          <w:tab w:leader="none" w:pos="700" w:val="left"/>
          <w:tab w:leader="none" w:pos="5060" w:val="left"/>
          <w:tab w:leader="none" w:pos="5520" w:val="left"/>
        </w:tabs>
        <w:rPr>
          <w:sz w:val="20"/>
          <w:szCs w:val="20"/>
          <w:color w:val="auto"/>
        </w:rPr>
      </w:pPr>
      <w:r>
        <w:rPr>
          <w:rFonts w:ascii="Arial" w:cs="Arial" w:eastAsia="Arial" w:hAnsi="Arial"/>
          <w:sz w:val="18"/>
          <w:szCs w:val="18"/>
          <w:color w:val="auto"/>
        </w:rPr>
        <w:t>Date:</w:t>
        <w:tab/>
        <w:t>May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26035</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Scott C. Folkers</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Vice President, General Counsel and Secretary</w:t>
      </w:r>
    </w:p>
    <w:p>
      <w:pPr>
        <w:sectPr>
          <w:pgSz w:w="11900" w:h="16838" w:orient="portrait"/>
          <w:cols w:equalWidth="0" w:num="1">
            <w:col w:w="11280"/>
          </w:cols>
          <w:pgMar w:left="240" w:top="1062"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Winnebago Industries, Inc. Conflict Minerals Report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Year Ended December 31, 2016</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1.01</w:t>
      </w:r>
    </w:p>
    <w:p>
      <w:pPr>
        <w:spacing w:after="0" w:line="2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subsidiary, Winnebago of Indiana, LLC, as appropriate in this context. During 2016, Winnebago Industries acquired Grand Design RV LLC “Grand Design”, a manufacturer of towable recreation vehicles. Reporting, in accordance with the applicable guidance of the Securities and Exchange Commission, is not required in the current year. Winnebago Industries is incorporating the acquisition of Grand Design into its Conflict Minerals compliance program and will include the applicable information in the Conflict Minerals Report for the year ended December 31, 2017.</w:t>
      </w:r>
    </w:p>
    <w:p>
      <w:pPr>
        <w:spacing w:after="0" w:line="176"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This Conflict Minerals Report of Winnebago Industries, Inc. for calendar year 2016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Winnebago Industries, a manufacturer of recreation vehicles, has determined that its products were manufactured with tin, tantalum, tungsten, and gold, which were necessary for the functionality of such products. In accordance with Rule 13p-1, Winnebago Industries performed due diligence as noted below to determine the conflict minerals' status of the necessary conflict minerals used in its product manufacturing.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214" w:lineRule="exact"/>
        <w:rPr>
          <w:sz w:val="20"/>
          <w:szCs w:val="20"/>
          <w:color w:val="auto"/>
        </w:rPr>
      </w:pPr>
    </w:p>
    <w:p>
      <w:pPr>
        <w:ind w:left="980" w:right="80" w:hanging="324"/>
        <w:spacing w:after="0" w:line="246"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General Counsel.</w:t>
      </w:r>
    </w:p>
    <w:p>
      <w:pPr>
        <w:ind w:left="980" w:right="320" w:hanging="324"/>
        <w:spacing w:after="0" w:line="246"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e-Sustainability Initiative (“EICC/GeSI”). This included the use of the Conflict Minerals Reporting Template (“CMRT”), a supply-chain survey.</w:t>
      </w:r>
    </w:p>
    <w:p>
      <w:pPr>
        <w:spacing w:after="0" w:line="1" w:lineRule="exact"/>
        <w:rPr>
          <w:rFonts w:ascii="Arial" w:cs="Arial" w:eastAsia="Arial" w:hAnsi="Arial"/>
          <w:sz w:val="16"/>
          <w:szCs w:val="16"/>
          <w:color w:val="auto"/>
        </w:rPr>
      </w:pPr>
    </w:p>
    <w:p>
      <w:pPr>
        <w:ind w:left="980" w:right="180" w:hanging="324"/>
        <w:spacing w:after="0" w:line="246"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identified risks at the product level and determined that all products we produce contained conflict minerals necessary to the functionality of the product.</w:t>
      </w:r>
    </w:p>
    <w:p>
      <w:pPr>
        <w:ind w:left="980" w:right="120" w:hanging="324"/>
        <w:spacing w:after="0" w:line="253"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conducted a supply chain survey of 100% of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has reviewed our suppliers and sourcing decisions, and integrated into our management programs the Organization for Economic Cooperation and Development Due Diligence Guidance for Responsible Supply Chains of Minerals from Conflict-Affected and High-Risk Areas: Second Edition (“OECD Framework”), an internationally-recognized due diligence framework. Winnebago Industries communicated to applicable suppliers, our efforts to comply with Rule 13p-1.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1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174" w:lineRule="exact"/>
        <w:rPr>
          <w:sz w:val="20"/>
          <w:szCs w:val="20"/>
          <w:color w:val="auto"/>
        </w:rPr>
      </w:pPr>
    </w:p>
    <w:p>
      <w:pPr>
        <w:ind w:left="980" w:right="320" w:hanging="324"/>
        <w:spacing w:after="0" w:line="246"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ind w:left="980" w:right="460" w:hanging="324"/>
        <w:spacing w:after="0" w:line="246"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compared smelters and refiners identified by the supply chain survey against the list of smelters and refiners that are compliant with the Conflict Free Smelter Program (“CFSP”).</w:t>
      </w: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made additional inquiries on a case-by-case basis if smelter and refiner information was deemed inconsistent, inaccurate, or incomplete.</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status of risk mitigation efforts was summarized and provided to Winnebago Industries’ Management.</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conflict minerals compliance results are reported annually to the SEC and are made publicly available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1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All products manufactured by Winnebago Industries are deemed to contain conflict minerals necessary to the products' functionality. We produce products that include motorhomes, touring coaches, travel trailers and fifth wheel trailers as well as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743" w:right="259" w:bottom="1440" w:gutter="0" w:footer="0" w:header="0"/>
        </w:sectPr>
      </w:pPr>
    </w:p>
    <w:bookmarkStart w:id="3" w:name="page4"/>
    <w:bookmarkEnd w:id="3"/>
    <w:p>
      <w:pPr>
        <w:ind w:right="80"/>
        <w:spacing w:after="0" w:line="250" w:lineRule="auto"/>
        <w:rPr>
          <w:sz w:val="20"/>
          <w:szCs w:val="20"/>
          <w:color w:val="auto"/>
        </w:rPr>
      </w:pPr>
      <w:r>
        <w:rPr>
          <w:rFonts w:ascii="Arial" w:cs="Arial" w:eastAsia="Arial" w:hAnsi="Arial"/>
          <w:sz w:val="16"/>
          <w:szCs w:val="16"/>
          <w:color w:val="auto"/>
        </w:rPr>
        <w:t>supporting RV products. Based on the surveys provided and notifications that our suppliers' diligence efforts were incomplete, we do not have sufficient information to conclusively determine all smelters or refiners or countries of origin of the conflict minerals. However, based on the data provided by the RCOI, this information has been listed in Annex I. The majority of our suppliers reported conflict minerals' use at the company level, not at the product level. As such, we cannot definitively state whether these conflict minerals were included in the products supplied to Winnebago, or further validate that these smelters or refiners exist in our supply chain.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 were numerous suppliers that did not provide a listing of smelters and refiners used, and an additional group of suppliers that did not provide a response to our survey. In our efforts to obtain timely and accurate information from our supply chain, we intend to execute the following:</w:t>
      </w:r>
    </w:p>
    <w:p>
      <w:pPr>
        <w:spacing w:after="0" w:line="169"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assess the presence of conflict minerals in our supply chain.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Clearly communicate expectations with newly contracted and delinquent suppliers.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improve our risk mitigation strategy.</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encourage our direct suppliers to assess their supply chain risks.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encourage our direct suppliers to provide complete and accurate information.</w:t>
      </w:r>
    </w:p>
    <w:p>
      <w:pPr>
        <w:spacing w:after="0" w:line="194" w:lineRule="exact"/>
        <w:rPr>
          <w:sz w:val="20"/>
          <w:szCs w:val="20"/>
          <w:color w:val="auto"/>
        </w:rPr>
      </w:pPr>
    </w:p>
    <w:p>
      <w:pPr>
        <w:ind w:left="80"/>
        <w:spacing w:after="0" w:line="260" w:lineRule="auto"/>
        <w:rPr>
          <w:sz w:val="20"/>
          <w:szCs w:val="20"/>
          <w:color w:val="auto"/>
        </w:rPr>
      </w:pPr>
      <w:r>
        <w:rPr>
          <w:rFonts w:ascii="Arial" w:cs="Arial" w:eastAsia="Arial" w:hAnsi="Arial"/>
          <w:sz w:val="16"/>
          <w:szCs w:val="16"/>
          <w:color w:val="auto"/>
        </w:rPr>
        <w:t>As we progress, we expect that transparency in our supply chain will increase, which will allow for more accurate and detailed levels of risk assessment within our supply chain.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574" w:right="2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5"/>
        </w:trPr>
        <w:tc>
          <w:tcPr>
            <w:tcW w:w="1400" w:type="dxa"/>
            <w:vAlign w:val="bottom"/>
          </w:tcPr>
          <w:p>
            <w:pPr>
              <w:spacing w:after="0"/>
              <w:rPr>
                <w:sz w:val="18"/>
                <w:szCs w:val="18"/>
                <w:color w:val="auto"/>
              </w:rPr>
            </w:pPr>
          </w:p>
        </w:tc>
        <w:tc>
          <w:tcPr>
            <w:tcW w:w="6160" w:type="dxa"/>
            <w:vAlign w:val="bottom"/>
          </w:tcPr>
          <w:p>
            <w:pPr>
              <w:ind w:left="3980"/>
              <w:spacing w:after="0"/>
              <w:rPr>
                <w:sz w:val="20"/>
                <w:szCs w:val="20"/>
                <w:color w:val="auto"/>
              </w:rPr>
            </w:pPr>
            <w:r>
              <w:rPr>
                <w:rFonts w:ascii="Arial" w:cs="Arial" w:eastAsia="Arial" w:hAnsi="Arial"/>
                <w:sz w:val="16"/>
                <w:szCs w:val="16"/>
                <w:b w:val="1"/>
                <w:bCs w:val="1"/>
                <w:color w:val="auto"/>
              </w:rPr>
              <w:t>ANNEX I</w:t>
            </w:r>
          </w:p>
        </w:tc>
        <w:tc>
          <w:tcPr>
            <w:tcW w:w="3880" w:type="dxa"/>
            <w:vAlign w:val="bottom"/>
          </w:tcPr>
          <w:p>
            <w:pPr>
              <w:spacing w:after="0"/>
              <w:rPr>
                <w:sz w:val="18"/>
                <w:szCs w:val="18"/>
                <w:color w:val="auto"/>
              </w:rPr>
            </w:pPr>
          </w:p>
        </w:tc>
      </w:tr>
      <w:tr>
        <w:trPr>
          <w:trHeight w:val="128"/>
        </w:trPr>
        <w:tc>
          <w:tcPr>
            <w:tcW w:w="140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3880" w:type="dxa"/>
            <w:vAlign w:val="bottom"/>
          </w:tcPr>
          <w:p>
            <w:pPr>
              <w:spacing w:after="0"/>
              <w:rPr>
                <w:sz w:val="11"/>
                <w:szCs w:val="11"/>
                <w:color w:val="auto"/>
              </w:rPr>
            </w:pPr>
          </w:p>
        </w:tc>
      </w:tr>
      <w:tr>
        <w:trPr>
          <w:trHeight w:val="250"/>
        </w:trPr>
        <w:tc>
          <w:tcPr>
            <w:tcW w:w="1400" w:type="dxa"/>
            <w:vAlign w:val="bottom"/>
            <w:tcBorders>
              <w:left w:val="single" w:sz="8" w:color="ACACAC"/>
              <w:bottom w:val="single" w:sz="8" w:color="ACACAC"/>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Western Australian Mint trading as The Perth Mint</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Ögussa Österreichische Gold- und Silber-Scheideanstalt GmbH</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Tony Goetz NV</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Umicore S.A. Business Unit Precious Metals Refining</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AngloGold Ashanti Córrego do Sítio Mineração</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Umicore Brasil Ltda.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Asahi Refining Canada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CCR Refinery - Glencore Canada Corporation</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Royal Canadian Mint</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Baiyin Nonferrous Metals Corporation</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 National Gold Group Corporation</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Daye Non-Ferrous Metals Mining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Gansu Seemine Material Hi-Tech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Great Wall Precious Metals Co., Ltd. of CBPM</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GuangDdong JinDing high-tech materials company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Guangdong Jinding Gold Limited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Guoda Safina High-Tech Environmental Refinery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Hang Seng Technology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Hangzhou Fuchunjiang Smelting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Heraeus Ltd. Hong Kong</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Inner Mongolia Qiankun Gold and Silver Refinery Share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Jiangxi Copper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Jinlong Copper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Lingbao Gold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Lingbao Jinyuan Tonghui Refinery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Luoyang Zijin Yinhui Gold Refinery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Metalor Technologies (Hong Kong)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Metalor Technologies (Suzhou)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Penglai Penggang Gold Industry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Shandong Tiancheng Biological Gold Industrial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Shandong Zhaojin Gold &amp; Silver Refinery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Shenzhen Heng Zhong Industry Co.,Ltd.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Shenzhen Zhonghenglong Real Industry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Sichuan Tianze Precious Metals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Sino-Platinum Metals Co.,Ltd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SuZhou ShenChuang recycling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The Refinery of Shandong Gold Mining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Tongling Nonferrous Metals Group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Wuzhong Group</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Yunnan Copper Industry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Zhe Jiang Guang Yuan Noble Metal Smelting Factory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Zhongkuang Gold Industry Co.,LTD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Zhongyuan Gold Smelter of Zhongjin Gold Corporation</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Zijin Mining Group Co., Ltd. Gold Refinery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440"/>
        </w:trPr>
        <w:tc>
          <w:tcPr>
            <w:tcW w:w="1400" w:type="dxa"/>
            <w:vAlign w:val="bottom"/>
          </w:tcPr>
          <w:p>
            <w:pPr>
              <w:spacing w:after="0"/>
              <w:rPr>
                <w:sz w:val="24"/>
                <w:szCs w:val="24"/>
                <w:color w:val="auto"/>
              </w:rPr>
            </w:pPr>
          </w:p>
        </w:tc>
        <w:tc>
          <w:tcPr>
            <w:tcW w:w="6160" w:type="dxa"/>
            <w:vAlign w:val="bottom"/>
          </w:tcPr>
          <w:p>
            <w:pPr>
              <w:ind w:left="4260"/>
              <w:spacing w:after="0"/>
              <w:rPr>
                <w:sz w:val="20"/>
                <w:szCs w:val="20"/>
                <w:color w:val="auto"/>
              </w:rPr>
            </w:pPr>
            <w:r>
              <w:rPr>
                <w:rFonts w:ascii="Arial" w:cs="Arial" w:eastAsia="Arial" w:hAnsi="Arial"/>
                <w:sz w:val="16"/>
                <w:szCs w:val="16"/>
                <w:color w:val="auto"/>
              </w:rPr>
              <w:t>3</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43" w:right="21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CACAC"/>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3840" w:type="dxa"/>
            <w:vAlign w:val="bottom"/>
            <w:tcBorders>
              <w:bottom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2320" w:type="dxa"/>
            <w:vAlign w:val="bottom"/>
            <w:tcBorders>
              <w:bottom w:val="single" w:sz="8" w:color="ACACAC"/>
              <w:right w:val="single" w:sz="8" w:color="ACACAC"/>
            </w:tcBorders>
            <w:shd w:val="clear" w:color="auto" w:fill="00497F"/>
          </w:tcPr>
          <w:p>
            <w:pPr>
              <w:spacing w:after="0"/>
              <w:rPr>
                <w:sz w:val="21"/>
                <w:szCs w:val="21"/>
                <w:color w:val="auto"/>
              </w:rPr>
            </w:pPr>
          </w:p>
        </w:tc>
        <w:tc>
          <w:tcPr>
            <w:tcW w:w="388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SAFINA A.S.</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CZECH REPUBLIC</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SAAMP</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FRANCE</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Allgemeine Gold-und Silberscheideanstalt A.G.</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Aurubis AG</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Bauer Walser AG</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 Hafner GmbH + Co. KG</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DODUCO GmbH</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Heimerle + Meule GmbH</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Heraeus Precious Metals GmbH &amp; Co. KG</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SAXONIA Edelmetalle GmbH</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WIELAND Edelmetalle GmbH</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Degussa Sonne / Mond Goldhandel GmbH</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Bangalore Refinery</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Gujarat Gold Centre</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MMTC-PAMP India Pvt.,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Sai Refinery</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Aneka Tambang (Persero) Tbk</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Chimet S.p.A.</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Faggi Enrico S.p.A.</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T.C.A S.p.A</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Aida Chemical Industries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Asahi Pretec Corp.</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Asaka Riken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Chugai Mining</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Dowa</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Eco-System Recycling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Ishifuku Metal Industry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Japan Mint</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JX Nippon Mining &amp; Metals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Kojima Chemicals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Matsuda Sangyo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Nihon Material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Ohura Precious Metal Industry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Sumitomo Metal Mining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Tanaka Kikinzoku Kogyo K.K.</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Tokuriki Honten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Yamamoto Precious Metal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Yamato Denki Ind.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Yokohama Metal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Mitsui Mining and Smelting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Aktyubinsk Copper Company TOO</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Kazakhmys Smelting LLC</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Kazzinc</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TOO Tau-Ken-Altyn</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Daejin Indus Co., Ltd.</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38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DaeryongENC</w:t>
            </w:r>
          </w:p>
        </w:tc>
        <w:tc>
          <w:tcPr>
            <w:tcW w:w="23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440"/>
        </w:trPr>
        <w:tc>
          <w:tcPr>
            <w:tcW w:w="1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20" w:type="dxa"/>
            <w:vAlign w:val="bottom"/>
          </w:tcPr>
          <w:p>
            <w:pPr>
              <w:jc w:val="right"/>
              <w:ind w:right="1719"/>
              <w:spacing w:after="0"/>
              <w:rPr>
                <w:sz w:val="20"/>
                <w:szCs w:val="20"/>
                <w:color w:val="auto"/>
              </w:rPr>
            </w:pPr>
            <w:r>
              <w:rPr>
                <w:rFonts w:ascii="Arial" w:cs="Arial" w:eastAsia="Arial" w:hAnsi="Arial"/>
                <w:sz w:val="16"/>
                <w:szCs w:val="16"/>
                <w:color w:val="auto"/>
              </w:rPr>
              <w:t>4</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CACAC"/>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DSC (Do Sung Corporation)</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HwaSeong CJ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Metal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Zinc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LS-NIKKO Copper Inc.</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Samduck Precious Metals</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Samwon Metals Corp.</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Torecom</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Kyrgyzaltyn JSC</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KYRGYZSTAN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Metahub Industries Sdn. Bhd.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Modeltech Sdn Bhd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Caridad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Metalúrgica Met-Mex Peñoles S.A. De C.V.</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Remondis Argentia B.V.</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NETHERLANDS</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Schone Edelmetaal B.V.</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NETHERLANDS</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Morris and Watson</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NEW ZEALAND</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Bangko Sentral ng Pilipinas (Central Bank of the Philippines)</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KGHM Polska Miedz Spólka Akcyjna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POLAND</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JSC Ekaterinburg Non-Ferrous Metal Processing Plant</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JSC Uralelectromed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Kyshtym Copper-Electrolytic Plant ZAO</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Moscow Special Alloys Processing Plant</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OJSC "The Gulidov Krasnoyarsk Non-Ferrous Metals Plant"</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OJSC Kolyma Refinery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OJSC Novosibirsk Refinery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Prioksky Plant of Non-Ferrous Metals</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SOE Shyolkovsky Factory of Secondary Precious Metals</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L'azurde Company For Jewelry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SAUDI ARABIA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Metalor Technologies (Singapore) Pte.,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SINGAPORE</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AU Traders and Refiners</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Rand Refinery (Pty)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SEMPSA Joyería Platería S.A.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SPAIN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Sudan Gold Refinery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SUDAN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Boliden AB</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SWEDEN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Argor-Heraeus S.A.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Cendres + Métaux S.A.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Metalor Technologies S.A.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PAMP S.A.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PX Précinox S.A.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Valcambi S.A.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Singway Technology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Solar Applied Materials Technology Corp.</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WAM Technologies Taiwan Co.,Ltd.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Umicore Precious Metals Thailand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Atasay Kuyumculuk Sanayi Ve Ticaret A.S.</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Istanbul Gold Refinery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Nadir Metal Rafineri San. Ve Tic. A.S.</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TURKEY</w:t>
            </w:r>
          </w:p>
        </w:tc>
      </w:tr>
      <w:tr>
        <w:trPr>
          <w:trHeight w:val="440"/>
        </w:trPr>
        <w:tc>
          <w:tcPr>
            <w:tcW w:w="1400" w:type="dxa"/>
            <w:vAlign w:val="bottom"/>
          </w:tcPr>
          <w:p>
            <w:pPr>
              <w:spacing w:after="0"/>
              <w:rPr>
                <w:sz w:val="24"/>
                <w:szCs w:val="24"/>
                <w:color w:val="auto"/>
              </w:rPr>
            </w:pPr>
          </w:p>
        </w:tc>
        <w:tc>
          <w:tcPr>
            <w:tcW w:w="6160" w:type="dxa"/>
            <w:vAlign w:val="bottom"/>
          </w:tcPr>
          <w:p>
            <w:pPr>
              <w:ind w:left="4260"/>
              <w:spacing w:after="0"/>
              <w:rPr>
                <w:sz w:val="20"/>
                <w:szCs w:val="20"/>
                <w:color w:val="auto"/>
              </w:rPr>
            </w:pPr>
            <w:r>
              <w:rPr>
                <w:rFonts w:ascii="Arial" w:cs="Arial" w:eastAsia="Arial" w:hAnsi="Arial"/>
                <w:sz w:val="16"/>
                <w:szCs w:val="16"/>
                <w:color w:val="auto"/>
              </w:rPr>
              <w:t>5</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CACAC"/>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4120" w:type="dxa"/>
            <w:vAlign w:val="bottom"/>
            <w:tcBorders>
              <w:bottom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2040" w:type="dxa"/>
            <w:vAlign w:val="bottom"/>
            <w:tcBorders>
              <w:bottom w:val="single" w:sz="8" w:color="ACACAC"/>
              <w:right w:val="single" w:sz="8" w:color="ACACAC"/>
            </w:tcBorders>
            <w:shd w:val="clear" w:color="auto" w:fill="00497F"/>
          </w:tcPr>
          <w:p>
            <w:pPr>
              <w:spacing w:after="0"/>
              <w:rPr>
                <w:sz w:val="21"/>
                <w:szCs w:val="21"/>
                <w:color w:val="auto"/>
              </w:rPr>
            </w:pPr>
          </w:p>
        </w:tc>
        <w:tc>
          <w:tcPr>
            <w:tcW w:w="388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Al Etihad Gold Refinery DMCC</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Emirates Gold DMCC</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Kaloti Precious Metals</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Advanced Chemical Company</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Asahi Refining USA Inc.</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AURA-II</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Austin Powder</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Colt Refining</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Elemetal Refining, LLC</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Geib Refining Corporation</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Kennecott Utah Copper LLC</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Materion</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Metalor USA Refining Corporation</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Republic Metals Corporation</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Sabin Metal Corp.</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So Accurate Group, Inc.</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United Precious Metal Refining, Inc.</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Abington Reldan Metals, LLC</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Almalyk Mining and Metallurgical Complex (AMMC)</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UZBEKISTAN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Navoi Mining and Metallurgical Combinat</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UZBEKISTAN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Universal Precious Metals Refining Zambia</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ZAMBIA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Fidelity Printers and Refiners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ZIMBABWE</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Plansee</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Plansee SE Liezen</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Plansee SE Reutte</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LSM Brasil S.A.</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Mineração Taboca S.A.</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Resind Indústria e Comércio Ltda.</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Changsha South Tantalum Niobium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Conghua Tantalum and Niobium Smeltry</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Duoluoshan</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F&amp;X Electro-Materials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FIR Metals &amp; Resource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Guangdong Zhiyuan New Material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Guizhou Zhenhua Xinyun Technology Ltd., Kaili branch</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Hengyang King Xing Lifeng New Materials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Jiangxi Dinghai Tantalum &amp; Niobium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Jiangxi Tuohong New Raw Material</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JiuJiang JinXin Nonferrous Metals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Jiujiang Tanbre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Jiujiang Zhongao Tantalum &amp; Niobium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King-Tan Tantalum Industry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Nantong Tongjie Electrical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Ningxia Orient Tantalum Industry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RFH Tantalum Smeltry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Shanghai Jiangxi Metals Co. Ltd</w:t>
            </w:r>
          </w:p>
        </w:tc>
        <w:tc>
          <w:tcPr>
            <w:tcW w:w="20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440"/>
        </w:trPr>
        <w:tc>
          <w:tcPr>
            <w:tcW w:w="14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40" w:type="dxa"/>
            <w:vAlign w:val="bottom"/>
          </w:tcPr>
          <w:p>
            <w:pPr>
              <w:jc w:val="right"/>
              <w:ind w:right="1719"/>
              <w:spacing w:after="0"/>
              <w:rPr>
                <w:sz w:val="20"/>
                <w:szCs w:val="20"/>
                <w:color w:val="auto"/>
              </w:rPr>
            </w:pPr>
            <w:r>
              <w:rPr>
                <w:rFonts w:ascii="Arial" w:cs="Arial" w:eastAsia="Arial" w:hAnsi="Arial"/>
                <w:sz w:val="16"/>
                <w:szCs w:val="16"/>
                <w:color w:val="auto"/>
              </w:rPr>
              <w:t>6</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CACAC"/>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4020" w:type="dxa"/>
            <w:vAlign w:val="bottom"/>
            <w:tcBorders>
              <w:bottom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2140" w:type="dxa"/>
            <w:vAlign w:val="bottom"/>
            <w:tcBorders>
              <w:bottom w:val="single" w:sz="8" w:color="ACACAC"/>
              <w:right w:val="single" w:sz="8" w:color="ACACAC"/>
            </w:tcBorders>
            <w:shd w:val="clear" w:color="auto" w:fill="00497F"/>
          </w:tcPr>
          <w:p>
            <w:pPr>
              <w:spacing w:after="0"/>
              <w:rPr>
                <w:sz w:val="21"/>
                <w:szCs w:val="21"/>
                <w:color w:val="auto"/>
              </w:rPr>
            </w:pPr>
          </w:p>
        </w:tc>
        <w:tc>
          <w:tcPr>
            <w:tcW w:w="388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XinXing HaoRong Electronic Material Co.,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Yichun Jin Yang Rare Metal Co.,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Zhuzhou Cemented Carbide Group Co.,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Molycorp Silmet A.S.</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ESTONIA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H.C. Starck GmbH Goslar</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H.C. Starck GmbH Laufenburg</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H.C. Starck Group</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H.C. Starck Hermsdorf GmbH</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H.C. Starck Smelting GmbH &amp; Co. KG</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Metallurgical Products India Pvt.,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Global Advanced Metals Aizu</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H.C. Starck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Mitsui Mining and Smelting Co.,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Taki Chemical Co.,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Ulba Metallurgical Plant JSC</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Power Resources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MACEDONIA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KEMET Blue Metals</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Solikamsk Magnesium Works OAO</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Tantalite Resources</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H.C. Starck Co.,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Avon Specialty Metals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KINGDOM</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D Block Metals, LLC</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E.S.R. Electronics</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Exotech Inc.</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Global Advanced Metals</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Global Advanced Metals Boyertown</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H.C. Starck Inc.</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Hi-Temp Specialty Metals, Inc.</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Kemet Blue Powder</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QuantumClean</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Telex Metals</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Tranzact, Inc.</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Metallo Chimique</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Metallo-Chimique N.V.</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EM Vinto</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Operaciones Metalurgical S.A.</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Angelcast Enterprise Co.,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Cooperativa Metalurgica de Rondônia Ltda.</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Estanho de Rondônia S.A.</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Magnu's Minerais Metais e Ligas Ltda.</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Melt Metais e Ligas S.A.</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Mineração Taboca S.A.</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Resind Indústria e Comércio Ltda.</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Soft Metais Ltda.</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White Solder Metalurgia e Mineração Ltda.</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Chenzhou Yunxiang Mining and Metallurgy Co.,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China Tin Group Co., Ltd.</w:t>
            </w:r>
          </w:p>
        </w:tc>
        <w:tc>
          <w:tcPr>
            <w:tcW w:w="214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440"/>
        </w:trPr>
        <w:tc>
          <w:tcPr>
            <w:tcW w:w="1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40" w:type="dxa"/>
            <w:vAlign w:val="bottom"/>
          </w:tcPr>
          <w:p>
            <w:pPr>
              <w:jc w:val="right"/>
              <w:ind w:right="1719"/>
              <w:spacing w:after="0"/>
              <w:rPr>
                <w:sz w:val="20"/>
                <w:szCs w:val="20"/>
                <w:color w:val="auto"/>
              </w:rPr>
            </w:pPr>
            <w:r>
              <w:rPr>
                <w:rFonts w:ascii="Arial" w:cs="Arial" w:eastAsia="Arial" w:hAnsi="Arial"/>
                <w:sz w:val="16"/>
                <w:szCs w:val="16"/>
                <w:color w:val="auto"/>
              </w:rPr>
              <w:t>7</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CACAC"/>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3940" w:type="dxa"/>
            <w:vAlign w:val="bottom"/>
            <w:tcBorders>
              <w:bottom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2220" w:type="dxa"/>
            <w:vAlign w:val="bottom"/>
            <w:tcBorders>
              <w:bottom w:val="single" w:sz="8" w:color="ACACAC"/>
              <w:right w:val="single" w:sz="8" w:color="ACACAC"/>
            </w:tcBorders>
            <w:shd w:val="clear" w:color="auto" w:fill="00497F"/>
          </w:tcPr>
          <w:p>
            <w:pPr>
              <w:spacing w:after="0"/>
              <w:rPr>
                <w:sz w:val="21"/>
                <w:szCs w:val="21"/>
                <w:color w:val="auto"/>
              </w:rPr>
            </w:pPr>
          </w:p>
        </w:tc>
        <w:tc>
          <w:tcPr>
            <w:tcW w:w="388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CNMC (Guangxi) PGMA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Fuji Metal Mining Corp.</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Gejiu Fengming Metallurgy Chemical Plant</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Gejiu Jinye Mineral Company</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Gejiu Kai Meng Industry and Trade LLC</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Gejiu Non-Ferrous Metal Processing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Gejiu Yunxi Group Corp.</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Gejiu Yunxin Nonferrous Electrolysis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Gejiu Zili Mining And Metallurgy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Guanyang Guida Nonferrous Metal Smelting Plant</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HuiChang Hill Tin Industry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Huichang Jinshunda Tin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Jau Janq Enterprise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Jiangxi Ketai Advanced Material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Jiangxi Nanshan</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Kunshan Tin Shing Lee Manufacturing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Leybold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Linwu Xianggui Ore Smelting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Minchali Metal Industry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Ming Li Jia smelt Metal Factory</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Minmetals Ganzhou Tin</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Nankang Nanshan Tin Manufactory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Norteña de Metales, SA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Wu Xi Shi Yi Zheng Ji Xie She Bei Company</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Xin Furukawa Metal ( Wuxi )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Yunnan Chengfeng Non-ferrous Metals Co., Ltd.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Yunnan Tin Company Limited</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Feinhütte Halsbrücke GmbH</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Lübeck GmbH</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CV Ayi Jaya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CV Dua Sekawan</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CV Gita Pesona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CV Makmur Jaya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CV Serumpun Sebalai</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CV Tiga Sekawan</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CV United Smelting</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CV Venus Inti Perkasa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Operaciones Metalurgical S.A.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Alam Lestari Kencana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Aries Kencana Sejahtera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Artha Cipta Langgeng</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ATD Makmur Mandiri Jaya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Babel Inti Perkasa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Babel Surya Alam Lestari</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Bangka Kudai Tin</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Bangka Prima Tin</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9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Bangka Putra Karya</w:t>
            </w:r>
          </w:p>
        </w:tc>
        <w:tc>
          <w:tcPr>
            <w:tcW w:w="222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440"/>
        </w:trPr>
        <w:tc>
          <w:tcPr>
            <w:tcW w:w="14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20" w:type="dxa"/>
            <w:vAlign w:val="bottom"/>
          </w:tcPr>
          <w:p>
            <w:pPr>
              <w:jc w:val="right"/>
              <w:ind w:right="1719"/>
              <w:spacing w:after="0"/>
              <w:rPr>
                <w:sz w:val="20"/>
                <w:szCs w:val="20"/>
                <w:color w:val="auto"/>
              </w:rPr>
            </w:pPr>
            <w:r>
              <w:rPr>
                <w:rFonts w:ascii="Arial" w:cs="Arial" w:eastAsia="Arial" w:hAnsi="Arial"/>
                <w:sz w:val="16"/>
                <w:szCs w:val="16"/>
                <w:color w:val="auto"/>
              </w:rPr>
              <w:t>8</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CACAC"/>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3800" w:type="dxa"/>
            <w:vAlign w:val="bottom"/>
            <w:tcBorders>
              <w:bottom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2360" w:type="dxa"/>
            <w:vAlign w:val="bottom"/>
            <w:tcBorders>
              <w:bottom w:val="single" w:sz="8" w:color="ACACAC"/>
              <w:right w:val="single" w:sz="8" w:color="ACACAC"/>
            </w:tcBorders>
            <w:shd w:val="clear" w:color="auto" w:fill="00497F"/>
          </w:tcPr>
          <w:p>
            <w:pPr>
              <w:spacing w:after="0"/>
              <w:rPr>
                <w:sz w:val="21"/>
                <w:szCs w:val="21"/>
                <w:color w:val="auto"/>
              </w:rPr>
            </w:pPr>
          </w:p>
        </w:tc>
        <w:tc>
          <w:tcPr>
            <w:tcW w:w="388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Bangka Timah Utama Sejahtera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Bangka Tin Industry</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Belitung Industri Sejahtera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BilliTin Makmur Lestari</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Bukit Timah</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Cipta Persada Mulia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DS Jaya Abadi</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Eunindo Usaha Mandiri</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Fang Di MulTindo</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HP Metals Indonesia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Inti Stania Prima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Justindo</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Karimun Mining</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Kijang Jaya Mandiri</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Koba Tin</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Mitra Stania Prima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O.M. Indonesia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Panca Mega Persada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Pelat Timah Nusantara Tbk</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Prima Timah Utama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Refined Bangka Tin</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Sariwiguna Binasentosa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Seirama Tin Investment</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Stanindo Inti Perkasa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Sukses Inti Makmur</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Sumber Jaya Indah</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Timah (Persero) Tbk Kundur</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Timah (Persero) Tbk Mentok</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Tinindo Inter Nusa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Tirus Putra Mandiri</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Tommy Utama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Wahana Perkit Jaya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Yinchendo Mining Industry</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Lautan Harmonis Sejahtera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PT Menara Cipta Mulia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Dowa</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Lung Fu Surface Technology Co., Ltd. Suzhou</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Super Ligas</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Wuxi Lantronic Electronic Co Ltd</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Chofu Works</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Malaysia Smelting Corporation (MSC)</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Metahub Industries Sdn. Bhd.</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Modeltech Sdn Bhd</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Minsur</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PERU</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O.M. Manufacturing Philippines, Inc.</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38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Fenix Metals</w:t>
            </w:r>
          </w:p>
        </w:tc>
        <w:tc>
          <w:tcPr>
            <w:tcW w:w="2360" w:type="dxa"/>
            <w:vAlign w:val="bottom"/>
            <w:tcBorders>
              <w:bottom w:val="single" w:sz="8" w:color="ACACAC"/>
              <w:right w:val="single" w:sz="8" w:color="ACACAC"/>
            </w:tcBorders>
          </w:tcPr>
          <w:p>
            <w:pPr>
              <w:spacing w:after="0"/>
              <w:rPr>
                <w:sz w:val="20"/>
                <w:szCs w:val="20"/>
                <w:color w:val="auto"/>
              </w:rPr>
            </w:pP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POLAND</w:t>
            </w:r>
          </w:p>
        </w:tc>
      </w:tr>
      <w:tr>
        <w:trPr>
          <w:trHeight w:val="440"/>
        </w:trPr>
        <w:tc>
          <w:tcPr>
            <w:tcW w:w="1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60" w:type="dxa"/>
            <w:vAlign w:val="bottom"/>
          </w:tcPr>
          <w:p>
            <w:pPr>
              <w:jc w:val="right"/>
              <w:ind w:right="1719"/>
              <w:spacing w:after="0"/>
              <w:rPr>
                <w:sz w:val="20"/>
                <w:szCs w:val="20"/>
                <w:color w:val="auto"/>
              </w:rPr>
            </w:pPr>
            <w:r>
              <w:rPr>
                <w:rFonts w:ascii="Arial" w:cs="Arial" w:eastAsia="Arial" w:hAnsi="Arial"/>
                <w:sz w:val="16"/>
                <w:szCs w:val="16"/>
                <w:color w:val="auto"/>
              </w:rPr>
              <w:t>9</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CACAC"/>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Novosibirsk Integrated Tin Works</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Phoenix Metal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RWANDA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Elmet S.L.U.</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Yunnan Chengo Electric Smelting Plant</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Dae Chang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Materials Eco-Refining CO.LTD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Rui Da Hung</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Stretti</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Taiwan high-tech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Tianjin Huamei Wafangdian Bearing Sales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O.M. Manufacturing (Thailand)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Shenzhen Anchen Solder Tin Product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Thaisarco</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Untracore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Alpha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Metallic Resources, Inc.</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An Thai Minerals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An Vinh Joint Stock Mineral Processing Company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18"/>
        </w:trPr>
        <w:tc>
          <w:tcPr>
            <w:tcW w:w="1400" w:type="dxa"/>
            <w:vAlign w:val="bottom"/>
            <w:tcBorders>
              <w:left w:val="single" w:sz="8" w:color="ACACAC"/>
              <w:right w:val="single" w:sz="8" w:color="ACACAC"/>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right w:val="single" w:sz="8" w:color="ACACAC"/>
            </w:tcBorders>
          </w:tcPr>
          <w:p>
            <w:pPr>
              <w:ind w:left="20"/>
              <w:spacing w:after="0"/>
              <w:rPr>
                <w:sz w:val="20"/>
                <w:szCs w:val="20"/>
                <w:color w:val="auto"/>
              </w:rPr>
            </w:pPr>
            <w:r>
              <w:rPr>
                <w:rFonts w:ascii="Arial" w:cs="Arial" w:eastAsia="Arial" w:hAnsi="Arial"/>
                <w:sz w:val="16"/>
                <w:szCs w:val="16"/>
                <w:color w:val="auto"/>
              </w:rPr>
              <w:t>Electro-Mechanical Facility of the Cao Bang Minerals &amp; Metallurgy Joint Stock</w:t>
            </w:r>
          </w:p>
        </w:tc>
        <w:tc>
          <w:tcPr>
            <w:tcW w:w="3880" w:type="dxa"/>
            <w:vAlign w:val="bottom"/>
            <w:tcBorders>
              <w:right w:val="single" w:sz="8" w:color="ACACAC"/>
            </w:tcBorders>
            <w:vMerge w:val="restart"/>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100"/>
        </w:trPr>
        <w:tc>
          <w:tcPr>
            <w:tcW w:w="1400" w:type="dxa"/>
            <w:vAlign w:val="bottom"/>
            <w:tcBorders>
              <w:left w:val="single" w:sz="8" w:color="ACACAC"/>
              <w:right w:val="single" w:sz="8" w:color="ACACAC"/>
            </w:tcBorders>
            <w:vMerge w:val="continue"/>
          </w:tcPr>
          <w:p>
            <w:pPr>
              <w:spacing w:after="0"/>
              <w:rPr>
                <w:sz w:val="8"/>
                <w:szCs w:val="8"/>
                <w:color w:val="auto"/>
              </w:rPr>
            </w:pPr>
          </w:p>
        </w:tc>
        <w:tc>
          <w:tcPr>
            <w:tcW w:w="6160" w:type="dxa"/>
            <w:vAlign w:val="bottom"/>
            <w:tcBorders>
              <w:right w:val="single" w:sz="8" w:color="ACACAC"/>
            </w:tcBorders>
            <w:vMerge w:val="restart"/>
          </w:tcPr>
          <w:p>
            <w:pPr>
              <w:ind w:left="20"/>
              <w:spacing w:after="0"/>
              <w:rPr>
                <w:sz w:val="20"/>
                <w:szCs w:val="20"/>
                <w:color w:val="auto"/>
              </w:rPr>
            </w:pPr>
            <w:r>
              <w:rPr>
                <w:rFonts w:ascii="Arial" w:cs="Arial" w:eastAsia="Arial" w:hAnsi="Arial"/>
                <w:sz w:val="16"/>
                <w:szCs w:val="16"/>
                <w:color w:val="auto"/>
              </w:rPr>
              <w:t>Company</w:t>
            </w:r>
          </w:p>
        </w:tc>
        <w:tc>
          <w:tcPr>
            <w:tcW w:w="3880" w:type="dxa"/>
            <w:vAlign w:val="bottom"/>
            <w:tcBorders>
              <w:right w:val="single" w:sz="8" w:color="ACACA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CACAC"/>
              <w:bottom w:val="single" w:sz="8" w:color="ACACAC"/>
              <w:right w:val="single" w:sz="8" w:color="ACACAC"/>
            </w:tcBorders>
          </w:tcPr>
          <w:p>
            <w:pPr>
              <w:spacing w:after="0"/>
              <w:rPr>
                <w:sz w:val="9"/>
                <w:szCs w:val="9"/>
                <w:color w:val="auto"/>
              </w:rPr>
            </w:pPr>
          </w:p>
        </w:tc>
        <w:tc>
          <w:tcPr>
            <w:tcW w:w="6160" w:type="dxa"/>
            <w:vAlign w:val="bottom"/>
            <w:tcBorders>
              <w:bottom w:val="single" w:sz="8" w:color="ACACAC"/>
              <w:right w:val="single" w:sz="8" w:color="ACACAC"/>
            </w:tcBorders>
            <w:vMerge w:val="continue"/>
          </w:tcPr>
          <w:p>
            <w:pPr>
              <w:spacing w:after="0"/>
              <w:rPr>
                <w:sz w:val="9"/>
                <w:szCs w:val="9"/>
                <w:color w:val="auto"/>
              </w:rPr>
            </w:pPr>
          </w:p>
        </w:tc>
        <w:tc>
          <w:tcPr>
            <w:tcW w:w="3880" w:type="dxa"/>
            <w:vAlign w:val="bottom"/>
            <w:tcBorders>
              <w:bottom w:val="single" w:sz="8" w:color="ACACAC"/>
              <w:right w:val="single" w:sz="8" w:color="ACACAC"/>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Nghe Tinh Non-Ferrous Metals Joint Stock Company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Tuyen Quang Non-Ferrous Metals Joint Stock Company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VQB Mineral and Trading Group JSC</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Wolfram Bergbau und Hütten AG</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ACL Metais Eireli</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Chenzhou Diamond Tungsten Products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Chongyi Zhangyuan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Dayu Jincheng Tungsten Industry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Dayu Weiliang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Fujian Jinxin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Ganxian Shirui New Material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Ganzhou Haichuang Tungsten Industry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Ganzhou Huaxing Tungsten Products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Ganzhou Jiangwu Ferrotungsten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Ganzhou Non-ferrous Metals Smelting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Ganzhou Seadragon W &amp; Mo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Ganzhou Yatai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Guangdong Xianglu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Hunan Chuangda Vanadium Tungsten Co., Ltd. Wuji</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Hunan Chuangda Vanadium Tungsten Co., Ltd. Yanglin</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Hunan Chunchang Nonferrous Metals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Huzhou Cemented Carbide Works Imp. &amp; Exp. Co</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Jiangwu H.C. Starck Tungsten Products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Jiangxi Dayu Longxintai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Jiangxi Gan Bei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Jiangxi Minmetals Gao'an Non-ferrous Metals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Jiangxi Richsea New Materials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707" w:right="21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0"/>
          </w:cols>
          <w:pgMar w:left="240" w:top="707" w:right="21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CACAC"/>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bottom w:val="single" w:sz="8" w:color="ACACAC"/>
              <w:right w:val="single" w:sz="8" w:color="ACACAC"/>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Jiangxi Tonggu Non-ferrous Metallurgical &amp; Chemical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Jiangxi Xinsheng Tungsten Industry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Jiangxi Xiushui Xianggan Nonferrous Metals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Jiangxi Yaosheng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Jin Zhou</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Malipo Haiyu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South-East Nonferrous Metal Company Limited of Hengyang City</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Xiamen Tungsten (H.C.)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Xiamen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Xinfeng Huarui Tungsten &amp; Molybdenum New Material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Xinhai Rendan Shaoguan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H.C. Starck GmbH</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H.C. Starck Group</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H.C. Starck Smelting GmbH &amp; Co.KG</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PT Supra Sukses Trinusa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A.L.M.T. TUNGSTEN Corp.</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 New Metals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Degutea</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Woltech Korea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Philippine Chuangxin Industrial Co., Inc.</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Hydrometallurg, JSC</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Moliren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Pobedit, JSC</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Unecha Refractory metals plant</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Wolfram Company CJSC</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Global Tungsten &amp; Powders Corp.</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Kennametal Fallon</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Kennametal Huntsville</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Materion</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Niagara Refining LLC</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Asia Tungsten Products Vietnam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Nui Phao H.C. Starck Tungsten Chemicals Manufacturing LLC</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Sanher Tungsten Vietnam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Tejing (Vietnam) Tungsten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CACAC"/>
              <w:bottom w:val="single" w:sz="8" w:color="ACACAC"/>
              <w:right w:val="single" w:sz="8" w:color="ACACA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Vietnam Youngsun Tungsten Industry Co., Ltd.</w:t>
            </w:r>
          </w:p>
        </w:tc>
        <w:tc>
          <w:tcPr>
            <w:tcW w:w="3880" w:type="dxa"/>
            <w:vAlign w:val="bottom"/>
            <w:tcBorders>
              <w:bottom w:val="single" w:sz="8" w:color="ACACAC"/>
              <w:right w:val="single" w:sz="8" w:color="ACACAC"/>
            </w:tcBorders>
          </w:tcPr>
          <w:p>
            <w:pPr>
              <w:ind w:left="20"/>
              <w:spacing w:after="0"/>
              <w:rPr>
                <w:sz w:val="20"/>
                <w:szCs w:val="20"/>
                <w:color w:val="auto"/>
              </w:rPr>
            </w:pPr>
            <w:r>
              <w:rPr>
                <w:rFonts w:ascii="Arial" w:cs="Arial" w:eastAsia="Arial" w:hAnsi="Arial"/>
                <w:sz w:val="16"/>
                <w:szCs w:val="16"/>
                <w:color w:val="auto"/>
              </w:rPr>
              <w:t>VIET NAM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sectPr>
      <w:pgSz w:w="11900" w:h="16838" w:orient="portrait"/>
      <w:cols w:equalWidth="0" w:num="1">
        <w:col w:w="11440"/>
      </w:cols>
      <w:pgMar w:left="240" w:top="70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2019-12-05T08:37:21Z</dcterms:created>
  <dcterms:modified xsi:type="dcterms:W3CDTF">2019-12-05T08:37:21Z</dcterms:modified>
</cp:coreProperties>
</file>