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No.5)</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2007</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5,078,435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5,078,435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5,078,435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17.18%</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 Department</w:t>
      </w:r>
    </w:p>
    <w:p>
      <w:pPr>
        <w:spacing w:after="0"/>
        <w:rPr>
          <w:sz w:val="20"/>
          <w:szCs w:val="20"/>
          <w:color w:val="auto"/>
        </w:rPr>
      </w:pPr>
      <w:r>
        <w:rPr>
          <w:rFonts w:ascii="Courier New" w:cs="Courier New" w:eastAsia="Courier New" w:hAnsi="Courier New"/>
          <w:sz w:val="18"/>
          <w:szCs w:val="18"/>
          <w:color w:val="auto"/>
        </w:rPr>
        <w:t>605 West Crystal Lake Road</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8"/>
          <w:szCs w:val="18"/>
          <w:color w:val="auto"/>
        </w:rPr>
        <w:t>50436</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5,078,435</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17.18%</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5,078,435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5,078,435</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3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3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Behalf of Another Person .</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419"/>
        <w:spacing w:after="0" w:line="275" w:lineRule="auto"/>
        <w:rPr>
          <w:sz w:val="20"/>
          <w:szCs w:val="20"/>
          <w:color w:val="auto"/>
        </w:rPr>
      </w:pPr>
      <w:r>
        <w:rPr>
          <w:rFonts w:ascii="Courier New" w:cs="Courier New" w:eastAsia="Courier New" w:hAnsi="Courier New"/>
          <w:sz w:val="16"/>
          <w:szCs w:val="16"/>
          <w:color w:val="auto"/>
        </w:rPr>
        <w:t>The interest of one account, Royce Premier Fund an investment company registered under the Investment Company Act of 1940 and managed by Royce &amp; Associates, LLC, amounted to 1,968,400 shares or 6.66%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03,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2019-12-13T08:30:59Z</dcterms:created>
  <dcterms:modified xsi:type="dcterms:W3CDTF">2019-12-13T08:30:59Z</dcterms:modified>
</cp:coreProperties>
</file>