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w:t>
      </w:r>
      <w:r>
        <w:rPr>
          <w:rFonts w:ascii="Arial" w:cs="Arial" w:eastAsia="Arial" w:hAnsi="Arial"/>
          <w:sz w:val="17"/>
          <w:szCs w:val="17"/>
          <w:b w:val="1"/>
          <w:bCs w:val="1"/>
          <w:color w:val="auto"/>
        </w:rPr>
        <w:t>NITED</w:t>
      </w:r>
      <w:r>
        <w:rPr>
          <w:rFonts w:ascii="Arial" w:cs="Arial" w:eastAsia="Arial" w:hAnsi="Arial"/>
          <w:sz w:val="25"/>
          <w:szCs w:val="25"/>
          <w:b w:val="1"/>
          <w:bCs w:val="1"/>
          <w:color w:val="auto"/>
        </w:rPr>
        <w:t xml:space="preserve"> S</w:t>
      </w:r>
      <w:r>
        <w:rPr>
          <w:rFonts w:ascii="Arial" w:cs="Arial" w:eastAsia="Arial" w:hAnsi="Arial"/>
          <w:sz w:val="17"/>
          <w:szCs w:val="17"/>
          <w:b w:val="1"/>
          <w:bCs w:val="1"/>
          <w:color w:val="auto"/>
        </w:rPr>
        <w:t>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ECURITIES AND</w:t>
      </w:r>
      <w:r>
        <w:rPr>
          <w:rFonts w:ascii="Arial" w:cs="Arial" w:eastAsia="Arial" w:hAnsi="Arial"/>
          <w:sz w:val="25"/>
          <w:szCs w:val="25"/>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ASHINGTON</w:t>
      </w:r>
      <w:r>
        <w:rPr>
          <w:rFonts w:ascii="Arial" w:cs="Arial" w:eastAsia="Arial" w:hAnsi="Arial"/>
          <w:sz w:val="20"/>
          <w:szCs w:val="20"/>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220980</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URSUANT 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13 </w:t>
      </w:r>
      <w:r>
        <w:rPr>
          <w:rFonts w:ascii="Arial" w:cs="Arial" w:eastAsia="Arial" w:hAnsi="Arial"/>
          <w:sz w:val="14"/>
          <w:szCs w:val="14"/>
          <w:b w:val="1"/>
          <w:bCs w:val="1"/>
          <w:color w:val="auto"/>
        </w:rPr>
        <w:t>OR</w:t>
      </w:r>
      <w:r>
        <w:rPr>
          <w:rFonts w:ascii="Arial" w:cs="Arial" w:eastAsia="Arial" w:hAnsi="Arial"/>
          <w:sz w:val="22"/>
          <w:szCs w:val="22"/>
          <w:b w:val="1"/>
          <w:bCs w:val="1"/>
          <w:color w:val="auto"/>
        </w:rPr>
        <w:t xml:space="preserve"> 15(d) </w:t>
      </w:r>
      <w:r>
        <w:rPr>
          <w:rFonts w:ascii="Arial" w:cs="Arial" w:eastAsia="Arial" w:hAnsi="Arial"/>
          <w:sz w:val="14"/>
          <w:szCs w:val="14"/>
          <w:b w:val="1"/>
          <w:bCs w:val="1"/>
          <w:color w:val="auto"/>
        </w:rPr>
        <w:t>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CT OF</w:t>
      </w:r>
      <w:r>
        <w:rPr>
          <w:rFonts w:ascii="Arial" w:cs="Arial" w:eastAsia="Arial" w:hAnsi="Arial"/>
          <w:sz w:val="22"/>
          <w:szCs w:val="22"/>
          <w:b w:val="1"/>
          <w:bCs w:val="1"/>
          <w:color w:val="auto"/>
        </w:rPr>
        <w:t xml:space="preserve">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420" w:type="dxa"/>
        <w:tblCellMar>
          <w:top w:w="0" w:type="dxa"/>
          <w:left w:w="0" w:type="dxa"/>
          <w:bottom w:w="0" w:type="dxa"/>
          <w:right w:w="0" w:type="dxa"/>
        </w:tblCellMar>
      </w:tblPr>
      <w:tr>
        <w:trPr>
          <w:trHeight w:val="256"/>
        </w:trPr>
        <w:tc>
          <w:tcPr>
            <w:tcW w:w="3600" w:type="dxa"/>
            <w:vAlign w:val="bottom"/>
          </w:tcPr>
          <w:p>
            <w:pPr>
              <w:jc w:val="center"/>
              <w:ind w:right="561"/>
              <w:spacing w:after="0"/>
              <w:rPr>
                <w:sz w:val="20"/>
                <w:szCs w:val="20"/>
                <w:color w:val="auto"/>
              </w:rPr>
            </w:pPr>
            <w:r>
              <w:rPr>
                <w:rFonts w:ascii="Arial" w:cs="Arial" w:eastAsia="Arial" w:hAnsi="Arial"/>
                <w:sz w:val="22"/>
                <w:szCs w:val="22"/>
                <w:b w:val="1"/>
                <w:bCs w:val="1"/>
                <w:color w:val="auto"/>
                <w:w w:val="93"/>
              </w:rPr>
              <w:t>Iowa</w:t>
            </w:r>
          </w:p>
        </w:tc>
        <w:tc>
          <w:tcPr>
            <w:tcW w:w="3300" w:type="dxa"/>
            <w:vAlign w:val="bottom"/>
          </w:tcPr>
          <w:p>
            <w:pPr>
              <w:jc w:val="right"/>
              <w:ind w:right="1101"/>
              <w:spacing w:after="0"/>
              <w:rPr>
                <w:sz w:val="20"/>
                <w:szCs w:val="20"/>
                <w:color w:val="auto"/>
              </w:rPr>
            </w:pPr>
            <w:r>
              <w:rPr>
                <w:rFonts w:ascii="Arial" w:cs="Arial" w:eastAsia="Arial" w:hAnsi="Arial"/>
                <w:sz w:val="22"/>
                <w:szCs w:val="22"/>
                <w:b w:val="1"/>
                <w:bCs w:val="1"/>
                <w:color w:val="auto"/>
              </w:rPr>
              <w:t>001-06403</w:t>
            </w:r>
          </w:p>
        </w:tc>
        <w:tc>
          <w:tcPr>
            <w:tcW w:w="2840" w:type="dxa"/>
            <w:vAlign w:val="bottom"/>
          </w:tcPr>
          <w:p>
            <w:pPr>
              <w:jc w:val="right"/>
              <w:ind w:right="61"/>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600" w:type="dxa"/>
            <w:vAlign w:val="bottom"/>
          </w:tcPr>
          <w:p>
            <w:pPr>
              <w:jc w:val="center"/>
              <w:ind w:right="561"/>
              <w:spacing w:after="0"/>
              <w:rPr>
                <w:sz w:val="20"/>
                <w:szCs w:val="20"/>
                <w:color w:val="auto"/>
              </w:rPr>
            </w:pPr>
            <w:r>
              <w:rPr>
                <w:rFonts w:ascii="Arial" w:cs="Arial" w:eastAsia="Arial" w:hAnsi="Arial"/>
                <w:sz w:val="18"/>
                <w:szCs w:val="18"/>
                <w:color w:val="auto"/>
                <w:w w:val="90"/>
              </w:rPr>
              <w:t>(State or Other Jurisdiction</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tcPr>
          <w:p>
            <w:pPr>
              <w:jc w:val="center"/>
              <w:ind w:left="1381"/>
              <w:spacing w:after="0"/>
              <w:rPr>
                <w:sz w:val="20"/>
                <w:szCs w:val="20"/>
                <w:color w:val="auto"/>
              </w:rPr>
            </w:pPr>
            <w:r>
              <w:rPr>
                <w:rFonts w:ascii="Arial" w:cs="Arial" w:eastAsia="Arial" w:hAnsi="Arial"/>
                <w:sz w:val="18"/>
                <w:szCs w:val="18"/>
                <w:color w:val="auto"/>
                <w:w w:val="92"/>
              </w:rPr>
              <w:t>(IRS Employer</w:t>
            </w:r>
          </w:p>
        </w:tc>
      </w:tr>
      <w:tr>
        <w:trPr>
          <w:trHeight w:val="230"/>
        </w:trPr>
        <w:tc>
          <w:tcPr>
            <w:tcW w:w="3600" w:type="dxa"/>
            <w:vAlign w:val="bottom"/>
          </w:tcPr>
          <w:p>
            <w:pPr>
              <w:jc w:val="center"/>
              <w:ind w:right="561"/>
              <w:spacing w:after="0"/>
              <w:rPr>
                <w:sz w:val="20"/>
                <w:szCs w:val="20"/>
                <w:color w:val="auto"/>
              </w:rPr>
            </w:pPr>
            <w:r>
              <w:rPr>
                <w:rFonts w:ascii="Arial" w:cs="Arial" w:eastAsia="Arial" w:hAnsi="Arial"/>
                <w:sz w:val="18"/>
                <w:szCs w:val="18"/>
                <w:color w:val="auto"/>
                <w:w w:val="93"/>
              </w:rPr>
              <w:t>of Incorporation)</w:t>
            </w:r>
          </w:p>
        </w:tc>
        <w:tc>
          <w:tcPr>
            <w:tcW w:w="3300" w:type="dxa"/>
            <w:vAlign w:val="bottom"/>
          </w:tcPr>
          <w:p>
            <w:pPr>
              <w:spacing w:after="0"/>
              <w:rPr>
                <w:sz w:val="20"/>
                <w:szCs w:val="20"/>
                <w:color w:val="auto"/>
              </w:rPr>
            </w:pPr>
          </w:p>
        </w:tc>
        <w:tc>
          <w:tcPr>
            <w:tcW w:w="2840" w:type="dxa"/>
            <w:vAlign w:val="bottom"/>
          </w:tcPr>
          <w:p>
            <w:pPr>
              <w:jc w:val="center"/>
              <w:ind w:left="1401"/>
              <w:spacing w:after="0"/>
              <w:rPr>
                <w:sz w:val="20"/>
                <w:szCs w:val="20"/>
                <w:color w:val="auto"/>
              </w:rPr>
            </w:pPr>
            <w:r>
              <w:rPr>
                <w:rFonts w:ascii="Arial" w:cs="Arial" w:eastAsia="Arial" w:hAnsi="Arial"/>
                <w:sz w:val="18"/>
                <w:szCs w:val="18"/>
                <w:color w:val="auto"/>
                <w:w w:val="95"/>
              </w:rPr>
              <w:t>Identification No.)</w:t>
            </w:r>
          </w:p>
        </w:tc>
      </w:tr>
      <w:tr>
        <w:trPr>
          <w:trHeight w:val="472"/>
        </w:trPr>
        <w:tc>
          <w:tcPr>
            <w:tcW w:w="3600" w:type="dxa"/>
            <w:vAlign w:val="bottom"/>
          </w:tcPr>
          <w:p>
            <w:pPr>
              <w:jc w:val="center"/>
              <w:ind w:right="561"/>
              <w:spacing w:after="0"/>
              <w:rPr>
                <w:sz w:val="20"/>
                <w:szCs w:val="20"/>
                <w:color w:val="auto"/>
              </w:rPr>
            </w:pPr>
            <w:r>
              <w:rPr>
                <w:rFonts w:ascii="Arial" w:cs="Arial" w:eastAsia="Arial" w:hAnsi="Arial"/>
                <w:sz w:val="22"/>
                <w:szCs w:val="22"/>
                <w:b w:val="1"/>
                <w:bCs w:val="1"/>
                <w:color w:val="auto"/>
                <w:w w:val="88"/>
              </w:rPr>
              <w:t>P.O. Box 152, Forest City, Iowa</w:t>
            </w:r>
          </w:p>
        </w:tc>
        <w:tc>
          <w:tcPr>
            <w:tcW w:w="3300" w:type="dxa"/>
            <w:vAlign w:val="bottom"/>
          </w:tcPr>
          <w:p>
            <w:pPr>
              <w:spacing w:after="0"/>
              <w:rPr>
                <w:sz w:val="24"/>
                <w:szCs w:val="24"/>
                <w:color w:val="auto"/>
              </w:rPr>
            </w:pPr>
          </w:p>
        </w:tc>
        <w:tc>
          <w:tcPr>
            <w:tcW w:w="2840" w:type="dxa"/>
            <w:vAlign w:val="bottom"/>
          </w:tcPr>
          <w:p>
            <w:pPr>
              <w:jc w:val="right"/>
              <w:ind w:right="301"/>
              <w:spacing w:after="0"/>
              <w:rPr>
                <w:sz w:val="20"/>
                <w:szCs w:val="20"/>
                <w:color w:val="auto"/>
              </w:rPr>
            </w:pPr>
            <w:r>
              <w:rPr>
                <w:rFonts w:ascii="Arial" w:cs="Arial" w:eastAsia="Arial" w:hAnsi="Arial"/>
                <w:sz w:val="22"/>
                <w:szCs w:val="22"/>
                <w:b w:val="1"/>
                <w:bCs w:val="1"/>
                <w:color w:val="auto"/>
              </w:rPr>
              <w:t>50436</w:t>
            </w:r>
          </w:p>
        </w:tc>
      </w:tr>
      <w:tr>
        <w:trPr>
          <w:trHeight w:val="230"/>
        </w:trPr>
        <w:tc>
          <w:tcPr>
            <w:tcW w:w="3600" w:type="dxa"/>
            <w:vAlign w:val="bottom"/>
          </w:tcPr>
          <w:p>
            <w:pPr>
              <w:jc w:val="center"/>
              <w:ind w:right="561"/>
              <w:spacing w:after="0"/>
              <w:rPr>
                <w:sz w:val="20"/>
                <w:szCs w:val="20"/>
                <w:color w:val="auto"/>
              </w:rPr>
            </w:pPr>
            <w:r>
              <w:rPr>
                <w:rFonts w:ascii="Arial" w:cs="Arial" w:eastAsia="Arial" w:hAnsi="Arial"/>
                <w:sz w:val="18"/>
                <w:szCs w:val="18"/>
                <w:color w:val="auto"/>
                <w:w w:val="92"/>
              </w:rPr>
              <w:t>(Address of Principal Executive Offices)</w:t>
            </w:r>
          </w:p>
        </w:tc>
        <w:tc>
          <w:tcPr>
            <w:tcW w:w="3300" w:type="dxa"/>
            <w:vAlign w:val="bottom"/>
          </w:tcPr>
          <w:p>
            <w:pPr>
              <w:spacing w:after="0"/>
              <w:rPr>
                <w:sz w:val="20"/>
                <w:szCs w:val="20"/>
                <w:color w:val="auto"/>
              </w:rPr>
            </w:pPr>
          </w:p>
        </w:tc>
        <w:tc>
          <w:tcPr>
            <w:tcW w:w="2840" w:type="dxa"/>
            <w:vAlign w:val="bottom"/>
          </w:tcPr>
          <w:p>
            <w:pPr>
              <w:jc w:val="center"/>
              <w:ind w:left="1381"/>
              <w:spacing w:after="0"/>
              <w:rPr>
                <w:sz w:val="20"/>
                <w:szCs w:val="20"/>
                <w:color w:val="auto"/>
              </w:rPr>
            </w:pPr>
            <w:r>
              <w:rPr>
                <w:rFonts w:ascii="Arial" w:cs="Arial" w:eastAsia="Arial" w:hAnsi="Arial"/>
                <w:sz w:val="18"/>
                <w:szCs w:val="18"/>
                <w:color w:val="auto"/>
                <w:w w:val="94"/>
              </w:rPr>
              <w:t>(Zip Code)</w:t>
            </w:r>
          </w:p>
        </w:tc>
      </w:tr>
      <w:tr>
        <w:trPr>
          <w:trHeight w:val="523"/>
        </w:trPr>
        <w:tc>
          <w:tcPr>
            <w:tcW w:w="6900" w:type="dxa"/>
            <w:vAlign w:val="bottom"/>
            <w:gridSpan w:val="2"/>
          </w:tcPr>
          <w:p>
            <w:pPr>
              <w:ind w:left="2380"/>
              <w:spacing w:after="0"/>
              <w:rPr>
                <w:sz w:val="20"/>
                <w:szCs w:val="20"/>
                <w:color w:val="auto"/>
              </w:rPr>
            </w:pPr>
            <w:r>
              <w:rPr>
                <w:rFonts w:ascii="Arial" w:cs="Arial" w:eastAsia="Arial" w:hAnsi="Arial"/>
                <w:sz w:val="22"/>
                <w:szCs w:val="22"/>
                <w:color w:val="auto"/>
                <w:w w:val="89"/>
              </w:rPr>
              <w:t>Registrant’s telephone number, including area code</w:t>
            </w:r>
          </w:p>
        </w:tc>
        <w:tc>
          <w:tcPr>
            <w:tcW w:w="2840" w:type="dxa"/>
            <w:vAlign w:val="bottom"/>
          </w:tcPr>
          <w:p>
            <w:pPr>
              <w:jc w:val="right"/>
              <w:ind w:right="1441"/>
              <w:spacing w:after="0"/>
              <w:rPr>
                <w:sz w:val="20"/>
                <w:szCs w:val="20"/>
                <w:color w:val="auto"/>
              </w:rPr>
            </w:pPr>
            <w:r>
              <w:rPr>
                <w:rFonts w:ascii="Arial" w:cs="Arial" w:eastAsia="Arial" w:hAnsi="Arial"/>
                <w:sz w:val="22"/>
                <w:szCs w:val="22"/>
                <w:b w:val="1"/>
                <w:bCs w:val="1"/>
                <w:color w:val="auto"/>
                <w:w w:val="93"/>
              </w:rPr>
              <w:t>641-585-3535</w:t>
            </w:r>
          </w:p>
        </w:tc>
      </w:tr>
    </w:tbl>
    <w:p>
      <w:pPr>
        <w:spacing w:after="0" w:line="219"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226695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600" w:hanging="592"/>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00" w:hanging="592"/>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00" w:hanging="592"/>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00" w:hanging="592"/>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5.03</w:t>
      </w:r>
      <w:r>
        <w:rPr>
          <w:sz w:val="20"/>
          <w:szCs w:val="20"/>
          <w:color w:val="auto"/>
        </w:rPr>
        <w:tab/>
      </w:r>
      <w:r>
        <w:rPr>
          <w:rFonts w:ascii="Arial" w:cs="Arial" w:eastAsia="Arial" w:hAnsi="Arial"/>
          <w:sz w:val="19"/>
          <w:szCs w:val="19"/>
          <w:b w:val="1"/>
          <w:bCs w:val="1"/>
          <w:color w:val="auto"/>
        </w:rPr>
        <w:t>Amendments to Articles of Incorporation or Bylaws; Change in Fiscal Year.</w:t>
      </w:r>
    </w:p>
    <w:p>
      <w:pPr>
        <w:spacing w:after="0" w:line="24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a meeting held on March 24, 2010, the Board of Directors of Winnebago Industries, Inc. (the “Company”) amended the Company’s By-Laws, effective March 24, 2010. The principal features of the amendments, as set forth in Article II of the Company’s By-laws, include:</w:t>
      </w:r>
    </w:p>
    <w:p>
      <w:pPr>
        <w:spacing w:after="0" w:line="197" w:lineRule="exact"/>
        <w:rPr>
          <w:sz w:val="20"/>
          <w:szCs w:val="20"/>
          <w:color w:val="auto"/>
        </w:rPr>
      </w:pPr>
    </w:p>
    <w:p>
      <w:pPr>
        <w:jc w:val="both"/>
        <w:ind w:left="660" w:right="20" w:firstLine="1019"/>
        <w:spacing w:after="0" w:line="264" w:lineRule="auto"/>
        <w:tabs>
          <w:tab w:leader="none" w:pos="239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Explicitly providing that the advance notice provisions contained in Article II of the Company’s By-Laws are the exclusive means for a shareholder to make nominations or submit other business (other than matters properly brought under Rule 14a-8 under the Securities Exchange Act of 1934, as amended) before an annual meeting of shareholders.</w:t>
      </w:r>
    </w:p>
    <w:p>
      <w:pPr>
        <w:spacing w:after="0" w:line="208" w:lineRule="exact"/>
        <w:rPr>
          <w:rFonts w:ascii="Arial" w:cs="Arial" w:eastAsia="Arial" w:hAnsi="Arial"/>
          <w:sz w:val="18"/>
          <w:szCs w:val="18"/>
          <w:color w:val="auto"/>
        </w:rPr>
      </w:pPr>
    </w:p>
    <w:p>
      <w:pPr>
        <w:ind w:left="660" w:right="20" w:firstLine="963"/>
        <w:spacing w:after="0" w:line="277" w:lineRule="auto"/>
        <w:tabs>
          <w:tab w:leader="none" w:pos="2304"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Explicitly providing that nominations of persons for election to the Board of Directors at any special meeting of shareholders will be subject to advance notice requirements of the By-Laws.</w:t>
      </w:r>
    </w:p>
    <w:p>
      <w:pPr>
        <w:spacing w:after="0" w:line="197" w:lineRule="exact"/>
        <w:rPr>
          <w:rFonts w:ascii="Arial" w:cs="Arial" w:eastAsia="Arial" w:hAnsi="Arial"/>
          <w:sz w:val="18"/>
          <w:szCs w:val="18"/>
          <w:color w:val="auto"/>
        </w:rPr>
      </w:pPr>
    </w:p>
    <w:p>
      <w:pPr>
        <w:ind w:left="660" w:right="20" w:firstLine="971"/>
        <w:spacing w:after="0" w:line="277" w:lineRule="auto"/>
        <w:tabs>
          <w:tab w:leader="none" w:pos="2315" w:val="left"/>
        </w:tabs>
        <w:numPr>
          <w:ilvl w:val="2"/>
          <w:numId w:val="2"/>
        </w:numPr>
        <w:rPr>
          <w:rFonts w:ascii="Arial" w:cs="Arial" w:eastAsia="Arial" w:hAnsi="Arial"/>
          <w:sz w:val="18"/>
          <w:szCs w:val="18"/>
          <w:color w:val="auto"/>
        </w:rPr>
      </w:pPr>
      <w:r>
        <w:rPr>
          <w:rFonts w:ascii="Arial" w:cs="Arial" w:eastAsia="Arial" w:hAnsi="Arial"/>
          <w:sz w:val="18"/>
          <w:szCs w:val="18"/>
          <w:color w:val="auto"/>
        </w:rPr>
        <w:t>Clarifying the procedures for which the advance notice By-Laws are applicable if the Company announces an increase in the size of the Board of Directors within 70 days of the first anniversary of the preceding annual meeting.</w:t>
      </w:r>
    </w:p>
    <w:p>
      <w:pPr>
        <w:spacing w:after="0" w:line="197" w:lineRule="exact"/>
        <w:rPr>
          <w:rFonts w:ascii="Arial" w:cs="Arial" w:eastAsia="Arial" w:hAnsi="Arial"/>
          <w:sz w:val="18"/>
          <w:szCs w:val="18"/>
          <w:color w:val="auto"/>
        </w:rPr>
      </w:pPr>
    </w:p>
    <w:p>
      <w:pPr>
        <w:jc w:val="both"/>
        <w:ind w:left="660" w:right="20" w:firstLine="1084"/>
        <w:spacing w:after="0" w:line="286" w:lineRule="auto"/>
        <w:tabs>
          <w:tab w:leader="none" w:pos="2466" w:val="left"/>
        </w:tabs>
        <w:numPr>
          <w:ilvl w:val="3"/>
          <w:numId w:val="2"/>
        </w:numPr>
        <w:rPr>
          <w:rFonts w:ascii="Arial" w:cs="Arial" w:eastAsia="Arial" w:hAnsi="Arial"/>
          <w:sz w:val="17"/>
          <w:szCs w:val="17"/>
          <w:color w:val="auto"/>
        </w:rPr>
      </w:pPr>
      <w:r>
        <w:rPr>
          <w:rFonts w:ascii="Arial" w:cs="Arial" w:eastAsia="Arial" w:hAnsi="Arial"/>
          <w:sz w:val="17"/>
          <w:szCs w:val="17"/>
          <w:color w:val="auto"/>
        </w:rPr>
        <w:t>Expanding the required disclosure regarding the shareholder giving the notice on whose behalf the director nomination or business proposal is made to include, among other things, a description of any derivative instruments, short positions, options, hedging transactions, voting arrangements and other economic and voting interests the shareholder has with respect to the Company’s securities.</w:t>
      </w:r>
    </w:p>
    <w:p>
      <w:pPr>
        <w:spacing w:after="0" w:line="192" w:lineRule="exact"/>
        <w:rPr>
          <w:rFonts w:ascii="Arial" w:cs="Arial" w:eastAsia="Arial" w:hAnsi="Arial"/>
          <w:sz w:val="17"/>
          <w:szCs w:val="17"/>
          <w:color w:val="auto"/>
        </w:rPr>
      </w:pPr>
    </w:p>
    <w:p>
      <w:pPr>
        <w:jc w:val="both"/>
        <w:ind w:left="660" w:right="20" w:firstLine="857"/>
        <w:spacing w:after="0" w:line="264" w:lineRule="auto"/>
        <w:tabs>
          <w:tab w:leader="none" w:pos="209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required disclosure regarding any person whom a shareholder proposes to nominate for election or re-election as a director to include, among other things, a description of certain compensation and other material monetary arrangements and certain material relationships between the shareholder and each proposed nominee.</w:t>
      </w:r>
    </w:p>
    <w:p>
      <w:pPr>
        <w:spacing w:after="0" w:line="208" w:lineRule="exact"/>
        <w:rPr>
          <w:rFonts w:ascii="Arial" w:cs="Arial" w:eastAsia="Arial" w:hAnsi="Arial"/>
          <w:sz w:val="18"/>
          <w:szCs w:val="18"/>
          <w:color w:val="auto"/>
        </w:rPr>
      </w:pPr>
    </w:p>
    <w:p>
      <w:pPr>
        <w:jc w:val="both"/>
        <w:ind w:left="660" w:right="20" w:firstLine="1166"/>
        <w:spacing w:after="0" w:line="264" w:lineRule="auto"/>
        <w:tabs>
          <w:tab w:leader="none" w:pos="2582" w:val="left"/>
        </w:tabs>
        <w:numPr>
          <w:ilvl w:val="4"/>
          <w:numId w:val="3"/>
        </w:numPr>
        <w:rPr>
          <w:rFonts w:ascii="Arial" w:cs="Arial" w:eastAsia="Arial" w:hAnsi="Arial"/>
          <w:sz w:val="18"/>
          <w:szCs w:val="18"/>
          <w:color w:val="auto"/>
        </w:rPr>
      </w:pPr>
      <w:r>
        <w:rPr>
          <w:rFonts w:ascii="Arial" w:cs="Arial" w:eastAsia="Arial" w:hAnsi="Arial"/>
          <w:sz w:val="18"/>
          <w:szCs w:val="18"/>
          <w:color w:val="auto"/>
        </w:rPr>
        <w:t>Expanding the required disclosure regarding any business (other than the nomination of a director or directors) that the shareholder proposes to bring before the annual meeting to include, among other things, a description of all agreements between the shareholder and any other person in connection with the proposal of business by the shareholder.</w:t>
      </w:r>
    </w:p>
    <w:p>
      <w:pPr>
        <w:spacing w:after="0" w:line="208" w:lineRule="exact"/>
        <w:rPr>
          <w:rFonts w:ascii="Arial" w:cs="Arial" w:eastAsia="Arial" w:hAnsi="Arial"/>
          <w:sz w:val="18"/>
          <w:szCs w:val="18"/>
          <w:color w:val="auto"/>
        </w:rPr>
      </w:pPr>
    </w:p>
    <w:p>
      <w:pPr>
        <w:jc w:val="both"/>
        <w:ind w:left="660" w:right="20" w:firstLine="874"/>
        <w:spacing w:after="0" w:line="286" w:lineRule="auto"/>
        <w:tabs>
          <w:tab w:leader="none" w:pos="2171" w:val="left"/>
        </w:tabs>
        <w:numPr>
          <w:ilvl w:val="1"/>
          <w:numId w:val="3"/>
        </w:numPr>
        <w:rPr>
          <w:rFonts w:ascii="Arial" w:cs="Arial" w:eastAsia="Arial" w:hAnsi="Arial"/>
          <w:sz w:val="17"/>
          <w:szCs w:val="17"/>
          <w:color w:val="auto"/>
        </w:rPr>
      </w:pPr>
      <w:r>
        <w:rPr>
          <w:rFonts w:ascii="Arial" w:cs="Arial" w:eastAsia="Arial" w:hAnsi="Arial"/>
          <w:sz w:val="17"/>
          <w:szCs w:val="17"/>
          <w:color w:val="auto"/>
        </w:rPr>
        <w:t>Requiring a signed statement by a director nominee agreeing that, if elected, the nominee will, among other things, comply with the Winnebago Industries, Inc. Policy Regarding Nominations of Directors and also furnish any other information as may reasonably be required by the Company to determine the eligibility of the proposed nominee to serve as an independent director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complete copy of the Company’s By-Laws, as amended, is included as Exhibit 3.1.</w:t>
      </w:r>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720"/>
              <w:spacing w:after="0"/>
              <w:rPr>
                <w:sz w:val="20"/>
                <w:szCs w:val="20"/>
                <w:color w:val="auto"/>
              </w:rPr>
            </w:pPr>
            <w:r>
              <w:rPr>
                <w:rFonts w:ascii="Arial" w:cs="Arial" w:eastAsia="Arial" w:hAnsi="Arial"/>
                <w:sz w:val="18"/>
                <w:szCs w:val="18"/>
                <w:color w:val="auto"/>
              </w:rPr>
              <w:t>(d)</w:t>
            </w:r>
          </w:p>
        </w:tc>
        <w:tc>
          <w:tcPr>
            <w:tcW w:w="1120" w:type="dxa"/>
            <w:vAlign w:val="bottom"/>
          </w:tcPr>
          <w:p>
            <w:pPr>
              <w:ind w:left="160"/>
              <w:spacing w:after="0"/>
              <w:rPr>
                <w:sz w:val="20"/>
                <w:szCs w:val="20"/>
                <w:color w:val="auto"/>
              </w:rPr>
            </w:pPr>
            <w:r>
              <w:rPr>
                <w:rFonts w:ascii="Arial" w:cs="Arial" w:eastAsia="Arial" w:hAnsi="Arial"/>
                <w:sz w:val="18"/>
                <w:szCs w:val="18"/>
                <w:color w:val="auto"/>
              </w:rPr>
              <w:t>Exhibits</w:t>
            </w:r>
          </w:p>
        </w:tc>
        <w:tc>
          <w:tcPr>
            <w:tcW w:w="9220" w:type="dxa"/>
            <w:vAlign w:val="bottom"/>
          </w:tcPr>
          <w:p>
            <w:pPr>
              <w:spacing w:after="0"/>
              <w:rPr>
                <w:sz w:val="20"/>
                <w:szCs w:val="20"/>
                <w:color w:val="auto"/>
              </w:rPr>
            </w:pPr>
          </w:p>
        </w:tc>
      </w:tr>
      <w:tr>
        <w:trPr>
          <w:trHeight w:val="441"/>
        </w:trPr>
        <w:tc>
          <w:tcPr>
            <w:tcW w:w="1100" w:type="dxa"/>
            <w:vAlign w:val="bottom"/>
          </w:tcPr>
          <w:p>
            <w:pPr>
              <w:spacing w:after="0"/>
              <w:rPr>
                <w:sz w:val="24"/>
                <w:szCs w:val="24"/>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Exhibit</w:t>
            </w:r>
          </w:p>
        </w:tc>
        <w:tc>
          <w:tcPr>
            <w:tcW w:w="922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922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Description of Exhibit</w:t>
            </w:r>
          </w:p>
        </w:tc>
      </w:tr>
      <w:tr>
        <w:trPr>
          <w:trHeight w:val="365"/>
        </w:trPr>
        <w:tc>
          <w:tcPr>
            <w:tcW w:w="1100" w:type="dxa"/>
            <w:vAlign w:val="bottom"/>
          </w:tcPr>
          <w:p>
            <w:pPr>
              <w:spacing w:after="0"/>
              <w:rPr>
                <w:sz w:val="24"/>
                <w:szCs w:val="24"/>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5"/>
              </w:rPr>
              <w:t>3.1</w:t>
            </w:r>
          </w:p>
        </w:tc>
        <w:tc>
          <w:tcPr>
            <w:tcW w:w="9220" w:type="dxa"/>
            <w:vAlign w:val="bottom"/>
          </w:tcPr>
          <w:p>
            <w:pPr>
              <w:jc w:val="center"/>
              <w:ind w:right="3530"/>
              <w:spacing w:after="0"/>
              <w:rPr>
                <w:sz w:val="20"/>
                <w:szCs w:val="20"/>
                <w:color w:val="auto"/>
              </w:rPr>
            </w:pPr>
            <w:r>
              <w:rPr>
                <w:rFonts w:ascii="Arial" w:cs="Arial" w:eastAsia="Arial" w:hAnsi="Arial"/>
                <w:sz w:val="18"/>
                <w:szCs w:val="18"/>
                <w:color w:val="auto"/>
                <w:w w:val="90"/>
              </w:rPr>
              <w:t>By-Laws of Winnebago Industries, Inc., as amended March 24, 2010.</w:t>
            </w:r>
          </w:p>
        </w:tc>
      </w:tr>
      <w:tr>
        <w:trPr>
          <w:trHeight w:val="716"/>
        </w:trPr>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20" w:type="dxa"/>
            <w:vAlign w:val="bottom"/>
          </w:tcPr>
          <w:p>
            <w:pPr>
              <w:jc w:val="right"/>
              <w:ind w:right="5530"/>
              <w:spacing w:after="0"/>
              <w:rPr>
                <w:sz w:val="20"/>
                <w:szCs w:val="20"/>
                <w:color w:val="auto"/>
              </w:rPr>
            </w:pPr>
            <w:r>
              <w:rPr>
                <w:rFonts w:ascii="Arial" w:cs="Arial" w:eastAsia="Arial" w:hAnsi="Arial"/>
                <w:sz w:val="18"/>
                <w:szCs w:val="18"/>
                <w:color w:val="auto"/>
              </w:rPr>
              <w:t>-2-</w:t>
            </w:r>
          </w:p>
        </w:tc>
      </w:tr>
      <w:tr>
        <w:trPr>
          <w:trHeight w:val="375"/>
        </w:trPr>
        <w:tc>
          <w:tcPr>
            <w:tcW w:w="11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IGNATURES</w:t>
      </w:r>
    </w:p>
    <w:p>
      <w:pPr>
        <w:spacing w:after="0" w:line="2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spacing w:after="0"/>
        <w:tabs>
          <w:tab w:leader="none" w:pos="7100" w:val="left"/>
        </w:tabs>
        <w:rPr>
          <w:sz w:val="20"/>
          <w:szCs w:val="20"/>
          <w:color w:val="auto"/>
        </w:rPr>
      </w:pPr>
      <w:r>
        <w:rPr>
          <w:rFonts w:ascii="Arial" w:cs="Arial" w:eastAsia="Arial" w:hAnsi="Arial"/>
          <w:sz w:val="18"/>
          <w:szCs w:val="18"/>
          <w:color w:val="auto"/>
        </w:rPr>
        <w:t>Date: March 29, 2010</w:t>
      </w:r>
      <w:r>
        <w:rPr>
          <w:sz w:val="20"/>
          <w:szCs w:val="20"/>
          <w:color w:val="auto"/>
        </w:rPr>
        <w:tab/>
      </w:r>
      <w:r>
        <w:rPr>
          <w:rFonts w:ascii="Arial" w:cs="Arial" w:eastAsia="Arial" w:hAnsi="Arial"/>
          <w:sz w:val="19"/>
          <w:szCs w:val="19"/>
          <w:color w:val="auto"/>
        </w:rPr>
        <w:t>W</w:t>
      </w:r>
      <w:r>
        <w:rPr>
          <w:rFonts w:ascii="Arial" w:cs="Arial" w:eastAsia="Arial" w:hAnsi="Arial"/>
          <w:sz w:val="12"/>
          <w:szCs w:val="12"/>
          <w:color w:val="auto"/>
        </w:rPr>
        <w:t>INNEBAGO</w:t>
      </w:r>
      <w:r>
        <w:rPr>
          <w:rFonts w:ascii="Arial" w:cs="Arial" w:eastAsia="Arial" w:hAnsi="Arial"/>
          <w:sz w:val="19"/>
          <w:szCs w:val="19"/>
          <w:color w:val="auto"/>
        </w:rPr>
        <w:t xml:space="preserve"> I</w:t>
      </w:r>
      <w:r>
        <w:rPr>
          <w:rFonts w:ascii="Arial" w:cs="Arial" w:eastAsia="Arial" w:hAnsi="Arial"/>
          <w:sz w:val="12"/>
          <w:szCs w:val="12"/>
          <w:color w:val="auto"/>
        </w:rPr>
        <w:t>NDUSTRIES</w:t>
      </w:r>
      <w:r>
        <w:rPr>
          <w:rFonts w:ascii="Arial" w:cs="Arial" w:eastAsia="Arial" w:hAnsi="Arial"/>
          <w:sz w:val="19"/>
          <w:szCs w:val="19"/>
          <w:color w:val="auto"/>
        </w:rPr>
        <w:t>, I</w:t>
      </w:r>
      <w:r>
        <w:rPr>
          <w:rFonts w:ascii="Arial" w:cs="Arial" w:eastAsia="Arial" w:hAnsi="Arial"/>
          <w:sz w:val="12"/>
          <w:szCs w:val="12"/>
          <w:color w:val="auto"/>
        </w:rPr>
        <w:t>NC</w:t>
      </w:r>
      <w:r>
        <w:rPr>
          <w:rFonts w:ascii="Arial" w:cs="Arial" w:eastAsia="Arial" w:hAnsi="Arial"/>
          <w:sz w:val="19"/>
          <w:szCs w:val="19"/>
          <w:color w:val="auto"/>
        </w:rPr>
        <w:t>.</w:t>
      </w:r>
    </w:p>
    <w:p>
      <w:pPr>
        <w:spacing w:after="0" w:line="200" w:lineRule="exact"/>
        <w:rPr>
          <w:sz w:val="20"/>
          <w:szCs w:val="20"/>
          <w:color w:val="auto"/>
        </w:rPr>
      </w:pPr>
    </w:p>
    <w:p>
      <w:pPr>
        <w:spacing w:after="0" w:line="300" w:lineRule="exact"/>
        <w:rPr>
          <w:sz w:val="20"/>
          <w:szCs w:val="20"/>
          <w:color w:val="auto"/>
        </w:rPr>
      </w:pPr>
    </w:p>
    <w:p>
      <w:pPr>
        <w:ind w:left="7120"/>
        <w:spacing w:after="0"/>
        <w:tabs>
          <w:tab w:leader="none" w:pos="7620" w:val="left"/>
        </w:tabs>
        <w:rPr>
          <w:sz w:val="20"/>
          <w:szCs w:val="20"/>
          <w:color w:val="auto"/>
        </w:rPr>
      </w:pPr>
      <w:r>
        <w:rPr>
          <w:rFonts w:ascii="Arial" w:cs="Arial" w:eastAsia="Arial" w:hAnsi="Arial"/>
          <w:sz w:val="18"/>
          <w:szCs w:val="18"/>
          <w:color w:val="auto"/>
        </w:rPr>
        <w:t>By:</w:t>
        <w:tab/>
        <w:t>/s/ Robert J. Olson</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-121920</wp:posOffset>
            </wp:positionV>
            <wp:extent cx="2032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7" w:lineRule="exact"/>
        <w:rPr>
          <w:sz w:val="20"/>
          <w:szCs w:val="20"/>
          <w:color w:val="auto"/>
        </w:rPr>
      </w:pPr>
    </w:p>
    <w:p>
      <w:pPr>
        <w:ind w:left="712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Chief Executive</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NDEX</w:t>
      </w:r>
    </w:p>
    <w:p>
      <w:pPr>
        <w:spacing w:after="0" w:line="24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340"/>
        <w:spacing w:after="0"/>
        <w:tabs>
          <w:tab w:leader="none" w:pos="24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43" w:lineRule="exact"/>
        <w:rPr>
          <w:sz w:val="20"/>
          <w:szCs w:val="20"/>
          <w:color w:val="auto"/>
        </w:rPr>
      </w:pPr>
    </w:p>
    <w:p>
      <w:pPr>
        <w:ind w:left="1560"/>
        <w:spacing w:after="0"/>
        <w:tabs>
          <w:tab w:leader="none" w:pos="2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By-Laws of Winnebago Industries, Inc., as amended March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956310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 w:name="page5"/>
    <w:bookmarkEnd w:id="4"/>
    <w:p>
      <w:pPr>
        <w:ind w:left="104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Y</w:t>
      </w:r>
      <w:r>
        <w:rPr>
          <w:rFonts w:ascii="Arial" w:cs="Arial" w:eastAsia="Arial" w:hAnsi="Arial"/>
          <w:sz w:val="22"/>
          <w:szCs w:val="22"/>
          <w:b w:val="1"/>
          <w:bCs w:val="1"/>
          <w:color w:val="auto"/>
        </w:rPr>
        <w:t>-L</w:t>
      </w:r>
      <w:r>
        <w:rPr>
          <w:rFonts w:ascii="Arial" w:cs="Arial" w:eastAsia="Arial" w:hAnsi="Arial"/>
          <w:sz w:val="14"/>
          <w:szCs w:val="14"/>
          <w:b w:val="1"/>
          <w:bCs w:val="1"/>
          <w:color w:val="auto"/>
        </w:rPr>
        <w:t>AWS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INNEBAGO</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NDUSTRIES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AS </w:t>
      </w:r>
      <w:r>
        <w:rPr>
          <w:rFonts w:ascii="Arial" w:cs="Arial" w:eastAsia="Arial" w:hAnsi="Arial"/>
          <w:sz w:val="21"/>
          <w:szCs w:val="21"/>
          <w:b w:val="1"/>
          <w:bCs w:val="1"/>
          <w:color w:val="auto"/>
        </w:rPr>
        <w:t>A</w:t>
      </w:r>
      <w:r>
        <w:rPr>
          <w:rFonts w:ascii="Arial" w:cs="Arial" w:eastAsia="Arial" w:hAnsi="Arial"/>
          <w:sz w:val="15"/>
          <w:szCs w:val="15"/>
          <w:b w:val="1"/>
          <w:bCs w:val="1"/>
          <w:color w:val="auto"/>
        </w:rPr>
        <w:t>MENDED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FFICES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principal office of the Corporation in the State of Iowa, shall be located in the City of Forest City, County of Winnebago, State of Iowa.</w:t>
      </w:r>
    </w:p>
    <w:p>
      <w:pPr>
        <w:spacing w:after="0" w:line="210" w:lineRule="exact"/>
        <w:rPr>
          <w:sz w:val="20"/>
          <w:szCs w:val="20"/>
          <w:color w:val="auto"/>
        </w:rPr>
      </w:pPr>
    </w:p>
    <w:p>
      <w:pPr>
        <w:jc w:val="both"/>
        <w:ind w:firstLine="923"/>
        <w:spacing w:after="0" w:line="277" w:lineRule="auto"/>
        <w:rPr>
          <w:sz w:val="20"/>
          <w:szCs w:val="20"/>
          <w:color w:val="auto"/>
        </w:rPr>
      </w:pPr>
      <w:r>
        <w:rPr>
          <w:rFonts w:ascii="Arial" w:cs="Arial" w:eastAsia="Arial" w:hAnsi="Arial"/>
          <w:sz w:val="18"/>
          <w:szCs w:val="18"/>
          <w:color w:val="auto"/>
        </w:rPr>
        <w:t>The Corporation may have such other offices, either within or without of the State of Iowa, as the Board of Directors may designate or as the business of the Corporation may require from time to time.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HAREHOLDERS</w:t>
      </w:r>
    </w:p>
    <w:p>
      <w:pPr>
        <w:spacing w:after="0" w:line="197" w:lineRule="exact"/>
        <w:rPr>
          <w:sz w:val="20"/>
          <w:szCs w:val="20"/>
          <w:color w:val="auto"/>
        </w:rPr>
      </w:pPr>
    </w:p>
    <w:p>
      <w:pPr>
        <w:jc w:val="both"/>
        <w:ind w:firstLine="832"/>
        <w:spacing w:after="0" w:line="302" w:lineRule="auto"/>
        <w:rPr>
          <w:sz w:val="20"/>
          <w:szCs w:val="20"/>
          <w:color w:val="auto"/>
        </w:rPr>
      </w:pPr>
      <w:r>
        <w:rPr>
          <w:rFonts w:ascii="Arial" w:cs="Arial" w:eastAsia="Arial" w:hAnsi="Arial"/>
          <w:sz w:val="16"/>
          <w:szCs w:val="16"/>
          <w:i w:val="1"/>
          <w:iCs w:val="1"/>
          <w:color w:val="auto"/>
        </w:rPr>
        <w:t>Section 2.1. Annual Meeting</w:t>
      </w:r>
      <w:r>
        <w:rPr>
          <w:rFonts w:ascii="Arial" w:cs="Arial" w:eastAsia="Arial" w:hAnsi="Arial"/>
          <w:sz w:val="16"/>
          <w:szCs w:val="16"/>
          <w:color w:val="auto"/>
        </w:rPr>
        <w:t>. The Annual Meeting of the Shareholders shall be held on a date in the month of January of each year, or such</w:t>
      </w:r>
      <w:r>
        <w:rPr>
          <w:rFonts w:ascii="Arial" w:cs="Arial" w:eastAsia="Arial" w:hAnsi="Arial"/>
          <w:sz w:val="16"/>
          <w:szCs w:val="16"/>
          <w:i w:val="1"/>
          <w:iCs w:val="1"/>
          <w:color w:val="auto"/>
        </w:rPr>
        <w:t xml:space="preserve"> </w:t>
      </w:r>
      <w:r>
        <w:rPr>
          <w:rFonts w:ascii="Arial" w:cs="Arial" w:eastAsia="Arial" w:hAnsi="Arial"/>
          <w:sz w:val="16"/>
          <w:szCs w:val="16"/>
          <w:color w:val="auto"/>
        </w:rPr>
        <w:t>other month as may be designated by the Board of Directors,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14" w:lineRule="exact"/>
        <w:rPr>
          <w:sz w:val="20"/>
          <w:szCs w:val="20"/>
          <w:color w:val="auto"/>
        </w:rPr>
      </w:pPr>
    </w:p>
    <w:p>
      <w:pPr>
        <w:jc w:val="both"/>
        <w:ind w:firstLine="869"/>
        <w:spacing w:after="0" w:line="272" w:lineRule="auto"/>
        <w:rPr>
          <w:sz w:val="20"/>
          <w:szCs w:val="20"/>
          <w:color w:val="auto"/>
        </w:rPr>
      </w:pPr>
      <w:r>
        <w:rPr>
          <w:rFonts w:ascii="Arial" w:cs="Arial" w:eastAsia="Arial" w:hAnsi="Arial"/>
          <w:sz w:val="17"/>
          <w:szCs w:val="17"/>
          <w:i w:val="1"/>
          <w:iCs w:val="1"/>
          <w:color w:val="auto"/>
        </w:rPr>
        <w:t>Section 2.2. Notice of Shareholder Business and Nominations</w:t>
      </w:r>
      <w:r>
        <w:rPr>
          <w:rFonts w:ascii="Arial" w:cs="Arial" w:eastAsia="Arial" w:hAnsi="Arial"/>
          <w:sz w:val="17"/>
          <w:szCs w:val="17"/>
          <w:color w:val="auto"/>
        </w:rPr>
        <w:t>. (a) (1) Nominations of persons for election to the Board of Directors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Corporation and the proposal of business to be considered by the shareholders may be made at an annual meeting of shareholders (i) pursuant to the Corporation’s notice of meeting, (ii) by or at the direction of the Board of Directors or (iii) by any shareholder of the Corporation who (a) was a shareholder of record at the time of giving of notice provided for in this By-Law, (b) is entitled to vote at the meeting and (c) who complies with the notice procedures set fort h in this By-Law </w:t>
      </w:r>
      <w:r>
        <w:rPr>
          <w:rFonts w:ascii="Arial" w:cs="Arial" w:eastAsia="Arial" w:hAnsi="Arial"/>
          <w:sz w:val="17"/>
          <w:szCs w:val="17"/>
          <w:color w:val="0D0E00"/>
        </w:rPr>
        <w:t>as to such nomination or business; clause (iii) of this paragraph (a)(1) of this By-Law shall be the exclusive means for a shareholder to</w:t>
      </w:r>
      <w:r>
        <w:rPr>
          <w:rFonts w:ascii="Arial" w:cs="Arial" w:eastAsia="Arial" w:hAnsi="Arial"/>
          <w:sz w:val="17"/>
          <w:szCs w:val="17"/>
          <w:color w:val="auto"/>
        </w:rPr>
        <w:t xml:space="preserve"> </w:t>
      </w:r>
      <w:r>
        <w:rPr>
          <w:rFonts w:ascii="Arial" w:cs="Arial" w:eastAsia="Arial" w:hAnsi="Arial"/>
          <w:sz w:val="17"/>
          <w:szCs w:val="17"/>
          <w:color w:val="0D0E00"/>
        </w:rPr>
        <w:t>make nominations or submit other business (other than matters properly brought under Rule 14a-8 under the Securities Exchange Act of 1934, as amended (the “Exchange Act”) and included in the Corporation’s notice of meeting) before an annual meeting of shareholders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746125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firstLine="839"/>
        <w:spacing w:after="0" w:line="282" w:lineRule="auto"/>
        <w:tabs>
          <w:tab w:leader="none" w:pos="1404" w:val="left"/>
        </w:tabs>
        <w:numPr>
          <w:ilvl w:val="1"/>
          <w:numId w:val="4"/>
        </w:numPr>
        <w:rPr>
          <w:rFonts w:ascii="Arial" w:cs="Arial" w:eastAsia="Arial" w:hAnsi="Arial"/>
          <w:sz w:val="16"/>
          <w:szCs w:val="16"/>
          <w:color w:val="auto"/>
        </w:rPr>
      </w:pPr>
      <w:r>
        <w:rPr>
          <w:rFonts w:ascii="Arial" w:cs="Arial" w:eastAsia="Arial" w:hAnsi="Arial"/>
          <w:sz w:val="16"/>
          <w:szCs w:val="16"/>
          <w:color w:val="auto"/>
        </w:rPr>
        <w:t>(i) Without qualification, for nominations or other business to be properly brought before an annual meeting by a shareholder pursuant to clause (iii) of paragraph (a)(1) of this By-Law,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except in the case of candidates recommended by shareho lders of more than 5% of the Corporation’s Common Stock who may also submit recommendations for nominations to the Corporation’s Nominating and Governance Committee in accordance with the procedures in clause (ii) of paragraph (a)(2) of this By-Law; provided however, that in the event that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w:t>
      </w:r>
      <w:r>
        <w:rPr>
          <w:rFonts w:ascii="Arial" w:cs="Arial" w:eastAsia="Arial" w:hAnsi="Arial"/>
          <w:sz w:val="16"/>
          <w:szCs w:val="16"/>
          <w:color w:val="0D0E00"/>
        </w:rPr>
        <w:t>, if the first public announcement of the date of such annual meeting is less than 100 days prior to the date of such annual meeting,</w:t>
      </w:r>
      <w:r>
        <w:rPr>
          <w:rFonts w:ascii="Arial" w:cs="Arial" w:eastAsia="Arial" w:hAnsi="Arial"/>
          <w:sz w:val="16"/>
          <w:szCs w:val="16"/>
          <w:color w:val="auto"/>
        </w:rPr>
        <w:t xml:space="preserve">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w:t>
      </w:r>
      <w:r>
        <w:rPr>
          <w:rFonts w:ascii="Arial" w:cs="Arial" w:eastAsia="Arial" w:hAnsi="Arial"/>
          <w:sz w:val="16"/>
          <w:szCs w:val="16"/>
          <w:color w:val="0D0E00"/>
        </w:rPr>
        <w:t>(whether given pursuant to this paragraph (a)(2) of this By-Law or paragraph (b) of this By-Law)</w:t>
      </w:r>
      <w:r>
        <w:rPr>
          <w:rFonts w:ascii="Arial" w:cs="Arial" w:eastAsia="Arial" w:hAnsi="Arial"/>
          <w:sz w:val="16"/>
          <w:szCs w:val="16"/>
          <w:color w:val="auto"/>
        </w:rPr>
        <w:t xml:space="preserve"> shall set forth (a) as to each person, if any, whom the shareholder proposes to nominate for election or re-election as a director, (i) all information relating to such person that is required to be disclosed in </w:t>
      </w:r>
      <w:r>
        <w:rPr>
          <w:rFonts w:ascii="Arial" w:cs="Arial" w:eastAsia="Arial" w:hAnsi="Arial"/>
          <w:sz w:val="16"/>
          <w:szCs w:val="16"/>
          <w:color w:val="0D0E00"/>
        </w:rPr>
        <w:t>a proxy statement or other filings required to be made in connection wit h</w:t>
      </w:r>
      <w:r>
        <w:rPr>
          <w:rFonts w:ascii="Arial" w:cs="Arial" w:eastAsia="Arial" w:hAnsi="Arial"/>
          <w:sz w:val="16"/>
          <w:szCs w:val="16"/>
          <w:color w:val="auto"/>
        </w:rPr>
        <w:t xml:space="preserve"> solicitations of proxies for</w:t>
      </w:r>
      <w:r>
        <w:rPr>
          <w:rFonts w:ascii="Arial" w:cs="Arial" w:eastAsia="Arial" w:hAnsi="Arial"/>
          <w:sz w:val="16"/>
          <w:szCs w:val="16"/>
          <w:color w:val="0D0E00"/>
        </w:rPr>
        <w:t>, as applicable, the proposal and/or for the</w:t>
      </w:r>
      <w:r>
        <w:rPr>
          <w:rFonts w:ascii="Arial" w:cs="Arial" w:eastAsia="Arial" w:hAnsi="Arial"/>
          <w:sz w:val="16"/>
          <w:szCs w:val="16"/>
          <w:color w:val="auto"/>
        </w:rPr>
        <w:t xml:space="preserve"> election of directors in </w:t>
      </w:r>
      <w:r>
        <w:rPr>
          <w:rFonts w:ascii="Arial" w:cs="Arial" w:eastAsia="Arial" w:hAnsi="Arial"/>
          <w:sz w:val="16"/>
          <w:szCs w:val="16"/>
          <w:color w:val="0D0E00"/>
        </w:rPr>
        <w:t>a contested election pursuant to Section 14 of the Exchange Act and the rules and regulations promulgated</w:t>
      </w:r>
      <w:r>
        <w:rPr>
          <w:rFonts w:ascii="Arial" w:cs="Arial" w:eastAsia="Arial" w:hAnsi="Arial"/>
          <w:sz w:val="16"/>
          <w:szCs w:val="16"/>
          <w:color w:val="auto"/>
        </w:rPr>
        <w:t xml:space="preserve"> thereunder (including such person’s written consent to being named in the proxy statement as a nominee and to serving as a director if elected) </w:t>
      </w:r>
      <w:r>
        <w:rPr>
          <w:rFonts w:ascii="Arial" w:cs="Arial" w:eastAsia="Arial" w:hAnsi="Arial"/>
          <w:sz w:val="16"/>
          <w:szCs w:val="16"/>
          <w:color w:val="0D0E00"/>
        </w:rPr>
        <w:t>and (ii) a description of all direct and</w:t>
      </w:r>
      <w:r>
        <w:rPr>
          <w:rFonts w:ascii="Arial" w:cs="Arial" w:eastAsia="Arial" w:hAnsi="Arial"/>
          <w:sz w:val="16"/>
          <w:szCs w:val="16"/>
          <w:color w:val="auto"/>
        </w:rPr>
        <w:t xml:space="preserve"> </w:t>
      </w:r>
      <w:r>
        <w:rPr>
          <w:rFonts w:ascii="Arial" w:cs="Arial" w:eastAsia="Arial" w:hAnsi="Arial"/>
          <w:sz w:val="16"/>
          <w:szCs w:val="16"/>
          <w:color w:val="0D0E00"/>
        </w:rPr>
        <w:t>indirect compensation and other mat 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w:t>
      </w:r>
      <w:r>
        <w:rPr>
          <w:rFonts w:ascii="Arial" w:cs="Arial" w:eastAsia="Arial" w:hAnsi="Arial"/>
          <w:sz w:val="16"/>
          <w:szCs w:val="16"/>
          <w:color w:val="000000"/>
        </w:rPr>
        <w:t>; (b) as</w:t>
      </w:r>
      <w:r>
        <w:rPr>
          <w:rFonts w:ascii="Arial" w:cs="Arial" w:eastAsia="Arial" w:hAnsi="Arial"/>
          <w:sz w:val="16"/>
          <w:szCs w:val="16"/>
          <w:color w:val="0D0E00"/>
        </w:rPr>
        <w:t xml:space="preserve"> </w:t>
      </w:r>
      <w:r>
        <w:rPr>
          <w:rFonts w:ascii="Arial" w:cs="Arial" w:eastAsia="Arial" w:hAnsi="Arial"/>
          <w:sz w:val="16"/>
          <w:szCs w:val="16"/>
          <w:color w:val="000000"/>
        </w:rPr>
        <w:t xml:space="preserve">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 if any, on whose behalf the proposal is made </w:t>
      </w:r>
      <w:r>
        <w:rPr>
          <w:rFonts w:ascii="Arial" w:cs="Arial" w:eastAsia="Arial" w:hAnsi="Arial"/>
          <w:sz w:val="16"/>
          <w:szCs w:val="16"/>
          <w:color w:val="0D0E00"/>
        </w:rPr>
        <w:t>and (ii) a description of all agreements, arrangements and understandings</w:t>
      </w:r>
      <w:r>
        <w:rPr>
          <w:rFonts w:ascii="Arial" w:cs="Arial" w:eastAsia="Arial" w:hAnsi="Arial"/>
          <w:sz w:val="16"/>
          <w:szCs w:val="16"/>
          <w:color w:val="000000"/>
        </w:rPr>
        <w:t xml:space="preserve"> </w:t>
      </w:r>
      <w:r>
        <w:rPr>
          <w:rFonts w:ascii="Arial" w:cs="Arial" w:eastAsia="Arial" w:hAnsi="Arial"/>
          <w:sz w:val="16"/>
          <w:szCs w:val="16"/>
          <w:color w:val="0D0E00"/>
        </w:rPr>
        <w:t>between such shareholder and beneficial owner, if any, and any other person or persons (including their names) in connection with the proposal of such business by such shareholder</w:t>
      </w:r>
      <w:r>
        <w:rPr>
          <w:rFonts w:ascii="Arial" w:cs="Arial" w:eastAsia="Arial" w:hAnsi="Arial"/>
          <w:sz w:val="16"/>
          <w:szCs w:val="16"/>
          <w:color w:val="000000"/>
        </w:rPr>
        <w:t>; and (c) as to the shareholder giving the notice and the beneficial owner, if any, on whose behalf the nomination or proposal is</w:t>
      </w:r>
      <w:r>
        <w:rPr>
          <w:rFonts w:ascii="Arial" w:cs="Arial" w:eastAsia="Arial" w:hAnsi="Arial"/>
          <w:sz w:val="16"/>
          <w:szCs w:val="16"/>
          <w:color w:val="0D0E00"/>
        </w:rPr>
        <w:t xml:space="preserve"> </w:t>
      </w:r>
      <w:r>
        <w:rPr>
          <w:rFonts w:ascii="Arial" w:cs="Arial" w:eastAsia="Arial" w:hAnsi="Arial"/>
          <w:sz w:val="16"/>
          <w:szCs w:val="16"/>
          <w:color w:val="000000"/>
        </w:rPr>
        <w:t>made (i) the name and address of such shareholder, as they appear o n the Corporation’s books, and of such beneficial owner; (ii) (A) the class or series and number of shares of the Corporation which are, directly or indirectly, owned beneficially and of record by such shareholder and such beneficial owner;</w:t>
      </w:r>
    </w:p>
    <w:p>
      <w:pPr>
        <w:spacing w:after="0" w:line="11" w:lineRule="exact"/>
        <w:rPr>
          <w:rFonts w:ascii="Arial" w:cs="Arial" w:eastAsia="Arial" w:hAnsi="Arial"/>
          <w:sz w:val="16"/>
          <w:szCs w:val="16"/>
          <w:color w:val="auto"/>
        </w:rPr>
      </w:pPr>
    </w:p>
    <w:p>
      <w:pPr>
        <w:jc w:val="both"/>
        <w:ind w:firstLine="8"/>
        <w:spacing w:after="0" w:line="283" w:lineRule="auto"/>
        <w:tabs>
          <w:tab w:leader="none" w:pos="302"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shareholder and any other direct or indirect opportunity to profit or share in any profit derived from any increase or decrease in the value of shares of the Corpo ration, (C) any proxy, contract, arrangement, understanding, or relationship pursuant to which such shareholder has a right to vote any shares of any security of the Corporation, (D)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10 days after the record date for the meeting to disclose such ownership as of the record date); and (iii) any other information relating to such shareholder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 d thereunder; and (d) a signed statement by the nominee agreeing that, if elected, such nominee will (i) represent all Corporation shareholders in accordance with applicable law and these By-Laws and (ii) comply with the Corporation’s Code of Ethics and the Corporation’s Director Nomination Policy. </w:t>
      </w:r>
      <w:r>
        <w:rPr>
          <w:rFonts w:ascii="Arial" w:cs="Arial" w:eastAsia="Arial" w:hAnsi="Arial"/>
          <w:sz w:val="16"/>
          <w:szCs w:val="16"/>
          <w:color w:val="0D0E00"/>
        </w:rPr>
        <w:t>The Corporation may require any proposed nominee to furnish such other information as</w:t>
      </w:r>
      <w:r>
        <w:rPr>
          <w:rFonts w:ascii="Arial" w:cs="Arial" w:eastAsia="Arial" w:hAnsi="Arial"/>
          <w:sz w:val="16"/>
          <w:szCs w:val="16"/>
          <w:color w:val="auto"/>
        </w:rPr>
        <w:t xml:space="preserve"> </w:t>
      </w:r>
      <w:r>
        <w:rPr>
          <w:rFonts w:ascii="Arial" w:cs="Arial" w:eastAsia="Arial" w:hAnsi="Arial"/>
          <w:sz w:val="16"/>
          <w:szCs w:val="16"/>
          <w:color w:val="0D0E00"/>
        </w:rPr>
        <w:t>may reasonably be required by the Corporation to determine the eligibility of such proposed nominee to serve as an independent director of the Corporation or that could be material to a reasonable shareholder’s understanding of the independence, or lack thereof, of such nominee</w:t>
      </w:r>
      <w:r>
        <w:rPr>
          <w:rFonts w:ascii="Arial" w:cs="Arial" w:eastAsia="Arial" w:hAnsi="Arial"/>
          <w:sz w:val="16"/>
          <w:szCs w:val="16"/>
          <w:color w:val="000000"/>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both"/>
        <w:ind w:firstLine="788"/>
        <w:spacing w:after="0" w:line="282" w:lineRule="auto"/>
        <w:tabs>
          <w:tab w:leader="none" w:pos="1341"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Shareholders or a group of shareholders who have owned more than 5% of the Corporation’s Common Stock for at least one year as of the date the recommendation was made may recommend nominees for director to the Nominating and Governance Committee, provided that written notice from the shareholder(s) must be received by the Secretary of the Corporation at the principal executive offices of the Corporation not later than 120 days prior to the anniversary of the date the Corporation’s proxy statement was released to shareholders in connection with the previous year’s annual meeting, except as otherwise provided in these By-Laws; provided, however, that in the event that the date of the annual meeting has been changed by more t han 30 days from the date of the preceding year’s annual meeting, notice by the shareholder must be received by the Secretary of the Corporation not later than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shall set forth (a) as to each person whom the shareholder proposes to nominate for election or re-election as a director, (i) all information relating to such person that is required to be disclosed in solicitations of proxies for election of directors in an election contest, or is otherwise required, in each case pursuant to Section 14 under the Exchange Act and the rules and regulations promulgated thereunder (including (Y) such person’s written consent to being na med in the proxy statement as a nominee and to serving as a director if elected and (Z) the written consent of the shareholder(s) recommending the nominee to being identified in the Corporation’s proxy statement) </w:t>
      </w:r>
      <w:r>
        <w:rPr>
          <w:rFonts w:ascii="Arial" w:cs="Arial" w:eastAsia="Arial" w:hAnsi="Arial"/>
          <w:sz w:val="16"/>
          <w:szCs w:val="16"/>
          <w:color w:val="0D0E00"/>
        </w:rPr>
        <w:t>and (ii) a description of all direct and indirect compensation and other material monetary</w:t>
      </w:r>
      <w:r>
        <w:rPr>
          <w:rFonts w:ascii="Arial" w:cs="Arial" w:eastAsia="Arial" w:hAnsi="Arial"/>
          <w:sz w:val="16"/>
          <w:szCs w:val="16"/>
          <w:color w:val="auto"/>
        </w:rPr>
        <w:t xml:space="preserve"> </w:t>
      </w:r>
      <w:r>
        <w:rPr>
          <w:rFonts w:ascii="Arial" w:cs="Arial" w:eastAsia="Arial" w:hAnsi="Arial"/>
          <w:sz w:val="16"/>
          <w:szCs w:val="16"/>
          <w:color w:val="0D0E00"/>
        </w:rPr>
        <w:t>agreements, arrangements and understandings during the past three years, and any other material relationships, between or among such shareholder(s) and beneficial owner(s),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shareholder(s ) making the nomination and any beneficial owner(s) on whose behalf the nomination is made, if any, or any affiliate or associate thereof or person acting in concert therewith, were the “registrant” for purposes of such provision and the nominee were a director or executive officer of such registrant</w:t>
      </w:r>
      <w:r>
        <w:rPr>
          <w:rFonts w:ascii="Arial" w:cs="Arial" w:eastAsia="Arial" w:hAnsi="Arial"/>
          <w:sz w:val="16"/>
          <w:szCs w:val="16"/>
          <w:color w:val="000000"/>
        </w:rPr>
        <w:t>; (b) as to the shareholder(s) giving the notice and the</w:t>
      </w:r>
      <w:r>
        <w:rPr>
          <w:rFonts w:ascii="Arial" w:cs="Arial" w:eastAsia="Arial" w:hAnsi="Arial"/>
          <w:sz w:val="16"/>
          <w:szCs w:val="16"/>
          <w:color w:val="0D0E00"/>
        </w:rPr>
        <w:t xml:space="preserve"> </w:t>
      </w:r>
      <w:r>
        <w:rPr>
          <w:rFonts w:ascii="Arial" w:cs="Arial" w:eastAsia="Arial" w:hAnsi="Arial"/>
          <w:sz w:val="16"/>
          <w:szCs w:val="16"/>
          <w:color w:val="000000"/>
        </w:rPr>
        <w:t>beneficial owner(s), if any, on whose behalf the nomination or proposal is made (i) the name and address of such shareholder(s), as they appear on the Corporation’s books, and of such beneficial owner(s), (ii)(A) the class or series and number of shares of the Corporation which are, directly or indirectly, owned beneficially and of record by such shareholder(s) and such beneficial owner(s) and information with respect to the holding period for such shares</w:t>
      </w:r>
      <w:r>
        <w:rPr>
          <w:rFonts w:ascii="Arial" w:cs="Arial" w:eastAsia="Arial" w:hAnsi="Arial"/>
          <w:sz w:val="16"/>
          <w:szCs w:val="16"/>
          <w:color w:val="0D0E00"/>
        </w:rPr>
        <w:t>,</w:t>
      </w:r>
    </w:p>
    <w:p>
      <w:pPr>
        <w:spacing w:after="0" w:line="12" w:lineRule="exact"/>
        <w:rPr>
          <w:rFonts w:ascii="Arial" w:cs="Arial" w:eastAsia="Arial" w:hAnsi="Arial"/>
          <w:sz w:val="16"/>
          <w:szCs w:val="16"/>
          <w:color w:val="auto"/>
        </w:rPr>
      </w:pPr>
    </w:p>
    <w:p>
      <w:pPr>
        <w:jc w:val="both"/>
        <w:ind w:firstLine="8"/>
        <w:spacing w:after="0" w:line="284" w:lineRule="auto"/>
        <w:tabs>
          <w:tab w:leader="none" w:pos="297" w:val="left"/>
        </w:tabs>
        <w:numPr>
          <w:ilvl w:val="0"/>
          <w:numId w:val="7"/>
        </w:numPr>
        <w:rPr>
          <w:rFonts w:ascii="Arial" w:cs="Arial" w:eastAsia="Arial" w:hAnsi="Arial"/>
          <w:sz w:val="16"/>
          <w:szCs w:val="16"/>
          <w:color w:val="0D0E00"/>
        </w:rPr>
      </w:pPr>
      <w:r>
        <w:rPr>
          <w:rFonts w:ascii="Arial" w:cs="Arial" w:eastAsia="Arial" w:hAnsi="Arial"/>
          <w:sz w:val="16"/>
          <w:szCs w:val="16"/>
          <w:color w:val="0D0E00"/>
        </w:rPr>
        <w:t>Derivative Instruments directly or indirectly owned beneficially by such shareholder(s) and any other direct or indirect opportunity to profit or share in any profit derived from any increase or decrease in the value of shares of the Corporation, (C) any proxy, contract, arrangement, understanding, or relationship pursuant to which such shareholder(s) has a right to vote any shares of any security of the Corporation, (D)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by such shareholder(s) that are separated or separable from the underlying shares of the Corp oration, (F) any proportionate interest in shares of the Corporation or Derivative Instruments held, directly or indirectly, by a general or limited partnership in which such shareholder(s) is a general partner or, directly or indirectly, beneficially owns an interest in a general partner and (G) any performance-related fees (other than an asset-based fee) that such shareholder(s)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shareholder(s) and beneficial owner(s), if any, not later than 10 days after the record date for the meeting to disclose such ownership as of the record date); and (iii) any other information relating to such shareholder(s) and beneficial owner(s),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w:t>
      </w:r>
      <w:r>
        <w:rPr>
          <w:rFonts w:ascii="Arial" w:cs="Arial" w:eastAsia="Arial" w:hAnsi="Arial"/>
          <w:sz w:val="16"/>
          <w:szCs w:val="16"/>
          <w:color w:val="000000"/>
        </w:rPr>
        <w:t>; and (c) a signed statement by the nominee agreeing that, if</w:t>
      </w:r>
      <w:r>
        <w:rPr>
          <w:rFonts w:ascii="Arial" w:cs="Arial" w:eastAsia="Arial" w:hAnsi="Arial"/>
          <w:sz w:val="16"/>
          <w:szCs w:val="16"/>
          <w:color w:val="0D0E00"/>
        </w:rPr>
        <w:t xml:space="preserve"> </w:t>
      </w:r>
      <w:r>
        <w:rPr>
          <w:rFonts w:ascii="Arial" w:cs="Arial" w:eastAsia="Arial" w:hAnsi="Arial"/>
          <w:sz w:val="16"/>
          <w:szCs w:val="16"/>
          <w:color w:val="000000"/>
        </w:rPr>
        <w:t xml:space="preserve">elected, such nominee will (i) represent all Corporation shareholders in accordance with applicable law and these By-Laws and (ii) comply with the Corporation’s Code of Ethics and the Corporation’s Director Nomination Policy. </w:t>
      </w:r>
      <w:r>
        <w:rPr>
          <w:rFonts w:ascii="Arial" w:cs="Arial" w:eastAsia="Arial" w:hAnsi="Arial"/>
          <w:sz w:val="16"/>
          <w:szCs w:val="16"/>
          <w:color w:val="0D0E00"/>
        </w:rPr>
        <w:t>The Corporation may require any proposed nominee to furnish such other</w:t>
      </w:r>
      <w:r>
        <w:rPr>
          <w:rFonts w:ascii="Arial" w:cs="Arial" w:eastAsia="Arial" w:hAnsi="Arial"/>
          <w:sz w:val="16"/>
          <w:szCs w:val="16"/>
          <w:color w:val="000000"/>
        </w:rPr>
        <w:t xml:space="preserve"> </w:t>
      </w:r>
      <w:r>
        <w:rPr>
          <w:rFonts w:ascii="Arial" w:cs="Arial" w:eastAsia="Arial" w:hAnsi="Arial"/>
          <w:sz w:val="16"/>
          <w:szCs w:val="16"/>
          <w:color w:val="0D0E00"/>
        </w:rPr>
        <w:t>information as may reasonably be required by the Corporation to determine the eligibility of such proposed nominee to serve as an independent dir ector of the Corporation or that could be material to a reasonable shareholder’s understanding of the independence, or lack thereof, of such nominee.</w:t>
      </w:r>
    </w:p>
    <w:p>
      <w:pPr>
        <w:spacing w:after="0" w:line="143" w:lineRule="exact"/>
        <w:rPr>
          <w:rFonts w:ascii="Arial" w:cs="Arial" w:eastAsia="Arial" w:hAnsi="Arial"/>
          <w:sz w:val="16"/>
          <w:szCs w:val="16"/>
          <w:color w:val="0D0E00"/>
        </w:rPr>
      </w:pPr>
    </w:p>
    <w:p>
      <w:pPr>
        <w:jc w:val="both"/>
        <w:ind w:firstLine="920"/>
        <w:spacing w:after="0" w:line="273" w:lineRule="auto"/>
        <w:tabs>
          <w:tab w:leader="none" w:pos="1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(a)(2)(i) of this By-Law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70 days prior to the first anniversary of the preceding year’s annual meeting, a shareholder’s notice required by this By-Law shall also be considered timely, but only with respect to nominees for any new positions created by such increase, if it shall be delivered to the Secretary at the principal executive offices of the Corporation not later than t he close of business on the 10th day following the day on which such public announcement is first made by the Corporation.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jc w:val="both"/>
        <w:ind w:firstLine="834"/>
        <w:spacing w:after="0" w:line="286" w:lineRule="auto"/>
        <w:tabs>
          <w:tab w:leader="none" w:pos="139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Only such business shall be conducted at a special meeting of shareholders as shall have been brought before the meeting pursuant to the Corporation’s notice of meeting. Nominations of persons for election to the Board of Directors may be made at a special meeting of shareholders at which directors are to be elected pursuant to the Corporation’s notice of meeting (1) by or at the direction of the Board of Directors or (2) provided that the Board of Directors has determined that directors shall be elected at such meeting, by any shareholder of the Company who is a shareholder of record at the time of giving of notice provided for in this By-Law, who shall be entitled to vote at the meeting and who complies with the notice p rocedures set forth in this By-Law. In the event the Corporation calls a special meeting of </w:t>
      </w:r>
      <w:r>
        <w:rPr>
          <w:rFonts w:ascii="Arial" w:cs="Arial" w:eastAsia="Arial" w:hAnsi="Arial"/>
          <w:sz w:val="16"/>
          <w:szCs w:val="16"/>
          <w:color w:val="0D0E00"/>
        </w:rPr>
        <w:t>shareholders</w:t>
      </w:r>
      <w:r>
        <w:rPr>
          <w:rFonts w:ascii="Arial" w:cs="Arial" w:eastAsia="Arial" w:hAnsi="Arial"/>
          <w:sz w:val="16"/>
          <w:szCs w:val="16"/>
          <w:color w:val="auto"/>
        </w:rPr>
        <w:t xml:space="preserve"> for the purpose of electing one or more directors to the Board of Directors, any such shareholder may nominate a person or persons (as the case may be), for election to such position(s) as specified in the Corporation’s notice of meeting, if the shareholder’s notice required by paragraph (a)(2)(i) of this By-Law </w:t>
      </w:r>
      <w:r>
        <w:rPr>
          <w:rFonts w:ascii="Arial" w:cs="Arial" w:eastAsia="Arial" w:hAnsi="Arial"/>
          <w:sz w:val="16"/>
          <w:szCs w:val="16"/>
          <w:color w:val="0D0E00"/>
        </w:rPr>
        <w:t>with respect to any nomination</w:t>
      </w:r>
      <w:r>
        <w:rPr>
          <w:rFonts w:ascii="Arial" w:cs="Arial" w:eastAsia="Arial" w:hAnsi="Arial"/>
          <w:sz w:val="16"/>
          <w:szCs w:val="16"/>
          <w:color w:val="auto"/>
        </w:rPr>
        <w:t xml:space="preserve"> shall be delivered to the Secretary at the principal executive offices of the Corporation not later than the close of business on the 120th day prior to </w:t>
      </w:r>
      <w:r>
        <w:rPr>
          <w:rFonts w:ascii="Arial" w:cs="Arial" w:eastAsia="Arial" w:hAnsi="Arial"/>
          <w:sz w:val="16"/>
          <w:szCs w:val="16"/>
          <w:color w:val="0D0E00"/>
        </w:rPr>
        <w:t>the date of</w:t>
      </w:r>
      <w:r>
        <w:rPr>
          <w:rFonts w:ascii="Arial" w:cs="Arial" w:eastAsia="Arial" w:hAnsi="Arial"/>
          <w:sz w:val="16"/>
          <w:szCs w:val="16"/>
          <w:color w:val="auto"/>
        </w:rPr>
        <w:t xml:space="preserve"> such special meeting and not later than the close of business on the later of the 90th day prior to </w:t>
      </w:r>
      <w:r>
        <w:rPr>
          <w:rFonts w:ascii="Arial" w:cs="Arial" w:eastAsia="Arial" w:hAnsi="Arial"/>
          <w:sz w:val="16"/>
          <w:szCs w:val="16"/>
          <w:color w:val="0D0E00"/>
        </w:rPr>
        <w:t>the date of</w:t>
      </w:r>
      <w:r>
        <w:rPr>
          <w:rFonts w:ascii="Arial" w:cs="Arial" w:eastAsia="Arial" w:hAnsi="Arial"/>
          <w:sz w:val="16"/>
          <w:szCs w:val="16"/>
          <w:color w:val="auto"/>
        </w:rPr>
        <w:t xml:space="preserve"> such special meeting or</w:t>
      </w:r>
      <w:r>
        <w:rPr>
          <w:rFonts w:ascii="Arial" w:cs="Arial" w:eastAsia="Arial" w:hAnsi="Arial"/>
          <w:sz w:val="16"/>
          <w:szCs w:val="16"/>
          <w:color w:val="0D0E00"/>
        </w:rPr>
        <w:t>, if the first public announcement of the date of such special meeting is less</w:t>
      </w:r>
      <w:r>
        <w:rPr>
          <w:rFonts w:ascii="Arial" w:cs="Arial" w:eastAsia="Arial" w:hAnsi="Arial"/>
          <w:sz w:val="16"/>
          <w:szCs w:val="16"/>
          <w:color w:val="auto"/>
        </w:rPr>
        <w:t xml:space="preserve"> </w:t>
      </w:r>
      <w:r>
        <w:rPr>
          <w:rFonts w:ascii="Arial" w:cs="Arial" w:eastAsia="Arial" w:hAnsi="Arial"/>
          <w:sz w:val="16"/>
          <w:szCs w:val="16"/>
          <w:color w:val="0D0E00"/>
        </w:rPr>
        <w:t xml:space="preserve">than 100 days prior to the date of such special meeting, </w:t>
      </w:r>
      <w:r>
        <w:rPr>
          <w:rFonts w:ascii="Arial" w:cs="Arial" w:eastAsia="Arial" w:hAnsi="Arial"/>
          <w:sz w:val="16"/>
          <w:szCs w:val="16"/>
          <w:color w:val="000000"/>
        </w:rPr>
        <w:t>the 10th day following the day on which public announcement is first made of the date of the special</w:t>
      </w:r>
      <w:r>
        <w:rPr>
          <w:rFonts w:ascii="Arial" w:cs="Arial" w:eastAsia="Arial" w:hAnsi="Arial"/>
          <w:sz w:val="16"/>
          <w:szCs w:val="16"/>
          <w:color w:val="0D0E00"/>
        </w:rPr>
        <w:t xml:space="preserve"> </w:t>
      </w:r>
      <w:r>
        <w:rPr>
          <w:rFonts w:ascii="Arial" w:cs="Arial" w:eastAsia="Arial" w:hAnsi="Arial"/>
          <w:sz w:val="16"/>
          <w:szCs w:val="16"/>
          <w:color w:val="000000"/>
        </w:rPr>
        <w:t>meeting and of the nominees proposed by the Board of Directors to be elected at such meeting. In no event shall the public announcement of an adjournment of a special meeting commence a new time period for the giving of a shareholder’s notice as described above.</w:t>
      </w:r>
    </w:p>
    <w:p>
      <w:pPr>
        <w:spacing w:after="0" w:line="148"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(c)(1)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herein as the “Articles of Incorporation”) or these By-Laws, the chairman of the meeting shall have the power and duty to determine whether a nomination or any business proposed to be brought before the meeting was made or proposed, as the case may be, in accordance wit h the procedures set forth in this By-Law and, if any proposed nomination or business is not in compliance with this By-Law and, if any proposed nomination or business is not in compliance with this By-Law, to declare that such defective proposal or nomination shall be disregarded.</w:t>
      </w:r>
    </w:p>
    <w:p>
      <w:pPr>
        <w:spacing w:after="0" w:line="127" w:lineRule="exact"/>
        <w:rPr>
          <w:sz w:val="20"/>
          <w:szCs w:val="20"/>
          <w:color w:val="auto"/>
        </w:rPr>
      </w:pPr>
    </w:p>
    <w:p>
      <w:pPr>
        <w:jc w:val="both"/>
        <w:ind w:firstLine="798"/>
        <w:spacing w:after="0" w:line="264" w:lineRule="auto"/>
        <w:tabs>
          <w:tab w:leader="none" w:pos="1346"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40" w:lineRule="exact"/>
        <w:rPr>
          <w:rFonts w:ascii="Arial" w:cs="Arial" w:eastAsia="Arial" w:hAnsi="Arial"/>
          <w:sz w:val="18"/>
          <w:szCs w:val="18"/>
          <w:color w:val="auto"/>
        </w:rPr>
      </w:pPr>
    </w:p>
    <w:p>
      <w:pPr>
        <w:jc w:val="both"/>
        <w:ind w:firstLine="765"/>
        <w:spacing w:after="0" w:line="255" w:lineRule="auto"/>
        <w:tabs>
          <w:tab w:leader="none" w:pos="12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By-Law, a shareholder shall also comply with all applicable requirements of the Exchange Act and the rules and regulations thereunder with respect to the matters set forth in this By-Law</w:t>
      </w:r>
      <w:r>
        <w:rPr>
          <w:rFonts w:ascii="Arial" w:cs="Arial" w:eastAsia="Arial" w:hAnsi="Arial"/>
          <w:sz w:val="18"/>
          <w:szCs w:val="18"/>
          <w:color w:val="0D0E00"/>
        </w:rPr>
        <w:t>; provided, however, that any references in these By-Laws to</w:t>
      </w:r>
      <w:r>
        <w:rPr>
          <w:rFonts w:ascii="Arial" w:cs="Arial" w:eastAsia="Arial" w:hAnsi="Arial"/>
          <w:sz w:val="18"/>
          <w:szCs w:val="18"/>
          <w:color w:val="auto"/>
        </w:rPr>
        <w:t xml:space="preserve"> </w:t>
      </w:r>
      <w:r>
        <w:rPr>
          <w:rFonts w:ascii="Arial" w:cs="Arial" w:eastAsia="Arial" w:hAnsi="Arial"/>
          <w:sz w:val="18"/>
          <w:szCs w:val="18"/>
          <w:color w:val="0D0E00"/>
        </w:rPr>
        <w:t xml:space="preserve">the Exchange Act or the rules promulgated thereunder are not intended to and shall not limit the requirements applicable to nominations or proposals as to any other business to be considered pursuant to clause (iii) of paragraph (a)(1) of this By-Law, paragraph (a)(2) of this By-Law or paragraph (b) of this By-Law. </w:t>
      </w:r>
      <w:r>
        <w:rPr>
          <w:rFonts w:ascii="Arial" w:cs="Arial" w:eastAsia="Arial" w:hAnsi="Arial"/>
          <w:sz w:val="18"/>
          <w:szCs w:val="18"/>
          <w:color w:val="000000"/>
        </w:rPr>
        <w:t xml:space="preserve">Nothing in this By-Law shall be deemed to affect any rights (A) of shareholders to request inclusion of proposals in the Company’s proxy statement pursuant to Rule 14a-8 under the Exchange Act or (B) of the holders of any series of Preferred Stock to elect directors </w:t>
      </w:r>
      <w:r>
        <w:rPr>
          <w:rFonts w:ascii="Arial" w:cs="Arial" w:eastAsia="Arial" w:hAnsi="Arial"/>
          <w:sz w:val="18"/>
          <w:szCs w:val="18"/>
          <w:color w:val="0D0E00"/>
        </w:rPr>
        <w:t>if and to the extent provided for under law, the</w:t>
      </w:r>
      <w:r>
        <w:rPr>
          <w:rFonts w:ascii="Arial" w:cs="Arial" w:eastAsia="Arial" w:hAnsi="Arial"/>
          <w:sz w:val="18"/>
          <w:szCs w:val="18"/>
          <w:color w:val="000000"/>
        </w:rPr>
        <w:t xml:space="preserve"> </w:t>
      </w:r>
      <w:r>
        <w:rPr>
          <w:rFonts w:ascii="Arial" w:cs="Arial" w:eastAsia="Arial" w:hAnsi="Arial"/>
          <w:sz w:val="18"/>
          <w:szCs w:val="18"/>
          <w:color w:val="0D0E00"/>
        </w:rPr>
        <w:t>Articles of Incorporation or these By-Laws</w:t>
      </w:r>
      <w:r>
        <w:rPr>
          <w:rFonts w:ascii="Arial" w:cs="Arial" w:eastAsia="Arial" w:hAnsi="Arial"/>
          <w:sz w:val="18"/>
          <w:szCs w:val="18"/>
          <w:color w:val="000000"/>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III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OARD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IRECTORS</w:t>
      </w:r>
    </w:p>
    <w:p>
      <w:pPr>
        <w:spacing w:after="0" w:line="184" w:lineRule="exact"/>
        <w:rPr>
          <w:sz w:val="20"/>
          <w:szCs w:val="20"/>
          <w:color w:val="auto"/>
        </w:rPr>
      </w:pPr>
    </w:p>
    <w:p>
      <w:pPr>
        <w:ind w:left="720"/>
        <w:spacing w:after="0"/>
        <w:tabs>
          <w:tab w:leader="none" w:pos="186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i w:val="1"/>
          <w:iCs w:val="1"/>
          <w:color w:val="auto"/>
        </w:rPr>
        <w:t>General Powers</w:t>
      </w:r>
      <w:r>
        <w:rPr>
          <w:rFonts w:ascii="Arial" w:cs="Arial" w:eastAsia="Arial" w:hAnsi="Arial"/>
          <w:sz w:val="16"/>
          <w:szCs w:val="16"/>
          <w:color w:val="auto"/>
        </w:rPr>
        <w:t>. The business and affairs of this Corporation shall be managed by its Board of Directors.</w:t>
      </w:r>
    </w:p>
    <w:p>
      <w:pPr>
        <w:spacing w:after="0" w:line="198" w:lineRule="exact"/>
        <w:rPr>
          <w:sz w:val="20"/>
          <w:szCs w:val="20"/>
          <w:color w:val="auto"/>
        </w:rPr>
      </w:pPr>
    </w:p>
    <w:p>
      <w:pPr>
        <w:jc w:val="both"/>
        <w:ind w:firstLine="832"/>
        <w:spacing w:after="0" w:line="287" w:lineRule="auto"/>
        <w:rPr>
          <w:sz w:val="20"/>
          <w:szCs w:val="20"/>
          <w:color w:val="auto"/>
        </w:rPr>
      </w:pPr>
      <w:r>
        <w:rPr>
          <w:rFonts w:ascii="Arial" w:cs="Arial" w:eastAsia="Arial" w:hAnsi="Arial"/>
          <w:sz w:val="16"/>
          <w:szCs w:val="16"/>
          <w:i w:val="1"/>
          <w:iCs w:val="1"/>
          <w:color w:val="auto"/>
        </w:rPr>
        <w:t>Section 3.2. Number, Tenure and Qualifications</w:t>
      </w:r>
      <w:r>
        <w:rPr>
          <w:rFonts w:ascii="Arial" w:cs="Arial" w:eastAsia="Arial" w:hAnsi="Arial"/>
          <w:sz w:val="16"/>
          <w:szCs w:val="16"/>
          <w:color w:val="auto"/>
        </w:rPr>
        <w:t>. The number of directors constituting the Board of Directors of the Corporation shall be not</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fifteen (15) and not less than three (3), the precise number to be determined by resolution of the Board of Directors from time to time. Effective with the election of the directors at the annual meeting of shareholders to be held in 2000, the directors shall be classified, with respect to the time for which they severally hold office, into three classes, as nearly equal in number as possible, with the Board of Directors consisting of eight (8) members existing at the time of the annual meeting of sha reholders to be held in 2000 to be classified as follows: Two directors to hold office initially for a term expiring at the annual meeting of shareholders to be held in 2001,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 l classes as nearly equal in number as possible.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 w:name="page9"/>
    <w:bookmarkEnd w:id="8"/>
    <w:p>
      <w:pPr>
        <w:jc w:val="both"/>
        <w:ind w:firstLine="1023"/>
        <w:spacing w:after="0" w:line="286" w:lineRule="auto"/>
        <w:rPr>
          <w:sz w:val="20"/>
          <w:szCs w:val="20"/>
          <w:color w:val="auto"/>
        </w:rPr>
      </w:pPr>
      <w:r>
        <w:rPr>
          <w:rFonts w:ascii="Arial" w:cs="Arial" w:eastAsia="Arial" w:hAnsi="Arial"/>
          <w:sz w:val="17"/>
          <w:szCs w:val="17"/>
          <w:i w:val="1"/>
          <w:iCs w:val="1"/>
          <w:color w:val="auto"/>
        </w:rPr>
        <w:t>Section 3.3. Regular Meetings</w:t>
      </w:r>
      <w:r>
        <w:rPr>
          <w:rFonts w:ascii="Arial" w:cs="Arial" w:eastAsia="Arial" w:hAnsi="Arial"/>
          <w:sz w:val="17"/>
          <w:szCs w:val="17"/>
          <w:color w:val="auto"/>
        </w:rPr>
        <w:t>. The regular meeting of the Board of Directors shall be held without other notice than these By-Laws,</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39" w:lineRule="exact"/>
        <w:rPr>
          <w:sz w:val="20"/>
          <w:szCs w:val="20"/>
          <w:color w:val="auto"/>
        </w:rPr>
      </w:pPr>
    </w:p>
    <w:p>
      <w:pPr>
        <w:jc w:val="both"/>
        <w:ind w:firstLine="936"/>
        <w:spacing w:after="0" w:line="259" w:lineRule="auto"/>
        <w:rPr>
          <w:sz w:val="20"/>
          <w:szCs w:val="20"/>
          <w:color w:val="auto"/>
        </w:rPr>
      </w:pPr>
      <w:r>
        <w:rPr>
          <w:rFonts w:ascii="Arial" w:cs="Arial" w:eastAsia="Arial" w:hAnsi="Arial"/>
          <w:sz w:val="18"/>
          <w:szCs w:val="18"/>
          <w:i w:val="1"/>
          <w:iCs w:val="1"/>
          <w:color w:val="auto"/>
        </w:rPr>
        <w:t>Section 3.4. Special Meetings</w:t>
      </w:r>
      <w:r>
        <w:rPr>
          <w:rFonts w:ascii="Arial" w:cs="Arial" w:eastAsia="Arial" w:hAnsi="Arial"/>
          <w:sz w:val="18"/>
          <w:szCs w:val="18"/>
          <w:color w:val="auto"/>
        </w:rPr>
        <w:t>. Special meetings of the Board of Directors may be called by or at the request of the President or any one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146" w:lineRule="exact"/>
        <w:rPr>
          <w:sz w:val="20"/>
          <w:szCs w:val="20"/>
          <w:color w:val="auto"/>
        </w:rPr>
      </w:pPr>
    </w:p>
    <w:p>
      <w:pPr>
        <w:jc w:val="both"/>
        <w:ind w:firstLine="762"/>
        <w:spacing w:after="0" w:line="272" w:lineRule="auto"/>
        <w:rPr>
          <w:sz w:val="20"/>
          <w:szCs w:val="20"/>
          <w:color w:val="auto"/>
        </w:rPr>
      </w:pPr>
      <w:r>
        <w:rPr>
          <w:rFonts w:ascii="Arial" w:cs="Arial" w:eastAsia="Arial" w:hAnsi="Arial"/>
          <w:sz w:val="17"/>
          <w:szCs w:val="17"/>
          <w:i w:val="1"/>
          <w:iCs w:val="1"/>
          <w:color w:val="auto"/>
        </w:rPr>
        <w:t>Section 3.5. Notice of Meetings</w:t>
      </w:r>
      <w:r>
        <w:rPr>
          <w:rFonts w:ascii="Arial" w:cs="Arial" w:eastAsia="Arial" w:hAnsi="Arial"/>
          <w:sz w:val="17"/>
          <w:szCs w:val="17"/>
          <w:color w:val="auto"/>
        </w:rPr>
        <w:t>. Notice of any special meeting of the Board of Directors shall be given at least five (5) days previously thereto</w:t>
      </w:r>
      <w:r>
        <w:rPr>
          <w:rFonts w:ascii="Arial" w:cs="Arial" w:eastAsia="Arial" w:hAnsi="Arial"/>
          <w:sz w:val="17"/>
          <w:szCs w:val="17"/>
          <w:i w:val="1"/>
          <w:iCs w:val="1"/>
          <w:color w:val="auto"/>
        </w:rPr>
        <w:t xml:space="preserve"> </w:t>
      </w:r>
      <w:r>
        <w:rPr>
          <w:rFonts w:ascii="Arial" w:cs="Arial" w:eastAsia="Arial" w:hAnsi="Arial"/>
          <w:sz w:val="17"/>
          <w:szCs w:val="17"/>
          <w:color w:val="auto"/>
        </w:rPr>
        <w:t>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 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37" w:lineRule="exact"/>
        <w:rPr>
          <w:sz w:val="20"/>
          <w:szCs w:val="20"/>
          <w:color w:val="auto"/>
        </w:rPr>
      </w:pPr>
    </w:p>
    <w:p>
      <w:pPr>
        <w:jc w:val="both"/>
        <w:ind w:firstLine="918"/>
        <w:spacing w:after="0" w:line="276" w:lineRule="auto"/>
        <w:rPr>
          <w:sz w:val="20"/>
          <w:szCs w:val="20"/>
          <w:color w:val="auto"/>
        </w:rPr>
      </w:pPr>
      <w:r>
        <w:rPr>
          <w:rFonts w:ascii="Arial" w:cs="Arial" w:eastAsia="Arial" w:hAnsi="Arial"/>
          <w:sz w:val="17"/>
          <w:szCs w:val="17"/>
          <w:i w:val="1"/>
          <w:iCs w:val="1"/>
          <w:color w:val="auto"/>
        </w:rPr>
        <w:t>Section 3.6. Committees</w:t>
      </w:r>
      <w:r>
        <w:rPr>
          <w:rFonts w:ascii="Arial" w:cs="Arial" w:eastAsia="Arial" w:hAnsi="Arial"/>
          <w:sz w:val="17"/>
          <w:szCs w:val="17"/>
          <w:color w:val="auto"/>
        </w:rPr>
        <w:t>. The Board of Directors may, by resolution adopted by a majority of the whole board, designate from among its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 ep regular minutes of its meetings and report the same to the Board of Directors when required.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IV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FFICERS</w:t>
      </w:r>
    </w:p>
    <w:p>
      <w:pPr>
        <w:spacing w:after="0" w:line="184"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8"/>
          <w:szCs w:val="18"/>
          <w:i w:val="1"/>
          <w:iCs w:val="1"/>
          <w:color w:val="auto"/>
        </w:rPr>
        <w:t>Section 4.1. Number</w:t>
      </w:r>
      <w:r>
        <w:rPr>
          <w:rFonts w:ascii="Arial" w:cs="Arial" w:eastAsia="Arial" w:hAnsi="Arial"/>
          <w:sz w:val="18"/>
          <w:szCs w:val="18"/>
          <w:color w:val="auto"/>
        </w:rPr>
        <w:t>. The officers of the Corporation shall be a President, Vice President, a Secretary and a Treasurer. Such other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officers and acting officers as may be deemed necessary, may be elected or appointed by the Board of Directors. Any two or more offices may be held by the same person if so nominated and elected.</w:t>
      </w:r>
    </w:p>
    <w:p>
      <w:pPr>
        <w:spacing w:after="0" w:line="154"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i w:val="1"/>
          <w:iCs w:val="1"/>
          <w:color w:val="auto"/>
        </w:rPr>
        <w:t>Section 4.2. Election and Term of Office</w:t>
      </w:r>
      <w:r>
        <w:rPr>
          <w:rFonts w:ascii="Arial" w:cs="Arial" w:eastAsia="Arial" w:hAnsi="Arial"/>
          <w:sz w:val="18"/>
          <w:szCs w:val="18"/>
          <w:color w:val="auto"/>
        </w:rPr>
        <w:t>. The officers of the Corporation to be elected by the Board of Directors shall be elected annually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ON</w:t>
      </w:r>
      <w:r>
        <w:rPr>
          <w:rFonts w:ascii="Arial" w:cs="Arial" w:eastAsia="Arial" w:hAnsi="Arial"/>
          <w:sz w:val="20"/>
          <w:szCs w:val="20"/>
          <w:b w:val="1"/>
          <w:bCs w:val="1"/>
          <w:color w:val="auto"/>
        </w:rPr>
        <w:t>-C</w:t>
      </w:r>
      <w:r>
        <w:rPr>
          <w:rFonts w:ascii="Arial" w:cs="Arial" w:eastAsia="Arial" w:hAnsi="Arial"/>
          <w:sz w:val="13"/>
          <w:szCs w:val="13"/>
          <w:b w:val="1"/>
          <w:bCs w:val="1"/>
          <w:color w:val="auto"/>
        </w:rPr>
        <w:t>ERTIFICATED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p>
    <w:p>
      <w:pPr>
        <w:spacing w:after="0" w:line="197" w:lineRule="exact"/>
        <w:rPr>
          <w:sz w:val="20"/>
          <w:szCs w:val="20"/>
          <w:color w:val="auto"/>
        </w:rPr>
      </w:pPr>
    </w:p>
    <w:p>
      <w:pPr>
        <w:jc w:val="both"/>
        <w:ind w:firstLine="788"/>
        <w:spacing w:after="0" w:line="257" w:lineRule="auto"/>
        <w:rPr>
          <w:sz w:val="20"/>
          <w:szCs w:val="20"/>
          <w:color w:val="auto"/>
        </w:rPr>
      </w:pPr>
      <w:r>
        <w:rPr>
          <w:rFonts w:ascii="Arial" w:cs="Arial" w:eastAsia="Arial" w:hAnsi="Arial"/>
          <w:sz w:val="18"/>
          <w:szCs w:val="18"/>
          <w:color w:val="auto"/>
        </w:rPr>
        <w:t>In accordance with Section 490.626 of Code of Iowa the Board of Directors of the Corporation is hereby authorized at its discretion to issue some or all of the shares of stock of any or all of its classes or series without certificates. With any reasonable time after the issue or transfer of shares without certificates, the Corporation shall send the shareholder a written statement of the information required on certificates by Section 490.625, Subsections 2 and 3, and, if applicable Section 490.627, Code of Iowa. The rights and obligations of shareholders of the Corporation are identical whether or not their shares are represented by certificates.</w:t>
      </w:r>
    </w:p>
    <w:p>
      <w:pPr>
        <w:spacing w:after="0" w:line="139"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VI</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ISCAL</w:t>
      </w:r>
      <w:r>
        <w:rPr>
          <w:rFonts w:ascii="Arial" w:cs="Arial" w:eastAsia="Arial" w:hAnsi="Arial"/>
          <w:sz w:val="20"/>
          <w:szCs w:val="20"/>
          <w:b w:val="1"/>
          <w:bCs w:val="1"/>
          <w:color w:val="auto"/>
        </w:rPr>
        <w:t xml:space="preserve"> Y</w:t>
      </w:r>
      <w:r>
        <w:rPr>
          <w:rFonts w:ascii="Arial" w:cs="Arial" w:eastAsia="Arial" w:hAnsi="Arial"/>
          <w:sz w:val="13"/>
          <w:szCs w:val="13"/>
          <w:b w:val="1"/>
          <w:bCs w:val="1"/>
          <w:color w:val="auto"/>
        </w:rPr>
        <w:t>EAR</w:t>
      </w:r>
    </w:p>
    <w:p>
      <w:pPr>
        <w:spacing w:after="0" w:line="197" w:lineRule="exact"/>
        <w:rPr>
          <w:sz w:val="20"/>
          <w:szCs w:val="20"/>
          <w:color w:val="auto"/>
        </w:rPr>
      </w:pPr>
    </w:p>
    <w:p>
      <w:pPr>
        <w:jc w:val="both"/>
        <w:ind w:firstLine="855"/>
        <w:spacing w:after="0" w:line="277" w:lineRule="auto"/>
        <w:rPr>
          <w:sz w:val="20"/>
          <w:szCs w:val="20"/>
          <w:color w:val="auto"/>
        </w:rPr>
      </w:pPr>
      <w:r>
        <w:rPr>
          <w:rFonts w:ascii="Arial" w:cs="Arial" w:eastAsia="Arial" w:hAnsi="Arial"/>
          <w:sz w:val="18"/>
          <w:szCs w:val="18"/>
          <w:color w:val="auto"/>
        </w:rPr>
        <w:t>The fiscal year of this Corporation shall begin on the next day following the last Saturday in August of any year and end on the last Saturday in August of the succeeding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ind w:left="522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RTICLE</w:t>
      </w:r>
      <w:r>
        <w:rPr>
          <w:rFonts w:ascii="Arial" w:cs="Arial" w:eastAsia="Arial" w:hAnsi="Arial"/>
          <w:sz w:val="20"/>
          <w:szCs w:val="20"/>
          <w:b w:val="1"/>
          <w:bCs w:val="1"/>
          <w:color w:val="auto"/>
        </w:rPr>
        <w:t xml:space="preserve"> VII</w:t>
      </w:r>
    </w:p>
    <w:p>
      <w:pPr>
        <w:spacing w:after="0" w:line="18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MENDMENTS</w:t>
      </w:r>
    </w:p>
    <w:p>
      <w:pPr>
        <w:spacing w:after="0" w:line="184" w:lineRule="exact"/>
        <w:rPr>
          <w:sz w:val="20"/>
          <w:szCs w:val="20"/>
          <w:color w:val="auto"/>
        </w:rPr>
      </w:pPr>
    </w:p>
    <w:p>
      <w:pPr>
        <w:ind w:firstLine="734"/>
        <w:spacing w:after="0" w:line="277" w:lineRule="auto"/>
        <w:rPr>
          <w:sz w:val="20"/>
          <w:szCs w:val="20"/>
          <w:color w:val="auto"/>
        </w:rPr>
      </w:pPr>
      <w:r>
        <w:rPr>
          <w:rFonts w:ascii="Arial" w:cs="Arial" w:eastAsia="Arial" w:hAnsi="Arial"/>
          <w:sz w:val="18"/>
          <w:szCs w:val="18"/>
          <w:color w:val="auto"/>
        </w:rPr>
        <w:t>These By-Laws may be altered, amended or repealed and new By-Laws may be adopted by the Board of Directors at any regular or special meeting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lvl w:ilvl="3">
      <w:lvlJc w:val="left"/>
      <w:lvlText w:val="(%4)"/>
      <w:numFmt w:val="lowerRoman"/>
      <w:start w:val="4"/>
    </w:lvl>
    <w:lvl w:ilvl="4">
      <w:lvlJc w:val="left"/>
      <w:lvlText w:val="%5"/>
      <w:numFmt w:val="lowerRoman"/>
      <w:start w:val="1"/>
    </w:lvl>
  </w:abstractNum>
  <w:abstractNum w:abstractNumId="2">
    <w:nsid w:val="2EB141F2"/>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1"/>
    </w:lvl>
    <w:lvl w:ilvl="3">
      <w:lvlJc w:val="left"/>
      <w:lvlText w:val="%4"/>
      <w:numFmt w:val="lowerRoman"/>
      <w:start w:val="1"/>
    </w:lvl>
    <w:lvl w:ilvl="4">
      <w:lvlJc w:val="left"/>
      <w:lvlText w:val="(%5)"/>
      <w:numFmt w:val="lowerRoman"/>
      <w:start w:val="6"/>
    </w:lvl>
  </w:abstractNum>
  <w:abstractNum w:abstractNumId="3">
    <w:nsid w:val="41B71EFB"/>
    <w:multiLevelType w:val="hybridMultilevel"/>
    <w:lvl w:ilvl="0">
      <w:lvlJc w:val="left"/>
      <w:lvlText w:val="%1"/>
      <w:numFmt w:val="upperLetter"/>
      <w:start w:val="1"/>
    </w:lvl>
    <w:lvl w:ilvl="1">
      <w:lvlJc w:val="left"/>
      <w:lvlText w:val="(%2)"/>
      <w:numFmt w:val="decimal"/>
      <w:start w:val="2"/>
    </w:lvl>
  </w:abstractNum>
  <w:abstractNum w:abstractNumId="4">
    <w:nsid w:val="79E2A9E3"/>
    <w:multiLevelType w:val="hybridMultilevel"/>
    <w:lvl w:ilvl="0">
      <w:lvlJc w:val="left"/>
      <w:lvlText w:val="(%1)"/>
      <w:numFmt w:val="upperLetter"/>
      <w:start w:val="2"/>
    </w:lvl>
    <w:lvl w:ilvl="1">
      <w:lvlJc w:val="left"/>
      <w:lvlText w:val="%2"/>
      <w:numFmt w:val="decimal"/>
      <w:start w:val="1"/>
    </w:lvl>
  </w:abstractNum>
  <w:abstractNum w:abstractNumId="5">
    <w:nsid w:val="7545E146"/>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6">
    <w:nsid w:val="515F007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3"/>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decimal"/>
      <w:start w:val="1"/>
    </w:lvl>
    <w:lvl w:ilvl="1">
      <w:lvlJc w:val="left"/>
      <w:lvlText w:val="(%2)"/>
      <w:numFmt w:val="decimal"/>
      <w:start w:val="2"/>
    </w:lvl>
  </w:abstractNum>
  <w:abstractNum w:abstractNumId="9">
    <w:nsid w:val="4DB127F8"/>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2019-12-10T03:32:45Z</dcterms:created>
  <dcterms:modified xsi:type="dcterms:W3CDTF">2019-12-10T03:32:45Z</dcterms:modified>
</cp:coreProperties>
</file>