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June 17, 2004</w:t>
      </w:r>
    </w:p>
    <w:p>
      <w:pPr>
        <w:spacing w:after="0" w:line="2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-13970</wp:posOffset>
            </wp:positionV>
            <wp:extent cx="17970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97050" cy="8890"/>
                    </a:xfrm>
                    <a:prstGeom prst="rect">
                      <a:avLst/>
                    </a:prstGeom>
                    <a:noFill/>
                  </pic:spPr>
                </pic:pic>
              </a:graphicData>
            </a:graphic>
          </wp:anchor>
        </w:drawing>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Charter)</w:t>
      </w:r>
    </w:p>
    <w:p>
      <w:pPr>
        <w:spacing w:after="0" w:line="200" w:lineRule="exact"/>
        <w:rPr>
          <w:sz w:val="24"/>
          <w:szCs w:val="24"/>
          <w:color w:val="auto"/>
        </w:rPr>
      </w:pPr>
    </w:p>
    <w:p>
      <w:pPr>
        <w:spacing w:after="0" w:line="231" w:lineRule="exact"/>
        <w:rPr>
          <w:sz w:val="24"/>
          <w:szCs w:val="24"/>
          <w:color w:val="auto"/>
        </w:rPr>
      </w:pPr>
    </w:p>
    <w:tbl>
      <w:tblPr>
        <w:tblLayout w:type="fixed"/>
        <w:tblInd w:w="98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50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97"/>
              </w:rPr>
              <w:t>IOWA</w:t>
            </w:r>
          </w:p>
        </w:tc>
        <w:tc>
          <w:tcPr>
            <w:tcW w:w="266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001-06403</w:t>
            </w:r>
          </w:p>
        </w:tc>
        <w:tc>
          <w:tcPr>
            <w:tcW w:w="268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rPr>
              <w:t>42-0802678</w:t>
            </w:r>
          </w:p>
        </w:tc>
      </w:tr>
      <w:tr>
        <w:trPr>
          <w:trHeight w:val="20"/>
        </w:trPr>
        <w:tc>
          <w:tcPr>
            <w:tcW w:w="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5"/>
        </w:trPr>
        <w:tc>
          <w:tcPr>
            <w:tcW w:w="2080" w:type="dxa"/>
            <w:vAlign w:val="bottom"/>
            <w:gridSpan w:val="3"/>
          </w:tcPr>
          <w:p>
            <w:pPr>
              <w:jc w:val="center"/>
              <w:ind w:right="440"/>
              <w:spacing w:after="0"/>
              <w:rPr>
                <w:sz w:val="20"/>
                <w:szCs w:val="20"/>
                <w:color w:val="auto"/>
              </w:rPr>
            </w:pPr>
            <w:r>
              <w:rPr>
                <w:rFonts w:ascii="Arial" w:cs="Arial" w:eastAsia="Arial" w:hAnsi="Arial"/>
                <w:sz w:val="18"/>
                <w:szCs w:val="18"/>
                <w:color w:val="auto"/>
                <w:w w:val="89"/>
              </w:rPr>
              <w:t>(State of Incorporation)</w:t>
            </w:r>
          </w:p>
        </w:tc>
        <w:tc>
          <w:tcPr>
            <w:tcW w:w="2660" w:type="dxa"/>
            <w:vAlign w:val="bottom"/>
            <w:gridSpan w:val="3"/>
          </w:tcPr>
          <w:p>
            <w:pPr>
              <w:jc w:val="center"/>
              <w:ind w:left="72"/>
              <w:spacing w:after="0"/>
              <w:rPr>
                <w:sz w:val="20"/>
                <w:szCs w:val="20"/>
                <w:color w:val="auto"/>
              </w:rPr>
            </w:pPr>
            <w:r>
              <w:rPr>
                <w:rFonts w:ascii="Arial" w:cs="Arial" w:eastAsia="Arial" w:hAnsi="Arial"/>
                <w:sz w:val="18"/>
                <w:szCs w:val="18"/>
                <w:color w:val="auto"/>
                <w:w w:val="90"/>
              </w:rPr>
              <w:t>(Commission File Number)</w:t>
            </w:r>
          </w:p>
        </w:tc>
        <w:tc>
          <w:tcPr>
            <w:tcW w:w="2680" w:type="dxa"/>
            <w:vAlign w:val="bottom"/>
            <w:gridSpan w:val="3"/>
          </w:tcPr>
          <w:p>
            <w:pPr>
              <w:jc w:val="center"/>
              <w:ind w:left="172"/>
              <w:spacing w:after="0"/>
              <w:rPr>
                <w:sz w:val="20"/>
                <w:szCs w:val="20"/>
                <w:color w:val="auto"/>
              </w:rPr>
            </w:pPr>
            <w:r>
              <w:rPr>
                <w:rFonts w:ascii="Arial" w:cs="Arial" w:eastAsia="Arial" w:hAnsi="Arial"/>
                <w:sz w:val="18"/>
                <w:szCs w:val="18"/>
                <w:color w:val="auto"/>
                <w:w w:val="92"/>
              </w:rPr>
              <w:t>(IRS Employer Identification No.)</w:t>
            </w:r>
          </w:p>
        </w:tc>
      </w:tr>
    </w:tbl>
    <w:p>
      <w:pPr>
        <w:spacing w:after="0" w:line="200" w:lineRule="exact"/>
        <w:rPr>
          <w:sz w:val="24"/>
          <w:szCs w:val="24"/>
          <w:color w:val="auto"/>
        </w:rPr>
      </w:pPr>
    </w:p>
    <w:p>
      <w:pPr>
        <w:spacing w:after="0" w:line="24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P.O. BOX 152</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Forest City, Iowa 50436</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641-585-3535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-758190</wp:posOffset>
            </wp:positionH>
            <wp:positionV relativeFrom="paragraph">
              <wp:posOffset>990600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ind w:left="100"/>
        <w:spacing w:after="0"/>
        <w:rPr>
          <w:sz w:val="20"/>
          <w:szCs w:val="20"/>
          <w:color w:val="auto"/>
        </w:rPr>
      </w:pPr>
      <w:r>
        <w:rPr>
          <w:rFonts w:ascii="Arial" w:cs="Arial" w:eastAsia="Arial" w:hAnsi="Arial"/>
          <w:sz w:val="18"/>
          <w:szCs w:val="18"/>
          <w:b w:val="1"/>
          <w:bCs w:val="1"/>
          <w:color w:val="auto"/>
        </w:rPr>
        <w:t>ITEM 7.  Financial Statements and Exhibits</w:t>
      </w:r>
    </w:p>
    <w:p>
      <w:pPr>
        <w:spacing w:after="0" w:line="23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following exhibits are included herein:</w:t>
      </w:r>
    </w:p>
    <w:p>
      <w:pPr>
        <w:spacing w:after="0" w:line="22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Ex.99.1  Press Release of Winnebago Industries, Inc. issued on June 17, 2004</w:t>
      </w:r>
    </w:p>
    <w:p>
      <w:pPr>
        <w:spacing w:after="0" w:line="219" w:lineRule="exact"/>
        <w:rPr>
          <w:sz w:val="24"/>
          <w:szCs w:val="24"/>
          <w:color w:val="auto"/>
        </w:rPr>
      </w:pPr>
    </w:p>
    <w:p>
      <w:pPr>
        <w:ind w:left="100"/>
        <w:spacing w:after="0"/>
        <w:rPr>
          <w:sz w:val="20"/>
          <w:szCs w:val="20"/>
          <w:color w:val="auto"/>
        </w:rPr>
      </w:pPr>
      <w:r>
        <w:rPr>
          <w:rFonts w:ascii="Arial" w:cs="Arial" w:eastAsia="Arial" w:hAnsi="Arial"/>
          <w:sz w:val="18"/>
          <w:szCs w:val="18"/>
          <w:b w:val="1"/>
          <w:bCs w:val="1"/>
          <w:color w:val="auto"/>
        </w:rPr>
        <w:t>ITEM 12.  Results of Operations and Financial Condition</w:t>
      </w:r>
    </w:p>
    <w:p>
      <w:pPr>
        <w:spacing w:after="0" w:line="231" w:lineRule="exact"/>
        <w:rPr>
          <w:sz w:val="24"/>
          <w:szCs w:val="24"/>
          <w:color w:val="auto"/>
        </w:rPr>
      </w:pPr>
    </w:p>
    <w:p>
      <w:pPr>
        <w:ind w:left="100" w:right="99" w:firstLine="348"/>
        <w:spacing w:after="0" w:line="332" w:lineRule="auto"/>
        <w:rPr>
          <w:sz w:val="20"/>
          <w:szCs w:val="20"/>
          <w:color w:val="auto"/>
        </w:rPr>
      </w:pPr>
      <w:r>
        <w:rPr>
          <w:rFonts w:ascii="Arial" w:cs="Arial" w:eastAsia="Arial" w:hAnsi="Arial"/>
          <w:sz w:val="16"/>
          <w:szCs w:val="16"/>
          <w:color w:val="auto"/>
        </w:rPr>
        <w:t>Winnebago Industries, Inc. (Winnebago) is filing herewith a press release issued on June 17, 2004 as Exhibit 99.1 which is included herein. The press release was issued to report third quarter of fiscal 2004 earnings.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-758190</wp:posOffset>
            </wp:positionH>
            <wp:positionV relativeFrom="paragraph">
              <wp:posOffset>1858010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left="100" w:right="239" w:firstLine="351"/>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report to be signed on its behalf by the undersigned hereunto duly authorized.</w:t>
      </w:r>
    </w:p>
    <w:p>
      <w:pPr>
        <w:sectPr>
          <w:pgSz w:w="11900" w:h="16838" w:orient="portrait"/>
          <w:cols w:equalWidth="0" w:num="1">
            <w:col w:w="9019"/>
          </w:cols>
          <w:pgMar w:left="1440" w:top="1179" w:right="1440" w:bottom="0" w:gutter="0" w:footer="0" w:header="0"/>
        </w:sectPr>
      </w:pPr>
    </w:p>
    <w:bookmarkStart w:id="1" w:name="page2"/>
    <w:bookmarkEnd w:id="1"/>
    <w:p>
      <w:pPr>
        <w:ind w:left="100"/>
        <w:spacing w:after="0"/>
        <w:rPr>
          <w:sz w:val="20"/>
          <w:szCs w:val="20"/>
          <w:color w:val="auto"/>
        </w:rPr>
      </w:pPr>
      <w:r>
        <w:rPr>
          <w:rFonts w:ascii="Arial" w:cs="Arial" w:eastAsia="Arial" w:hAnsi="Arial"/>
          <w:sz w:val="18"/>
          <w:szCs w:val="18"/>
          <w:color w:val="auto"/>
        </w:rPr>
        <w:t>Dated: June 17, 2004</w:t>
      </w:r>
    </w:p>
    <w:p>
      <w:pPr>
        <w:spacing w:after="0" w:line="225" w:lineRule="exact"/>
        <w:rPr>
          <w:sz w:val="20"/>
          <w:szCs w:val="20"/>
          <w:color w:val="auto"/>
        </w:rPr>
      </w:pPr>
    </w:p>
    <w:p>
      <w:pPr>
        <w:ind w:left="436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Bruce D.</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-17780</wp:posOffset>
            </wp:positionV>
            <wp:extent cx="770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0890" cy="8890"/>
                    </a:xfrm>
                    <a:prstGeom prst="rect">
                      <a:avLst/>
                    </a:prstGeom>
                    <a:noFill/>
                  </pic:spPr>
                </pic:pic>
              </a:graphicData>
            </a:graphic>
          </wp:anchor>
        </w:drawing>
      </w:r>
    </w:p>
    <w:p>
      <w:pPr>
        <w:ind w:left="4360"/>
        <w:spacing w:after="0"/>
        <w:rPr>
          <w:sz w:val="20"/>
          <w:szCs w:val="20"/>
          <w:color w:val="auto"/>
        </w:rPr>
      </w:pPr>
      <w:r>
        <w:rPr>
          <w:rFonts w:ascii="Arial" w:cs="Arial" w:eastAsia="Arial" w:hAnsi="Arial"/>
          <w:sz w:val="18"/>
          <w:szCs w:val="18"/>
          <w:color w:val="auto"/>
        </w:rPr>
        <w:t>Name: Bruce D. Hertzke</w:t>
      </w:r>
    </w:p>
    <w:p>
      <w:pPr>
        <w:spacing w:after="0" w:line="9" w:lineRule="exact"/>
        <w:rPr>
          <w:sz w:val="20"/>
          <w:szCs w:val="20"/>
          <w:color w:val="auto"/>
        </w:rPr>
      </w:pPr>
    </w:p>
    <w:p>
      <w:pPr>
        <w:ind w:left="4360"/>
        <w:spacing w:after="0"/>
        <w:tabs>
          <w:tab w:leader="none" w:pos="4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1771650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30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0"/>
        <w:spacing w:after="0"/>
        <w:tabs>
          <w:tab w:leader="none" w:pos="14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60325</wp:posOffset>
            </wp:positionV>
            <wp:extent cx="317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2750820</wp:posOffset>
            </wp:positionH>
            <wp:positionV relativeFrom="paragraph">
              <wp:posOffset>60325</wp:posOffset>
            </wp:positionV>
            <wp:extent cx="5232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88" w:lineRule="exact"/>
        <w:rPr>
          <w:sz w:val="20"/>
          <w:szCs w:val="20"/>
          <w:color w:val="auto"/>
        </w:rPr>
      </w:pPr>
    </w:p>
    <w:p>
      <w:pPr>
        <w:ind w:left="200"/>
        <w:spacing w:after="0"/>
        <w:tabs>
          <w:tab w:leader="none" w:pos="14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June 17,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1929765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 w:name="page3"/>
    <w:bookmarkEnd w:id="2"/>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Contact: Sheila Davis, PR/IR Manager, 641-585-6803, </w:t>
      </w:r>
      <w:r>
        <w:rPr>
          <w:rFonts w:ascii="Arial" w:cs="Arial" w:eastAsia="Arial" w:hAnsi="Arial"/>
          <w:sz w:val="18"/>
          <w:szCs w:val="18"/>
          <w:u w:val="single" w:color="auto"/>
          <w:color w:val="auto"/>
        </w:rPr>
        <w:t>sdavis@winnebagoind.com</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WINNEBAGO INDUSTRIES REPORTS RECORD THIRD QUARTER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NINE MONTHS REVENUE</w:t>
      </w:r>
    </w:p>
    <w:p>
      <w:pPr>
        <w:spacing w:after="0" w:line="28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FOREST CITY, IOWA, June 17, 2004 – Winnebago Industries, Inc. (NYSE: WGO), the nation’s leading motor home</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manufacturer, today reported record revenues from continuing operations for the third quarter ended May 29, 2004 of</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$310.2 million, an increase of 55 percent when compared to revenues from continuing operations of $200.2 million for the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same quarter last year.</w:t>
      </w:r>
    </w:p>
    <w:p>
      <w:pPr>
        <w:spacing w:after="0" w:line="219" w:lineRule="exact"/>
        <w:rPr>
          <w:sz w:val="20"/>
          <w:szCs w:val="20"/>
          <w:color w:val="auto"/>
        </w:rPr>
      </w:pPr>
    </w:p>
    <w:p>
      <w:pPr>
        <w:ind w:left="100" w:right="119" w:firstLine="351"/>
        <w:spacing w:after="0" w:line="253" w:lineRule="auto"/>
        <w:rPr>
          <w:sz w:val="20"/>
          <w:szCs w:val="20"/>
          <w:color w:val="auto"/>
        </w:rPr>
      </w:pPr>
      <w:r>
        <w:rPr>
          <w:rFonts w:ascii="Arial" w:cs="Arial" w:eastAsia="Arial" w:hAnsi="Arial"/>
          <w:sz w:val="18"/>
          <w:szCs w:val="18"/>
          <w:color w:val="auto"/>
        </w:rPr>
        <w:t xml:space="preserve">Net income from continuing operations for the third quarter of fiscal 2004 was $17.7 million, a 97 percent increase compared to $9.0 million for the third quarter of fiscal 2003. On a diluted per share basis, the Company earned 51 cents from continuing operations for the third quarter of fiscal 2004, a 113 percent increase compared to 24 cents for the third quarter last year. Excluding the charge from the previously announced settlement of the </w:t>
      </w:r>
      <w:r>
        <w:rPr>
          <w:rFonts w:ascii="Arial" w:cs="Arial" w:eastAsia="Arial" w:hAnsi="Arial"/>
          <w:sz w:val="18"/>
          <w:szCs w:val="18"/>
          <w:u w:val="single" w:color="auto"/>
          <w:color w:val="auto"/>
        </w:rPr>
        <w:t>Sanft, et al vs. Winnebago Industries, Inc</w:t>
      </w:r>
      <w:r>
        <w:rPr>
          <w:rFonts w:ascii="Arial" w:cs="Arial" w:eastAsia="Arial" w:hAnsi="Arial"/>
          <w:sz w:val="18"/>
          <w:szCs w:val="18"/>
          <w:color w:val="auto"/>
        </w:rPr>
        <w:t>. lawsuit, net income would have been a record $22.3 million, a 148 percent increase compared to the $9.0 million for the third quarter of fiscal 2003. On a diluted per share basis excluding the charge, the Company earned 64 cents per diluted share.</w:t>
      </w:r>
    </w:p>
    <w:p>
      <w:pPr>
        <w:spacing w:after="0" w:line="201" w:lineRule="exact"/>
        <w:rPr>
          <w:sz w:val="20"/>
          <w:szCs w:val="20"/>
          <w:color w:val="auto"/>
        </w:rPr>
      </w:pPr>
    </w:p>
    <w:p>
      <w:pPr>
        <w:ind w:left="100" w:right="159" w:firstLine="351"/>
        <w:spacing w:after="0" w:line="268" w:lineRule="auto"/>
        <w:rPr>
          <w:sz w:val="20"/>
          <w:szCs w:val="20"/>
          <w:color w:val="auto"/>
        </w:rPr>
      </w:pPr>
      <w:r>
        <w:rPr>
          <w:rFonts w:ascii="Arial" w:cs="Arial" w:eastAsia="Arial" w:hAnsi="Arial"/>
          <w:sz w:val="18"/>
          <w:szCs w:val="18"/>
          <w:color w:val="auto"/>
        </w:rPr>
        <w:t>Revenues from continuing operations for the first nine months of fiscal 2004 were a record $831.2 million, a 34 percent increase compared to $619.5 million for the first nine months of fiscal 2003.</w:t>
      </w:r>
    </w:p>
    <w:p>
      <w:pPr>
        <w:spacing w:after="0" w:line="186" w:lineRule="exact"/>
        <w:rPr>
          <w:sz w:val="20"/>
          <w:szCs w:val="20"/>
          <w:color w:val="auto"/>
        </w:rPr>
      </w:pPr>
    </w:p>
    <w:p>
      <w:pPr>
        <w:ind w:left="100" w:right="179" w:firstLine="351"/>
        <w:spacing w:after="0" w:line="256" w:lineRule="auto"/>
        <w:rPr>
          <w:sz w:val="20"/>
          <w:szCs w:val="20"/>
          <w:color w:val="auto"/>
        </w:rPr>
      </w:pPr>
      <w:r>
        <w:rPr>
          <w:rFonts w:ascii="Arial" w:cs="Arial" w:eastAsia="Arial" w:hAnsi="Arial"/>
          <w:sz w:val="18"/>
          <w:szCs w:val="18"/>
          <w:color w:val="auto"/>
        </w:rPr>
        <w:t>Net income from continuing operations for the first nine months of fiscal 2004 was $51.7 million, a 40 percent increase compared to $36.8 million for the first nine months of fiscal 2003. On a diluted per share basis, the Company earned $1.48 from continuing operations for the first nine months of fiscal 2004, a 53 percent increase compared to 97 cents for the first nine months of fiscal 2003.</w:t>
      </w:r>
    </w:p>
    <w:p>
      <w:pPr>
        <w:spacing w:after="0" w:line="197" w:lineRule="exact"/>
        <w:rPr>
          <w:sz w:val="20"/>
          <w:szCs w:val="20"/>
          <w:color w:val="auto"/>
        </w:rPr>
      </w:pPr>
    </w:p>
    <w:p>
      <w:pPr>
        <w:ind w:left="100" w:right="139" w:firstLine="351"/>
        <w:spacing w:after="0" w:line="255" w:lineRule="auto"/>
        <w:rPr>
          <w:sz w:val="20"/>
          <w:szCs w:val="20"/>
          <w:color w:val="auto"/>
        </w:rPr>
      </w:pPr>
      <w:r>
        <w:rPr>
          <w:rFonts w:ascii="Arial" w:cs="Arial" w:eastAsia="Arial" w:hAnsi="Arial"/>
          <w:sz w:val="18"/>
          <w:szCs w:val="18"/>
          <w:color w:val="auto"/>
        </w:rPr>
        <w:t>“Revenues and earnings for the third quarter benefited from increased motor home sales, particularly our diesel product lines,” said Winnebago Industries’ Chairman, CEO and President Bruce Hertzke. “We were especially pleased with the volume of diesel products sold in the third quarter, which include the Winnebago Journey and Vectra and the Itasca Meridian and Horizon. We experienced a 127 percent increase in diesel motor homes delivered during the third quarter versus the same period a year ago.”</w:t>
      </w:r>
    </w:p>
    <w:p>
      <w:pPr>
        <w:spacing w:after="0" w:line="197" w:lineRule="exact"/>
        <w:rPr>
          <w:sz w:val="20"/>
          <w:szCs w:val="20"/>
          <w:color w:val="auto"/>
        </w:rPr>
      </w:pPr>
    </w:p>
    <w:p>
      <w:pPr>
        <w:ind w:left="100" w:right="619" w:firstLine="348"/>
        <w:spacing w:after="0" w:line="268" w:lineRule="auto"/>
        <w:rPr>
          <w:sz w:val="20"/>
          <w:szCs w:val="20"/>
          <w:color w:val="auto"/>
        </w:rPr>
      </w:pPr>
      <w:r>
        <w:rPr>
          <w:rFonts w:ascii="Arial" w:cs="Arial" w:eastAsia="Arial" w:hAnsi="Arial"/>
          <w:sz w:val="18"/>
          <w:szCs w:val="18"/>
          <w:color w:val="auto"/>
        </w:rPr>
        <w:t>Total motor home deliveries were 3,444 units for the third quarter ended May 29, 2004, an increase of 32 percent compared to motor home deliveries of 2,601 for the third quarter last year.</w:t>
      </w:r>
    </w:p>
    <w:p>
      <w:pPr>
        <w:spacing w:after="0" w:line="186" w:lineRule="exact"/>
        <w:rPr>
          <w:sz w:val="20"/>
          <w:szCs w:val="20"/>
          <w:color w:val="auto"/>
        </w:rPr>
      </w:pPr>
    </w:p>
    <w:p>
      <w:pPr>
        <w:ind w:left="100" w:right="459" w:firstLine="348"/>
        <w:spacing w:after="0" w:line="332" w:lineRule="auto"/>
        <w:rPr>
          <w:sz w:val="20"/>
          <w:szCs w:val="20"/>
          <w:color w:val="auto"/>
        </w:rPr>
      </w:pPr>
      <w:r>
        <w:rPr>
          <w:rFonts w:ascii="Arial" w:cs="Arial" w:eastAsia="Arial" w:hAnsi="Arial"/>
          <w:sz w:val="16"/>
          <w:szCs w:val="16"/>
          <w:color w:val="auto"/>
        </w:rPr>
        <w:t>Winnebago Industries is the top selling motor home manufacturer with 18.5 percent of the combined Class A and C market calendar year to date through April, versus 18.3 percent for the same period a year ago.</w:t>
      </w:r>
    </w:p>
    <w:p>
      <w:pPr>
        <w:spacing w:after="0" w:line="139" w:lineRule="exact"/>
        <w:rPr>
          <w:sz w:val="20"/>
          <w:szCs w:val="20"/>
          <w:color w:val="auto"/>
        </w:rPr>
      </w:pPr>
    </w:p>
    <w:p>
      <w:pPr>
        <w:ind w:left="100" w:right="459" w:firstLine="348"/>
        <w:spacing w:after="0" w:line="268" w:lineRule="auto"/>
        <w:rPr>
          <w:sz w:val="20"/>
          <w:szCs w:val="20"/>
          <w:color w:val="auto"/>
        </w:rPr>
      </w:pPr>
      <w:r>
        <w:rPr>
          <w:rFonts w:ascii="Arial" w:cs="Arial" w:eastAsia="Arial" w:hAnsi="Arial"/>
          <w:sz w:val="18"/>
          <w:szCs w:val="18"/>
          <w:color w:val="auto"/>
        </w:rPr>
        <w:t>The Company’s sales order backlog was 2,444 units at May 29, 2004, an increase of 72 percent over the backlog of 1,419 units one year ago.</w:t>
      </w:r>
    </w:p>
    <w:p>
      <w:pPr>
        <w:spacing w:after="0" w:line="186" w:lineRule="exact"/>
        <w:rPr>
          <w:sz w:val="20"/>
          <w:szCs w:val="20"/>
          <w:color w:val="auto"/>
        </w:rPr>
      </w:pPr>
    </w:p>
    <w:p>
      <w:pPr>
        <w:ind w:left="100" w:right="99" w:firstLine="351"/>
        <w:spacing w:after="0" w:line="255" w:lineRule="auto"/>
        <w:rPr>
          <w:sz w:val="20"/>
          <w:szCs w:val="20"/>
          <w:color w:val="auto"/>
        </w:rPr>
      </w:pPr>
      <w:r>
        <w:rPr>
          <w:rFonts w:ascii="Arial" w:cs="Arial" w:eastAsia="Arial" w:hAnsi="Arial"/>
          <w:sz w:val="18"/>
          <w:szCs w:val="18"/>
          <w:color w:val="auto"/>
        </w:rPr>
        <w:t>During the third quarter ended May 29, 2004, Winnebago Industries completed the Company’s eighth stock repurchase program with the repurchase of 384,533 shares for an aggregate price of approximately $10.3 million. On a fiscal year to date basis, Winnebago Industries has repurchased 3,284,533 shares for an aggregate price of approximately $74.3 million. As previously announced, the Company’s Board of Directors has also authorized a ninth stock repurchase program, authorizing the purchase of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351155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shares of Winnebago Industries’ common stock for an aggregate price of up to $30 million.</w:t>
      </w:r>
    </w:p>
    <w:p>
      <w:pPr>
        <w:spacing w:after="0" w:line="225" w:lineRule="exact"/>
        <w:rPr>
          <w:sz w:val="20"/>
          <w:szCs w:val="20"/>
          <w:color w:val="auto"/>
        </w:rPr>
      </w:pPr>
    </w:p>
    <w:p>
      <w:pPr>
        <w:ind w:left="100" w:right="379" w:firstLine="348"/>
        <w:spacing w:after="0" w:line="298" w:lineRule="auto"/>
        <w:rPr>
          <w:sz w:val="20"/>
          <w:szCs w:val="20"/>
          <w:color w:val="auto"/>
        </w:rPr>
      </w:pPr>
      <w:r>
        <w:rPr>
          <w:rFonts w:ascii="Arial" w:cs="Arial" w:eastAsia="Arial" w:hAnsi="Arial"/>
          <w:sz w:val="16"/>
          <w:szCs w:val="16"/>
          <w:color w:val="auto"/>
        </w:rPr>
        <w:t xml:space="preserve">Winnebago Industries will conduct a conference call in conjunction with this release at 10 a.m. ET today, Thursday, June 17, 2004.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www.winnebagoind.com</w:t>
      </w:r>
      <w:r>
        <w:rPr>
          <w:rFonts w:ascii="Arial" w:cs="Arial" w:eastAsia="Arial" w:hAnsi="Arial"/>
          <w:sz w:val="16"/>
          <w:szCs w:val="16"/>
          <w:color w:val="auto"/>
        </w:rPr>
        <w:t xml:space="preserve"> or at </w:t>
      </w:r>
      <w:r>
        <w:rPr>
          <w:rFonts w:ascii="Arial" w:cs="Arial" w:eastAsia="Arial" w:hAnsi="Arial"/>
          <w:sz w:val="16"/>
          <w:szCs w:val="16"/>
          <w:u w:val="single" w:color="auto"/>
          <w:color w:val="auto"/>
        </w:rPr>
        <w:t>www.shareholder.com/winnebago/medialist.cfm</w:t>
      </w:r>
      <w:r>
        <w:rPr>
          <w:rFonts w:ascii="Arial" w:cs="Arial" w:eastAsia="Arial" w:hAnsi="Arial"/>
          <w:sz w:val="16"/>
          <w:szCs w:val="16"/>
          <w:color w:val="auto"/>
        </w:rPr>
        <w:t>. The event will be archived and available for replay for the next 90 days.</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About Winnebago Industries</w:t>
      </w:r>
    </w:p>
    <w:p>
      <w:pPr>
        <w:spacing w:after="0" w:line="21" w:lineRule="exact"/>
        <w:rPr>
          <w:sz w:val="20"/>
          <w:szCs w:val="20"/>
          <w:color w:val="auto"/>
        </w:rPr>
      </w:pPr>
    </w:p>
    <w:p>
      <w:pPr>
        <w:ind w:left="100" w:right="119" w:firstLine="348"/>
        <w:spacing w:after="0" w:line="287" w:lineRule="auto"/>
        <w:rPr>
          <w:sz w:val="20"/>
          <w:szCs w:val="20"/>
          <w:color w:val="auto"/>
        </w:rPr>
      </w:pPr>
      <w:r>
        <w:rPr>
          <w:rFonts w:ascii="Arial" w:cs="Arial" w:eastAsia="Arial" w:hAnsi="Arial"/>
          <w:sz w:val="16"/>
          <w:szCs w:val="16"/>
          <w:color w:val="auto"/>
        </w:rPr>
        <w:t xml:space="preserve">Winnebago Industries, Inc. is the leading United States manufacturer of motor homes, self-contained recreation vehicles used primarily in leisure travel and outdoor recreation activities. The Company builds quality motor homes under the Winnebago, Itasca, Rialta and Ultimate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Arial" w:cs="Arial" w:eastAsia="Arial" w:hAnsi="Arial"/>
          <w:sz w:val="16"/>
          <w:szCs w:val="16"/>
          <w:u w:val="single" w:color="auto"/>
          <w:color w:val="auto"/>
        </w:rPr>
        <w:t>http://www.winnebagoind.com/html/company/investorRelations.html</w:t>
      </w:r>
      <w:r>
        <w:rPr>
          <w:rFonts w:ascii="Arial" w:cs="Arial" w:eastAsia="Arial" w:hAnsi="Arial"/>
          <w:sz w:val="16"/>
          <w:szCs w:val="16"/>
          <w:color w:val="auto"/>
        </w:rPr>
        <w:t>.</w:t>
      </w:r>
    </w:p>
    <w:p>
      <w:pPr>
        <w:spacing w:after="0" w:line="178" w:lineRule="exact"/>
        <w:rPr>
          <w:sz w:val="20"/>
          <w:szCs w:val="20"/>
          <w:color w:val="auto"/>
        </w:rPr>
      </w:pPr>
    </w:p>
    <w:p>
      <w:pPr>
        <w:ind w:left="100" w:right="119" w:firstLine="348"/>
        <w:spacing w:after="0" w:line="312" w:lineRule="auto"/>
        <w:rPr>
          <w:sz w:val="20"/>
          <w:szCs w:val="20"/>
          <w:color w:val="auto"/>
        </w:rPr>
      </w:pPr>
      <w:r>
        <w:rPr>
          <w:rFonts w:ascii="Arial" w:cs="Arial" w:eastAsia="Arial" w:hAnsi="Arial"/>
          <w:sz w:val="15"/>
          <w:szCs w:val="15"/>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reactions to actual or threatened terrorist attacks, the availability and price of fuel, a significant increase in interest rates, a slowdown in the economy, availability of chassis and other key component parts, sales order cancellations, slower than anticipated sales of new or existing products, new products introduced by competitors and other factors. Additional information concerning certain risks and uncertainties that could cause actual results to differ materially from that projected or suggested is contained</w:t>
      </w:r>
    </w:p>
    <w:p>
      <w:pPr>
        <w:sectPr>
          <w:pgSz w:w="11900" w:h="16892" w:orient="portrait"/>
          <w:cols w:equalWidth="0" w:num="1">
            <w:col w:w="9019"/>
          </w:cols>
          <w:pgMar w:left="1440" w:top="131" w:right="1440" w:bottom="0" w:gutter="0" w:footer="0" w:header="0"/>
        </w:sectPr>
      </w:pPr>
    </w:p>
    <w:bookmarkStart w:id="3" w:name="page4"/>
    <w:bookmarkEnd w:id="3"/>
    <w:p>
      <w:pPr>
        <w:ind w:left="100" w:right="239"/>
        <w:spacing w:after="0" w:line="268" w:lineRule="auto"/>
        <w:rPr>
          <w:sz w:val="20"/>
          <w:szCs w:val="20"/>
          <w:color w:val="auto"/>
        </w:rPr>
      </w:pPr>
      <w:r>
        <w:rPr>
          <w:rFonts w:ascii="Arial" w:cs="Arial" w:eastAsia="Arial" w:hAnsi="Arial"/>
          <w:sz w:val="18"/>
          <w:szCs w:val="18"/>
          <w:color w:val="auto"/>
        </w:rPr>
        <w:t>in the Company’s filings with the Securities and Exchange Commission (SEC) over the last 12 months, copies of which are available from the SEC or from the Company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1424940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Unaudited Consolidated Statements of Income</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6"/>
          </w:tcPr>
          <w:p>
            <w:pPr>
              <w:ind w:left="380"/>
              <w:spacing w:after="0"/>
              <w:rPr>
                <w:sz w:val="20"/>
                <w:szCs w:val="20"/>
                <w:color w:val="auto"/>
              </w:rPr>
            </w:pPr>
            <w:r>
              <w:rPr>
                <w:rFonts w:ascii="Arial" w:cs="Arial" w:eastAsia="Arial" w:hAnsi="Arial"/>
                <w:sz w:val="14"/>
                <w:szCs w:val="14"/>
                <w:b w:val="1"/>
                <w:bCs w:val="1"/>
                <w:color w:val="auto"/>
              </w:rPr>
              <w:t>Quarter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ind w:lef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3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54"/>
              <w:spacing w:after="0"/>
              <w:rPr>
                <w:sz w:val="20"/>
                <w:szCs w:val="20"/>
                <w:color w:val="auto"/>
              </w:rPr>
            </w:pPr>
            <w:r>
              <w:rPr>
                <w:rFonts w:ascii="Arial" w:cs="Arial" w:eastAsia="Arial" w:hAnsi="Arial"/>
                <w:sz w:val="14"/>
                <w:szCs w:val="14"/>
                <w:b w:val="1"/>
                <w:bCs w:val="1"/>
                <w:color w:val="auto"/>
                <w:w w:val="86"/>
              </w:rPr>
              <w:t>5/29/2004</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53"/>
              <w:spacing w:after="0"/>
              <w:rPr>
                <w:sz w:val="20"/>
                <w:szCs w:val="20"/>
                <w:color w:val="auto"/>
              </w:rPr>
            </w:pPr>
            <w:r>
              <w:rPr>
                <w:rFonts w:ascii="Arial" w:cs="Arial" w:eastAsia="Arial" w:hAnsi="Arial"/>
                <w:sz w:val="14"/>
                <w:szCs w:val="14"/>
                <w:b w:val="1"/>
                <w:bCs w:val="1"/>
                <w:color w:val="auto"/>
                <w:w w:val="89"/>
              </w:rPr>
              <w:t>5/31/2003</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54"/>
              <w:spacing w:after="0"/>
              <w:rPr>
                <w:sz w:val="20"/>
                <w:szCs w:val="20"/>
                <w:color w:val="auto"/>
              </w:rPr>
            </w:pPr>
            <w:r>
              <w:rPr>
                <w:rFonts w:ascii="Arial" w:cs="Arial" w:eastAsia="Arial" w:hAnsi="Arial"/>
                <w:sz w:val="14"/>
                <w:szCs w:val="14"/>
                <w:b w:val="1"/>
                <w:bCs w:val="1"/>
                <w:color w:val="auto"/>
                <w:w w:val="89"/>
              </w:rPr>
              <w:t>5/29/2004</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b w:val="1"/>
                <w:bCs w:val="1"/>
                <w:color w:val="auto"/>
                <w:w w:val="86"/>
              </w:rPr>
              <w:t>5/31/2003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280" w:type="dxa"/>
            <w:vAlign w:val="bottom"/>
          </w:tcPr>
          <w:p>
            <w:pPr>
              <w:spacing w:after="0"/>
              <w:rPr>
                <w:sz w:val="20"/>
                <w:szCs w:val="20"/>
                <w:color w:val="auto"/>
              </w:rPr>
            </w:pPr>
            <w:r>
              <w:rPr>
                <w:rFonts w:ascii="Arial" w:cs="Arial" w:eastAsia="Arial" w:hAnsi="Arial"/>
                <w:sz w:val="18"/>
                <w:szCs w:val="18"/>
                <w:color w:val="auto"/>
              </w:rPr>
              <w:t>Net revenues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310,186</w:t>
            </w:r>
          </w:p>
        </w:tc>
        <w:tc>
          <w:tcPr>
            <w:tcW w:w="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200,211</w:t>
            </w:r>
          </w:p>
        </w:tc>
        <w:tc>
          <w:tcPr>
            <w:tcW w:w="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831,152</w:t>
            </w:r>
          </w:p>
        </w:tc>
        <w:tc>
          <w:tcPr>
            <w:tcW w:w="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619,516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80" w:type="dxa"/>
            <w:vAlign w:val="bottom"/>
          </w:tcPr>
          <w:p>
            <w:pPr>
              <w:spacing w:after="0"/>
              <w:rPr>
                <w:sz w:val="20"/>
                <w:szCs w:val="20"/>
                <w:color w:val="auto"/>
              </w:rPr>
            </w:pPr>
            <w:r>
              <w:rPr>
                <w:rFonts w:ascii="Arial" w:cs="Arial" w:eastAsia="Arial" w:hAnsi="Arial"/>
                <w:sz w:val="18"/>
                <w:szCs w:val="18"/>
                <w:color w:val="auto"/>
              </w:rPr>
              <w:t>Cost of goods sold</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264,167</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177,065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710,639</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534,930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8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46,019</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23,146</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120,513</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84,586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28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2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Selling</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4,756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4,652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13,778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8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13,187</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4,251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24,964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8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17,943</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8,903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38,742</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25,694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280" w:type="dxa"/>
            <w:vAlign w:val="bottom"/>
          </w:tcPr>
          <w:p>
            <w:pPr>
              <w:spacing w:after="0"/>
              <w:rPr>
                <w:sz w:val="20"/>
                <w:szCs w:val="20"/>
                <w:color w:val="auto"/>
              </w:rPr>
            </w:pPr>
            <w:r>
              <w:rPr>
                <w:rFonts w:ascii="Arial" w:cs="Arial" w:eastAsia="Arial" w:hAnsi="Arial"/>
                <w:sz w:val="18"/>
                <w:szCs w:val="18"/>
                <w:color w:val="auto"/>
              </w:rPr>
              <w:t>Operating income</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28,076</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14,243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81,771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58,892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80" w:type="dxa"/>
            <w:vAlign w:val="bottom"/>
          </w:tcPr>
          <w:p>
            <w:pPr>
              <w:spacing w:after="0"/>
              <w:rPr>
                <w:sz w:val="20"/>
                <w:szCs w:val="20"/>
                <w:color w:val="auto"/>
              </w:rPr>
            </w:pPr>
            <w:r>
              <w:rPr>
                <w:rFonts w:ascii="Arial" w:cs="Arial" w:eastAsia="Arial" w:hAnsi="Arial"/>
                <w:sz w:val="18"/>
                <w:szCs w:val="18"/>
                <w:color w:val="auto"/>
              </w:rPr>
              <w:t>Financial income</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366</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280" w:type="dxa"/>
            <w:vAlign w:val="bottom"/>
          </w:tcPr>
          <w:p>
            <w:pPr>
              <w:spacing w:after="0"/>
              <w:rPr>
                <w:sz w:val="20"/>
                <w:szCs w:val="20"/>
                <w:color w:val="auto"/>
              </w:rPr>
            </w:pPr>
            <w:r>
              <w:rPr>
                <w:rFonts w:ascii="Arial" w:cs="Arial" w:eastAsia="Arial" w:hAnsi="Arial"/>
                <w:sz w:val="18"/>
                <w:szCs w:val="18"/>
                <w:color w:val="auto"/>
              </w:rPr>
              <w:t>Pre-tax income</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28,442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14,549</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82,723</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59,893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80" w:type="dxa"/>
            <w:vAlign w:val="bottom"/>
          </w:tcPr>
          <w:p>
            <w:pPr>
              <w:spacing w:after="0"/>
              <w:rPr>
                <w:sz w:val="20"/>
                <w:szCs w:val="20"/>
                <w:color w:val="auto"/>
              </w:rPr>
            </w:pPr>
            <w:r>
              <w:rPr>
                <w:rFonts w:ascii="Arial" w:cs="Arial" w:eastAsia="Arial" w:hAnsi="Arial"/>
                <w:sz w:val="18"/>
                <w:szCs w:val="18"/>
                <w:color w:val="auto"/>
              </w:rPr>
              <w:t>Provision for taxes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10,738</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5,554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31,072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2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17,704</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8,995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51,651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80" w:type="dxa"/>
            <w:vAlign w:val="bottom"/>
          </w:tcPr>
          <w:p>
            <w:pPr>
              <w:ind w:left="100"/>
              <w:spacing w:after="0"/>
              <w:rPr>
                <w:sz w:val="20"/>
                <w:szCs w:val="20"/>
                <w:color w:val="auto"/>
              </w:rPr>
            </w:pPr>
            <w:r>
              <w:rPr>
                <w:rFonts w:ascii="Arial" w:cs="Arial" w:eastAsia="Arial" w:hAnsi="Arial"/>
                <w:sz w:val="18"/>
                <w:szCs w:val="18"/>
                <w:color w:val="auto"/>
              </w:rPr>
              <w:t>(net of taxes)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80" w:type="dxa"/>
            <w:vAlign w:val="bottom"/>
          </w:tcPr>
          <w:p>
            <w:pPr>
              <w:spacing w:after="0"/>
              <w:rPr>
                <w:sz w:val="20"/>
                <w:szCs w:val="20"/>
                <w:color w:val="auto"/>
              </w:rPr>
            </w:pPr>
            <w:r>
              <w:rPr>
                <w:rFonts w:ascii="Arial" w:cs="Arial" w:eastAsia="Arial" w:hAnsi="Arial"/>
                <w:sz w:val="18"/>
                <w:szCs w:val="18"/>
                <w:color w:val="auto"/>
              </w:rPr>
              <w:t>Net income</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17,704</w:t>
            </w:r>
          </w:p>
        </w:tc>
        <w:tc>
          <w:tcPr>
            <w:tcW w:w="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9,329</w:t>
            </w:r>
          </w:p>
        </w:tc>
        <w:tc>
          <w:tcPr>
            <w:tcW w:w="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51,651</w:t>
            </w:r>
          </w:p>
        </w:tc>
        <w:tc>
          <w:tcPr>
            <w:tcW w:w="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37,916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280" w:type="dxa"/>
            <w:vAlign w:val="bottom"/>
            <w:vMerge w:val="restart"/>
          </w:tcPr>
          <w:p>
            <w:pPr>
              <w:spacing w:after="0"/>
              <w:rPr>
                <w:sz w:val="20"/>
                <w:szCs w:val="20"/>
                <w:color w:val="auto"/>
              </w:rPr>
            </w:pPr>
            <w:r>
              <w:rPr>
                <w:rFonts w:ascii="Arial" w:cs="Arial" w:eastAsia="Arial" w:hAnsi="Arial"/>
                <w:sz w:val="18"/>
                <w:szCs w:val="18"/>
                <w:color w:val="auto"/>
              </w:rPr>
              <w:t>Income per share (basic)</w:t>
            </w:r>
          </w:p>
        </w:tc>
        <w:tc>
          <w:tcPr>
            <w:tcW w:w="6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2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00"/>
              <w:spacing w:after="0"/>
              <w:rPr>
                <w:sz w:val="20"/>
                <w:szCs w:val="20"/>
                <w:color w:val="auto"/>
              </w:rPr>
            </w:pPr>
            <w:r>
              <w:rPr>
                <w:rFonts w:ascii="Arial" w:cs="Arial" w:eastAsia="Arial" w:hAnsi="Arial"/>
                <w:sz w:val="18"/>
                <w:szCs w:val="18"/>
                <w:color w:val="auto"/>
              </w:rPr>
              <w:t>From continuing operations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0.52</w:t>
            </w:r>
          </w:p>
        </w:tc>
        <w:tc>
          <w:tcPr>
            <w:tcW w:w="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0.25</w:t>
            </w:r>
          </w:p>
        </w:tc>
        <w:tc>
          <w:tcPr>
            <w:tcW w:w="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1.50</w:t>
            </w:r>
          </w:p>
        </w:tc>
        <w:tc>
          <w:tcPr>
            <w:tcW w:w="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80" w:type="dxa"/>
            <w:vAlign w:val="bottom"/>
          </w:tcPr>
          <w:p>
            <w:pPr>
              <w:ind w:left="100"/>
              <w:spacing w:after="0"/>
              <w:rPr>
                <w:sz w:val="20"/>
                <w:szCs w:val="20"/>
                <w:color w:val="auto"/>
              </w:rPr>
            </w:pPr>
            <w:r>
              <w:rPr>
                <w:rFonts w:ascii="Arial" w:cs="Arial" w:eastAsia="Arial" w:hAnsi="Arial"/>
                <w:sz w:val="18"/>
                <w:szCs w:val="18"/>
                <w:color w:val="auto"/>
              </w:rPr>
              <w:t>From discontinued operations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0.52</w:t>
            </w:r>
          </w:p>
        </w:tc>
        <w:tc>
          <w:tcPr>
            <w:tcW w:w="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0.26</w:t>
            </w:r>
          </w:p>
        </w:tc>
        <w:tc>
          <w:tcPr>
            <w:tcW w:w="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1.50</w:t>
            </w:r>
          </w:p>
        </w:tc>
        <w:tc>
          <w:tcPr>
            <w:tcW w:w="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280" w:type="dxa"/>
            <w:vAlign w:val="bottom"/>
            <w:vMerge w:val="restart"/>
          </w:tcPr>
          <w:p>
            <w:pPr>
              <w:spacing w:after="0"/>
              <w:rPr>
                <w:sz w:val="20"/>
                <w:szCs w:val="20"/>
                <w:color w:val="auto"/>
              </w:rPr>
            </w:pPr>
            <w:r>
              <w:rPr>
                <w:rFonts w:ascii="Arial" w:cs="Arial" w:eastAsia="Arial" w:hAnsi="Arial"/>
                <w:sz w:val="18"/>
                <w:szCs w:val="18"/>
                <w:color w:val="auto"/>
              </w:rPr>
              <w:t>Number of shares used in per share</w:t>
            </w:r>
          </w:p>
        </w:tc>
        <w:tc>
          <w:tcPr>
            <w:tcW w:w="6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2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80" w:type="dxa"/>
            <w:vAlign w:val="bottom"/>
          </w:tcPr>
          <w:p>
            <w:pPr>
              <w:ind w:left="100"/>
              <w:spacing w:after="0"/>
              <w:rPr>
                <w:sz w:val="20"/>
                <w:szCs w:val="20"/>
                <w:color w:val="auto"/>
              </w:rPr>
            </w:pPr>
            <w:r>
              <w:rPr>
                <w:rFonts w:ascii="Arial" w:cs="Arial" w:eastAsia="Arial" w:hAnsi="Arial"/>
                <w:sz w:val="18"/>
                <w:szCs w:val="18"/>
                <w:color w:val="auto"/>
              </w:rPr>
              <w:t>calculations – basic</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33,963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36,514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34,396</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37,172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3280" w:type="dxa"/>
            <w:vAlign w:val="bottom"/>
            <w:vMerge w:val="restart"/>
          </w:tcPr>
          <w:p>
            <w:pPr>
              <w:spacing w:after="0"/>
              <w:rPr>
                <w:sz w:val="20"/>
                <w:szCs w:val="20"/>
                <w:color w:val="auto"/>
              </w:rPr>
            </w:pPr>
            <w:r>
              <w:rPr>
                <w:rFonts w:ascii="Arial" w:cs="Arial" w:eastAsia="Arial" w:hAnsi="Arial"/>
                <w:sz w:val="18"/>
                <w:szCs w:val="18"/>
                <w:color w:val="auto"/>
              </w:rPr>
              <w:t>Income per share (diluted)</w:t>
            </w:r>
          </w:p>
        </w:tc>
        <w:tc>
          <w:tcPr>
            <w:tcW w:w="6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2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00"/>
              <w:spacing w:after="0"/>
              <w:rPr>
                <w:sz w:val="20"/>
                <w:szCs w:val="20"/>
                <w:color w:val="auto"/>
              </w:rPr>
            </w:pPr>
            <w:r>
              <w:rPr>
                <w:rFonts w:ascii="Arial" w:cs="Arial" w:eastAsia="Arial" w:hAnsi="Arial"/>
                <w:sz w:val="18"/>
                <w:szCs w:val="18"/>
                <w:color w:val="auto"/>
              </w:rPr>
              <w:t>From continuing operations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0.51</w:t>
            </w:r>
          </w:p>
        </w:tc>
        <w:tc>
          <w:tcPr>
            <w:tcW w:w="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0.24</w:t>
            </w:r>
          </w:p>
        </w:tc>
        <w:tc>
          <w:tcPr>
            <w:tcW w:w="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1.48</w:t>
            </w:r>
          </w:p>
        </w:tc>
        <w:tc>
          <w:tcPr>
            <w:tcW w:w="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80" w:type="dxa"/>
            <w:vAlign w:val="bottom"/>
          </w:tcPr>
          <w:p>
            <w:pPr>
              <w:ind w:left="100"/>
              <w:spacing w:after="0"/>
              <w:rPr>
                <w:sz w:val="20"/>
                <w:szCs w:val="20"/>
                <w:color w:val="auto"/>
              </w:rPr>
            </w:pPr>
            <w:r>
              <w:rPr>
                <w:rFonts w:ascii="Arial" w:cs="Arial" w:eastAsia="Arial" w:hAnsi="Arial"/>
                <w:sz w:val="18"/>
                <w:szCs w:val="18"/>
                <w:color w:val="auto"/>
              </w:rPr>
              <w:t>From discontinued operations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0.51</w:t>
            </w:r>
          </w:p>
        </w:tc>
        <w:tc>
          <w:tcPr>
            <w:tcW w:w="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0.25</w:t>
            </w:r>
          </w:p>
        </w:tc>
        <w:tc>
          <w:tcPr>
            <w:tcW w:w="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1.48</w:t>
            </w:r>
          </w:p>
        </w:tc>
        <w:tc>
          <w:tcPr>
            <w:tcW w:w="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280" w:type="dxa"/>
            <w:vAlign w:val="bottom"/>
            <w:vMerge w:val="restart"/>
          </w:tcPr>
          <w:p>
            <w:pPr>
              <w:spacing w:after="0"/>
              <w:rPr>
                <w:sz w:val="20"/>
                <w:szCs w:val="20"/>
                <w:color w:val="auto"/>
              </w:rPr>
            </w:pPr>
            <w:r>
              <w:rPr>
                <w:rFonts w:ascii="Arial" w:cs="Arial" w:eastAsia="Arial" w:hAnsi="Arial"/>
                <w:sz w:val="18"/>
                <w:szCs w:val="18"/>
                <w:color w:val="auto"/>
              </w:rPr>
              <w:t>Number of shares used in per share</w:t>
            </w:r>
          </w:p>
        </w:tc>
        <w:tc>
          <w:tcPr>
            <w:tcW w:w="6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2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80" w:type="dxa"/>
            <w:vAlign w:val="bottom"/>
          </w:tcPr>
          <w:p>
            <w:pPr>
              <w:ind w:left="140"/>
              <w:spacing w:after="0"/>
              <w:rPr>
                <w:sz w:val="20"/>
                <w:szCs w:val="20"/>
                <w:color w:val="auto"/>
              </w:rPr>
            </w:pPr>
            <w:r>
              <w:rPr>
                <w:rFonts w:ascii="Arial" w:cs="Arial" w:eastAsia="Arial" w:hAnsi="Arial"/>
                <w:sz w:val="18"/>
                <w:szCs w:val="18"/>
                <w:color w:val="auto"/>
              </w:rPr>
              <w:t>calculations – diluted</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34,525</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37,098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34,972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37,850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3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-2569845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-2569845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3975100</wp:posOffset>
            </wp:positionH>
            <wp:positionV relativeFrom="paragraph">
              <wp:posOffset>-2569845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-2569845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4652645</wp:posOffset>
            </wp:positionH>
            <wp:positionV relativeFrom="paragraph">
              <wp:posOffset>-2569845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-2569845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-2569845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-2569845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-1720850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-1720850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3975100</wp:posOffset>
            </wp:positionH>
            <wp:positionV relativeFrom="paragraph">
              <wp:posOffset>-1720850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-1720850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4652645</wp:posOffset>
            </wp:positionH>
            <wp:positionV relativeFrom="paragraph">
              <wp:posOffset>-1720850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-1720850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-1720850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-1720850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-1292225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-1292225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3975100</wp:posOffset>
            </wp:positionH>
            <wp:positionV relativeFrom="paragraph">
              <wp:posOffset>-1292225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-1292225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4652645</wp:posOffset>
            </wp:positionH>
            <wp:positionV relativeFrom="paragraph">
              <wp:posOffset>-1292225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-1292225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-1292225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-1292225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-443230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-443230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3975100</wp:posOffset>
            </wp:positionH>
            <wp:positionV relativeFrom="paragraph">
              <wp:posOffset>-443230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-443230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4652645</wp:posOffset>
            </wp:positionH>
            <wp:positionV relativeFrom="paragraph">
              <wp:posOffset>-443230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-443230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-443230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-443230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3975100</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4652645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On January 14, 2004, the Company’s Board of Directors declared a two-for-one stock split effected in the form of a</w:t>
      </w:r>
    </w:p>
    <w:p>
      <w:pPr>
        <w:spacing w:after="0" w:line="38" w:lineRule="exact"/>
        <w:rPr>
          <w:sz w:val="20"/>
          <w:szCs w:val="20"/>
          <w:color w:val="auto"/>
        </w:rPr>
      </w:pPr>
    </w:p>
    <w:p>
      <w:pPr>
        <w:ind w:left="100" w:right="119"/>
        <w:spacing w:after="0" w:line="261" w:lineRule="auto"/>
        <w:rPr>
          <w:sz w:val="20"/>
          <w:szCs w:val="20"/>
          <w:color w:val="auto"/>
        </w:rPr>
      </w:pPr>
      <w:r>
        <w:rPr>
          <w:rFonts w:ascii="Arial" w:cs="Arial" w:eastAsia="Arial" w:hAnsi="Arial"/>
          <w:sz w:val="18"/>
          <w:szCs w:val="18"/>
          <w:color w:val="auto"/>
        </w:rPr>
        <w:t>100 percent stock dividend distributed on March 5, 2004 to shareholders of record as of February 20, 2004. All share and per share amounts have been restated to reflect the retroactive effect of the stock split.</w:t>
      </w:r>
    </w:p>
    <w:p>
      <w:pPr>
        <w:spacing w:after="0" w:line="19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Certain prior period information has been reclassified to conform to the current year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368935</wp:posOffset>
            </wp:positionV>
            <wp:extent cx="725043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019"/>
          </w:cols>
          <w:pgMar w:left="1440" w:top="131" w:right="1440" w:bottom="647"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2"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5820" w:type="dxa"/>
            <w:vAlign w:val="bottom"/>
          </w:tcPr>
          <w:p>
            <w:pPr>
              <w:spacing w:after="0"/>
              <w:rPr>
                <w:sz w:val="15"/>
                <w:szCs w:val="15"/>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May 29, 2004</w:t>
            </w:r>
          </w:p>
        </w:tc>
        <w:tc>
          <w:tcPr>
            <w:tcW w:w="300" w:type="dxa"/>
            <w:vAlign w:val="bottom"/>
          </w:tcPr>
          <w:p>
            <w:pPr>
              <w:spacing w:after="0"/>
              <w:rPr>
                <w:sz w:val="15"/>
                <w:szCs w:val="15"/>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w w:val="96"/>
              </w:rPr>
              <w:t>Aug. 30, 2003</w:t>
            </w:r>
          </w:p>
        </w:tc>
        <w:tc>
          <w:tcPr>
            <w:tcW w:w="0" w:type="dxa"/>
            <w:vAlign w:val="bottom"/>
          </w:tcPr>
          <w:p>
            <w:pPr>
              <w:spacing w:after="0"/>
              <w:rPr>
                <w:sz w:val="1"/>
                <w:szCs w:val="1"/>
                <w:color w:val="auto"/>
              </w:rPr>
            </w:pPr>
          </w:p>
        </w:tc>
      </w:tr>
      <w:tr>
        <w:trPr>
          <w:trHeight w:val="95"/>
        </w:trPr>
        <w:tc>
          <w:tcPr>
            <w:tcW w:w="582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5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95,521</w:t>
            </w:r>
          </w:p>
        </w:tc>
        <w:tc>
          <w:tcPr>
            <w:tcW w:w="20" w:type="dxa"/>
            <w:vAlign w:val="bottom"/>
          </w:tcPr>
          <w:p>
            <w:pPr>
              <w:spacing w:after="0"/>
              <w:rPr>
                <w:sz w:val="18"/>
                <w:szCs w:val="18"/>
                <w:color w:val="auto"/>
              </w:rPr>
            </w:pPr>
          </w:p>
        </w:tc>
        <w:tc>
          <w:tcPr>
            <w:tcW w:w="5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Receivables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26,792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127,273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tcPr>
          <w:p>
            <w:pPr>
              <w:ind w:left="1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14,615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8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82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264,201</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257,289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63,644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25,833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Investment in life insurance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22,706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12,484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8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388,868</w:t>
            </w:r>
          </w:p>
        </w:tc>
        <w:tc>
          <w:tcPr>
            <w:tcW w:w="20" w:type="dxa"/>
            <w:vAlign w:val="bottom"/>
          </w:tcPr>
          <w:p>
            <w:pPr>
              <w:spacing w:after="0"/>
              <w:rPr>
                <w:sz w:val="24"/>
                <w:szCs w:val="24"/>
                <w:color w:val="auto"/>
              </w:rPr>
            </w:pPr>
          </w:p>
        </w:tc>
        <w:tc>
          <w:tcPr>
            <w:tcW w:w="5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377,462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82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5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48,483</w:t>
            </w:r>
          </w:p>
        </w:tc>
        <w:tc>
          <w:tcPr>
            <w:tcW w:w="20" w:type="dxa"/>
            <w:vAlign w:val="bottom"/>
          </w:tcPr>
          <w:p>
            <w:pPr>
              <w:spacing w:after="0"/>
              <w:rPr>
                <w:sz w:val="18"/>
                <w:szCs w:val="18"/>
                <w:color w:val="auto"/>
              </w:rPr>
            </w:pPr>
          </w:p>
        </w:tc>
        <w:tc>
          <w:tcPr>
            <w:tcW w:w="5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6,289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820" w:type="dxa"/>
            <w:vAlign w:val="bottom"/>
          </w:tcPr>
          <w:p>
            <w:pPr>
              <w:ind w:left="8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58,735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8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82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113,507</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92,398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Post retirement health care and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deferred compensation benefits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85,717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189,644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210,626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8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388,868</w:t>
            </w:r>
          </w:p>
        </w:tc>
        <w:tc>
          <w:tcPr>
            <w:tcW w:w="20" w:type="dxa"/>
            <w:vAlign w:val="bottom"/>
          </w:tcPr>
          <w:p>
            <w:pPr>
              <w:spacing w:after="0"/>
              <w:rPr>
                <w:sz w:val="24"/>
                <w:szCs w:val="24"/>
                <w:color w:val="auto"/>
              </w:rPr>
            </w:pPr>
          </w:p>
        </w:tc>
        <w:tc>
          <w:tcPr>
            <w:tcW w:w="5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377,462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8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4549775</wp:posOffset>
            </wp:positionH>
            <wp:positionV relativeFrom="paragraph">
              <wp:posOffset>-1969770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-1969770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-1969770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-1969770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4549775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1059180</wp:posOffset>
            </wp:positionV>
            <wp:extent cx="725043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Condensed 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4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Nine Months</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040" w:type="dxa"/>
            <w:vAlign w:val="bottom"/>
          </w:tcPr>
          <w:p>
            <w:pPr>
              <w:spacing w:after="0"/>
              <w:rPr>
                <w:sz w:val="15"/>
                <w:szCs w:val="15"/>
                <w:color w:val="auto"/>
              </w:rPr>
            </w:pPr>
          </w:p>
        </w:tc>
        <w:tc>
          <w:tcPr>
            <w:tcW w:w="160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5/29/2004</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73"/>
              <w:spacing w:after="0"/>
              <w:rPr>
                <w:sz w:val="20"/>
                <w:szCs w:val="20"/>
                <w:color w:val="auto"/>
              </w:rPr>
            </w:pPr>
            <w:r>
              <w:rPr>
                <w:rFonts w:ascii="Arial" w:cs="Arial" w:eastAsia="Arial" w:hAnsi="Arial"/>
                <w:sz w:val="14"/>
                <w:szCs w:val="14"/>
                <w:b w:val="1"/>
                <w:bCs w:val="1"/>
                <w:color w:val="auto"/>
                <w:w w:val="83"/>
              </w:rPr>
              <w:t>5/31/2003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04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7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50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Net income as shown on the statement of income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   51,651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37,916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tcPr>
          <w:p>
            <w:pPr>
              <w:ind w:left="140"/>
              <w:spacing w:after="0"/>
              <w:rPr>
                <w:sz w:val="20"/>
                <w:szCs w:val="20"/>
                <w:color w:val="auto"/>
              </w:rPr>
            </w:pPr>
            <w:r>
              <w:rPr>
                <w:rFonts w:ascii="Arial" w:cs="Arial" w:eastAsia="Arial" w:hAnsi="Arial"/>
                <w:sz w:val="18"/>
                <w:szCs w:val="18"/>
                <w:color w:val="auto"/>
              </w:rPr>
              <w:t>Income from discontinued operations</w:t>
            </w:r>
          </w:p>
        </w:tc>
        <w:tc>
          <w:tcPr>
            <w:tcW w:w="780" w:type="dxa"/>
            <w:vAlign w:val="bottom"/>
          </w:tcPr>
          <w:p>
            <w:pPr>
              <w:spacing w:after="0"/>
              <w:rPr>
                <w:sz w:val="19"/>
                <w:szCs w:val="19"/>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110"/>
        </w:trPr>
        <w:tc>
          <w:tcPr>
            <w:tcW w:w="50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040" w:type="dxa"/>
            <w:vAlign w:val="bottom"/>
          </w:tcPr>
          <w:p>
            <w:pPr>
              <w:ind w:left="140"/>
              <w:spacing w:after="0"/>
              <w:rPr>
                <w:sz w:val="20"/>
                <w:szCs w:val="20"/>
                <w:color w:val="auto"/>
              </w:rPr>
            </w:pPr>
            <w:r>
              <w:rPr>
                <w:rFonts w:ascii="Arial" w:cs="Arial" w:eastAsia="Arial" w:hAnsi="Arial"/>
                <w:sz w:val="18"/>
                <w:szCs w:val="18"/>
                <w:color w:val="auto"/>
              </w:rPr>
              <w:t>Income from continuing operations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51,651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36,764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7,173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6,395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Tax benefit of stock options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2,328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Other</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617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Change in assets and liabilities</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Decrease in receivable and other assets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2,843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3,994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Increase in inventories</w:t>
            </w:r>
          </w:p>
        </w:tc>
        <w:tc>
          <w:tcPr>
            <w:tcW w:w="1860" w:type="dxa"/>
            <w:vAlign w:val="bottom"/>
            <w:gridSpan w:val="4"/>
          </w:tcPr>
          <w:p>
            <w:pPr>
              <w:jc w:val="right"/>
              <w:ind w:right="200"/>
              <w:spacing w:after="0"/>
              <w:rPr>
                <w:sz w:val="20"/>
                <w:szCs w:val="20"/>
                <w:color w:val="auto"/>
              </w:rPr>
            </w:pPr>
            <w:r>
              <w:rPr>
                <w:rFonts w:ascii="Arial" w:cs="Arial" w:eastAsia="Arial" w:hAnsi="Arial"/>
                <w:sz w:val="18"/>
                <w:szCs w:val="18"/>
                <w:color w:val="auto"/>
              </w:rPr>
              <w:t>(12,991)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Increase in deferred income taxes</w:t>
            </w:r>
          </w:p>
        </w:tc>
        <w:tc>
          <w:tcPr>
            <w:tcW w:w="1860" w:type="dxa"/>
            <w:vAlign w:val="bottom"/>
            <w:gridSpan w:val="4"/>
          </w:tcPr>
          <w:p>
            <w:pPr>
              <w:jc w:val="right"/>
              <w:ind w:right="200"/>
              <w:spacing w:after="0"/>
              <w:rPr>
                <w:sz w:val="20"/>
                <w:szCs w:val="20"/>
                <w:color w:val="auto"/>
              </w:rPr>
            </w:pPr>
            <w:r>
              <w:rPr>
                <w:rFonts w:ascii="Arial" w:cs="Arial" w:eastAsia="Arial" w:hAnsi="Arial"/>
                <w:sz w:val="18"/>
                <w:szCs w:val="18"/>
                <w:color w:val="auto"/>
              </w:rPr>
              <w:t>(5,483)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Increase in accounts payable and accrued expenses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14,820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8,265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Increase (decrease) in income taxes payable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7,714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22"/>
        </w:trPr>
        <w:tc>
          <w:tcPr>
            <w:tcW w:w="5040" w:type="dxa"/>
            <w:vAlign w:val="bottom"/>
          </w:tcPr>
          <w:p>
            <w:pPr>
              <w:ind w:left="140"/>
              <w:spacing w:after="0"/>
              <w:rPr>
                <w:sz w:val="20"/>
                <w:szCs w:val="20"/>
                <w:color w:val="auto"/>
              </w:rPr>
            </w:pPr>
            <w:r>
              <w:rPr>
                <w:rFonts w:ascii="Arial" w:cs="Arial" w:eastAsia="Arial" w:hAnsi="Arial"/>
                <w:sz w:val="18"/>
                <w:szCs w:val="18"/>
                <w:color w:val="auto"/>
              </w:rPr>
              <w:t>Increase in postretirement benefits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10,222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3,680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0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040" w:type="dxa"/>
            <w:vAlign w:val="bottom"/>
          </w:tcPr>
          <w:p>
            <w:pPr>
              <w:ind w:left="140"/>
              <w:spacing w:after="0"/>
              <w:rPr>
                <w:sz w:val="20"/>
                <w:szCs w:val="20"/>
                <w:color w:val="auto"/>
              </w:rPr>
            </w:pPr>
            <w:r>
              <w:rPr>
                <w:rFonts w:ascii="Arial" w:cs="Arial" w:eastAsia="Arial" w:hAnsi="Arial"/>
                <w:sz w:val="18"/>
                <w:szCs w:val="18"/>
                <w:color w:val="auto"/>
              </w:rPr>
              <w:t>Net cash provided by continuing operations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78,894</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54,663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40" w:type="dxa"/>
            <w:vAlign w:val="bottom"/>
          </w:tcPr>
          <w:p>
            <w:pPr>
              <w:ind w:left="140"/>
              <w:spacing w:after="0"/>
              <w:rPr>
                <w:sz w:val="20"/>
                <w:szCs w:val="20"/>
                <w:color w:val="auto"/>
              </w:rPr>
            </w:pPr>
            <w:r>
              <w:rPr>
                <w:rFonts w:ascii="Arial" w:cs="Arial" w:eastAsia="Arial" w:hAnsi="Arial"/>
                <w:sz w:val="18"/>
                <w:szCs w:val="18"/>
                <w:color w:val="auto"/>
              </w:rPr>
              <w:t>Net cash provided by discontinued operations</w:t>
            </w:r>
          </w:p>
        </w:tc>
        <w:tc>
          <w:tcPr>
            <w:tcW w:w="780" w:type="dxa"/>
            <w:vAlign w:val="bottom"/>
          </w:tcPr>
          <w:p>
            <w:pPr>
              <w:spacing w:after="0"/>
              <w:rPr>
                <w:sz w:val="19"/>
                <w:szCs w:val="19"/>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0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78,894</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54,897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0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ind w:left="1660"/>
              <w:spacing w:after="0"/>
              <w:rPr>
                <w:sz w:val="20"/>
                <w:szCs w:val="20"/>
                <w:color w:val="auto"/>
              </w:rPr>
            </w:pPr>
            <w:r>
              <w:rPr>
                <w:rFonts w:ascii="Arial" w:cs="Arial" w:eastAsia="Arial" w:hAnsi="Arial"/>
                <w:sz w:val="18"/>
                <w:szCs w:val="18"/>
                <w:color w:val="auto"/>
              </w:rPr>
              <w:t>Cash flows (used in) provided by investing activities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800"/>
              <w:spacing w:after="0"/>
              <w:rPr>
                <w:sz w:val="20"/>
                <w:szCs w:val="20"/>
                <w:color w:val="auto"/>
              </w:rPr>
            </w:pPr>
            <w:r>
              <w:rPr>
                <w:rFonts w:ascii="Arial" w:cs="Arial" w:eastAsia="Arial" w:hAnsi="Arial"/>
                <w:sz w:val="18"/>
                <w:szCs w:val="18"/>
                <w:color w:val="auto"/>
              </w:rPr>
              <w:t>Purchases of property and equipment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(7,656)</w:t>
            </w:r>
          </w:p>
        </w:tc>
        <w:tc>
          <w:tcPr>
            <w:tcW w:w="2860" w:type="dxa"/>
            <w:vAlign w:val="bottom"/>
            <w:gridSpan w:val="3"/>
          </w:tcPr>
          <w:p>
            <w:pPr>
              <w:jc w:val="right"/>
              <w:ind w:right="1760"/>
              <w:spacing w:after="0"/>
              <w:rPr>
                <w:sz w:val="20"/>
                <w:szCs w:val="20"/>
                <w:color w:val="auto"/>
              </w:rPr>
            </w:pPr>
            <w:r>
              <w:rPr>
                <w:rFonts w:ascii="Arial" w:cs="Arial" w:eastAsia="Arial" w:hAnsi="Arial"/>
                <w:sz w:val="18"/>
                <w:szCs w:val="18"/>
                <w:color w:val="auto"/>
              </w:rPr>
              <w:t>(21,539)</w:t>
            </w:r>
          </w:p>
        </w:tc>
        <w:tc>
          <w:tcPr>
            <w:tcW w:w="0" w:type="dxa"/>
            <w:vAlign w:val="bottom"/>
          </w:tcPr>
          <w:p>
            <w:pPr>
              <w:spacing w:after="0"/>
              <w:rPr>
                <w:sz w:val="1"/>
                <w:szCs w:val="1"/>
                <w:color w:val="auto"/>
              </w:rPr>
            </w:pPr>
          </w:p>
        </w:tc>
      </w:tr>
      <w:tr>
        <w:trPr>
          <w:trHeight w:val="222"/>
        </w:trPr>
        <w:tc>
          <w:tcPr>
            <w:tcW w:w="7480" w:type="dxa"/>
            <w:vAlign w:val="bottom"/>
          </w:tcPr>
          <w:p>
            <w:pPr>
              <w:ind w:left="1800"/>
              <w:spacing w:after="0"/>
              <w:rPr>
                <w:sz w:val="20"/>
                <w:szCs w:val="20"/>
                <w:color w:val="auto"/>
              </w:rPr>
            </w:pPr>
            <w:r>
              <w:rPr>
                <w:rFonts w:ascii="Arial" w:cs="Arial" w:eastAsia="Arial" w:hAnsi="Arial"/>
                <w:sz w:val="18"/>
                <w:szCs w:val="18"/>
                <w:color w:val="auto"/>
              </w:rPr>
              <w:t>Other</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(137)</w:t>
            </w:r>
          </w:p>
        </w:tc>
        <w:tc>
          <w:tcPr>
            <w:tcW w:w="2860" w:type="dxa"/>
            <w:vAlign w:val="bottom"/>
            <w:gridSpan w:val="3"/>
          </w:tcPr>
          <w:p>
            <w:pPr>
              <w:jc w:val="right"/>
              <w:ind w:right="176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110"/>
        </w:trPr>
        <w:tc>
          <w:tcPr>
            <w:tcW w:w="74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480" w:type="dxa"/>
            <w:vAlign w:val="bottom"/>
          </w:tcPr>
          <w:p>
            <w:pPr>
              <w:ind w:left="1800"/>
              <w:spacing w:after="0"/>
              <w:rPr>
                <w:sz w:val="20"/>
                <w:szCs w:val="20"/>
                <w:color w:val="auto"/>
              </w:rPr>
            </w:pPr>
            <w:r>
              <w:rPr>
                <w:rFonts w:ascii="Arial" w:cs="Arial" w:eastAsia="Arial" w:hAnsi="Arial"/>
                <w:sz w:val="18"/>
                <w:szCs w:val="18"/>
                <w:color w:val="auto"/>
              </w:rPr>
              <w:t>Net cash used in continuing operations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(7,793)</w:t>
            </w:r>
          </w:p>
        </w:tc>
        <w:tc>
          <w:tcPr>
            <w:tcW w:w="2860" w:type="dxa"/>
            <w:vAlign w:val="bottom"/>
            <w:gridSpan w:val="3"/>
          </w:tcPr>
          <w:p>
            <w:pPr>
              <w:jc w:val="right"/>
              <w:ind w:right="1760"/>
              <w:spacing w:after="0"/>
              <w:rPr>
                <w:sz w:val="20"/>
                <w:szCs w:val="20"/>
                <w:color w:val="auto"/>
              </w:rPr>
            </w:pPr>
            <w:r>
              <w:rPr>
                <w:rFonts w:ascii="Arial" w:cs="Arial" w:eastAsia="Arial" w:hAnsi="Arial"/>
                <w:sz w:val="18"/>
                <w:szCs w:val="18"/>
                <w:color w:val="auto"/>
              </w:rPr>
              <w:t>(23,073)</w:t>
            </w:r>
          </w:p>
        </w:tc>
        <w:tc>
          <w:tcPr>
            <w:tcW w:w="0" w:type="dxa"/>
            <w:vAlign w:val="bottom"/>
          </w:tcPr>
          <w:p>
            <w:pPr>
              <w:spacing w:after="0"/>
              <w:rPr>
                <w:sz w:val="1"/>
                <w:szCs w:val="1"/>
                <w:color w:val="auto"/>
              </w:rPr>
            </w:pPr>
          </w:p>
        </w:tc>
      </w:tr>
      <w:tr>
        <w:trPr>
          <w:trHeight w:val="222"/>
        </w:trPr>
        <w:tc>
          <w:tcPr>
            <w:tcW w:w="7480" w:type="dxa"/>
            <w:vAlign w:val="bottom"/>
          </w:tcPr>
          <w:p>
            <w:pPr>
              <w:ind w:left="1800"/>
              <w:spacing w:after="0"/>
              <w:rPr>
                <w:sz w:val="20"/>
                <w:szCs w:val="20"/>
                <w:color w:val="auto"/>
              </w:rPr>
            </w:pPr>
            <w:r>
              <w:rPr>
                <w:rFonts w:ascii="Arial" w:cs="Arial" w:eastAsia="Arial" w:hAnsi="Arial"/>
                <w:sz w:val="18"/>
                <w:szCs w:val="18"/>
                <w:color w:val="auto"/>
              </w:rPr>
              <w:t>Net cash provided by discontinued operations</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38,423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4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480" w:type="dxa"/>
            <w:vAlign w:val="bottom"/>
          </w:tcPr>
          <w:p>
            <w:pPr>
              <w:ind w:left="1660"/>
              <w:spacing w:after="0"/>
              <w:rPr>
                <w:sz w:val="20"/>
                <w:szCs w:val="20"/>
                <w:color w:val="auto"/>
              </w:rPr>
            </w:pPr>
            <w:r>
              <w:rPr>
                <w:rFonts w:ascii="Arial" w:cs="Arial" w:eastAsia="Arial" w:hAnsi="Arial"/>
                <w:sz w:val="18"/>
                <w:szCs w:val="18"/>
                <w:color w:val="auto"/>
              </w:rPr>
              <w:t>Net cash (used in) provided by investing activities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(7,793)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15,350</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480" w:type="dxa"/>
            <w:vAlign w:val="bottom"/>
            <w:vMerge w:val="restart"/>
          </w:tcPr>
          <w:p>
            <w:pPr>
              <w:ind w:left="1660"/>
              <w:spacing w:after="0"/>
              <w:rPr>
                <w:sz w:val="20"/>
                <w:szCs w:val="20"/>
                <w:color w:val="auto"/>
              </w:rPr>
            </w:pPr>
            <w:r>
              <w:rPr>
                <w:rFonts w:ascii="Arial" w:cs="Arial" w:eastAsia="Arial" w:hAnsi="Arial"/>
                <w:sz w:val="18"/>
                <w:szCs w:val="18"/>
                <w:color w:val="auto"/>
              </w:rPr>
              <w:t>Cash flows used in financing activities and capital transactions</w:t>
            </w: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5"/>
        </w:trPr>
        <w:tc>
          <w:tcPr>
            <w:tcW w:w="74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800"/>
              <w:spacing w:after="0"/>
              <w:rPr>
                <w:sz w:val="20"/>
                <w:szCs w:val="20"/>
                <w:color w:val="auto"/>
              </w:rPr>
            </w:pPr>
            <w:r>
              <w:rPr>
                <w:rFonts w:ascii="Arial" w:cs="Arial" w:eastAsia="Arial" w:hAnsi="Arial"/>
                <w:sz w:val="18"/>
                <w:szCs w:val="18"/>
                <w:color w:val="auto"/>
              </w:rPr>
              <w:t>Payments for purchase of common stock</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(74,268)</w:t>
            </w:r>
          </w:p>
        </w:tc>
        <w:tc>
          <w:tcPr>
            <w:tcW w:w="2860" w:type="dxa"/>
            <w:vAlign w:val="bottom"/>
            <w:gridSpan w:val="3"/>
          </w:tcPr>
          <w:p>
            <w:pPr>
              <w:jc w:val="right"/>
              <w:ind w:right="1760"/>
              <w:spacing w:after="0"/>
              <w:rPr>
                <w:sz w:val="20"/>
                <w:szCs w:val="20"/>
                <w:color w:val="auto"/>
              </w:rPr>
            </w:pPr>
            <w:r>
              <w:rPr>
                <w:rFonts w:ascii="Arial" w:cs="Arial" w:eastAsia="Arial" w:hAnsi="Arial"/>
                <w:sz w:val="18"/>
                <w:szCs w:val="18"/>
                <w:color w:val="auto"/>
              </w:rPr>
              <w:t>(20,221)</w:t>
            </w:r>
          </w:p>
        </w:tc>
        <w:tc>
          <w:tcPr>
            <w:tcW w:w="0" w:type="dxa"/>
            <w:vAlign w:val="bottom"/>
          </w:tcPr>
          <w:p>
            <w:pPr>
              <w:spacing w:after="0"/>
              <w:rPr>
                <w:sz w:val="1"/>
                <w:szCs w:val="1"/>
                <w:color w:val="auto"/>
              </w:rPr>
            </w:pPr>
          </w:p>
        </w:tc>
      </w:tr>
      <w:tr>
        <w:trPr>
          <w:trHeight w:val="216"/>
        </w:trPr>
        <w:tc>
          <w:tcPr>
            <w:tcW w:w="7480" w:type="dxa"/>
            <w:vAlign w:val="bottom"/>
          </w:tcPr>
          <w:p>
            <w:pPr>
              <w:ind w:left="1800"/>
              <w:spacing w:after="0"/>
              <w:rPr>
                <w:sz w:val="20"/>
                <w:szCs w:val="20"/>
                <w:color w:val="auto"/>
              </w:rPr>
            </w:pPr>
            <w:r>
              <w:rPr>
                <w:rFonts w:ascii="Arial" w:cs="Arial" w:eastAsia="Arial" w:hAnsi="Arial"/>
                <w:sz w:val="18"/>
                <w:szCs w:val="18"/>
                <w:color w:val="auto"/>
              </w:rPr>
              <w:t>Payment of cash dividends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(5,217)</w:t>
            </w:r>
          </w:p>
        </w:tc>
        <w:tc>
          <w:tcPr>
            <w:tcW w:w="2860" w:type="dxa"/>
            <w:vAlign w:val="bottom"/>
            <w:gridSpan w:val="3"/>
          </w:tcPr>
          <w:p>
            <w:pPr>
              <w:jc w:val="right"/>
              <w:ind w:right="1760"/>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22"/>
        </w:trPr>
        <w:tc>
          <w:tcPr>
            <w:tcW w:w="7480" w:type="dxa"/>
            <w:vAlign w:val="bottom"/>
          </w:tcPr>
          <w:p>
            <w:pPr>
              <w:ind w:left="1800"/>
              <w:spacing w:after="0"/>
              <w:rPr>
                <w:sz w:val="20"/>
                <w:szCs w:val="20"/>
                <w:color w:val="auto"/>
              </w:rPr>
            </w:pPr>
            <w:r>
              <w:rPr>
                <w:rFonts w:ascii="Arial" w:cs="Arial" w:eastAsia="Arial" w:hAnsi="Arial"/>
                <w:sz w:val="18"/>
                <w:szCs w:val="18"/>
                <w:color w:val="auto"/>
              </w:rPr>
              <w:t>Proceeds from issuance of common and treasury stock</w:t>
            </w:r>
          </w:p>
        </w:tc>
        <w:tc>
          <w:tcPr>
            <w:tcW w:w="820" w:type="dxa"/>
            <w:vAlign w:val="bottom"/>
          </w:tcPr>
          <w:p>
            <w:pPr>
              <w:jc w:val="right"/>
              <w:spacing w:after="0"/>
              <w:rPr>
                <w:sz w:val="20"/>
                <w:szCs w:val="20"/>
                <w:color w:val="auto"/>
              </w:rPr>
            </w:pPr>
            <w:r>
              <w:rPr>
                <w:rFonts w:ascii="Arial" w:cs="Arial" w:eastAsia="Arial" w:hAnsi="Arial"/>
                <w:sz w:val="18"/>
                <w:szCs w:val="18"/>
                <w:color w:val="auto"/>
              </w:rPr>
              <w:t>4,524</w:t>
            </w: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2,383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4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7480" w:type="dxa"/>
            <w:vAlign w:val="bottom"/>
          </w:tcPr>
          <w:p>
            <w:pPr>
              <w:ind w:left="1660"/>
              <w:spacing w:after="0"/>
              <w:rPr>
                <w:sz w:val="20"/>
                <w:szCs w:val="20"/>
                <w:color w:val="auto"/>
              </w:rPr>
            </w:pPr>
            <w:r>
              <w:rPr>
                <w:rFonts w:ascii="Arial" w:cs="Arial" w:eastAsia="Arial" w:hAnsi="Arial"/>
                <w:sz w:val="18"/>
                <w:szCs w:val="18"/>
                <w:color w:val="auto"/>
              </w:rPr>
              <w:t>Net cash used in financing activities and capital transactions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(74,961)</w:t>
            </w:r>
          </w:p>
        </w:tc>
        <w:tc>
          <w:tcPr>
            <w:tcW w:w="2860" w:type="dxa"/>
            <w:vAlign w:val="bottom"/>
            <w:gridSpan w:val="3"/>
          </w:tcPr>
          <w:p>
            <w:pPr>
              <w:jc w:val="right"/>
              <w:ind w:right="1760"/>
              <w:spacing w:after="0"/>
              <w:rPr>
                <w:sz w:val="20"/>
                <w:szCs w:val="20"/>
                <w:color w:val="auto"/>
              </w:rPr>
            </w:pPr>
            <w:r>
              <w:rPr>
                <w:rFonts w:ascii="Arial" w:cs="Arial" w:eastAsia="Arial" w:hAnsi="Arial"/>
                <w:sz w:val="18"/>
                <w:szCs w:val="18"/>
                <w:color w:val="auto"/>
              </w:rPr>
              <w:t>(19,725)</w:t>
            </w:r>
          </w:p>
        </w:tc>
        <w:tc>
          <w:tcPr>
            <w:tcW w:w="0" w:type="dxa"/>
            <w:vAlign w:val="bottom"/>
          </w:tcPr>
          <w:p>
            <w:pPr>
              <w:spacing w:after="0"/>
              <w:rPr>
                <w:sz w:val="1"/>
                <w:szCs w:val="1"/>
                <w:color w:val="auto"/>
              </w:rPr>
            </w:pPr>
          </w:p>
        </w:tc>
      </w:tr>
      <w:tr>
        <w:trPr>
          <w:trHeight w:val="110"/>
        </w:trPr>
        <w:tc>
          <w:tcPr>
            <w:tcW w:w="74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7480" w:type="dxa"/>
            <w:vAlign w:val="bottom"/>
          </w:tcPr>
          <w:p>
            <w:pPr>
              <w:ind w:left="1660"/>
              <w:spacing w:after="0"/>
              <w:rPr>
                <w:sz w:val="20"/>
                <w:szCs w:val="20"/>
                <w:color w:val="auto"/>
              </w:rPr>
            </w:pPr>
            <w:r>
              <w:rPr>
                <w:rFonts w:ascii="Arial" w:cs="Arial" w:eastAsia="Arial" w:hAnsi="Arial"/>
                <w:sz w:val="18"/>
                <w:szCs w:val="18"/>
                <w:color w:val="auto"/>
              </w:rPr>
              <w:t>Net (decrease) increase in cash and cash equivalents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(3,860)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50,522</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80" w:type="dxa"/>
            <w:vAlign w:val="bottom"/>
          </w:tcPr>
          <w:p>
            <w:pPr>
              <w:ind w:left="1660"/>
              <w:spacing w:after="0"/>
              <w:rPr>
                <w:sz w:val="20"/>
                <w:szCs w:val="20"/>
                <w:color w:val="auto"/>
              </w:rPr>
            </w:pPr>
            <w:r>
              <w:rPr>
                <w:rFonts w:ascii="Arial" w:cs="Arial" w:eastAsia="Arial" w:hAnsi="Arial"/>
                <w:sz w:val="18"/>
                <w:szCs w:val="18"/>
                <w:color w:val="auto"/>
              </w:rPr>
              <w:t>Cash and cash equivalents – beginning of period</w:t>
            </w:r>
          </w:p>
        </w:tc>
        <w:tc>
          <w:tcPr>
            <w:tcW w:w="820" w:type="dxa"/>
            <w:vAlign w:val="bottom"/>
          </w:tcPr>
          <w:p>
            <w:pPr>
              <w:jc w:val="right"/>
              <w:spacing w:after="0"/>
              <w:rPr>
                <w:sz w:val="20"/>
                <w:szCs w:val="20"/>
                <w:color w:val="auto"/>
              </w:rPr>
            </w:pPr>
            <w:r>
              <w:rPr>
                <w:rFonts w:ascii="Arial" w:cs="Arial" w:eastAsia="Arial" w:hAnsi="Arial"/>
                <w:sz w:val="18"/>
                <w:szCs w:val="18"/>
                <w:color w:val="auto"/>
              </w:rPr>
              <w:t>99,381</w:t>
            </w:r>
          </w:p>
        </w:tc>
        <w:tc>
          <w:tcPr>
            <w:tcW w:w="26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42,225</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4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7480" w:type="dxa"/>
            <w:vAlign w:val="bottom"/>
          </w:tcPr>
          <w:p>
            <w:pPr>
              <w:ind w:left="1660"/>
              <w:spacing w:after="0"/>
              <w:rPr>
                <w:sz w:val="20"/>
                <w:szCs w:val="20"/>
                <w:color w:val="auto"/>
              </w:rPr>
            </w:pPr>
            <w:r>
              <w:rPr>
                <w:rFonts w:ascii="Arial" w:cs="Arial" w:eastAsia="Arial" w:hAnsi="Arial"/>
                <w:sz w:val="18"/>
                <w:szCs w:val="18"/>
                <w:color w:val="auto"/>
              </w:rPr>
              <w:t>Cash and cash equivalents – end of period</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   95,521</w:t>
            </w:r>
          </w:p>
        </w:tc>
        <w:tc>
          <w:tcPr>
            <w:tcW w:w="26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   92,747</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48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0"/>
        </w:trPr>
        <w:tc>
          <w:tcPr>
            <w:tcW w:w="748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-331470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-331470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-331470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-331470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Motor Home Deliveries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(Volume in Units)</w:t>
      </w:r>
    </w:p>
    <w:p>
      <w:pPr>
        <w:spacing w:after="0" w:line="270"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540" w:type="dxa"/>
            <w:vAlign w:val="bottom"/>
            <w:gridSpan w:val="10"/>
          </w:tcPr>
          <w:p>
            <w:pPr>
              <w:ind w:left="560"/>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Pr>
          <w:p>
            <w:pPr>
              <w:spacing w:after="0"/>
              <w:rPr>
                <w:sz w:val="14"/>
                <w:szCs w:val="14"/>
                <w:color w:val="auto"/>
              </w:rPr>
            </w:pPr>
          </w:p>
        </w:tc>
        <w:tc>
          <w:tcPr>
            <w:tcW w:w="2040" w:type="dxa"/>
            <w:vAlign w:val="bottom"/>
            <w:gridSpan w:val="7"/>
          </w:tcPr>
          <w:p>
            <w:pPr>
              <w:ind w:lef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1320" w:type="dxa"/>
            <w:vAlign w:val="bottom"/>
          </w:tcPr>
          <w:p>
            <w:pPr>
              <w:spacing w:after="0"/>
              <w:rPr>
                <w:sz w:val="15"/>
                <w:szCs w:val="15"/>
                <w:color w:val="auto"/>
              </w:rPr>
            </w:pPr>
          </w:p>
        </w:tc>
        <w:tc>
          <w:tcPr>
            <w:tcW w:w="2760" w:type="dxa"/>
            <w:vAlign w:val="bottom"/>
            <w:gridSpan w:val="2"/>
          </w:tcPr>
          <w:p>
            <w:pPr>
              <w:ind w:left="2120"/>
              <w:spacing w:after="0"/>
              <w:rPr>
                <w:sz w:val="20"/>
                <w:szCs w:val="20"/>
                <w:color w:val="auto"/>
              </w:rPr>
            </w:pPr>
            <w:r>
              <w:rPr>
                <w:rFonts w:ascii="Arial" w:cs="Arial" w:eastAsia="Arial" w:hAnsi="Arial"/>
                <w:sz w:val="14"/>
                <w:szCs w:val="14"/>
                <w:b w:val="1"/>
                <w:bCs w:val="1"/>
                <w:color w:val="auto"/>
                <w:w w:val="99"/>
              </w:rPr>
              <w:t>5/29/2004</w:t>
            </w: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jc w:val="right"/>
              <w:ind w:right="16"/>
              <w:spacing w:after="0"/>
              <w:rPr>
                <w:sz w:val="20"/>
                <w:szCs w:val="20"/>
                <w:color w:val="auto"/>
              </w:rPr>
            </w:pPr>
            <w:r>
              <w:rPr>
                <w:rFonts w:ascii="Arial" w:cs="Arial" w:eastAsia="Arial" w:hAnsi="Arial"/>
                <w:sz w:val="14"/>
                <w:szCs w:val="14"/>
                <w:b w:val="1"/>
                <w:bCs w:val="1"/>
                <w:color w:val="auto"/>
                <w:w w:val="86"/>
              </w:rPr>
              <w:t>5/31/2003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5/29/2004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5/31/2003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320" w:type="dxa"/>
            <w:vAlign w:val="bottom"/>
            <w:vMerge w:val="restart"/>
          </w:tcPr>
          <w:p>
            <w:pPr>
              <w:spacing w:after="0"/>
              <w:rPr>
                <w:sz w:val="20"/>
                <w:szCs w:val="20"/>
                <w:color w:val="auto"/>
              </w:rPr>
            </w:pPr>
            <w:r>
              <w:rPr>
                <w:rFonts w:ascii="Arial" w:cs="Arial" w:eastAsia="Arial" w:hAnsi="Arial"/>
                <w:sz w:val="18"/>
                <w:szCs w:val="18"/>
                <w:color w:val="auto"/>
              </w:rPr>
              <w:t>Unit deliveries</w:t>
            </w:r>
          </w:p>
        </w:tc>
        <w:tc>
          <w:tcPr>
            <w:tcW w:w="20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132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00"/>
              <w:spacing w:after="0"/>
              <w:rPr>
                <w:sz w:val="20"/>
                <w:szCs w:val="20"/>
                <w:color w:val="auto"/>
              </w:rPr>
            </w:pPr>
            <w:r>
              <w:rPr>
                <w:rFonts w:ascii="Arial" w:cs="Arial" w:eastAsia="Arial" w:hAnsi="Arial"/>
                <w:sz w:val="18"/>
                <w:szCs w:val="18"/>
                <w:color w:val="auto"/>
              </w:rPr>
              <w:t>Class A gas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1,378</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3,988</w:t>
            </w:r>
          </w:p>
        </w:tc>
        <w:tc>
          <w:tcPr>
            <w:tcW w:w="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3,745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00"/>
              <w:spacing w:after="0"/>
              <w:rPr>
                <w:sz w:val="20"/>
                <w:szCs w:val="20"/>
                <w:color w:val="auto"/>
              </w:rPr>
            </w:pPr>
            <w:r>
              <w:rPr>
                <w:rFonts w:ascii="Arial" w:cs="Arial" w:eastAsia="Arial" w:hAnsi="Arial"/>
                <w:sz w:val="18"/>
                <w:szCs w:val="18"/>
                <w:color w:val="auto"/>
              </w:rPr>
              <w:t>Class A diesel</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2,145</w:t>
            </w:r>
          </w:p>
        </w:tc>
        <w:tc>
          <w:tcPr>
            <w:tcW w:w="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20" w:type="dxa"/>
            <w:vAlign w:val="bottom"/>
          </w:tcPr>
          <w:p>
            <w:pPr>
              <w:ind w:left="100"/>
              <w:spacing w:after="0"/>
              <w:rPr>
                <w:sz w:val="20"/>
                <w:szCs w:val="20"/>
                <w:color w:val="auto"/>
              </w:rPr>
            </w:pPr>
            <w:r>
              <w:rPr>
                <w:rFonts w:ascii="Arial" w:cs="Arial" w:eastAsia="Arial" w:hAnsi="Arial"/>
                <w:sz w:val="18"/>
                <w:szCs w:val="18"/>
                <w:color w:val="auto"/>
              </w:rPr>
              <w:t>Class C</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1,166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3,295</w:t>
            </w:r>
          </w:p>
        </w:tc>
        <w:tc>
          <w:tcPr>
            <w:tcW w:w="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2,870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3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320" w:type="dxa"/>
            <w:vAlign w:val="bottom"/>
          </w:tcPr>
          <w:p>
            <w:pPr>
              <w:ind w:left="220"/>
              <w:spacing w:after="0"/>
              <w:rPr>
                <w:sz w:val="20"/>
                <w:szCs w:val="20"/>
                <w:color w:val="auto"/>
              </w:rPr>
            </w:pPr>
            <w:r>
              <w:rPr>
                <w:rFonts w:ascii="Arial" w:cs="Arial" w:eastAsia="Arial" w:hAnsi="Arial"/>
                <w:sz w:val="18"/>
                <w:szCs w:val="18"/>
                <w:color w:val="auto"/>
                <w:w w:val="89"/>
              </w:rPr>
              <w:t>Total deliveries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3,444</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2,601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9,428</w:t>
            </w:r>
          </w:p>
        </w:tc>
        <w:tc>
          <w:tcPr>
            <w:tcW w:w="2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7,785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1320" w:type="dxa"/>
            <w:vAlign w:val="bottom"/>
          </w:tcPr>
          <w:p>
            <w:pPr>
              <w:spacing w:after="0"/>
              <w:rPr>
                <w:sz w:val="24"/>
                <w:szCs w:val="24"/>
                <w:color w:val="auto"/>
              </w:rPr>
            </w:pPr>
          </w:p>
        </w:tc>
        <w:tc>
          <w:tcPr>
            <w:tcW w:w="4580" w:type="dxa"/>
            <w:vAlign w:val="bottom"/>
            <w:gridSpan w:val="11"/>
          </w:tcPr>
          <w:p>
            <w:pPr>
              <w:ind w:left="1700"/>
              <w:spacing w:after="0"/>
              <w:rPr>
                <w:sz w:val="20"/>
                <w:szCs w:val="20"/>
                <w:color w:val="auto"/>
              </w:rPr>
            </w:pPr>
            <w:r>
              <w:rPr>
                <w:rFonts w:ascii="Arial" w:cs="Arial" w:eastAsia="Arial" w:hAnsi="Arial"/>
                <w:sz w:val="18"/>
                <w:szCs w:val="18"/>
                <w:b w:val="1"/>
                <w:bCs w:val="1"/>
                <w:color w:val="auto"/>
              </w:rPr>
              <w:t>Winnebago Industries, Inc.</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580" w:type="dxa"/>
            <w:vAlign w:val="bottom"/>
            <w:gridSpan w:val="11"/>
          </w:tcPr>
          <w:p>
            <w:pPr>
              <w:ind w:left="1160"/>
              <w:spacing w:after="0"/>
              <w:rPr>
                <w:sz w:val="20"/>
                <w:szCs w:val="20"/>
                <w:color w:val="auto"/>
              </w:rPr>
            </w:pPr>
            <w:r>
              <w:rPr>
                <w:rFonts w:ascii="Arial" w:cs="Arial" w:eastAsia="Arial" w:hAnsi="Arial"/>
                <w:sz w:val="18"/>
                <w:szCs w:val="18"/>
                <w:b w:val="1"/>
                <w:bCs w:val="1"/>
                <w:color w:val="auto"/>
                <w:w w:val="98"/>
              </w:rPr>
              <w:t>Unaudited Backlog and Dealer Inventory</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360" w:type="dxa"/>
            <w:vAlign w:val="bottom"/>
            <w:gridSpan w:val="5"/>
          </w:tcPr>
          <w:p>
            <w:pPr>
              <w:ind w:left="40"/>
              <w:spacing w:after="0"/>
              <w:rPr>
                <w:sz w:val="20"/>
                <w:szCs w:val="20"/>
                <w:color w:val="auto"/>
              </w:rPr>
            </w:pPr>
            <w:r>
              <w:rPr>
                <w:rFonts w:ascii="Arial" w:cs="Arial" w:eastAsia="Arial" w:hAnsi="Arial"/>
                <w:sz w:val="18"/>
                <w:szCs w:val="18"/>
                <w:b w:val="1"/>
                <w:bCs w:val="1"/>
                <w:color w:val="auto"/>
                <w:w w:val="87"/>
              </w:rPr>
              <w:t>(Volume in Units)</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1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9"/>
              </w:rPr>
              <w:t>5/29/2004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w w:val="99"/>
              </w:rPr>
              <w:t>5/31/2003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320" w:type="dxa"/>
            <w:vAlign w:val="bottom"/>
          </w:tcPr>
          <w:p>
            <w:pPr>
              <w:spacing w:after="0"/>
              <w:rPr>
                <w:sz w:val="8"/>
                <w:szCs w:val="8"/>
                <w:color w:val="auto"/>
              </w:rPr>
            </w:pPr>
          </w:p>
        </w:tc>
        <w:tc>
          <w:tcPr>
            <w:tcW w:w="3380" w:type="dxa"/>
            <w:vAlign w:val="bottom"/>
            <w:gridSpan w:val="5"/>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1320" w:type="dxa"/>
            <w:vAlign w:val="bottom"/>
          </w:tcPr>
          <w:p>
            <w:pPr>
              <w:spacing w:after="0"/>
              <w:rPr>
                <w:sz w:val="24"/>
                <w:szCs w:val="24"/>
                <w:color w:val="auto"/>
              </w:rPr>
            </w:pPr>
          </w:p>
        </w:tc>
        <w:tc>
          <w:tcPr>
            <w:tcW w:w="3400" w:type="dxa"/>
            <w:vAlign w:val="bottom"/>
            <w:gridSpan w:val="6"/>
          </w:tcPr>
          <w:p>
            <w:pPr>
              <w:ind w:left="40"/>
              <w:spacing w:after="0"/>
              <w:rPr>
                <w:sz w:val="20"/>
                <w:szCs w:val="20"/>
                <w:color w:val="auto"/>
              </w:rPr>
            </w:pPr>
            <w:r>
              <w:rPr>
                <w:rFonts w:ascii="Arial" w:cs="Arial" w:eastAsia="Arial" w:hAnsi="Arial"/>
                <w:sz w:val="18"/>
                <w:szCs w:val="18"/>
                <w:color w:val="auto"/>
              </w:rPr>
              <w:t>Sales order backlog</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400" w:type="dxa"/>
            <w:vAlign w:val="bottom"/>
            <w:gridSpan w:val="6"/>
          </w:tcPr>
          <w:p>
            <w:pPr>
              <w:ind w:left="120"/>
              <w:spacing w:after="0"/>
              <w:rPr>
                <w:sz w:val="20"/>
                <w:szCs w:val="20"/>
                <w:color w:val="auto"/>
              </w:rPr>
            </w:pPr>
            <w:r>
              <w:rPr>
                <w:rFonts w:ascii="Arial" w:cs="Arial" w:eastAsia="Arial" w:hAnsi="Arial"/>
                <w:sz w:val="18"/>
                <w:szCs w:val="18"/>
                <w:color w:val="auto"/>
              </w:rPr>
              <w:t>Class A gas</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1,100</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400" w:type="dxa"/>
            <w:vAlign w:val="bottom"/>
            <w:gridSpan w:val="6"/>
          </w:tcPr>
          <w:p>
            <w:pPr>
              <w:ind w:left="120"/>
              <w:spacing w:after="0"/>
              <w:rPr>
                <w:sz w:val="20"/>
                <w:szCs w:val="20"/>
                <w:color w:val="auto"/>
              </w:rPr>
            </w:pPr>
            <w:r>
              <w:rPr>
                <w:rFonts w:ascii="Arial" w:cs="Arial" w:eastAsia="Arial" w:hAnsi="Arial"/>
                <w:sz w:val="18"/>
                <w:szCs w:val="18"/>
                <w:color w:val="auto"/>
              </w:rPr>
              <w:t>Class A diesel</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532</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3400" w:type="dxa"/>
            <w:vAlign w:val="bottom"/>
            <w:gridSpan w:val="6"/>
          </w:tcPr>
          <w:p>
            <w:pPr>
              <w:ind w:left="120"/>
              <w:spacing w:after="0"/>
              <w:rPr>
                <w:sz w:val="20"/>
                <w:szCs w:val="20"/>
                <w:color w:val="auto"/>
              </w:rPr>
            </w:pPr>
            <w:r>
              <w:rPr>
                <w:rFonts w:ascii="Arial" w:cs="Arial" w:eastAsia="Arial" w:hAnsi="Arial"/>
                <w:sz w:val="18"/>
                <w:szCs w:val="18"/>
                <w:color w:val="auto"/>
              </w:rPr>
              <w:t>Class C</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812</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320" w:type="dxa"/>
            <w:vAlign w:val="bottom"/>
          </w:tcPr>
          <w:p>
            <w:pPr>
              <w:spacing w:after="0"/>
              <w:rPr>
                <w:sz w:val="9"/>
                <w:szCs w:val="9"/>
                <w:color w:val="auto"/>
              </w:rPr>
            </w:pPr>
          </w:p>
        </w:tc>
        <w:tc>
          <w:tcPr>
            <w:tcW w:w="3380" w:type="dxa"/>
            <w:vAlign w:val="bottom"/>
            <w:gridSpan w:val="5"/>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3"/>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320" w:type="dxa"/>
            <w:vAlign w:val="bottom"/>
          </w:tcPr>
          <w:p>
            <w:pPr>
              <w:spacing w:after="0"/>
              <w:rPr>
                <w:sz w:val="24"/>
                <w:szCs w:val="24"/>
                <w:color w:val="auto"/>
              </w:rPr>
            </w:pPr>
          </w:p>
        </w:tc>
        <w:tc>
          <w:tcPr>
            <w:tcW w:w="3400" w:type="dxa"/>
            <w:vAlign w:val="bottom"/>
            <w:gridSpan w:val="6"/>
          </w:tcPr>
          <w:p>
            <w:pPr>
              <w:ind w:left="240"/>
              <w:spacing w:after="0"/>
              <w:rPr>
                <w:sz w:val="20"/>
                <w:szCs w:val="20"/>
                <w:color w:val="auto"/>
              </w:rPr>
            </w:pPr>
            <w:r>
              <w:rPr>
                <w:rFonts w:ascii="Arial" w:cs="Arial" w:eastAsia="Arial" w:hAnsi="Arial"/>
                <w:sz w:val="18"/>
                <w:szCs w:val="18"/>
                <w:color w:val="auto"/>
              </w:rPr>
              <w:t>Total backlog*</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2,444</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1,419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3400" w:type="dxa"/>
            <w:vAlign w:val="bottom"/>
            <w:gridSpan w:val="6"/>
          </w:tcPr>
          <w:p>
            <w:pPr>
              <w:ind w:left="40"/>
              <w:spacing w:after="0"/>
              <w:rPr>
                <w:sz w:val="20"/>
                <w:szCs w:val="20"/>
                <w:color w:val="auto"/>
              </w:rPr>
            </w:pPr>
            <w:r>
              <w:rPr>
                <w:rFonts w:ascii="Arial" w:cs="Arial" w:eastAsia="Arial" w:hAnsi="Arial"/>
                <w:sz w:val="18"/>
                <w:szCs w:val="18"/>
                <w:color w:val="auto"/>
              </w:rPr>
              <w:t>Dealer inventory</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5,173</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4,561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1300" w:right="1320" w:firstLine="5"/>
        <w:spacing w:after="0" w:line="259" w:lineRule="auto"/>
        <w:tabs>
          <w:tab w:leader="none" w:pos="143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includes in its backlog all accepted orders from dealers shippable within the next six months. Orders in backlog can be cancelled or postponed at the option of the purchaser at any time without penalty and, therefore, backlog may not necessarily be an accurate measure of future sales.</w:t>
      </w:r>
    </w:p>
    <w:p>
      <w:pPr>
        <w:spacing w:after="0" w:line="194" w:lineRule="exact"/>
        <w:rPr>
          <w:rFonts w:ascii="Arial" w:cs="Arial" w:eastAsia="Arial" w:hAnsi="Arial"/>
          <w:sz w:val="18"/>
          <w:szCs w:val="18"/>
          <w:color w:val="auto"/>
        </w:rPr>
      </w:pPr>
    </w:p>
    <w:p>
      <w:pPr>
        <w:ind w:left="5680" w:hanging="142"/>
        <w:spacing w:after="0"/>
        <w:tabs>
          <w:tab w:leader="none" w:pos="5680" w:val="left"/>
        </w:tabs>
        <w:numPr>
          <w:ilvl w:val="1"/>
          <w:numId w:val="1"/>
        </w:numPr>
        <w:rPr>
          <w:rFonts w:ascii="Arial" w:cs="Arial" w:eastAsia="Arial" w:hAnsi="Arial"/>
          <w:sz w:val="18"/>
          <w:szCs w:val="18"/>
          <w:color w:val="auto"/>
        </w:rPr>
      </w:pPr>
      <w:r>
        <w:rPr>
          <w:rFonts w:ascii="Arial" w:cs="Arial" w:eastAsia="Arial" w:hAnsi="Arial"/>
          <w:sz w:val="18"/>
          <w:szCs w:val="18"/>
          <w:color w:val="auto"/>
        </w:rPr>
        <w:t># #</w:t>
      </w:r>
    </w:p>
    <w:p>
      <w:pPr>
        <w:sectPr>
          <w:pgSz w:w="11900" w:h="16838" w:orient="portrait"/>
          <w:cols w:equalWidth="0" w:num="1">
            <w:col w:w="11420"/>
          </w:cols>
          <w:pgMar w:left="240" w:top="347" w:right="239" w:bottom="1440" w:gutter="0" w:footer="0" w:header="0"/>
        </w:sectPr>
      </w:pPr>
    </w:p>
    <w:bookmarkStart w:id="6" w:name="page7"/>
    <w:bookmarkEnd w:id="6"/>
    <w:p>
      <w:pPr>
        <w:spacing w:after="0"/>
        <w:tabs>
          <w:tab w:leader="none" w:pos="56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772795</wp:posOffset>
            </wp:positionV>
            <wp:extent cx="725043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2019-12-13T08:30:18Z</dcterms:created>
  <dcterms:modified xsi:type="dcterms:W3CDTF">2019-12-13T08:30:18Z</dcterms:modified>
</cp:coreProperties>
</file>