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ectPr>
          <w:pgSz w:w="11900" w:h="16838" w:orient="portrait"/>
          <w:cols w:equalWidth="0" w:num="1">
            <w:col w:w="10219"/>
          </w:cols>
          <w:pgMar w:left="240" w:top="858" w:right="1440" w:bottom="24"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_X_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0" w:lineRule="exact"/>
        <w:rPr>
          <w:sz w:val="24"/>
          <w:szCs w:val="24"/>
          <w:color w:val="auto"/>
        </w:rPr>
      </w:pPr>
    </w:p>
    <w:p>
      <w:pPr>
        <w:sectPr>
          <w:pgSz w:w="11900" w:h="16838" w:orient="portrait"/>
          <w:cols w:equalWidth="0" w:num="2">
            <w:col w:w="320" w:space="420"/>
            <w:col w:w="9479"/>
          </w:cols>
          <w:pgMar w:left="240" w:top="858" w:right="1440" w:bottom="24"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December 2, 1995</w:t>
      </w:r>
    </w:p>
    <w:p>
      <w:pPr>
        <w:spacing w:after="0" w:line="200" w:lineRule="exact"/>
        <w:rPr>
          <w:sz w:val="24"/>
          <w:szCs w:val="24"/>
          <w:color w:val="auto"/>
        </w:rPr>
      </w:pPr>
    </w:p>
    <w:p>
      <w:pPr>
        <w:sectPr>
          <w:pgSz w:w="11900" w:h="16838" w:orient="portrait"/>
          <w:cols w:equalWidth="0" w:num="2">
            <w:col w:w="3300" w:space="720"/>
            <w:col w:w="6199"/>
          </w:cols>
          <w:pgMar w:left="240" w:top="858" w:right="1440" w:bottom="24" w:gutter="0" w:footer="0" w:header="0"/>
          <w:type w:val="continuous"/>
        </w:sectPr>
      </w:pPr>
    </w:p>
    <w:p>
      <w:pPr>
        <w:spacing w:after="0" w:line="2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858" w:right="1440" w:bottom="24"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right="2419" w:hanging="104"/>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320" w:space="540"/>
            <w:col w:w="9359"/>
          </w:cols>
          <w:pgMar w:left="240" w:top="858" w:right="1440" w:bottom="24"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__________________ to _____________________</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ind w:left="1060"/>
              <w:spacing w:after="0"/>
              <w:rPr>
                <w:sz w:val="20"/>
                <w:szCs w:val="20"/>
                <w:color w:val="auto"/>
              </w:rPr>
            </w:pPr>
            <w:r>
              <w:rPr>
                <w:rFonts w:ascii="Courier New" w:cs="Courier New" w:eastAsia="Courier New" w:hAnsi="Courier New"/>
                <w:sz w:val="18"/>
                <w:szCs w:val="18"/>
                <w:color w:val="auto"/>
              </w:rPr>
              <w:t>IOWA</w:t>
            </w:r>
          </w:p>
        </w:tc>
        <w:tc>
          <w:tcPr>
            <w:tcW w:w="27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42-0803978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P. O. Box 152, Forest City, Iowa</w:t>
            </w:r>
          </w:p>
        </w:tc>
        <w:tc>
          <w:tcPr>
            <w:tcW w:w="2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Registrant's telephone number, including area code:</w:t>
            </w:r>
          </w:p>
        </w:tc>
        <w:tc>
          <w:tcPr>
            <w:tcW w:w="27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(515) 582-3535</w:t>
            </w:r>
          </w:p>
        </w:tc>
      </w:tr>
    </w:tbl>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____.</w:t>
      </w:r>
    </w:p>
    <w:p>
      <w:pPr>
        <w:spacing w:after="0" w:line="209"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There were 25,345,993 shares of $.50 par value common stock outstanding on January 11, 1996.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INDEX TO REPORT ON FORM 10-Q</w:t>
      </w:r>
    </w:p>
    <w:p>
      <w:pPr>
        <w:spacing w:after="0" w:line="200" w:lineRule="exact"/>
        <w:rPr>
          <w:sz w:val="24"/>
          <w:szCs w:val="24"/>
          <w:color w:val="auto"/>
        </w:rPr>
      </w:pPr>
    </w:p>
    <w:p>
      <w:pPr>
        <w:spacing w:after="0" w:line="209" w:lineRule="exact"/>
        <w:rPr>
          <w:sz w:val="24"/>
          <w:szCs w:val="24"/>
          <w:color w:val="auto"/>
        </w:rPr>
      </w:pPr>
    </w:p>
    <w:p>
      <w:pPr>
        <w:ind w:left="7280"/>
        <w:spacing w:after="0"/>
        <w:rPr>
          <w:sz w:val="20"/>
          <w:szCs w:val="20"/>
          <w:color w:val="auto"/>
        </w:rPr>
      </w:pPr>
      <w:r>
        <w:rPr>
          <w:rFonts w:ascii="Courier New" w:cs="Courier New" w:eastAsia="Courier New" w:hAnsi="Courier New"/>
          <w:sz w:val="16"/>
          <w:szCs w:val="16"/>
          <w:color w:val="auto"/>
        </w:rPr>
        <w:t>Page Number</w:t>
      </w:r>
    </w:p>
    <w:p>
      <w:pPr>
        <w:spacing w:after="0" w:line="1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 (Interim period information unaudited)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ind w:left="1060"/>
              <w:spacing w:after="0"/>
              <w:rPr>
                <w:sz w:val="20"/>
                <w:szCs w:val="20"/>
                <w:color w:val="auto"/>
              </w:rPr>
            </w:pPr>
            <w:r>
              <w:rPr>
                <w:rFonts w:ascii="Courier New" w:cs="Courier New" w:eastAsia="Courier New" w:hAnsi="Courier New"/>
                <w:sz w:val="18"/>
                <w:szCs w:val="18"/>
                <w:color w:val="auto"/>
              </w:rPr>
              <w:t>Consolidated Balance Sheets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&amp;</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r>
      <w:tr>
        <w:trPr>
          <w:trHeight w:val="405"/>
        </w:trPr>
        <w:tc>
          <w:tcPr>
            <w:tcW w:w="7320" w:type="dxa"/>
            <w:vAlign w:val="bottom"/>
          </w:tcPr>
          <w:p>
            <w:pPr>
              <w:ind w:left="1060"/>
              <w:spacing w:after="0"/>
              <w:rPr>
                <w:sz w:val="20"/>
                <w:szCs w:val="20"/>
                <w:color w:val="auto"/>
              </w:rPr>
            </w:pPr>
            <w:r>
              <w:rPr>
                <w:rFonts w:ascii="Courier New" w:cs="Courier New" w:eastAsia="Courier New" w:hAnsi="Courier New"/>
                <w:sz w:val="18"/>
                <w:szCs w:val="18"/>
                <w:color w:val="auto"/>
              </w:rPr>
              <w:t>Unaudited Consolidated Statements of Operations</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260" w:type="dxa"/>
            <w:vAlign w:val="bottom"/>
          </w:tcPr>
          <w:p>
            <w:pPr>
              <w:spacing w:after="0"/>
              <w:rPr>
                <w:sz w:val="24"/>
                <w:szCs w:val="24"/>
                <w:color w:val="auto"/>
              </w:rPr>
            </w:pPr>
          </w:p>
        </w:tc>
      </w:tr>
      <w:tr>
        <w:trPr>
          <w:trHeight w:val="405"/>
        </w:trPr>
        <w:tc>
          <w:tcPr>
            <w:tcW w:w="7320" w:type="dxa"/>
            <w:vAlign w:val="bottom"/>
          </w:tcPr>
          <w:p>
            <w:pPr>
              <w:ind w:left="1060"/>
              <w:spacing w:after="0"/>
              <w:rPr>
                <w:sz w:val="20"/>
                <w:szCs w:val="20"/>
                <w:color w:val="auto"/>
              </w:rPr>
            </w:pPr>
            <w:r>
              <w:rPr>
                <w:rFonts w:ascii="Courier New" w:cs="Courier New" w:eastAsia="Courier New" w:hAnsi="Courier New"/>
                <w:sz w:val="18"/>
                <w:szCs w:val="18"/>
                <w:color w:val="auto"/>
              </w:rPr>
              <w:t>Unaudited Consolidated Condensed Statements of Cash Flows</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24"/>
                <w:szCs w:val="24"/>
                <w:color w:val="auto"/>
              </w:rPr>
            </w:pPr>
          </w:p>
        </w:tc>
      </w:tr>
      <w:tr>
        <w:trPr>
          <w:trHeight w:val="405"/>
        </w:trPr>
        <w:tc>
          <w:tcPr>
            <w:tcW w:w="7320" w:type="dxa"/>
            <w:vAlign w:val="bottom"/>
          </w:tcPr>
          <w:p>
            <w:pPr>
              <w:ind w:left="1060"/>
              <w:spacing w:after="0"/>
              <w:rPr>
                <w:sz w:val="20"/>
                <w:szCs w:val="20"/>
                <w:color w:val="auto"/>
              </w:rPr>
            </w:pPr>
            <w:r>
              <w:rPr>
                <w:rFonts w:ascii="Courier New" w:cs="Courier New" w:eastAsia="Courier New" w:hAnsi="Courier New"/>
                <w:sz w:val="18"/>
                <w:szCs w:val="18"/>
                <w:color w:val="auto"/>
              </w:rPr>
              <w:t>Unaudited Condensed Notes to Consolidated Financial</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73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Statements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&amp;</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7320" w:type="dxa"/>
            <w:vAlign w:val="bottom"/>
          </w:tcPr>
          <w:p>
            <w:pPr>
              <w:ind w:left="106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3"/>
        </w:trPr>
        <w:tc>
          <w:tcPr>
            <w:tcW w:w="73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Condition and Results of Operations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&amp;</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732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&amp;</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10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Financial Information</w:t>
      </w:r>
    </w:p>
    <w:p>
      <w:pPr>
        <w:sectPr>
          <w:pgSz w:w="11900" w:h="16838" w:orient="portrait"/>
          <w:cols w:equalWidth="0" w:num="1">
            <w:col w:w="10219"/>
          </w:cols>
          <w:pgMar w:left="240" w:top="858" w:right="1440" w:bottom="24" w:gutter="0" w:footer="0" w:header="0"/>
          <w:type w:val="continuous"/>
        </w:sectPr>
      </w:pPr>
    </w:p>
    <w:bookmarkStart w:id="1" w:name="page2"/>
    <w:bookmarkEnd w:id="1"/>
    <w:p>
      <w:pPr>
        <w:ind w:left="1900"/>
        <w:spacing w:after="0"/>
        <w:rPr>
          <w:sz w:val="20"/>
          <w:szCs w:val="20"/>
          <w:color w:val="auto"/>
        </w:rPr>
      </w:pPr>
      <w:r>
        <w:rPr>
          <w:rFonts w:ascii="Courier New" w:cs="Courier New" w:eastAsia="Courier New" w:hAnsi="Courier New"/>
          <w:sz w:val="18"/>
          <w:szCs w:val="18"/>
          <w:color w:val="auto"/>
        </w:rPr>
        <w:t>WINNEBAGO INDUSTRIES, INC. AND SUBSIDIARIES</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ind w:left="2000"/>
              <w:spacing w:after="0"/>
              <w:rPr>
                <w:sz w:val="20"/>
                <w:szCs w:val="20"/>
                <w:color w:val="auto"/>
              </w:rPr>
            </w:pPr>
            <w:r>
              <w:rPr>
                <w:rFonts w:ascii="Courier New" w:cs="Courier New" w:eastAsia="Courier New" w:hAnsi="Courier New"/>
                <w:sz w:val="18"/>
                <w:szCs w:val="18"/>
                <w:color w:val="auto"/>
              </w:rPr>
              <w:t>ASSETS</w:t>
            </w:r>
          </w:p>
        </w:tc>
        <w:tc>
          <w:tcPr>
            <w:tcW w:w="15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2,</w:t>
            </w:r>
          </w:p>
        </w:tc>
        <w:tc>
          <w:tcPr>
            <w:tcW w:w="12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4"/>
              </w:rPr>
              <w:t>AUGUST 26,</w:t>
            </w:r>
          </w:p>
        </w:tc>
      </w:tr>
      <w:tr>
        <w:trPr>
          <w:trHeight w:val="203"/>
        </w:trPr>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90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5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18,674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8,881</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2,356</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2,144</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($692 and $1,184, respectively)</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30,055</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37,807</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($314 and $255, respectively)</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12,301</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9,345</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56,196</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53,161</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4,139</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3,342</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6,224</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6,224</w:t>
            </w:r>
          </w:p>
        </w:tc>
      </w:tr>
      <w:tr>
        <w:trPr>
          <w:trHeight w:val="405"/>
        </w:trPr>
        <w:tc>
          <w:tcPr>
            <w:tcW w:w="590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129,945</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120,904</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1,507</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1,512</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43,101</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43,014</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78,779</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77,998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7,963</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7,965</w:t>
            </w:r>
          </w:p>
        </w:tc>
      </w:tr>
      <w:tr>
        <w:trPr>
          <w:trHeight w:val="203"/>
        </w:trPr>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131,350</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130,489</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88,515</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87,511</w:t>
            </w:r>
          </w:p>
        </w:tc>
      </w:tr>
      <w:tr>
        <w:trPr>
          <w:trHeight w:val="405"/>
        </w:trPr>
        <w:tc>
          <w:tcPr>
            <w:tcW w:w="590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4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42,835</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42,978</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LONG-TERM NOTES RECEIVABLE, less allowances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($1,406 and $950, respectively)</w:t>
            </w:r>
          </w:p>
        </w:tc>
        <w:tc>
          <w:tcPr>
            <w:tcW w:w="4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2,473</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2,465</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4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15,708</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15,942</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4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14,107</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14,107</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INTANGIBLE AND OTHER ASSETS</w:t>
            </w:r>
          </w:p>
        </w:tc>
        <w:tc>
          <w:tcPr>
            <w:tcW w:w="4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14,646</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15,234</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219,714</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211,630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2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DECEMBER 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AUGUST 26,</w:t>
            </w:r>
          </w:p>
        </w:tc>
      </w:tr>
      <w:tr>
        <w:trPr>
          <w:trHeight w:val="203"/>
        </w:trPr>
        <w:tc>
          <w:tcPr>
            <w:tcW w:w="4700" w:type="dxa"/>
            <w:vAlign w:val="bottom"/>
          </w:tcPr>
          <w:p>
            <w:pPr>
              <w:spacing w:after="0"/>
              <w:rPr>
                <w:sz w:val="17"/>
                <w:szCs w:val="17"/>
                <w:color w:val="auto"/>
              </w:rPr>
            </w:pPr>
          </w:p>
        </w:tc>
        <w:tc>
          <w:tcPr>
            <w:tcW w:w="2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700" w:type="dxa"/>
            <w:vAlign w:val="bottom"/>
          </w:tcPr>
          <w:p>
            <w:pPr>
              <w:spacing w:after="0"/>
              <w:rPr>
                <w:sz w:val="17"/>
                <w:szCs w:val="17"/>
                <w:color w:val="auto"/>
              </w:rPr>
            </w:pPr>
          </w:p>
        </w:tc>
        <w:tc>
          <w:tcPr>
            <w:tcW w:w="2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spacing w:after="0"/>
              <w:rPr>
                <w:sz w:val="17"/>
                <w:szCs w:val="17"/>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2,908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3,564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payable</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2,534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25,036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22,581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2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5,295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4,620</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3,117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3,184</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Vacation liability</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3,626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3,287</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2,642</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1,916</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7,361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8,058</w:t>
            </w:r>
          </w:p>
        </w:tc>
      </w:tr>
      <w:tr>
        <w:trPr>
          <w:trHeight w:val="405"/>
        </w:trPr>
        <w:tc>
          <w:tcPr>
            <w:tcW w:w="470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2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58,577</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51,210</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LONG-TERM DEBT AND OBLIGATIONS</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UNDER CAPITAL LEASES</w:t>
            </w:r>
          </w:p>
        </w:tc>
        <w:tc>
          <w:tcPr>
            <w:tcW w:w="2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11,955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12,678</w:t>
            </w:r>
          </w:p>
        </w:tc>
      </w:tr>
    </w:tbl>
    <w:p>
      <w:pPr>
        <w:sectPr>
          <w:pgSz w:w="11900" w:h="16838" w:orient="portrait"/>
          <w:cols w:equalWidth="0" w:num="1">
            <w:col w:w="10219"/>
          </w:cols>
          <w:pgMar w:left="240" w:top="136"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20"/>
                <w:szCs w:val="20"/>
                <w:color w:val="auto"/>
              </w:rPr>
            </w:pPr>
            <w:r>
              <w:rPr>
                <w:rFonts w:ascii="Courier New" w:cs="Courier New" w:eastAsia="Courier New" w:hAnsi="Courier New"/>
                <w:sz w:val="18"/>
                <w:szCs w:val="18"/>
                <w:color w:val="auto"/>
              </w:rPr>
              <w:t>POSTRETIREMENT BENEFITS OTHER THAN PENSIONS</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46,071</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45,223</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SUBSIDIARY</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2,172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2,071</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12,917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12,915</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23,691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23,658</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69,896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69,440</w:t>
            </w:r>
          </w:p>
        </w:tc>
      </w:tr>
      <w:tr>
        <w:trPr>
          <w:trHeight w:val="203"/>
        </w:trPr>
        <w:tc>
          <w:tcPr>
            <w:tcW w:w="544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106,504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106,013</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5,565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5,565</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100,939</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100,448</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$219,714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$211,630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 CONSOLIDATED STATEMENTS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w w:val="96"/>
              </w:rPr>
              <w:t>IN THOUSANDS EXCEPT PER SHARE DATA</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580" w:type="dxa"/>
            <w:vAlign w:val="bottom"/>
          </w:tcPr>
          <w:p>
            <w:pPr>
              <w:spacing w:after="0"/>
              <w:rPr>
                <w:sz w:val="24"/>
                <w:szCs w:val="24"/>
                <w:color w:val="auto"/>
              </w:rPr>
            </w:pPr>
          </w:p>
        </w:tc>
        <w:tc>
          <w:tcPr>
            <w:tcW w:w="12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FOURTEEN</w:t>
            </w:r>
          </w:p>
        </w:tc>
        <w:tc>
          <w:tcPr>
            <w:tcW w:w="1580" w:type="dxa"/>
            <w:vAlign w:val="bottom"/>
            <w:gridSpan w:val="2"/>
          </w:tcPr>
          <w:p>
            <w:pPr>
              <w:jc w:val="center"/>
              <w:ind w:left="12"/>
              <w:spacing w:after="0"/>
              <w:rPr>
                <w:sz w:val="20"/>
                <w:szCs w:val="20"/>
                <w:color w:val="auto"/>
              </w:rPr>
            </w:pPr>
            <w:r>
              <w:rPr>
                <w:rFonts w:ascii="Courier New" w:cs="Courier New" w:eastAsia="Courier New" w:hAnsi="Courier New"/>
                <w:sz w:val="18"/>
                <w:szCs w:val="18"/>
                <w:color w:val="auto"/>
                <w:w w:val="97"/>
              </w:rPr>
              <w:t>THIRTEEN WEEKS</w:t>
            </w:r>
          </w:p>
        </w:tc>
      </w:tr>
      <w:tr>
        <w:trPr>
          <w:trHeight w:val="203"/>
        </w:trPr>
        <w:tc>
          <w:tcPr>
            <w:tcW w:w="358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WEEKS ENDED</w:t>
            </w:r>
          </w:p>
        </w:tc>
        <w:tc>
          <w:tcPr>
            <w:tcW w:w="52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ENDED</w:t>
            </w:r>
          </w:p>
        </w:tc>
      </w:tr>
      <w:tr>
        <w:trPr>
          <w:trHeight w:val="203"/>
        </w:trPr>
        <w:tc>
          <w:tcPr>
            <w:tcW w:w="3580" w:type="dxa"/>
            <w:vAlign w:val="bottom"/>
          </w:tcPr>
          <w:p>
            <w:pPr>
              <w:spacing w:after="0"/>
              <w:rPr>
                <w:sz w:val="17"/>
                <w:szCs w:val="17"/>
                <w:color w:val="auto"/>
              </w:rPr>
            </w:pP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December 2,</w:t>
            </w:r>
          </w:p>
        </w:tc>
        <w:tc>
          <w:tcPr>
            <w:tcW w:w="15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November 26,</w:t>
            </w:r>
          </w:p>
        </w:tc>
      </w:tr>
      <w:tr>
        <w:trPr>
          <w:trHeight w:val="203"/>
        </w:trPr>
        <w:tc>
          <w:tcPr>
            <w:tcW w:w="3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spacing w:after="0"/>
              <w:rPr>
                <w:sz w:val="17"/>
                <w:szCs w:val="17"/>
                <w:color w:val="auto"/>
              </w:rPr>
            </w:pPr>
          </w:p>
        </w:tc>
        <w:tc>
          <w:tcPr>
            <w:tcW w:w="10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1994</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Manufactured products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113,385</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124,458</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8,593</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6,301</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net revenues</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121,978</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130,759</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manufactured products</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97,766</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107,001</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services</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4,997</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3,473</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and delivery</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6,809</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6,078</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7,672</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6,404</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117,244</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122,956</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8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4,734</w:t>
            </w:r>
          </w:p>
        </w:tc>
        <w:tc>
          <w:tcPr>
            <w:tcW w:w="52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7,803</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Financial income (expense)</w:t>
            </w:r>
          </w:p>
        </w:tc>
        <w:tc>
          <w:tcPr>
            <w:tcW w:w="38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w:t>
            </w:r>
          </w:p>
        </w:tc>
        <w:tc>
          <w:tcPr>
            <w:tcW w:w="5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(194)</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Income before taxes</w:t>
            </w:r>
          </w:p>
        </w:tc>
        <w:tc>
          <w:tcPr>
            <w:tcW w:w="38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4,748</w:t>
            </w:r>
          </w:p>
        </w:tc>
        <w:tc>
          <w:tcPr>
            <w:tcW w:w="52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7,609</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Provision for taxes</w:t>
            </w:r>
          </w:p>
        </w:tc>
        <w:tc>
          <w:tcPr>
            <w:tcW w:w="38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1,758</w:t>
            </w:r>
          </w:p>
        </w:tc>
        <w:tc>
          <w:tcPr>
            <w:tcW w:w="52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 -</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2,990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7,609</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Income per common share:</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38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25,346</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25,242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jc w:val="right"/>
        <w:ind w:right="3039"/>
        <w:spacing w:after="0" w:line="238" w:lineRule="auto"/>
        <w:rPr>
          <w:sz w:val="20"/>
          <w:szCs w:val="20"/>
          <w:color w:val="auto"/>
        </w:rPr>
      </w:pPr>
      <w:r>
        <w:rPr>
          <w:rFonts w:ascii="Courier New" w:cs="Courier New" w:eastAsia="Courier New" w:hAnsi="Courier New"/>
          <w:sz w:val="18"/>
          <w:szCs w:val="18"/>
          <w:color w:val="auto"/>
        </w:rPr>
        <w:t>UNAUDITED CONSOLIDATED CONDENSED STATEMENTS OF CASH FLOWS</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Dollars in thousands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FOURTEEN WEEKS THIRTEEN WEEKS</w:t>
      </w:r>
    </w:p>
    <w:p>
      <w:pPr>
        <w:spacing w:after="0" w:line="16" w:lineRule="exact"/>
        <w:rPr>
          <w:sz w:val="20"/>
          <w:szCs w:val="20"/>
          <w:color w:val="auto"/>
        </w:rPr>
      </w:pPr>
    </w:p>
    <w:p>
      <w:pPr>
        <w:ind w:left="420"/>
        <w:spacing w:after="0"/>
        <w:tabs>
          <w:tab w:leader="none" w:pos="1980" w:val="left"/>
        </w:tabs>
        <w:rPr>
          <w:sz w:val="20"/>
          <w:szCs w:val="20"/>
          <w:color w:val="auto"/>
        </w:rPr>
      </w:pPr>
      <w:r>
        <w:rPr>
          <w:rFonts w:ascii="Courier New" w:cs="Courier New" w:eastAsia="Courier New" w:hAnsi="Courier New"/>
          <w:sz w:val="18"/>
          <w:szCs w:val="18"/>
          <w:color w:val="auto"/>
        </w:rPr>
        <w:t>ENDED</w:t>
      </w:r>
      <w:r>
        <w:rPr>
          <w:sz w:val="20"/>
          <w:szCs w:val="20"/>
          <w:color w:val="auto"/>
        </w:rPr>
        <w:tab/>
      </w:r>
      <w:r>
        <w:rPr>
          <w:rFonts w:ascii="Courier New" w:cs="Courier New" w:eastAsia="Courier New" w:hAnsi="Courier New"/>
          <w:sz w:val="18"/>
          <w:szCs w:val="18"/>
          <w:color w:val="auto"/>
        </w:rPr>
        <w:t>ENDED</w:t>
      </w:r>
    </w:p>
    <w:p>
      <w:pPr>
        <w:ind w:left="220"/>
        <w:spacing w:after="0"/>
        <w:tabs>
          <w:tab w:leader="none" w:pos="1680" w:val="left"/>
        </w:tabs>
        <w:rPr>
          <w:sz w:val="20"/>
          <w:szCs w:val="20"/>
          <w:color w:val="auto"/>
        </w:rPr>
      </w:pPr>
      <w:r>
        <w:rPr>
          <w:rFonts w:ascii="Courier New" w:cs="Courier New" w:eastAsia="Courier New" w:hAnsi="Courier New"/>
          <w:sz w:val="18"/>
          <w:szCs w:val="18"/>
          <w:color w:val="auto"/>
        </w:rPr>
        <w:t>December 2,</w:t>
      </w:r>
      <w:r>
        <w:rPr>
          <w:sz w:val="20"/>
          <w:szCs w:val="20"/>
          <w:color w:val="auto"/>
        </w:rPr>
        <w:tab/>
      </w:r>
      <w:r>
        <w:rPr>
          <w:rFonts w:ascii="Courier New" w:cs="Courier New" w:eastAsia="Courier New" w:hAnsi="Courier New"/>
          <w:sz w:val="16"/>
          <w:szCs w:val="16"/>
          <w:color w:val="auto"/>
        </w:rPr>
        <w:t>November 26,</w:t>
      </w: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p>
    <w:p>
      <w:pPr>
        <w:sectPr>
          <w:pgSz w:w="11900" w:h="16838" w:orient="portrait"/>
          <w:cols w:equalWidth="0" w:num="2">
            <w:col w:w="6340" w:space="720"/>
            <w:col w:w="3159"/>
          </w:cols>
          <w:pgMar w:left="240" w:top="339"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57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2,990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7,609</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net cash from operating activities: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2,518</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1,990</w:t>
            </w:r>
          </w:p>
        </w:tc>
      </w:tr>
      <w:tr>
        <w:trPr>
          <w:trHeight w:val="203"/>
        </w:trPr>
        <w:tc>
          <w:tcPr>
            <w:tcW w:w="7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Realized and unrealized losses on investments, net</w:t>
            </w: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423</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w:t>
            </w:r>
          </w:p>
        </w:tc>
        <w:tc>
          <w:tcPr>
            <w:tcW w:w="5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trading securities</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(2,103)</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(855)</w:t>
            </w:r>
          </w:p>
        </w:tc>
      </w:tr>
      <w:tr>
        <w:trPr>
          <w:trHeight w:val="203"/>
        </w:trPr>
        <w:tc>
          <w:tcPr>
            <w:tcW w:w="7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trading securities</w:t>
            </w: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1,851</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754</w:t>
            </w:r>
          </w:p>
        </w:tc>
      </w:tr>
      <w:tr>
        <w:trPr>
          <w:trHeight w:val="203"/>
        </w:trPr>
        <w:tc>
          <w:tcPr>
            <w:tcW w:w="7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Minority shareholders' portion of consolidated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subsidiary's net income</w:t>
            </w: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101</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313</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w:t>
            </w:r>
          </w:p>
        </w:tc>
        <w:tc>
          <w:tcPr>
            <w:tcW w:w="5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7,759</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7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inventories</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(3,072)</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1,301</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w:t>
            </w:r>
          </w:p>
        </w:tc>
        <w:tc>
          <w:tcPr>
            <w:tcW w:w="5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5,489</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w:t>
            </w:r>
          </w:p>
        </w:tc>
        <w:tc>
          <w:tcPr>
            <w:tcW w:w="5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848</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589</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(797)</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15,937</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12,552</w:t>
            </w:r>
          </w:p>
        </w:tc>
      </w:tr>
      <w:tr>
        <w:trPr>
          <w:trHeight w:val="405"/>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Cash flows used by investing activities: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7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(2,197)</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(2,133)</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w:t>
            </w:r>
          </w:p>
        </w:tc>
        <w:tc>
          <w:tcPr>
            <w:tcW w:w="5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dealer receivables</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(10,719)</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(8,131)</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w:t>
            </w:r>
          </w:p>
        </w:tc>
        <w:tc>
          <w:tcPr>
            <w:tcW w:w="5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dealer receivables</w:t>
            </w: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7,708</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6,753</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408</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w:t>
            </w:r>
          </w:p>
        </w:tc>
        <w:tc>
          <w:tcPr>
            <w:tcW w:w="5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investing activities</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(4,800)</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(3,512)</w:t>
            </w:r>
          </w:p>
        </w:tc>
      </w:tr>
      <w:tr>
        <w:trPr>
          <w:trHeight w:val="405"/>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Cash flows used by financing activities and capital transactions: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w:t>
            </w:r>
          </w:p>
        </w:tc>
        <w:tc>
          <w:tcPr>
            <w:tcW w:w="5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long-term debt and capital leases</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(1,379)</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w:t>
            </w:r>
          </w:p>
        </w:tc>
        <w:tc>
          <w:tcPr>
            <w:tcW w:w="5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financing activities and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26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(1,344)</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2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9,793</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8,454</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Cash and cash</w:t>
            </w:r>
          </w:p>
        </w:tc>
        <w:tc>
          <w:tcPr>
            <w:tcW w:w="5780" w:type="dxa"/>
            <w:vAlign w:val="bottom"/>
          </w:tcPr>
          <w:p>
            <w:pPr>
              <w:ind w:left="40"/>
              <w:spacing w:after="0"/>
              <w:rPr>
                <w:sz w:val="20"/>
                <w:szCs w:val="20"/>
                <w:color w:val="auto"/>
              </w:rPr>
            </w:pPr>
            <w:r>
              <w:rPr>
                <w:rFonts w:ascii="Courier New" w:cs="Courier New" w:eastAsia="Courier New" w:hAnsi="Courier New"/>
                <w:sz w:val="18"/>
                <w:szCs w:val="18"/>
                <w:color w:val="auto"/>
              </w:rPr>
              <w:t>equivalents - beginning of period</w:t>
            </w:r>
          </w:p>
        </w:tc>
        <w:tc>
          <w:tcPr>
            <w:tcW w:w="26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8,881</w:t>
            </w:r>
          </w:p>
        </w:tc>
        <w:tc>
          <w:tcPr>
            <w:tcW w:w="42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847</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Cash and cash</w:t>
            </w:r>
          </w:p>
        </w:tc>
        <w:tc>
          <w:tcPr>
            <w:tcW w:w="5780" w:type="dxa"/>
            <w:vAlign w:val="bottom"/>
          </w:tcPr>
          <w:p>
            <w:pPr>
              <w:ind w:left="40"/>
              <w:spacing w:after="0"/>
              <w:rPr>
                <w:sz w:val="20"/>
                <w:szCs w:val="20"/>
                <w:color w:val="auto"/>
              </w:rPr>
            </w:pPr>
            <w:r>
              <w:rPr>
                <w:rFonts w:ascii="Courier New" w:cs="Courier New" w:eastAsia="Courier New" w:hAnsi="Courier New"/>
                <w:sz w:val="18"/>
                <w:szCs w:val="18"/>
                <w:color w:val="auto"/>
              </w:rPr>
              <w:t>equivalents - end of period</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18,674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9,301</w:t>
            </w:r>
          </w:p>
        </w:tc>
      </w:tr>
      <w:tr>
        <w:trPr>
          <w:trHeight w:val="810"/>
        </w:trPr>
        <w:tc>
          <w:tcPr>
            <w:tcW w:w="1440" w:type="dxa"/>
            <w:vAlign w:val="bottom"/>
          </w:tcPr>
          <w:p>
            <w:pPr>
              <w:spacing w:after="0"/>
              <w:rPr>
                <w:sz w:val="20"/>
                <w:szCs w:val="20"/>
                <w:color w:val="auto"/>
              </w:rPr>
            </w:pPr>
            <w:r>
              <w:rPr>
                <w:rFonts w:ascii="Courier New" w:cs="Courier New" w:eastAsia="Courier New" w:hAnsi="Courier New"/>
                <w:sz w:val="18"/>
                <w:szCs w:val="18"/>
                <w:color w:val="auto"/>
              </w:rPr>
              <w:t>See Unaudited</w:t>
            </w:r>
          </w:p>
        </w:tc>
        <w:tc>
          <w:tcPr>
            <w:tcW w:w="578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Notes to Consolidated Financial Statements.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ind w:left="960"/>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7" w:lineRule="exact"/>
        <w:rPr>
          <w:sz w:val="20"/>
          <w:szCs w:val="20"/>
          <w:color w:val="auto"/>
        </w:rPr>
      </w:pPr>
    </w:p>
    <w:p>
      <w:pPr>
        <w:ind w:left="740" w:right="1779" w:hanging="732"/>
        <w:spacing w:after="0" w:line="23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management, the accompanying unaudited consolidated condensed financial statements contain all adjustments, consisting of normal recurring accruals, necessary to present fairly the consolidated financial position as of December 2, 1995, the consolidated results of operations for the 14 weeks ended December 2, 1995 and the 13 weeks ended November 26, 1994, and the consolidated cash flows for the 14 weeks ended December 2, 1995 and the 13 weeks ended November 26, 1994.</w:t>
      </w:r>
    </w:p>
    <w:p>
      <w:pPr>
        <w:spacing w:after="0" w:line="211" w:lineRule="exact"/>
        <w:rPr>
          <w:rFonts w:ascii="Courier New" w:cs="Courier New" w:eastAsia="Courier New" w:hAnsi="Courier New"/>
          <w:sz w:val="18"/>
          <w:szCs w:val="18"/>
          <w:color w:val="auto"/>
        </w:rPr>
      </w:pPr>
    </w:p>
    <w:p>
      <w:pPr>
        <w:ind w:left="740" w:right="2099" w:hanging="732"/>
        <w:spacing w:after="0" w:line="273" w:lineRule="auto"/>
        <w:tabs>
          <w:tab w:leader="none" w:pos="7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14 weeks ended December 2, 1995, are not necessarily indicative of the results to be expected for the full year. Service revenues, in the Consolidated Statements of Operations, consist of revenues generated by Cycle-Sat, Inc. (Cycle-Sat) and Winnebago Acceptance Corporation (WAC), subsidiaries of the Company.</w:t>
      </w:r>
    </w:p>
    <w:p>
      <w:pPr>
        <w:spacing w:after="0" w:line="184" w:lineRule="exact"/>
        <w:rPr>
          <w:rFonts w:ascii="Courier New" w:cs="Courier New" w:eastAsia="Courier New" w:hAnsi="Courier New"/>
          <w:sz w:val="16"/>
          <w:szCs w:val="16"/>
          <w:color w:val="auto"/>
        </w:rPr>
      </w:pPr>
    </w:p>
    <w:p>
      <w:pPr>
        <w:ind w:left="740" w:right="1879" w:hanging="732"/>
        <w:spacing w:after="0" w:line="236"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December 2,</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August 26,</w:t>
            </w:r>
          </w:p>
        </w:tc>
      </w:tr>
      <w:tr>
        <w:trPr>
          <w:trHeight w:val="203"/>
        </w:trPr>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1995</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252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23,072</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19,855</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10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16,276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14,223</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10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32,712</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34,704</w:t>
            </w:r>
          </w:p>
        </w:tc>
      </w:tr>
      <w:tr>
        <w:trPr>
          <w:trHeight w:val="203"/>
        </w:trPr>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72,060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68,782</w:t>
            </w:r>
          </w:p>
        </w:tc>
      </w:tr>
    </w:tbl>
    <w:p>
      <w:pPr>
        <w:sectPr>
          <w:pgSz w:w="11900" w:h="16838" w:orient="portrait"/>
          <w:cols w:equalWidth="0" w:num="1">
            <w:col w:w="10219"/>
          </w:cols>
          <w:pgMar w:left="240" w:top="541" w:right="1440" w:bottom="0" w:gutter="0" w:footer="0" w:header="0"/>
        </w:sectPr>
      </w:pPr>
    </w:p>
    <w:bookmarkStart w:id="4" w:name="page5"/>
    <w:bookmarkEnd w:id="4"/>
    <w:p>
      <w:pPr>
        <w:spacing w:after="0" w:line="1" w:lineRule="exact"/>
        <w:rPr>
          <w:sz w:val="20"/>
          <w:szCs w:val="20"/>
          <w:color w:val="auto"/>
        </w:rPr>
      </w:pPr>
    </w:p>
    <w:tbl>
      <w:tblPr>
        <w:tblLayout w:type="fixed"/>
        <w:tblInd w:w="1272" w:type="dxa"/>
        <w:tblCellMar>
          <w:top w:w="0" w:type="dxa"/>
          <w:left w:w="0" w:type="dxa"/>
          <w:bottom w:w="0" w:type="dxa"/>
          <w:right w:w="0" w:type="dxa"/>
        </w:tblCellMar>
      </w:tblPr>
      <w:tr>
        <w:trPr>
          <w:trHeight w:val="204"/>
        </w:trPr>
        <w:tc>
          <w:tcPr>
            <w:tcW w:w="3780" w:type="dxa"/>
            <w:vAlign w:val="bottom"/>
          </w:tcPr>
          <w:p>
            <w:pPr>
              <w:jc w:val="right"/>
              <w:ind w:right="2432"/>
              <w:spacing w:after="0"/>
              <w:rPr>
                <w:sz w:val="20"/>
                <w:szCs w:val="20"/>
                <w:color w:val="auto"/>
              </w:rPr>
            </w:pPr>
            <w:r>
              <w:rPr>
                <w:rFonts w:ascii="Courier New" w:cs="Courier New" w:eastAsia="Courier New" w:hAnsi="Courier New"/>
                <w:sz w:val="18"/>
                <w:szCs w:val="18"/>
                <w:color w:val="auto"/>
                <w:w w:val="95"/>
              </w:rPr>
              <w:t>LIFO Reserve</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15,864</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15,621</w:t>
            </w:r>
          </w:p>
        </w:tc>
      </w:tr>
      <w:tr>
        <w:trPr>
          <w:trHeight w:val="405"/>
        </w:trPr>
        <w:tc>
          <w:tcPr>
            <w:tcW w:w="3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56,196</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53,161</w:t>
            </w:r>
          </w:p>
        </w:tc>
      </w:tr>
    </w:tbl>
    <w:p>
      <w:pPr>
        <w:spacing w:after="0" w:line="200" w:lineRule="exact"/>
        <w:rPr>
          <w:sz w:val="20"/>
          <w:szCs w:val="20"/>
          <w:color w:val="auto"/>
        </w:rPr>
      </w:pPr>
    </w:p>
    <w:p>
      <w:pPr>
        <w:spacing w:after="0" w:line="209" w:lineRule="exact"/>
        <w:rPr>
          <w:sz w:val="20"/>
          <w:szCs w:val="20"/>
          <w:color w:val="auto"/>
        </w:rPr>
      </w:pPr>
    </w:p>
    <w:p>
      <w:pPr>
        <w:ind w:left="732" w:right="1879" w:hanging="732"/>
        <w:spacing w:after="0" w:line="236" w:lineRule="auto"/>
        <w:tabs>
          <w:tab w:leader="none" w:pos="7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March 1992, the Company has had a financing and security agreement with NationsCredit Corporation (NationsCredit) formerly Chrysler First Commercial Corporation.</w:t>
      </w:r>
    </w:p>
    <w:p>
      <w:pPr>
        <w:spacing w:after="0" w:line="208" w:lineRule="exact"/>
        <w:rPr>
          <w:rFonts w:ascii="Courier New" w:cs="Courier New" w:eastAsia="Courier New" w:hAnsi="Courier New"/>
          <w:sz w:val="18"/>
          <w:szCs w:val="18"/>
          <w:color w:val="auto"/>
        </w:rPr>
      </w:pPr>
    </w:p>
    <w:p>
      <w:pPr>
        <w:ind w:left="7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Terms of the agreement limit borrowings to the lesser of $30,000,000 or 75 percent of eligible inventory (fully manufactured recreation vehicles and motor home chassis and related components). Borrowings are secured by the Company's receivables and inventory. Borrowings pursuant to the agreement bear interest at the prime rate, as defined in the agreement, plus 50 basis points. The line of credit is available through March 31, 1997, and continues during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December 2, 1995, the Company was in compliance with these covenants. There were no outstanding borrowings under the line of credit at December 2, 1995 or August 26, 1995.</w:t>
      </w:r>
    </w:p>
    <w:p>
      <w:pPr>
        <w:spacing w:after="0" w:line="387" w:lineRule="exact"/>
        <w:rPr>
          <w:rFonts w:ascii="Courier New" w:cs="Courier New" w:eastAsia="Courier New" w:hAnsi="Courier New"/>
          <w:sz w:val="18"/>
          <w:szCs w:val="18"/>
          <w:color w:val="auto"/>
        </w:rPr>
      </w:pPr>
    </w:p>
    <w:p>
      <w:pPr>
        <w:ind w:left="7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Cycle-Sat maintain a line of credit with Firstar Bank Cedar Rapids. Terms of the agreement limit the amount advanced to the lesser of $4,500,000 or the sum of 80 percent of Cycle-Sat's eligible accounts receivable and 50 percent of its inventory. Borrowings pursuant to the agreement bear interest at the 90-day LIBOR rate, plus 150 basis points. (7.4 percent per annum at December 2, 1995 and August 26, 1995) and contains certain restrictive covenants as defined in the agreement. Borrowings under the line of credit are secured by Cycle-Sat's accounts receivable and inventories and have been guaranteed by the Company. The line of credit expires February 1, 1996. The outstanding balance under the line of credit was $4,300,000 at December 2, 1995 and $4,000,000 at August 26, 1995. As of December 2, 1995, Cycle-Sat had $150,000 of unused borrowings available.</w:t>
      </w:r>
    </w:p>
    <w:p>
      <w:pPr>
        <w:spacing w:after="0" w:line="207" w:lineRule="exact"/>
        <w:rPr>
          <w:rFonts w:ascii="Courier New" w:cs="Courier New" w:eastAsia="Courier New" w:hAnsi="Courier New"/>
          <w:sz w:val="18"/>
          <w:szCs w:val="18"/>
          <w:color w:val="auto"/>
        </w:rPr>
      </w:pPr>
    </w:p>
    <w:p>
      <w:pPr>
        <w:ind w:left="732" w:right="1779" w:hanging="732"/>
        <w:spacing w:after="0" w:line="237" w:lineRule="auto"/>
        <w:tabs>
          <w:tab w:leader="none" w:pos="7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$123,221,000 and $120,487,000 under repurchase agreements with lending institutions as of December 2, 1995, and August 26, 1995, respectively. Included in these contingent liabilities are approximately $38,345,000 and $37,616,000, respectively, of certain dealer receivables subject to recourse agreements with NationsCredit and John Deere Credit, Inc.</w:t>
      </w:r>
    </w:p>
    <w:p>
      <w:pPr>
        <w:spacing w:after="0" w:line="215" w:lineRule="exact"/>
        <w:rPr>
          <w:rFonts w:ascii="Courier New" w:cs="Courier New" w:eastAsia="Courier New" w:hAnsi="Courier New"/>
          <w:sz w:val="18"/>
          <w:szCs w:val="18"/>
          <w:color w:val="auto"/>
        </w:rPr>
      </w:pPr>
    </w:p>
    <w:p>
      <w:pPr>
        <w:ind w:left="732" w:right="1999" w:hanging="732"/>
        <w:spacing w:after="0" w:line="235" w:lineRule="auto"/>
        <w:tabs>
          <w:tab w:leader="none" w:pos="7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year-to-date the Company paid cash for the following (dollars in thousands):</w:t>
      </w:r>
    </w:p>
    <w:p>
      <w:pPr>
        <w:sectPr>
          <w:pgSz w:w="11900" w:h="16838" w:orient="portrait"/>
          <w:cols w:equalWidth="0" w:num="1">
            <w:col w:w="10211"/>
          </w:cols>
          <w:pgMar w:left="248" w:top="136" w:right="1440" w:bottom="335" w:gutter="0" w:footer="0" w:header="0"/>
        </w:sectPr>
      </w:pP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Fourteen</w:t>
      </w:r>
    </w:p>
    <w:p>
      <w:pPr>
        <w:spacing w:after="0" w:line="4" w:lineRule="exact"/>
        <w:rPr>
          <w:sz w:val="20"/>
          <w:szCs w:val="20"/>
          <w:color w:val="auto"/>
        </w:rPr>
      </w:pPr>
    </w:p>
    <w:p>
      <w:pPr>
        <w:ind w:left="3892"/>
        <w:spacing w:after="0"/>
        <w:rPr>
          <w:sz w:val="20"/>
          <w:szCs w:val="20"/>
          <w:color w:val="auto"/>
        </w:rPr>
      </w:pPr>
      <w:r>
        <w:rPr>
          <w:rFonts w:ascii="Courier New" w:cs="Courier New" w:eastAsia="Courier New" w:hAnsi="Courier New"/>
          <w:sz w:val="16"/>
          <w:szCs w:val="16"/>
          <w:color w:val="auto"/>
        </w:rPr>
        <w:t>Weeks Ended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Thirteen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Weeks Ended</w:t>
      </w:r>
    </w:p>
    <w:p>
      <w:pPr>
        <w:spacing w:after="0" w:line="200" w:lineRule="exact"/>
        <w:rPr>
          <w:sz w:val="20"/>
          <w:szCs w:val="20"/>
          <w:color w:val="auto"/>
        </w:rPr>
      </w:pPr>
    </w:p>
    <w:p>
      <w:pPr>
        <w:sectPr>
          <w:pgSz w:w="11900" w:h="16838" w:orient="portrait"/>
          <w:cols w:equalWidth="0" w:num="2">
            <w:col w:w="5072" w:space="720"/>
            <w:col w:w="4419"/>
          </w:cols>
          <w:pgMar w:left="248" w:top="136" w:right="1440" w:bottom="335" w:gutter="0" w:footer="0" w:header="0"/>
          <w:type w:val="continuous"/>
        </w:sectPr>
      </w:pPr>
    </w:p>
    <w:p>
      <w:pPr>
        <w:spacing w:after="0" w:line="24" w:lineRule="exact"/>
        <w:rPr>
          <w:sz w:val="20"/>
          <w:szCs w:val="20"/>
          <w:color w:val="auto"/>
        </w:rPr>
      </w:pPr>
    </w:p>
    <w:p>
      <w:pPr>
        <w:ind w:left="3892"/>
        <w:spacing w:after="0"/>
        <w:rPr>
          <w:sz w:val="20"/>
          <w:szCs w:val="20"/>
          <w:color w:val="auto"/>
        </w:rPr>
      </w:pPr>
      <w:r>
        <w:rPr>
          <w:rFonts w:ascii="Courier New" w:cs="Courier New" w:eastAsia="Courier New" w:hAnsi="Courier New"/>
          <w:sz w:val="16"/>
          <w:szCs w:val="16"/>
          <w:color w:val="auto"/>
        </w:rPr>
        <w:t>December 2,</w:t>
      </w:r>
    </w:p>
    <w:p>
      <w:pPr>
        <w:spacing w:after="0" w:line="16"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1995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26,</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1994</w:t>
      </w:r>
    </w:p>
    <w:p>
      <w:pPr>
        <w:spacing w:after="0" w:line="200" w:lineRule="exact"/>
        <w:rPr>
          <w:sz w:val="20"/>
          <w:szCs w:val="20"/>
          <w:color w:val="auto"/>
        </w:rPr>
      </w:pPr>
    </w:p>
    <w:p>
      <w:pPr>
        <w:sectPr>
          <w:pgSz w:w="11900" w:h="16838" w:orient="portrait"/>
          <w:cols w:equalWidth="0" w:num="2">
            <w:col w:w="5072" w:space="720"/>
            <w:col w:w="4419"/>
          </w:cols>
          <w:pgMar w:left="248" w:top="136" w:right="1440" w:bottom="335" w:gutter="0" w:footer="0" w:header="0"/>
          <w:type w:val="continuous"/>
        </w:sectPr>
      </w:pPr>
    </w:p>
    <w:p>
      <w:pPr>
        <w:spacing w:after="0" w:line="1" w:lineRule="exact"/>
        <w:rPr>
          <w:sz w:val="20"/>
          <w:szCs w:val="20"/>
          <w:color w:val="auto"/>
        </w:rPr>
      </w:pPr>
    </w:p>
    <w:p>
      <w:pPr>
        <w:ind w:left="1572"/>
        <w:spacing w:after="0"/>
        <w:rPr>
          <w:sz w:val="20"/>
          <w:szCs w:val="20"/>
          <w:color w:val="auto"/>
        </w:rPr>
      </w:pPr>
      <w:r>
        <w:rPr>
          <w:rFonts w:ascii="Courier New" w:cs="Courier New" w:eastAsia="Courier New" w:hAnsi="Courier New"/>
          <w:sz w:val="18"/>
          <w:szCs w:val="18"/>
          <w:color w:val="auto"/>
        </w:rPr>
        <w:t>Interest</w:t>
      </w:r>
    </w:p>
    <w:p>
      <w:pPr>
        <w:spacing w:after="0" w:line="4" w:lineRule="exact"/>
        <w:rPr>
          <w:sz w:val="20"/>
          <w:szCs w:val="20"/>
          <w:color w:val="auto"/>
        </w:rPr>
      </w:pPr>
    </w:p>
    <w:p>
      <w:pPr>
        <w:ind w:left="1572"/>
        <w:spacing w:after="0"/>
        <w:rPr>
          <w:sz w:val="20"/>
          <w:szCs w:val="20"/>
          <w:color w:val="auto"/>
        </w:rPr>
      </w:pPr>
      <w:r>
        <w:rPr>
          <w:rFonts w:ascii="Courier New" w:cs="Courier New" w:eastAsia="Courier New" w:hAnsi="Courier New"/>
          <w:sz w:val="16"/>
          <w:szCs w:val="16"/>
          <w:color w:val="auto"/>
        </w:rPr>
        <w:t>Income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Courier New" w:cs="Courier New" w:eastAsia="Courier New" w:hAnsi="Courier New"/>
          <w:sz w:val="16"/>
          <w:szCs w:val="16"/>
          <w:color w:val="auto"/>
        </w:rPr>
        <w:t>449</w:t>
      </w:r>
    </w:p>
    <w:p>
      <w:pPr>
        <w:spacing w:after="0" w:line="16"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8"/>
          <w:szCs w:val="18"/>
          <w:color w:val="auto"/>
        </w:rPr>
        <w:t>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693</w:t>
      </w:r>
    </w:p>
    <w:p>
      <w:pPr>
        <w:spacing w:after="0" w:line="216" w:lineRule="exact"/>
        <w:rPr>
          <w:sz w:val="20"/>
          <w:szCs w:val="20"/>
          <w:color w:val="auto"/>
        </w:rPr>
      </w:pPr>
    </w:p>
    <w:p>
      <w:pPr>
        <w:sectPr>
          <w:pgSz w:w="11900" w:h="16838" w:orient="portrait"/>
          <w:cols w:equalWidth="0" w:num="5">
            <w:col w:w="3292" w:space="720"/>
            <w:col w:w="100" w:space="420"/>
            <w:col w:w="540" w:space="720"/>
            <w:col w:w="100" w:space="540"/>
            <w:col w:w="3779"/>
          </w:cols>
          <w:pgMar w:left="248" w:top="136" w:right="1440" w:bottom="335" w:gutter="0" w:footer="0" w:header="0"/>
          <w:type w:val="continuous"/>
        </w:sectPr>
      </w:pPr>
    </w:p>
    <w:p>
      <w:pPr>
        <w:spacing w:after="0" w:line="7" w:lineRule="exact"/>
        <w:rPr>
          <w:sz w:val="20"/>
          <w:szCs w:val="20"/>
          <w:color w:val="auto"/>
        </w:rPr>
      </w:pPr>
    </w:p>
    <w:p>
      <w:pPr>
        <w:ind w:left="732" w:right="1779" w:hanging="732"/>
        <w:spacing w:after="0" w:line="279" w:lineRule="auto"/>
        <w:tabs>
          <w:tab w:leader="none" w:pos="7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2, 1995, Postretirement Health Care and Deferred Compensation Benefits included postretirement benefits related to health care and other benefits of $25,136,000 and deferred compensation of $20,935,000.</w:t>
      </w:r>
    </w:p>
    <w:p>
      <w:pPr>
        <w:spacing w:after="0" w:line="178" w:lineRule="exact"/>
        <w:rPr>
          <w:rFonts w:ascii="Courier New" w:cs="Courier New" w:eastAsia="Courier New" w:hAnsi="Courier New"/>
          <w:sz w:val="16"/>
          <w:szCs w:val="16"/>
          <w:color w:val="auto"/>
        </w:rPr>
      </w:pPr>
    </w:p>
    <w:p>
      <w:pPr>
        <w:ind w:left="732"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postretirement benefit cost for the 14 weeks ended December 2, 1995 consisted of the following components:</w:t>
      </w:r>
    </w:p>
    <w:p>
      <w:pPr>
        <w:spacing w:after="0" w:line="203"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Fourteen</w:t>
            </w:r>
          </w:p>
        </w:tc>
      </w:tr>
      <w:tr>
        <w:trPr>
          <w:trHeight w:val="203"/>
        </w:trPr>
        <w:tc>
          <w:tcPr>
            <w:tcW w:w="5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Weeks</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Service cost - benefits earned during the period</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393,000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 on accumulated postretirement</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 obligation</w:t>
            </w:r>
          </w:p>
        </w:tc>
        <w:tc>
          <w:tcPr>
            <w:tcW w:w="58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407,000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(gain)/loss</w:t>
            </w:r>
          </w:p>
        </w:tc>
        <w:tc>
          <w:tcPr>
            <w:tcW w:w="58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4"/>
              </w:rPr>
              <w:t>(32,000)</w:t>
            </w:r>
          </w:p>
        </w:tc>
      </w:tr>
      <w:tr>
        <w:trPr>
          <w:trHeight w:val="405"/>
        </w:trPr>
        <w:tc>
          <w:tcPr>
            <w:tcW w:w="5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768,000</w:t>
            </w:r>
          </w:p>
        </w:tc>
      </w:tr>
    </w:tbl>
    <w:p>
      <w:pPr>
        <w:sectPr>
          <w:pgSz w:w="11900" w:h="16838" w:orient="portrait"/>
          <w:cols w:equalWidth="0" w:num="1">
            <w:col w:w="10211"/>
          </w:cols>
          <w:pgMar w:left="248" w:top="136" w:right="1440" w:bottom="335" w:gutter="0" w:footer="0" w:header="0"/>
          <w:type w:val="continuous"/>
        </w:sectPr>
      </w:pPr>
    </w:p>
    <w:bookmarkStart w:id="5" w:name="page6"/>
    <w:bookmarkEnd w:id="5"/>
    <w:p>
      <w:pPr>
        <w:ind w:right="357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Fourteen Weeks Ended December 2, 1995 Compared to Thirteen Weeks Ended November 26, 1994</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Net revenues of manufactured products for the 14 weeks ended December 2, 1995 were $113,385,000, a decrease of $11,073,000, or 8.9 percent, from the 13 week period ended November 26, 1994. Motor home shipments (Classes A, B and C) were 2,287 units, a decrease of 354 units, or 13.4 percent, during the first quarter of fiscal 1996 compared to the first quarter of fiscal 1995. The Company experienced a reduction in revenues and number of motor home shipments which the Company believes was the result of increased interest rates and lower consumer confidence in the economy during the first quarter of fiscal 1996. With the Federal Reserve Board's recent decision to lower interest rates, the Company believes the economy will continue to grow at a moderate rate and this growth will be beneficial to Winnebago Industries and the RV industry as a whole.</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Service revenues were $8,593,000 for the 14 weeks ended December 2, 1995 an increase of $2,292,000, or 36.4 percent from the comparable period of fiscal 1995. Cycle-Sat recorded revenues of $8,243,000, an increase of $2,205,000, or 36.5 percent, primarily due to increased revenues generated through the acquisition by Cycle-Sat of the TFI division of MPO Videotronics during the third quarter of fiscal 1995.</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Cost of manufactured products, as a percent of manufactured product revenues, was 86.2 percent for the 14 weeks ended December 2, 1995 compared to 86.0 percent for the 13 weeks ended November 26, 1994. This percentage increase was primarily caused by lower motor home production volume.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Cost of services, as a percent of service revenues, increased during the first quarter of fiscal 1996 to 58.2 percent from 55.1 percent during the first quarter of fiscal 1995. This increase is attributed to higher labor costs at Cycle-Sat which raised its cost of services percentage to 60.3 percent in the first quarter of fiscal 1996 from 57.1 percent during the first quarter of fiscal 1995.</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Selling and delivery expenses increased by $731,000 to $6,809,000 comparing the 14 weeks ended December 2, 1995 to the 13 weeks ended November 26, 1994 and increased as a percentage of net revenues to 5.6 percent from 4.6 percent. The increases in dollars and percentage primarily reflects increases in the Company's promotional and advertising costs and an increase in spending by Winnebago Industries Europe GmbH (WIE).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increased by $1,268,000 to $7,672,000 comparing the 14 weeks ended December 2, 1995 to the 13 weeks ended November 26, 1994 and increased as a percentage of net revenues to 6.3 percent from 4.9 percent. The increases in dollars and percentage was caused primarily by increased spending by Cycle-Sat and increases in the Company's provisions for product liability expenses.</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had net financial income of $14,000 for the first quarter of fiscal 1996 compared to net financial expense of $194,000 for the comparable quarter of fiscal 1995. During the 14 weeks ended December 2, 1995, the Company recorded foreign currency transaction gains of $109,000, interest expense of $55,000 and $40,000 of realized and unrealized losses in its trading securities portfolio. During the 13 weeks ended November 26, 1994, the Company recorded $423,000 of realized and unrealized losses in its trading securities portfolio, interest income of $124,000 and foreign currency transaction gains of $106,000.</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14 weeks ended December 2, 1995, the Company reported net income of $2,990,000 or $.12 per share which consisted primarily of income from manufactured products operations of $2,412,000 ($.10 per share) and income from Cycle-Sat operations of $196,000 ($.01 per share). This quarter's results reflect the impact of income tax expense of $1,758,000 for the first time since fiscal 1992 as the Company has used all benefits which had existed from prior tax losses. For the 13 weeks ended November 26, 1994, the Company reported net income of $7,609,000 or $.30 per share which consisted primarily of income from manufactured products operations of $6,402,000 ($.25 per share) and income from Cycle-Sat operations of $624,000 ($.02 per share).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meets its working capital and capital equipment requirements and cash requirements of subsidiaries with funds generated internally and funds from agreements with financial institutions.</w:t>
      </w:r>
    </w:p>
    <w:p>
      <w:pPr>
        <w:sectPr>
          <w:pgSz w:w="11900" w:h="16838" w:orient="portrait"/>
          <w:cols w:equalWidth="0" w:num="1">
            <w:col w:w="10219"/>
          </w:cols>
          <w:pgMar w:left="240" w:top="142" w:right="1440" w:bottom="0" w:gutter="0" w:footer="0" w:header="0"/>
        </w:sectPr>
      </w:pPr>
    </w:p>
    <w:bookmarkStart w:id="6" w:name="page7"/>
    <w:bookmarkEnd w:id="6"/>
    <w:p>
      <w:pPr>
        <w:ind w:right="1879"/>
        <w:spacing w:after="0" w:line="275" w:lineRule="auto"/>
        <w:rPr>
          <w:sz w:val="20"/>
          <w:szCs w:val="20"/>
          <w:color w:val="auto"/>
        </w:rPr>
      </w:pPr>
      <w:r>
        <w:rPr>
          <w:rFonts w:ascii="Courier New" w:cs="Courier New" w:eastAsia="Courier New" w:hAnsi="Courier New"/>
          <w:sz w:val="16"/>
          <w:szCs w:val="16"/>
          <w:color w:val="auto"/>
        </w:rPr>
        <w:t>At December 2, 1995, working capital was $71,368,000, an increase of $1,674,000 from the amount at August 26, 1995. The Company's principal sources and uses of cash during the 14 weeks ended December 2, 1995 are set forth in the unaudited consolidated condensed statement of cash flows for that period.</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Principal known demands at December 2, 1995 on the Company's liquid assets for the remainder of fiscal 1996 include approximately $5,310,000 of capital expenditures (primarily equipment replacements) and $2,534,000 of cash dividends declared by the Board of Directors on October 19, 1995 (payable December 4, 1995).</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Management currently expects its cash on hand, funds from operations and borrowings available under existing credit facilities to be sufficient to cover both short term and long term operating requirements.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900" w:hanging="733"/>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27 - Financial Data Schedule (For SEC use only)</w:t>
      </w:r>
    </w:p>
    <w:p>
      <w:pPr>
        <w:spacing w:after="0" w:line="206" w:lineRule="exact"/>
        <w:rPr>
          <w:rFonts w:ascii="Courier New" w:cs="Courier New" w:eastAsia="Courier New" w:hAnsi="Courier New"/>
          <w:sz w:val="18"/>
          <w:szCs w:val="18"/>
          <w:color w:val="auto"/>
        </w:rPr>
      </w:pPr>
    </w:p>
    <w:p>
      <w:pPr>
        <w:ind w:left="1900" w:right="2099" w:hanging="733"/>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WINNEBAGO INDUSTRIES, INC.</w:t>
      </w:r>
    </w:p>
    <w:p>
      <w:pPr>
        <w:jc w:val="center"/>
        <w:ind w:right="-9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12, 1996</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Fred G. Dohrmann</w:t>
      </w:r>
    </w:p>
    <w:p>
      <w:pPr>
        <w:spacing w:after="0" w:line="238" w:lineRule="auto"/>
        <w:rPr>
          <w:sz w:val="20"/>
          <w:szCs w:val="20"/>
          <w:color w:val="auto"/>
        </w:rPr>
      </w:pPr>
      <w:r>
        <w:rPr>
          <w:rFonts w:ascii="Courier New" w:cs="Courier New" w:eastAsia="Courier New" w:hAnsi="Courier New"/>
          <w:sz w:val="18"/>
          <w:szCs w:val="18"/>
          <w:color w:val="auto"/>
        </w:rPr>
        <w:t>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3">
            <w:col w:w="420" w:space="320"/>
            <w:col w:w="2760" w:space="720"/>
            <w:col w:w="599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12,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Ed F. Barker</w:t>
      </w:r>
    </w:p>
    <w:p>
      <w:pPr>
        <w:spacing w:after="0" w:line="238" w:lineRule="auto"/>
        <w:rPr>
          <w:sz w:val="20"/>
          <w:szCs w:val="20"/>
          <w:color w:val="auto"/>
        </w:rPr>
      </w:pPr>
      <w:r>
        <w:rPr>
          <w:rFonts w:ascii="Courier New" w:cs="Courier New" w:eastAsia="Courier New" w:hAnsi="Courier New"/>
          <w:sz w:val="18"/>
          <w:szCs w:val="18"/>
          <w:color w:val="auto"/>
        </w:rPr>
        <w:t>Ed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Controller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ectPr>
          <w:pgSz w:w="11900" w:h="16838" w:orient="portrait"/>
          <w:cols w:equalWidth="0" w:num="3">
            <w:col w:w="420" w:space="320"/>
            <w:col w:w="2760" w:space="720"/>
            <w:col w:w="5999"/>
          </w:cols>
          <w:pgMar w:left="240" w:top="142" w:right="1440"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3-MOS</w:t>
      </w:r>
    </w:p>
    <w:p>
      <w:pPr>
        <w:ind w:left="720"/>
        <w:spacing w:after="0" w:line="238" w:lineRule="auto"/>
        <w:rPr>
          <w:sz w:val="20"/>
          <w:szCs w:val="20"/>
          <w:color w:val="auto"/>
        </w:rPr>
      </w:pPr>
      <w:r>
        <w:rPr>
          <w:rFonts w:ascii="Courier New" w:cs="Courier New" w:eastAsia="Courier New" w:hAnsi="Courier New"/>
          <w:sz w:val="18"/>
          <w:szCs w:val="18"/>
          <w:color w:val="auto"/>
        </w:rPr>
        <w:t>AUG-31-1996</w:t>
      </w:r>
    </w:p>
    <w:p>
      <w:pPr>
        <w:ind w:left="1260"/>
        <w:spacing w:after="0"/>
        <w:rPr>
          <w:sz w:val="20"/>
          <w:szCs w:val="20"/>
          <w:color w:val="auto"/>
        </w:rPr>
      </w:pPr>
      <w:r>
        <w:rPr>
          <w:rFonts w:ascii="Courier New" w:cs="Courier New" w:eastAsia="Courier New" w:hAnsi="Courier New"/>
          <w:sz w:val="18"/>
          <w:szCs w:val="18"/>
          <w:color w:val="auto"/>
        </w:rPr>
        <w:t>DEC-02-1995</w:t>
      </w:r>
    </w:p>
    <w:p>
      <w:pPr>
        <w:ind w:left="2420"/>
        <w:spacing w:after="0" w:line="237" w:lineRule="auto"/>
        <w:rPr>
          <w:sz w:val="20"/>
          <w:szCs w:val="20"/>
          <w:color w:val="auto"/>
        </w:rPr>
      </w:pPr>
      <w:r>
        <w:rPr>
          <w:rFonts w:ascii="Courier New" w:cs="Courier New" w:eastAsia="Courier New" w:hAnsi="Courier New"/>
          <w:sz w:val="18"/>
          <w:szCs w:val="18"/>
          <w:color w:val="auto"/>
        </w:rPr>
        <w:t>18,674</w:t>
      </w:r>
    </w:p>
    <w:p>
      <w:pPr>
        <w:ind w:left="1880"/>
        <w:spacing w:after="0" w:line="238" w:lineRule="auto"/>
        <w:rPr>
          <w:sz w:val="20"/>
          <w:szCs w:val="20"/>
          <w:color w:val="auto"/>
        </w:rPr>
      </w:pPr>
      <w:r>
        <w:rPr>
          <w:rFonts w:ascii="Courier New" w:cs="Courier New" w:eastAsia="Courier New" w:hAnsi="Courier New"/>
          <w:sz w:val="18"/>
          <w:szCs w:val="18"/>
          <w:color w:val="auto"/>
        </w:rPr>
        <w:t>2,356</w:t>
      </w:r>
    </w:p>
    <w:p>
      <w:pPr>
        <w:ind w:left="1680"/>
        <w:spacing w:after="0"/>
        <w:rPr>
          <w:sz w:val="20"/>
          <w:szCs w:val="20"/>
          <w:color w:val="auto"/>
        </w:rPr>
      </w:pPr>
      <w:r>
        <w:rPr>
          <w:rFonts w:ascii="Courier New" w:cs="Courier New" w:eastAsia="Courier New" w:hAnsi="Courier New"/>
          <w:sz w:val="18"/>
          <w:szCs w:val="18"/>
          <w:color w:val="auto"/>
        </w:rPr>
        <w:t>43,362</w:t>
      </w:r>
    </w:p>
    <w:p>
      <w:pPr>
        <w:ind w:left="1880"/>
        <w:spacing w:after="0" w:line="237" w:lineRule="auto"/>
        <w:rPr>
          <w:sz w:val="20"/>
          <w:szCs w:val="20"/>
          <w:color w:val="auto"/>
        </w:rPr>
      </w:pPr>
      <w:r>
        <w:rPr>
          <w:rFonts w:ascii="Courier New" w:cs="Courier New" w:eastAsia="Courier New" w:hAnsi="Courier New"/>
          <w:sz w:val="18"/>
          <w:szCs w:val="18"/>
          <w:color w:val="auto"/>
        </w:rPr>
        <w:t>1,006</w:t>
      </w:r>
    </w:p>
    <w:p>
      <w:pPr>
        <w:ind w:left="1880"/>
        <w:spacing w:after="0"/>
        <w:rPr>
          <w:sz w:val="20"/>
          <w:szCs w:val="20"/>
          <w:color w:val="auto"/>
        </w:rPr>
      </w:pPr>
      <w:r>
        <w:rPr>
          <w:rFonts w:ascii="Courier New" w:cs="Courier New" w:eastAsia="Courier New" w:hAnsi="Courier New"/>
          <w:sz w:val="18"/>
          <w:szCs w:val="18"/>
          <w:color w:val="auto"/>
        </w:rPr>
        <w:t>56,196</w:t>
      </w:r>
    </w:p>
    <w:p>
      <w:pPr>
        <w:ind w:left="1260"/>
        <w:spacing w:after="0" w:line="237" w:lineRule="auto"/>
        <w:rPr>
          <w:sz w:val="20"/>
          <w:szCs w:val="20"/>
          <w:color w:val="auto"/>
        </w:rPr>
      </w:pPr>
      <w:r>
        <w:rPr>
          <w:rFonts w:ascii="Courier New" w:cs="Courier New" w:eastAsia="Courier New" w:hAnsi="Courier New"/>
          <w:sz w:val="18"/>
          <w:szCs w:val="18"/>
          <w:color w:val="auto"/>
        </w:rPr>
        <w:t>129,945</w:t>
      </w:r>
    </w:p>
    <w:p>
      <w:pPr>
        <w:ind w:left="2300"/>
        <w:spacing w:after="0"/>
        <w:rPr>
          <w:sz w:val="20"/>
          <w:szCs w:val="20"/>
          <w:color w:val="auto"/>
        </w:rPr>
      </w:pPr>
      <w:r>
        <w:rPr>
          <w:rFonts w:ascii="Courier New" w:cs="Courier New" w:eastAsia="Courier New" w:hAnsi="Courier New"/>
          <w:sz w:val="18"/>
          <w:szCs w:val="18"/>
          <w:color w:val="auto"/>
        </w:rPr>
        <w:t>131,350</w:t>
      </w:r>
    </w:p>
    <w:p>
      <w:pPr>
        <w:ind w:left="1580"/>
        <w:spacing w:after="0" w:line="237" w:lineRule="auto"/>
        <w:rPr>
          <w:sz w:val="20"/>
          <w:szCs w:val="20"/>
          <w:color w:val="auto"/>
        </w:rPr>
      </w:pPr>
      <w:r>
        <w:rPr>
          <w:rFonts w:ascii="Courier New" w:cs="Courier New" w:eastAsia="Courier New" w:hAnsi="Courier New"/>
          <w:sz w:val="18"/>
          <w:szCs w:val="18"/>
          <w:color w:val="auto"/>
        </w:rPr>
        <w:t>88,515</w:t>
      </w:r>
    </w:p>
    <w:p>
      <w:pPr>
        <w:ind w:left="1460"/>
        <w:spacing w:after="0" w:line="238" w:lineRule="auto"/>
        <w:rPr>
          <w:sz w:val="20"/>
          <w:szCs w:val="20"/>
          <w:color w:val="auto"/>
        </w:rPr>
      </w:pPr>
      <w:r>
        <w:rPr>
          <w:rFonts w:ascii="Courier New" w:cs="Courier New" w:eastAsia="Courier New" w:hAnsi="Courier New"/>
          <w:sz w:val="18"/>
          <w:szCs w:val="18"/>
          <w:color w:val="auto"/>
        </w:rPr>
        <w:t>219,714</w:t>
      </w:r>
    </w:p>
    <w:p>
      <w:pPr>
        <w:ind w:left="840"/>
        <w:spacing w:after="0"/>
        <w:rPr>
          <w:sz w:val="20"/>
          <w:szCs w:val="20"/>
          <w:color w:val="auto"/>
        </w:rPr>
      </w:pPr>
      <w:r>
        <w:rPr>
          <w:rFonts w:ascii="Courier New" w:cs="Courier New" w:eastAsia="Courier New" w:hAnsi="Courier New"/>
          <w:sz w:val="18"/>
          <w:szCs w:val="18"/>
          <w:color w:val="auto"/>
        </w:rPr>
        <w:t>58,577</w:t>
      </w:r>
    </w:p>
    <w:p>
      <w:pPr>
        <w:ind w:left="2840"/>
        <w:spacing w:after="0" w:line="237" w:lineRule="auto"/>
        <w:rPr>
          <w:sz w:val="20"/>
          <w:szCs w:val="20"/>
          <w:color w:val="auto"/>
        </w:rPr>
      </w:pPr>
      <w:r>
        <w:rPr>
          <w:rFonts w:ascii="Courier New" w:cs="Courier New" w:eastAsia="Courier New" w:hAnsi="Courier New"/>
          <w:sz w:val="18"/>
          <w:szCs w:val="18"/>
          <w:color w:val="auto"/>
        </w:rPr>
        <w:t>0</w:t>
      </w:r>
    </w:p>
    <w:p>
      <w:pPr>
        <w:ind w:left="2200"/>
        <w:spacing w:after="0"/>
        <w:rPr>
          <w:sz w:val="20"/>
          <w:szCs w:val="20"/>
          <w:color w:val="auto"/>
        </w:rPr>
      </w:pPr>
      <w:r>
        <w:rPr>
          <w:rFonts w:ascii="Courier New" w:cs="Courier New" w:eastAsia="Courier New" w:hAnsi="Courier New"/>
          <w:sz w:val="18"/>
          <w:szCs w:val="18"/>
          <w:color w:val="auto"/>
        </w:rPr>
        <w:t>12,917</w:t>
      </w:r>
    </w:p>
    <w:p>
      <w:pPr>
        <w:ind w:left="1360"/>
        <w:spacing w:after="0" w:line="237" w:lineRule="auto"/>
        <w:rPr>
          <w:sz w:val="20"/>
          <w:szCs w:val="20"/>
          <w:color w:val="auto"/>
        </w:rPr>
      </w:pPr>
      <w:r>
        <w:rPr>
          <w:rFonts w:ascii="Courier New" w:cs="Courier New" w:eastAsia="Courier New" w:hAnsi="Courier New"/>
          <w:sz w:val="18"/>
          <w:szCs w:val="18"/>
          <w:color w:val="auto"/>
        </w:rPr>
        <w:t>0</w:t>
      </w:r>
    </w:p>
    <w:p>
      <w:pPr>
        <w:ind w:left="2420"/>
        <w:spacing w:after="0"/>
        <w:rPr>
          <w:sz w:val="20"/>
          <w:szCs w:val="20"/>
          <w:color w:val="auto"/>
        </w:rPr>
      </w:pPr>
      <w:r>
        <w:rPr>
          <w:rFonts w:ascii="Courier New" w:cs="Courier New" w:eastAsia="Courier New" w:hAnsi="Courier New"/>
          <w:sz w:val="18"/>
          <w:szCs w:val="18"/>
          <w:color w:val="auto"/>
        </w:rPr>
        <w:t>0</w:t>
      </w:r>
    </w:p>
    <w:p>
      <w:pPr>
        <w:ind w:left="2000"/>
        <w:spacing w:after="0" w:line="237" w:lineRule="auto"/>
        <w:rPr>
          <w:sz w:val="20"/>
          <w:szCs w:val="20"/>
          <w:color w:val="auto"/>
        </w:rPr>
      </w:pPr>
      <w:r>
        <w:rPr>
          <w:rFonts w:ascii="Courier New" w:cs="Courier New" w:eastAsia="Courier New" w:hAnsi="Courier New"/>
          <w:sz w:val="18"/>
          <w:szCs w:val="18"/>
          <w:color w:val="auto"/>
        </w:rPr>
        <w:t>88,022</w:t>
      </w:r>
    </w:p>
    <w:p>
      <w:pPr>
        <w:spacing w:after="0" w:line="238" w:lineRule="auto"/>
        <w:rPr>
          <w:sz w:val="20"/>
          <w:szCs w:val="20"/>
          <w:color w:val="auto"/>
        </w:rPr>
      </w:pPr>
      <w:r>
        <w:rPr>
          <w:rFonts w:ascii="Courier New" w:cs="Courier New" w:eastAsia="Courier New" w:hAnsi="Courier New"/>
          <w:sz w:val="18"/>
          <w:szCs w:val="18"/>
          <w:color w:val="auto"/>
        </w:rPr>
        <w:t>219,714</w:t>
      </w:r>
    </w:p>
    <w:p>
      <w:pPr>
        <w:ind w:left="2200"/>
        <w:spacing w:after="0"/>
        <w:rPr>
          <w:sz w:val="20"/>
          <w:szCs w:val="20"/>
          <w:color w:val="auto"/>
        </w:rPr>
      </w:pPr>
      <w:r>
        <w:rPr>
          <w:rFonts w:ascii="Courier New" w:cs="Courier New" w:eastAsia="Courier New" w:hAnsi="Courier New"/>
          <w:sz w:val="18"/>
          <w:szCs w:val="18"/>
          <w:color w:val="auto"/>
        </w:rPr>
        <w:t>121,978</w:t>
      </w:r>
    </w:p>
    <w:p>
      <w:pPr>
        <w:ind w:left="1260"/>
        <w:spacing w:after="0" w:line="237" w:lineRule="auto"/>
        <w:rPr>
          <w:sz w:val="20"/>
          <w:szCs w:val="20"/>
          <w:color w:val="auto"/>
        </w:rPr>
      </w:pPr>
      <w:r>
        <w:rPr>
          <w:rFonts w:ascii="Courier New" w:cs="Courier New" w:eastAsia="Courier New" w:hAnsi="Courier New"/>
          <w:sz w:val="18"/>
          <w:szCs w:val="18"/>
          <w:color w:val="auto"/>
        </w:rPr>
        <w:t>121,978</w:t>
      </w:r>
    </w:p>
    <w:p>
      <w:pPr>
        <w:jc w:val="right"/>
        <w:ind w:right="6199"/>
        <w:spacing w:after="0"/>
        <w:rPr>
          <w:sz w:val="20"/>
          <w:szCs w:val="20"/>
          <w:color w:val="auto"/>
        </w:rPr>
      </w:pPr>
      <w:r>
        <w:rPr>
          <w:rFonts w:ascii="Courier New" w:cs="Courier New" w:eastAsia="Courier New" w:hAnsi="Courier New"/>
          <w:sz w:val="18"/>
          <w:szCs w:val="18"/>
          <w:color w:val="auto"/>
        </w:rPr>
        <w:t>102,763</w:t>
      </w:r>
    </w:p>
    <w:p>
      <w:pPr>
        <w:ind w:left="1580"/>
        <w:spacing w:after="0" w:line="237" w:lineRule="auto"/>
        <w:rPr>
          <w:sz w:val="20"/>
          <w:szCs w:val="20"/>
          <w:color w:val="auto"/>
        </w:rPr>
      </w:pPr>
      <w:r>
        <w:rPr>
          <w:rFonts w:ascii="Courier New" w:cs="Courier New" w:eastAsia="Courier New" w:hAnsi="Courier New"/>
          <w:sz w:val="18"/>
          <w:szCs w:val="18"/>
          <w:color w:val="auto"/>
        </w:rPr>
        <w:t>102,763</w:t>
      </w:r>
    </w:p>
    <w:p>
      <w:pPr>
        <w:ind w:left="1360"/>
        <w:spacing w:after="0"/>
        <w:rPr>
          <w:sz w:val="20"/>
          <w:szCs w:val="20"/>
          <w:color w:val="auto"/>
        </w:rPr>
      </w:pPr>
      <w:r>
        <w:rPr>
          <w:rFonts w:ascii="Courier New" w:cs="Courier New" w:eastAsia="Courier New" w:hAnsi="Courier New"/>
          <w:sz w:val="18"/>
          <w:szCs w:val="18"/>
          <w:color w:val="auto"/>
        </w:rPr>
        <w:t>14,481</w:t>
      </w:r>
    </w:p>
    <w:p>
      <w:pPr>
        <w:ind w:left="1880"/>
        <w:spacing w:after="0" w:line="237" w:lineRule="auto"/>
        <w:rPr>
          <w:sz w:val="20"/>
          <w:szCs w:val="20"/>
          <w:color w:val="auto"/>
        </w:rPr>
      </w:pPr>
      <w:r>
        <w:rPr>
          <w:rFonts w:ascii="Courier New" w:cs="Courier New" w:eastAsia="Courier New" w:hAnsi="Courier New"/>
          <w:sz w:val="18"/>
          <w:szCs w:val="18"/>
          <w:color w:val="auto"/>
        </w:rPr>
        <w:t>0</w:t>
      </w:r>
    </w:p>
    <w:p>
      <w:pPr>
        <w:ind w:left="1360"/>
        <w:spacing w:after="0"/>
        <w:rPr>
          <w:sz w:val="20"/>
          <w:szCs w:val="20"/>
          <w:color w:val="auto"/>
        </w:rPr>
      </w:pPr>
      <w:r>
        <w:rPr>
          <w:rFonts w:ascii="Courier New" w:cs="Courier New" w:eastAsia="Courier New" w:hAnsi="Courier New"/>
          <w:sz w:val="18"/>
          <w:szCs w:val="18"/>
          <w:color w:val="auto"/>
        </w:rPr>
        <w:t>(14)</w:t>
      </w:r>
    </w:p>
    <w:p>
      <w:pPr>
        <w:ind w:left="1580"/>
        <w:spacing w:after="0" w:line="237" w:lineRule="auto"/>
        <w:rPr>
          <w:sz w:val="20"/>
          <w:szCs w:val="20"/>
          <w:color w:val="auto"/>
        </w:rPr>
      </w:pPr>
      <w:r>
        <w:rPr>
          <w:rFonts w:ascii="Courier New" w:cs="Courier New" w:eastAsia="Courier New" w:hAnsi="Courier New"/>
          <w:sz w:val="18"/>
          <w:szCs w:val="18"/>
          <w:color w:val="auto"/>
        </w:rPr>
        <w:t>4,748</w:t>
      </w:r>
    </w:p>
    <w:p>
      <w:pPr>
        <w:ind w:left="1880"/>
        <w:spacing w:after="0" w:line="238" w:lineRule="auto"/>
        <w:rPr>
          <w:sz w:val="20"/>
          <w:szCs w:val="20"/>
          <w:color w:val="auto"/>
        </w:rPr>
      </w:pPr>
      <w:r>
        <w:rPr>
          <w:rFonts w:ascii="Courier New" w:cs="Courier New" w:eastAsia="Courier New" w:hAnsi="Courier New"/>
          <w:sz w:val="18"/>
          <w:szCs w:val="18"/>
          <w:color w:val="auto"/>
        </w:rPr>
        <w:t>1,758</w:t>
      </w:r>
    </w:p>
    <w:p>
      <w:pPr>
        <w:ind w:left="1140"/>
        <w:spacing w:after="0"/>
        <w:rPr>
          <w:sz w:val="20"/>
          <w:szCs w:val="20"/>
          <w:color w:val="auto"/>
        </w:rPr>
      </w:pPr>
      <w:r>
        <w:rPr>
          <w:rFonts w:ascii="Courier New" w:cs="Courier New" w:eastAsia="Courier New" w:hAnsi="Courier New"/>
          <w:sz w:val="18"/>
          <w:szCs w:val="18"/>
          <w:color w:val="auto"/>
        </w:rPr>
        <w:t>2,990</w:t>
      </w:r>
    </w:p>
    <w:p>
      <w:pPr>
        <w:ind w:left="2100"/>
        <w:spacing w:after="0" w:line="237" w:lineRule="auto"/>
        <w:rPr>
          <w:sz w:val="20"/>
          <w:szCs w:val="20"/>
          <w:color w:val="auto"/>
        </w:rPr>
      </w:pPr>
      <w:r>
        <w:rPr>
          <w:rFonts w:ascii="Courier New" w:cs="Courier New" w:eastAsia="Courier New" w:hAnsi="Courier New"/>
          <w:sz w:val="18"/>
          <w:szCs w:val="18"/>
          <w:color w:val="auto"/>
        </w:rPr>
        <w:t>0</w:t>
      </w:r>
    </w:p>
    <w:p>
      <w:pPr>
        <w:ind w:left="2000"/>
        <w:spacing w:after="0"/>
        <w:rPr>
          <w:sz w:val="20"/>
          <w:szCs w:val="20"/>
          <w:color w:val="auto"/>
        </w:rPr>
      </w:pPr>
      <w:r>
        <w:rPr>
          <w:rFonts w:ascii="Courier New" w:cs="Courier New" w:eastAsia="Courier New" w:hAnsi="Courier New"/>
          <w:sz w:val="18"/>
          <w:szCs w:val="18"/>
          <w:color w:val="auto"/>
        </w:rPr>
        <w:t>0</w:t>
      </w:r>
    </w:p>
    <w:p>
      <w:pPr>
        <w:ind w:left="2620"/>
        <w:spacing w:after="0" w:line="237" w:lineRule="auto"/>
        <w:rPr>
          <w:sz w:val="20"/>
          <w:szCs w:val="20"/>
          <w:color w:val="auto"/>
        </w:rPr>
      </w:pPr>
      <w:r>
        <w:rPr>
          <w:rFonts w:ascii="Courier New" w:cs="Courier New" w:eastAsia="Courier New" w:hAnsi="Courier New"/>
          <w:sz w:val="18"/>
          <w:szCs w:val="18"/>
          <w:color w:val="auto"/>
        </w:rPr>
        <w:t>0</w:t>
      </w:r>
    </w:p>
    <w:p>
      <w:pPr>
        <w:jc w:val="center"/>
        <w:ind w:right="5059"/>
        <w:spacing w:after="0"/>
        <w:rPr>
          <w:sz w:val="20"/>
          <w:szCs w:val="20"/>
          <w:color w:val="auto"/>
        </w:rPr>
      </w:pPr>
      <w:r>
        <w:rPr>
          <w:rFonts w:ascii="Courier New" w:cs="Courier New" w:eastAsia="Courier New" w:hAnsi="Courier New"/>
          <w:sz w:val="18"/>
          <w:szCs w:val="18"/>
          <w:color w:val="auto"/>
        </w:rPr>
        <w:t>2,990</w:t>
      </w:r>
    </w:p>
    <w:p>
      <w:pPr>
        <w:jc w:val="center"/>
        <w:ind w:right="5059"/>
        <w:spacing w:after="0" w:line="237" w:lineRule="auto"/>
        <w:rPr>
          <w:sz w:val="20"/>
          <w:szCs w:val="20"/>
          <w:color w:val="auto"/>
        </w:rPr>
      </w:pPr>
      <w:r>
        <w:rPr>
          <w:rFonts w:ascii="Courier New" w:cs="Courier New" w:eastAsia="Courier New" w:hAnsi="Courier New"/>
          <w:sz w:val="18"/>
          <w:szCs w:val="18"/>
          <w:color w:val="auto"/>
        </w:rPr>
        <w:t>.12</w:t>
      </w:r>
    </w:p>
    <w:p>
      <w:pPr>
        <w:jc w:val="center"/>
        <w:ind w:right="4839"/>
        <w:spacing w:after="0" w:line="238"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9359"/>
      </w:cols>
      <w:pgMar w:left="110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2019-12-13T08:13:23Z</dcterms:created>
  <dcterms:modified xsi:type="dcterms:W3CDTF">2019-12-13T08:13:23Z</dcterms:modified>
</cp:coreProperties>
</file>