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25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25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Heidemann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8"/>
                <w:szCs w:val="18"/>
                <w:color w:val="0000FF"/>
                <w:w w:val="97"/>
              </w:rPr>
              <w:t>Treasurer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10/12/2015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2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6"/>
              <w:spacing w:after="0"/>
              <w:rPr>
                <w:sz w:val="20"/>
                <w:szCs w:val="20"/>
                <w:color w:val="auto"/>
              </w:rPr>
            </w:pPr>
            <w:r>
              <w:rPr>
                <w:rFonts w:ascii="Arial" w:cs="Arial" w:eastAsia="Arial" w:hAnsi="Arial"/>
                <w:sz w:val="18"/>
                <w:szCs w:val="18"/>
                <w:color w:val="0000FF"/>
                <w:w w:val="88"/>
              </w:rPr>
              <w:t>10/12/2015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79"/>
              </w:rPr>
              <w:t>487</w:t>
            </w:r>
            <w:r>
              <w:rPr>
                <w:rFonts w:ascii="Arial" w:cs="Arial" w:eastAsia="Arial" w:hAnsi="Arial"/>
                <w:sz w:val="22"/>
                <w:szCs w:val="22"/>
                <w:color w:val="008000"/>
                <w:w w:val="79"/>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18,320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6"/>
              <w:spacing w:after="0"/>
              <w:rPr>
                <w:sz w:val="20"/>
                <w:szCs w:val="20"/>
                <w:color w:val="auto"/>
              </w:rPr>
            </w:pPr>
            <w:r>
              <w:rPr>
                <w:rFonts w:ascii="Arial" w:cs="Arial" w:eastAsia="Arial" w:hAnsi="Arial"/>
                <w:sz w:val="18"/>
                <w:szCs w:val="18"/>
                <w:color w:val="0000FF"/>
                <w:w w:val="88"/>
              </w:rPr>
              <w:t>10/13/2015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9,000</w:t>
            </w:r>
            <w:r>
              <w:rPr>
                <w:rFonts w:ascii="Arial" w:cs="Arial" w:eastAsia="Arial" w:hAnsi="Arial"/>
                <w:sz w:val="22"/>
                <w:szCs w:val="22"/>
                <w:color w:val="008000"/>
                <w:w w:val="85"/>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27,320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6"/>
              <w:spacing w:after="0"/>
              <w:rPr>
                <w:sz w:val="20"/>
                <w:szCs w:val="20"/>
                <w:color w:val="auto"/>
              </w:rPr>
            </w:pPr>
            <w:r>
              <w:rPr>
                <w:rFonts w:ascii="Arial" w:cs="Arial" w:eastAsia="Arial" w:hAnsi="Arial"/>
                <w:sz w:val="18"/>
                <w:szCs w:val="18"/>
                <w:color w:val="0000FF"/>
                <w:w w:val="88"/>
              </w:rPr>
              <w:t>10/13/2015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rPr>
                <w:sz w:val="20"/>
                <w:szCs w:val="20"/>
                <w:color w:val="auto"/>
              </w:rPr>
            </w:pPr>
            <w:r>
              <w:rPr>
                <w:rFonts w:ascii="Arial" w:cs="Arial" w:eastAsia="Arial" w:hAnsi="Arial"/>
                <w:sz w:val="18"/>
                <w:szCs w:val="18"/>
                <w:color w:val="0000FF"/>
                <w:w w:val="85"/>
              </w:rPr>
              <w:t>2,458</w:t>
            </w:r>
            <w:r>
              <w:rPr>
                <w:rFonts w:ascii="Arial" w:cs="Arial" w:eastAsia="Arial" w:hAnsi="Arial"/>
                <w:sz w:val="22"/>
                <w:szCs w:val="22"/>
                <w:color w:val="008000"/>
                <w:w w:val="85"/>
                <w:vertAlign w:val="superscript"/>
              </w:rPr>
              <w:t>(3)</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29,778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6"/>
              <w:spacing w:after="0"/>
              <w:rPr>
                <w:sz w:val="20"/>
                <w:szCs w:val="20"/>
                <w:color w:val="auto"/>
              </w:rPr>
            </w:pPr>
            <w:r>
              <w:rPr>
                <w:rFonts w:ascii="Arial" w:cs="Arial" w:eastAsia="Arial" w:hAnsi="Arial"/>
                <w:sz w:val="18"/>
                <w:szCs w:val="18"/>
                <w:color w:val="0000FF"/>
                <w:w w:val="88"/>
              </w:rPr>
              <w:t>10/13/2015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4"/>
              </w:rPr>
              <w:t>1,253</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28,525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jc w:val="center"/>
              <w:ind w:left="546"/>
              <w:spacing w:after="0"/>
              <w:rPr>
                <w:sz w:val="20"/>
                <w:szCs w:val="20"/>
                <w:color w:val="auto"/>
              </w:rPr>
            </w:pPr>
            <w:r>
              <w:rPr>
                <w:rFonts w:ascii="Arial" w:cs="Arial" w:eastAsia="Arial" w:hAnsi="Arial"/>
                <w:sz w:val="18"/>
                <w:szCs w:val="18"/>
                <w:color w:val="0000FF"/>
                <w:w w:val="88"/>
              </w:rPr>
              <w:t>10/13/2015</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left="128"/>
              <w:spacing w:after="0" w:line="324" w:lineRule="exact"/>
              <w:rPr>
                <w:sz w:val="20"/>
                <w:szCs w:val="20"/>
                <w:color w:val="auto"/>
              </w:rPr>
            </w:pPr>
            <w:r>
              <w:rPr>
                <w:rFonts w:ascii="Arial" w:cs="Arial" w:eastAsia="Arial" w:hAnsi="Arial"/>
                <w:sz w:val="35"/>
                <w:szCs w:val="35"/>
                <w:color w:val="0000FF"/>
                <w:w w:val="72"/>
                <w:vertAlign w:val="subscript"/>
              </w:rPr>
              <w:t>859</w:t>
            </w:r>
            <w:r>
              <w:rPr>
                <w:rFonts w:ascii="Arial" w:cs="Arial" w:eastAsia="Arial" w:hAnsi="Arial"/>
                <w:sz w:val="11"/>
                <w:szCs w:val="11"/>
                <w:color w:val="008000"/>
                <w:w w:val="72"/>
              </w:rPr>
              <w:t>(4)</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29,384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gridSpan w:val="2"/>
          </w:tcPr>
          <w:p>
            <w:pPr>
              <w:jc w:val="center"/>
              <w:ind w:left="546"/>
              <w:spacing w:after="0"/>
              <w:rPr>
                <w:sz w:val="20"/>
                <w:szCs w:val="20"/>
                <w:color w:val="auto"/>
              </w:rPr>
            </w:pPr>
            <w:r>
              <w:rPr>
                <w:rFonts w:ascii="Arial" w:cs="Arial" w:eastAsia="Arial" w:hAnsi="Arial"/>
                <w:sz w:val="18"/>
                <w:szCs w:val="18"/>
                <w:color w:val="0000FF"/>
                <w:w w:val="88"/>
              </w:rPr>
              <w:t>10/13/2015</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center"/>
              <w:ind w:left="128"/>
              <w:spacing w:after="0"/>
              <w:rPr>
                <w:sz w:val="20"/>
                <w:szCs w:val="20"/>
                <w:color w:val="auto"/>
              </w:rPr>
            </w:pPr>
            <w:r>
              <w:rPr>
                <w:rFonts w:ascii="Arial" w:cs="Arial" w:eastAsia="Arial" w:hAnsi="Arial"/>
                <w:sz w:val="18"/>
                <w:szCs w:val="18"/>
                <w:color w:val="0000FF"/>
                <w:w w:val="86"/>
              </w:rPr>
              <w:t>435</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19.85</w:t>
            </w: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28,949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jc w:val="center"/>
              <w:ind w:left="1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10/13/2015 under the Winnebago Industries, Inc. 2014 Omnibus Equity, Performance Awards, and Incentive Compensation Plan. Restricted shares vest in annual increments of one-third beginning 10/13/2016.</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Long-Term Incentive Plan for Fiscal Three-Year Period 2013, 2014, and 2015.</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2014 Omnibus Equity, Performance Awards, and Incentive Compensation Plan which provides for stock grants to Executive Officers under the Officers' Incentive Compensation Plan for Fiscal Year 2015.</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2019-12-05T17:27:43Z</dcterms:created>
  <dcterms:modified xsi:type="dcterms:W3CDTF">2019-12-05T17:27:43Z</dcterms:modified>
</cp:coreProperties>
</file>