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10-Q/A</w:t>
      </w:r>
    </w:p>
    <w:p>
      <w:pPr>
        <w:jc w:val="center"/>
        <w:ind w:right="16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177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244" w:right="1440" w:bottom="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May 31,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160" w:space="0"/>
            <w:col w:w="7059"/>
          </w:cols>
          <w:pgMar w:left="240" w:top="244" w:right="1440" w:bottom="0" w:gutter="0" w:footer="0" w:header="0"/>
          <w:type w:val="continuous"/>
        </w:sectPr>
      </w:pPr>
    </w:p>
    <w:p>
      <w:pPr>
        <w:spacing w:after="0" w:line="24" w:lineRule="exact"/>
        <w:rPr>
          <w:sz w:val="24"/>
          <w:szCs w:val="24"/>
          <w:color w:val="auto"/>
        </w:rPr>
      </w:pPr>
    </w:p>
    <w:p>
      <w:pPr>
        <w:ind w:left="4120"/>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left="540" w:right="261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____________________ to _______________________</w:t>
      </w:r>
    </w:p>
    <w:p>
      <w:pPr>
        <w:spacing w:after="0" w:line="200" w:lineRule="exact"/>
        <w:rPr>
          <w:sz w:val="24"/>
          <w:szCs w:val="24"/>
          <w:color w:val="auto"/>
        </w:rPr>
      </w:pPr>
    </w:p>
    <w:p>
      <w:pPr>
        <w:spacing w:after="0" w:line="22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1-6403</w:t>
      </w:r>
    </w:p>
    <w:p>
      <w:pPr>
        <w:ind w:left="23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IOWA</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(State or other jurisdiction</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42-0802678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4" w:right="1440" w:bottom="0" w:gutter="0" w:footer="0" w:header="0"/>
          <w:type w:val="continuous"/>
        </w:sectPr>
      </w:pPr>
    </w:p>
    <w:p>
      <w:pPr>
        <w:spacing w:after="0" w:line="22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P.O. Box 152, Forest City, Iowa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50436</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5920" w:space="720"/>
            <w:col w:w="3579"/>
          </w:cols>
          <w:pgMar w:left="240" w:top="244" w:right="1440" w:bottom="0" w:gutter="0" w:footer="0" w:header="0"/>
          <w:type w:val="continuous"/>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(641) 585-3535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0"/>
            <w:col w:w="4839"/>
          </w:cols>
          <w:pgMar w:left="240" w:top="244" w:right="1440" w:bottom="0" w:gutter="0" w:footer="0" w:header="0"/>
          <w:type w:val="continuous"/>
        </w:sectPr>
      </w:pPr>
    </w:p>
    <w:p>
      <w:pPr>
        <w:spacing w:after="0" w:line="24"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_X_ NO ____.</w:t>
      </w:r>
    </w:p>
    <w:p>
      <w:pPr>
        <w:spacing w:after="0" w:line="208"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Indicate by check mark whether the registration (1) has filed all reports required to be filed by Section 13 or 15(d) of the Securities Exchange Act of 1934 during the preceding 12 months (or for such shorter period that the</w:t>
      </w:r>
    </w:p>
    <w:p>
      <w:pPr>
        <w:sectPr>
          <w:pgSz w:w="11900" w:h="16838" w:orient="portrait"/>
          <w:cols w:equalWidth="0" w:num="1">
            <w:col w:w="10219"/>
          </w:cols>
          <w:pgMar w:left="240" w:top="244" w:right="1440" w:bottom="0" w:gutter="0" w:footer="0" w:header="0"/>
          <w:type w:val="continuous"/>
        </w:sectPr>
      </w:pPr>
    </w:p>
    <w:p>
      <w:pPr>
        <w:spacing w:after="0" w:line="6"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registrant was required to file such reports), and (2) has been subject to such filing requirements for the past 90 days. YES _X_ NO ____.</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There were 18,158,208 shares of $.50 par value common stock outstanding on July 11, 2003.</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sole purpose of this Form 10-Q/A Amendment No. 1 is to include the signatures of the Company's Chief Executive Officer and Chief Financial Officer to the registrant's Quarterly Report on Form 10-Q for the quarter ended May 31, 2003 (including signatures to the certifications contained in the report) and to Exhibit 99 filed with the Form 10-Q. The remainder of the information contained in the Quarterly Report on Form 10-Q for the quarter ended May 31, 2003, originally filed on July 11, 2003, is not amended hereby and shall be as set forth in the original filing.</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PART II. OTHER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4"/>
          <w:szCs w:val="24"/>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99</w:t>
      </w:r>
    </w:p>
    <w:p>
      <w:pPr>
        <w:spacing w:after="0" w:line="201" w:lineRule="exact"/>
        <w:rPr>
          <w:rFonts w:ascii="Courier New" w:cs="Courier New" w:eastAsia="Courier New" w:hAnsi="Courier New"/>
          <w:sz w:val="18"/>
          <w:szCs w:val="18"/>
          <w:color w:val="auto"/>
        </w:rPr>
      </w:pPr>
    </w:p>
    <w:p>
      <w:pPr>
        <w:ind w:left="14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906 certification.</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CERTIFICATION BY CHIEF EXECUTIVE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 Bruce D. Hertzke, Chief Executive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jc w:val="both"/>
        <w:ind w:left="1060" w:right="209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78"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Bruce D. Hertzke</w:t>
      </w:r>
    </w:p>
    <w:p>
      <w:pPr>
        <w:ind w:left="548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564" w:gutter="0" w:footer="0" w:header="0"/>
        </w:sectPr>
      </w:pPr>
    </w:p>
    <w:bookmarkStart w:id="3" w:name="page4"/>
    <w:bookmarkEnd w:id="3"/>
    <w:p>
      <w:pPr>
        <w:ind w:left="2120"/>
        <w:spacing w:after="0"/>
        <w:rPr>
          <w:sz w:val="20"/>
          <w:szCs w:val="20"/>
          <w:color w:val="auto"/>
        </w:rPr>
      </w:pPr>
      <w:r>
        <w:rPr>
          <w:rFonts w:ascii="Courier New" w:cs="Courier New" w:eastAsia="Courier New" w:hAnsi="Courier New"/>
          <w:sz w:val="18"/>
          <w:szCs w:val="18"/>
          <w:color w:val="auto"/>
        </w:rPr>
        <w:t>CERTIFICATION BY CHIEF FINANCIAL OFFICER</w:t>
      </w:r>
    </w:p>
    <w:p>
      <w:pPr>
        <w:ind w:left="2440"/>
        <w:spacing w:after="0" w:line="238" w:lineRule="auto"/>
        <w:rPr>
          <w:sz w:val="20"/>
          <w:szCs w:val="20"/>
          <w:color w:val="auto"/>
        </w:rPr>
      </w:pPr>
      <w:r>
        <w:rPr>
          <w:rFonts w:ascii="Courier New" w:cs="Courier New" w:eastAsia="Courier New" w:hAnsi="Courier New"/>
          <w:sz w:val="18"/>
          <w:szCs w:val="18"/>
          <w:color w:val="auto"/>
        </w:rPr>
        <w:t>PURSUANT TO 18 U.S.C. SECTION 1350,</w:t>
      </w:r>
    </w:p>
    <w:p>
      <w:pPr>
        <w:ind w:left="2440"/>
        <w:spacing w:after="0"/>
        <w:rPr>
          <w:sz w:val="20"/>
          <w:szCs w:val="20"/>
          <w:color w:val="auto"/>
        </w:rPr>
      </w:pPr>
      <w:r>
        <w:rPr>
          <w:rFonts w:ascii="Courier New" w:cs="Courier New" w:eastAsia="Courier New" w:hAnsi="Courier New"/>
          <w:sz w:val="18"/>
          <w:szCs w:val="18"/>
          <w:color w:val="auto"/>
        </w:rPr>
        <w:t>AS ADOPTED PURSUANT TO SECTION 302</w:t>
      </w:r>
    </w:p>
    <w:p>
      <w:pPr>
        <w:ind w:left="2540"/>
        <w:spacing w:after="0" w:line="237" w:lineRule="auto"/>
        <w:rPr>
          <w:sz w:val="20"/>
          <w:szCs w:val="20"/>
          <w:color w:val="auto"/>
        </w:rPr>
      </w:pPr>
      <w:r>
        <w:rPr>
          <w:rFonts w:ascii="Courier New" w:cs="Courier New" w:eastAsia="Courier New" w:hAnsi="Courier New"/>
          <w:sz w:val="18"/>
          <w:szCs w:val="18"/>
          <w:color w:val="auto"/>
        </w:rPr>
        <w:t>OF THE SARBANES-OXLEY ACT OF 2002</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 Edwin F. Barker, Chief Financial Officer of Winnebago Industries, Inc., certify that:</w:t>
      </w:r>
    </w:p>
    <w:p>
      <w:pPr>
        <w:spacing w:after="0" w:line="208" w:lineRule="exact"/>
        <w:rPr>
          <w:sz w:val="20"/>
          <w:szCs w:val="20"/>
          <w:color w:val="auto"/>
        </w:rPr>
      </w:pPr>
    </w:p>
    <w:p>
      <w:pPr>
        <w:ind w:left="1060" w:right="2519" w:hanging="525"/>
        <w:spacing w:after="0" w:line="235"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Winnebago Industries, Inc. (the "Registrant");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Courier New" w:cs="Courier New" w:eastAsia="Courier New" w:hAnsi="Courier New"/>
          <w:sz w:val="18"/>
          <w:szCs w:val="18"/>
          <w:color w:val="auto"/>
        </w:rPr>
      </w:pPr>
    </w:p>
    <w:p>
      <w:pPr>
        <w:jc w:val="both"/>
        <w:ind w:left="1060" w:right="209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8" w:lineRule="exact"/>
        <w:rPr>
          <w:rFonts w:ascii="Courier New" w:cs="Courier New" w:eastAsia="Courier New" w:hAnsi="Courier New"/>
          <w:sz w:val="18"/>
          <w:szCs w:val="18"/>
          <w:color w:val="auto"/>
        </w:rPr>
      </w:pPr>
    </w:p>
    <w:p>
      <w:pPr>
        <w:ind w:left="1580" w:right="1779" w:hanging="519"/>
        <w:spacing w:after="0" w:line="279" w:lineRule="auto"/>
        <w:tabs>
          <w:tab w:leader="none" w:pos="15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as of a date within 90 days prior to the filing date of this Quarterly Report (the "Evaluation Date"); and</w:t>
      </w:r>
    </w:p>
    <w:p>
      <w:pPr>
        <w:spacing w:after="0" w:line="178" w:lineRule="exact"/>
        <w:rPr>
          <w:rFonts w:ascii="Courier New" w:cs="Courier New" w:eastAsia="Courier New" w:hAnsi="Courier New"/>
          <w:sz w:val="16"/>
          <w:szCs w:val="16"/>
          <w:color w:val="auto"/>
        </w:rPr>
      </w:pPr>
    </w:p>
    <w:p>
      <w:pPr>
        <w:ind w:left="1580" w:right="1879" w:hanging="519"/>
        <w:spacing w:after="0" w:line="236"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Quarterly Report our conclusions about the effectiveness of the disclosure controls and procedures based on our evaluation as of the Evaluation Date;</w:t>
      </w:r>
    </w:p>
    <w:p>
      <w:pPr>
        <w:spacing w:after="0" w:line="208"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07" w:lineRule="exact"/>
        <w:rPr>
          <w:rFonts w:ascii="Courier New" w:cs="Courier New" w:eastAsia="Courier New" w:hAnsi="Courier New"/>
          <w:sz w:val="18"/>
          <w:szCs w:val="18"/>
          <w:color w:val="auto"/>
        </w:rPr>
      </w:pPr>
    </w:p>
    <w:p>
      <w:pPr>
        <w:ind w:left="1580" w:right="1999" w:hanging="519"/>
        <w:spacing w:after="0" w:line="237"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8" w:lineRule="exact"/>
        <w:rPr>
          <w:rFonts w:ascii="Courier New" w:cs="Courier New" w:eastAsia="Courier New" w:hAnsi="Courier New"/>
          <w:sz w:val="18"/>
          <w:szCs w:val="18"/>
          <w:color w:val="auto"/>
        </w:rPr>
      </w:pPr>
    </w:p>
    <w:p>
      <w:pPr>
        <w:jc w:val="both"/>
        <w:ind w:left="1580" w:right="1999" w:hanging="519"/>
        <w:spacing w:after="0" w:line="236"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indicated in this Quarterly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Edwin F. Barker</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Edwin F. Barker</w:t>
      </w:r>
    </w:p>
    <w:p>
      <w:pPr>
        <w:ind w:left="548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564"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0"/>
          <w:szCs w:val="20"/>
          <w:color w:val="auto"/>
        </w:rPr>
      </w:pPr>
    </w:p>
    <w:p>
      <w:pPr>
        <w:jc w:val="center"/>
        <w:ind w:left="5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60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July 11, 2003</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Bruce D. Hertzke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President</w:t>
      </w:r>
    </w:p>
    <w:p>
      <w:pPr>
        <w:ind w:left="960"/>
        <w:spacing w:after="0" w:line="238" w:lineRule="auto"/>
        <w:rPr>
          <w:sz w:val="20"/>
          <w:szCs w:val="20"/>
          <w:color w:val="auto"/>
        </w:rPr>
      </w:pPr>
      <w:r>
        <w:rPr>
          <w:rFonts w:ascii="Courier New" w:cs="Courier New" w:eastAsia="Courier New" w:hAnsi="Courier New"/>
          <w:sz w:val="18"/>
          <w:szCs w:val="18"/>
          <w:color w:val="auto"/>
        </w:rPr>
        <w:t>(Principal Executive Officer)</w:t>
      </w:r>
    </w:p>
    <w:p>
      <w:pPr>
        <w:spacing w:after="0" w:line="200" w:lineRule="exact"/>
        <w:rPr>
          <w:sz w:val="20"/>
          <w:szCs w:val="20"/>
          <w:color w:val="auto"/>
        </w:rPr>
      </w:pPr>
    </w:p>
    <w:p>
      <w:pPr>
        <w:sectPr>
          <w:pgSz w:w="11900" w:h="16838" w:orient="portrait"/>
          <w:cols w:equalWidth="0" w:num="3">
            <w:col w:w="540" w:space="100"/>
            <w:col w:w="2220" w:space="620"/>
            <w:col w:w="6739"/>
          </w:cols>
          <w:pgMar w:left="240" w:top="717" w:right="1440" w:bottom="144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July 11, 2003</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Edwin F. Barker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 Chief Financial Officer</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ectPr>
          <w:pgSz w:w="11900" w:h="16838" w:orient="portrait"/>
          <w:cols w:equalWidth="0" w:num="3">
            <w:col w:w="540" w:space="100"/>
            <w:col w:w="2220" w:space="620"/>
            <w:col w:w="673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717" w:right="1440" w:bottom="1440" w:gutter="0" w:footer="0" w:header="0"/>
          <w:type w:val="continuous"/>
        </w:sectPr>
      </w:pPr>
    </w:p>
    <w:bookmarkStart w:id="5" w:name="page6"/>
    <w:bookmarkEnd w:id="5"/>
    <w:p>
      <w:pPr>
        <w:ind w:left="370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WRITTEN STATEMENT BY THE CHIEF EXECUTIVE OFFICER AND THE</w:t>
      </w:r>
    </w:p>
    <w:p>
      <w:pPr>
        <w:jc w:val="center"/>
        <w:ind w:right="1659"/>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7" w:lineRule="exact"/>
        <w:rPr>
          <w:sz w:val="20"/>
          <w:szCs w:val="20"/>
          <w:color w:val="auto"/>
        </w:rPr>
      </w:pPr>
    </w:p>
    <w:p>
      <w:pPr>
        <w:ind w:left="540" w:right="2519" w:hanging="532"/>
        <w:spacing w:after="0" w:line="235"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BRUCE D. HERTZKE, CHIEF EXECUTIVE OFFICER AND PRESIDENT AND EDWIN F. BARKER, CHIEF FINANCIAL OFFICER, EACH CERTIFY THAT:</w:t>
      </w:r>
    </w:p>
    <w:p>
      <w:pPr>
        <w:spacing w:after="0" w:line="208" w:lineRule="exact"/>
        <w:rPr>
          <w:rFonts w:ascii="Courier New" w:cs="Courier New" w:eastAsia="Courier New" w:hAnsi="Courier New"/>
          <w:sz w:val="18"/>
          <w:szCs w:val="18"/>
          <w:color w:val="auto"/>
        </w:rPr>
      </w:pPr>
    </w:p>
    <w:p>
      <w:pPr>
        <w:ind w:left="1060" w:right="1999" w:hanging="525"/>
        <w:spacing w:after="0" w:line="237"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("periodic report") of Winnebago Industries, Inc. (the "issuer"), for the quarter ended May 31, 2003, as filed with the Securities and Exchange Commission on the date of this certificate, which this statement accompanies, fully complies with the requirements of Section 13(a) or 15(d) of the Securities Exchange Act of 1934, and</w:t>
      </w:r>
    </w:p>
    <w:p>
      <w:pPr>
        <w:spacing w:after="0" w:line="209"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that periodic report fairly represents, in all material respects, the financial condition and results of operations of the issuer.</w:t>
      </w:r>
    </w:p>
    <w:p>
      <w:pPr>
        <w:spacing w:after="0" w:line="208" w:lineRule="exact"/>
        <w:rPr>
          <w:rFonts w:ascii="Courier New" w:cs="Courier New" w:eastAsia="Courier New" w:hAnsi="Courier New"/>
          <w:sz w:val="18"/>
          <w:szCs w:val="18"/>
          <w:color w:val="auto"/>
        </w:rPr>
      </w:pPr>
    </w:p>
    <w:p>
      <w:pPr>
        <w:ind w:left="540" w:right="1779" w:hanging="532"/>
        <w:spacing w:after="0" w:line="23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provided pursuant to the requirements of Section 906 of the Sarbanes - Oxley Act of 2002, codified as Section 1350 of Chapter 63 of Title 18 U.S.C.</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July 11, 2003</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Bruce D. Hertzke</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Bruce D. Hertzke</w:t>
      </w:r>
    </w:p>
    <w:p>
      <w:pPr>
        <w:ind w:left="548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5700"/>
        <w:spacing w:after="0"/>
        <w:rPr>
          <w:sz w:val="20"/>
          <w:szCs w:val="20"/>
          <w:color w:val="auto"/>
        </w:rPr>
      </w:pPr>
      <w:r>
        <w:rPr>
          <w:rFonts w:ascii="Courier New" w:cs="Courier New" w:eastAsia="Courier New" w:hAnsi="Courier New"/>
          <w:sz w:val="18"/>
          <w:szCs w:val="18"/>
          <w:color w:val="auto"/>
        </w:rPr>
        <w:t>and President</w:t>
      </w:r>
    </w:p>
    <w:p>
      <w:pPr>
        <w:spacing w:after="0" w:line="20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By: /s/ Edwin F. Barker</w:t>
      </w:r>
    </w:p>
    <w:p>
      <w:pPr>
        <w:spacing w:after="0" w:line="4" w:lineRule="exact"/>
        <w:rPr>
          <w:sz w:val="20"/>
          <w:szCs w:val="20"/>
          <w:color w:val="auto"/>
        </w:rPr>
      </w:pPr>
    </w:p>
    <w:p>
      <w:pPr>
        <w:ind w:left="54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Edwin F. Barker</w:t>
      </w:r>
    </w:p>
    <w:p>
      <w:pPr>
        <w:ind w:left="548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Letter"/>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2019-12-13T08:13:16Z</dcterms:created>
  <dcterms:modified xsi:type="dcterms:W3CDTF">2019-12-13T08:13:16Z</dcterms:modified>
</cp:coreProperties>
</file>