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March 3, 2004</w:t>
      </w:r>
    </w:p>
    <w:p>
      <w:pPr>
        <w:spacing w:after="0" w:line="225" w:lineRule="exact"/>
        <w:rPr>
          <w:sz w:val="24"/>
          <w:szCs w:val="24"/>
          <w:color w:val="auto"/>
        </w:rPr>
      </w:pPr>
    </w:p>
    <w:p>
      <w:pPr>
        <w:ind w:left="9360"/>
        <w:spacing w:after="0"/>
        <w:rPr>
          <w:sz w:val="20"/>
          <w:szCs w:val="20"/>
          <w:color w:val="auto"/>
        </w:rPr>
      </w:pPr>
      <w:r>
        <w:rPr>
          <w:rFonts w:ascii="Arial" w:cs="Arial" w:eastAsia="Arial" w:hAnsi="Arial"/>
          <w:sz w:val="16"/>
          <w:szCs w:val="16"/>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2"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7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S-8</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REGISTRATION STATEMENT</w:t>
      </w:r>
    </w:p>
    <w:p>
      <w:pPr>
        <w:jc w:val="center"/>
        <w:ind w:right="60"/>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82"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7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WINNEBAGO INDUSTRIES,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92" w:lineRule="exact"/>
        <w:rPr>
          <w:sz w:val="24"/>
          <w:szCs w:val="24"/>
          <w:color w:val="auto"/>
        </w:rPr>
      </w:pPr>
    </w:p>
    <w:tbl>
      <w:tblPr>
        <w:tblLayout w:type="fixed"/>
        <w:tblInd w:w="2260" w:type="dxa"/>
        <w:tblCellMar>
          <w:top w:w="0" w:type="dxa"/>
          <w:left w:w="0" w:type="dxa"/>
          <w:bottom w:w="0" w:type="dxa"/>
          <w:right w:w="0" w:type="dxa"/>
        </w:tblCellMar>
      </w:tblPr>
      <w:tr>
        <w:trPr>
          <w:trHeight w:val="216"/>
        </w:trPr>
        <w:tc>
          <w:tcPr>
            <w:tcW w:w="3840" w:type="dxa"/>
            <w:vAlign w:val="bottom"/>
          </w:tcPr>
          <w:p>
            <w:pPr>
              <w:jc w:val="center"/>
              <w:ind w:right="892"/>
              <w:spacing w:after="0"/>
              <w:rPr>
                <w:sz w:val="20"/>
                <w:szCs w:val="20"/>
                <w:color w:val="auto"/>
              </w:rPr>
            </w:pPr>
            <w:r>
              <w:rPr>
                <w:rFonts w:ascii="Arial" w:cs="Arial" w:eastAsia="Arial" w:hAnsi="Arial"/>
                <w:sz w:val="18"/>
                <w:szCs w:val="18"/>
                <w:color w:val="auto"/>
                <w:w w:val="95"/>
              </w:rPr>
              <w:t>IOWA</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42-0802678</w:t>
            </w:r>
          </w:p>
        </w:tc>
      </w:tr>
      <w:tr>
        <w:trPr>
          <w:trHeight w:val="216"/>
        </w:trPr>
        <w:tc>
          <w:tcPr>
            <w:tcW w:w="3840" w:type="dxa"/>
            <w:vAlign w:val="bottom"/>
          </w:tcPr>
          <w:p>
            <w:pPr>
              <w:jc w:val="center"/>
              <w:ind w:right="892"/>
              <w:spacing w:after="0"/>
              <w:rPr>
                <w:sz w:val="20"/>
                <w:szCs w:val="20"/>
                <w:color w:val="auto"/>
              </w:rPr>
            </w:pPr>
            <w:r>
              <w:rPr>
                <w:rFonts w:ascii="Arial" w:cs="Arial" w:eastAsia="Arial" w:hAnsi="Arial"/>
                <w:sz w:val="18"/>
                <w:szCs w:val="18"/>
                <w:color w:val="auto"/>
                <w:w w:val="89"/>
              </w:rPr>
              <w:t>(State or Other Jurisdiction of</w:t>
            </w:r>
          </w:p>
        </w:tc>
        <w:tc>
          <w:tcPr>
            <w:tcW w:w="230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840" w:type="dxa"/>
            <w:vAlign w:val="bottom"/>
          </w:tcPr>
          <w:p>
            <w:pPr>
              <w:jc w:val="center"/>
              <w:ind w:right="912"/>
              <w:spacing w:after="0"/>
              <w:rPr>
                <w:sz w:val="20"/>
                <w:szCs w:val="20"/>
                <w:color w:val="auto"/>
              </w:rPr>
            </w:pPr>
            <w:r>
              <w:rPr>
                <w:rFonts w:ascii="Arial" w:cs="Arial" w:eastAsia="Arial" w:hAnsi="Arial"/>
                <w:sz w:val="18"/>
                <w:szCs w:val="18"/>
                <w:color w:val="auto"/>
                <w:w w:val="90"/>
              </w:rPr>
              <w:t>Incorporation or Organization)</w:t>
            </w:r>
          </w:p>
        </w:tc>
        <w:tc>
          <w:tcPr>
            <w:tcW w:w="2300" w:type="dxa"/>
            <w:vAlign w:val="bottom"/>
          </w:tcPr>
          <w:p>
            <w:pPr>
              <w:jc w:val="center"/>
              <w:ind w:left="8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840" w:type="dxa"/>
            <w:vAlign w:val="bottom"/>
          </w:tcPr>
          <w:p>
            <w:pPr>
              <w:jc w:val="center"/>
              <w:ind w:right="892"/>
              <w:spacing w:after="0"/>
              <w:rPr>
                <w:sz w:val="20"/>
                <w:szCs w:val="20"/>
                <w:color w:val="auto"/>
              </w:rPr>
            </w:pPr>
            <w:r>
              <w:rPr>
                <w:rFonts w:ascii="Arial" w:cs="Arial" w:eastAsia="Arial" w:hAnsi="Arial"/>
                <w:sz w:val="18"/>
                <w:szCs w:val="18"/>
                <w:color w:val="auto"/>
                <w:w w:val="89"/>
              </w:rPr>
              <w:t>P.O. BOX 152</w:t>
            </w:r>
          </w:p>
        </w:tc>
        <w:tc>
          <w:tcPr>
            <w:tcW w:w="2300" w:type="dxa"/>
            <w:vAlign w:val="bottom"/>
          </w:tcPr>
          <w:p>
            <w:pPr>
              <w:spacing w:after="0"/>
              <w:rPr>
                <w:sz w:val="24"/>
                <w:szCs w:val="24"/>
                <w:color w:val="auto"/>
              </w:rPr>
            </w:pPr>
          </w:p>
        </w:tc>
      </w:tr>
      <w:tr>
        <w:trPr>
          <w:trHeight w:val="216"/>
        </w:trPr>
        <w:tc>
          <w:tcPr>
            <w:tcW w:w="3840" w:type="dxa"/>
            <w:vAlign w:val="bottom"/>
          </w:tcPr>
          <w:p>
            <w:pPr>
              <w:jc w:val="center"/>
              <w:ind w:right="892"/>
              <w:spacing w:after="0"/>
              <w:rPr>
                <w:sz w:val="20"/>
                <w:szCs w:val="20"/>
                <w:color w:val="auto"/>
              </w:rPr>
            </w:pPr>
            <w:r>
              <w:rPr>
                <w:rFonts w:ascii="Arial" w:cs="Arial" w:eastAsia="Arial" w:hAnsi="Arial"/>
                <w:sz w:val="18"/>
                <w:szCs w:val="18"/>
                <w:color w:val="auto"/>
                <w:w w:val="91"/>
              </w:rPr>
              <w:t>FOREST CITY, IOWA</w:t>
            </w:r>
          </w:p>
        </w:tc>
        <w:tc>
          <w:tcPr>
            <w:tcW w:w="2300" w:type="dxa"/>
            <w:vAlign w:val="bottom"/>
          </w:tcPr>
          <w:p>
            <w:pPr>
              <w:jc w:val="right"/>
              <w:ind w:right="352"/>
              <w:spacing w:after="0"/>
              <w:rPr>
                <w:sz w:val="20"/>
                <w:szCs w:val="20"/>
                <w:color w:val="auto"/>
              </w:rPr>
            </w:pPr>
            <w:r>
              <w:rPr>
                <w:rFonts w:ascii="Arial" w:cs="Arial" w:eastAsia="Arial" w:hAnsi="Arial"/>
                <w:sz w:val="18"/>
                <w:szCs w:val="18"/>
                <w:color w:val="auto"/>
              </w:rPr>
              <w:t>50436</w:t>
            </w:r>
          </w:p>
        </w:tc>
      </w:tr>
      <w:tr>
        <w:trPr>
          <w:trHeight w:val="222"/>
        </w:trPr>
        <w:tc>
          <w:tcPr>
            <w:tcW w:w="3840" w:type="dxa"/>
            <w:vAlign w:val="bottom"/>
          </w:tcPr>
          <w:p>
            <w:pPr>
              <w:jc w:val="center"/>
              <w:ind w:right="892"/>
              <w:spacing w:after="0"/>
              <w:rPr>
                <w:sz w:val="20"/>
                <w:szCs w:val="20"/>
                <w:color w:val="auto"/>
              </w:rPr>
            </w:pPr>
            <w:r>
              <w:rPr>
                <w:rFonts w:ascii="Arial" w:cs="Arial" w:eastAsia="Arial" w:hAnsi="Arial"/>
                <w:sz w:val="18"/>
                <w:szCs w:val="18"/>
                <w:color w:val="auto"/>
                <w:w w:val="90"/>
              </w:rPr>
              <w:t>(Address of Principal Executive Offices)</w:t>
            </w:r>
          </w:p>
        </w:tc>
        <w:tc>
          <w:tcPr>
            <w:tcW w:w="2300" w:type="dxa"/>
            <w:vAlign w:val="bottom"/>
          </w:tcPr>
          <w:p>
            <w:pPr>
              <w:jc w:val="center"/>
              <w:ind w:left="892"/>
              <w:spacing w:after="0"/>
              <w:rPr>
                <w:sz w:val="20"/>
                <w:szCs w:val="20"/>
                <w:color w:val="auto"/>
              </w:rPr>
            </w:pPr>
            <w:r>
              <w:rPr>
                <w:rFonts w:ascii="Arial" w:cs="Arial" w:eastAsia="Arial" w:hAnsi="Arial"/>
                <w:sz w:val="18"/>
                <w:szCs w:val="18"/>
                <w:color w:val="auto"/>
                <w:w w:val="89"/>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WINNEBAGO INDUSTRIES, INC. 2004 INCENTIVE COMPENSATION PLAN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RAYMOND M. BEEBE, VICE PRESIDENT, SECRETARY AND GENERAL COUNSEL</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P.O. BOX 152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FOREST CITY, IOWA 50436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(641) 585-6808</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COPIES OF COMMUNICATIONS TO:</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WILLIAM M. LIBIT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CHAPMAN AND CUTLER LLP</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111 WEST MONROE STREET</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CHICAGO, ILLINOIS 60603</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845-3000</w:t>
      </w:r>
    </w:p>
    <w:p>
      <w:pPr>
        <w:spacing w:after="0" w:line="241" w:lineRule="exact"/>
        <w:rPr>
          <w:rFonts w:ascii="Arial" w:cs="Arial" w:eastAsia="Arial" w:hAnsi="Arial"/>
          <w:sz w:val="16"/>
          <w:szCs w:val="16"/>
          <w:color w:val="auto"/>
        </w:rPr>
      </w:pPr>
    </w:p>
    <w:p>
      <w:pPr>
        <w:ind w:left="4300"/>
        <w:spacing w:after="0"/>
        <w:rPr>
          <w:rFonts w:ascii="Arial" w:cs="Arial" w:eastAsia="Arial" w:hAnsi="Arial"/>
          <w:sz w:val="16"/>
          <w:szCs w:val="16"/>
          <w:color w:val="auto"/>
        </w:rPr>
      </w:pPr>
      <w:r>
        <w:rPr>
          <w:rFonts w:ascii="Arial" w:cs="Arial" w:eastAsia="Arial" w:hAnsi="Arial"/>
          <w:sz w:val="18"/>
          <w:szCs w:val="18"/>
          <w:color w:val="auto"/>
        </w:rPr>
        <w:t>________________________________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161"/>
        </w:trPr>
        <w:tc>
          <w:tcPr>
            <w:tcW w:w="2520" w:type="dxa"/>
            <w:vAlign w:val="bottom"/>
          </w:tcPr>
          <w:p>
            <w:pPr>
              <w:jc w:val="center"/>
              <w:ind w:left="67"/>
              <w:spacing w:after="0"/>
              <w:rPr>
                <w:sz w:val="20"/>
                <w:szCs w:val="20"/>
                <w:color w:val="auto"/>
              </w:rPr>
            </w:pPr>
            <w:r>
              <w:rPr>
                <w:rFonts w:ascii="Arial" w:cs="Arial" w:eastAsia="Arial" w:hAnsi="Arial"/>
                <w:sz w:val="14"/>
                <w:szCs w:val="14"/>
                <w:b w:val="1"/>
                <w:bCs w:val="1"/>
                <w:color w:val="auto"/>
                <w:w w:val="88"/>
              </w:rPr>
              <w:t>Title of Each</w:t>
            </w:r>
          </w:p>
        </w:tc>
        <w:tc>
          <w:tcPr>
            <w:tcW w:w="2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900" w:type="dxa"/>
            <w:vAlign w:val="bottom"/>
          </w:tcPr>
          <w:p>
            <w:pPr>
              <w:spacing w:after="0"/>
              <w:rPr>
                <w:sz w:val="14"/>
                <w:szCs w:val="14"/>
                <w:color w:val="auto"/>
              </w:rPr>
            </w:pPr>
          </w:p>
        </w:tc>
      </w:tr>
      <w:tr>
        <w:trPr>
          <w:trHeight w:val="149"/>
        </w:trPr>
        <w:tc>
          <w:tcPr>
            <w:tcW w:w="252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80"/>
              </w:rPr>
              <w:t>Class of</w:t>
            </w:r>
          </w:p>
        </w:tc>
        <w:tc>
          <w:tcPr>
            <w:tcW w:w="2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900" w:type="dxa"/>
            <w:vAlign w:val="bottom"/>
          </w:tcPr>
          <w:p>
            <w:pPr>
              <w:spacing w:after="0"/>
              <w:rPr>
                <w:sz w:val="12"/>
                <w:szCs w:val="12"/>
                <w:color w:val="auto"/>
              </w:rPr>
            </w:pPr>
          </w:p>
        </w:tc>
      </w:tr>
      <w:tr>
        <w:trPr>
          <w:trHeight w:val="149"/>
        </w:trPr>
        <w:tc>
          <w:tcPr>
            <w:tcW w:w="252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83"/>
              </w:rPr>
              <w:t>Securities</w:t>
            </w:r>
          </w:p>
        </w:tc>
        <w:tc>
          <w:tcPr>
            <w:tcW w:w="21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6"/>
              </w:rPr>
              <w:t>Amount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52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82"/>
              </w:rPr>
              <w:t>To Be</w:t>
            </w:r>
          </w:p>
        </w:tc>
        <w:tc>
          <w:tcPr>
            <w:tcW w:w="21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To Be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90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2520" w:type="dxa"/>
            <w:vAlign w:val="bottom"/>
          </w:tcPr>
          <w:p>
            <w:pPr>
              <w:jc w:val="center"/>
              <w:ind w:left="87"/>
              <w:spacing w:after="0"/>
              <w:rPr>
                <w:sz w:val="20"/>
                <w:szCs w:val="20"/>
                <w:color w:val="auto"/>
              </w:rPr>
            </w:pPr>
            <w:r>
              <w:rPr>
                <w:rFonts w:ascii="Arial" w:cs="Arial" w:eastAsia="Arial" w:hAnsi="Arial"/>
                <w:sz w:val="14"/>
                <w:szCs w:val="14"/>
                <w:b w:val="1"/>
                <w:bCs w:val="1"/>
                <w:color w:val="auto"/>
                <w:w w:val="82"/>
              </w:rPr>
              <w:t>Registered</w:t>
            </w:r>
          </w:p>
        </w:tc>
        <w:tc>
          <w:tcPr>
            <w:tcW w:w="2100" w:type="dxa"/>
            <w:vAlign w:val="bottom"/>
          </w:tcPr>
          <w:p>
            <w:pPr>
              <w:jc w:val="center"/>
              <w:ind w:left="247"/>
              <w:spacing w:after="0"/>
              <w:rPr>
                <w:sz w:val="20"/>
                <w:szCs w:val="20"/>
                <w:color w:val="auto"/>
              </w:rPr>
            </w:pPr>
            <w:r>
              <w:rPr>
                <w:rFonts w:ascii="Arial" w:cs="Arial" w:eastAsia="Arial" w:hAnsi="Arial"/>
                <w:sz w:val="14"/>
                <w:szCs w:val="14"/>
                <w:b w:val="1"/>
                <w:bCs w:val="1"/>
                <w:color w:val="auto"/>
                <w:w w:val="85"/>
              </w:rPr>
              <w:t>Registered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 Share(1)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Price(1)</w:t>
            </w: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Fee</w:t>
            </w:r>
          </w:p>
        </w:tc>
      </w:tr>
      <w:tr>
        <w:trPr>
          <w:trHeight w:val="105"/>
        </w:trPr>
        <w:tc>
          <w:tcPr>
            <w:tcW w:w="25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13"/>
        </w:trPr>
        <w:tc>
          <w:tcPr>
            <w:tcW w:w="2520" w:type="dxa"/>
            <w:vAlign w:val="bottom"/>
          </w:tcPr>
          <w:p>
            <w:pPr>
              <w:jc w:val="center"/>
              <w:ind w:left="87"/>
              <w:spacing w:after="0"/>
              <w:rPr>
                <w:sz w:val="20"/>
                <w:szCs w:val="20"/>
                <w:color w:val="auto"/>
              </w:rPr>
            </w:pPr>
            <w:r>
              <w:rPr>
                <w:rFonts w:ascii="Arial" w:cs="Arial" w:eastAsia="Arial" w:hAnsi="Arial"/>
                <w:sz w:val="18"/>
                <w:szCs w:val="18"/>
                <w:color w:val="auto"/>
                <w:w w:val="90"/>
              </w:rPr>
              <w:t>Common Stock,</w:t>
            </w:r>
          </w:p>
        </w:tc>
        <w:tc>
          <w:tcPr>
            <w:tcW w:w="2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2"/>
        </w:trPr>
        <w:tc>
          <w:tcPr>
            <w:tcW w:w="2520" w:type="dxa"/>
            <w:vAlign w:val="bottom"/>
          </w:tcPr>
          <w:p>
            <w:pPr>
              <w:ind w:left="880"/>
              <w:spacing w:after="0"/>
              <w:rPr>
                <w:sz w:val="20"/>
                <w:szCs w:val="20"/>
                <w:color w:val="auto"/>
              </w:rPr>
            </w:pPr>
            <w:r>
              <w:rPr>
                <w:rFonts w:ascii="Arial" w:cs="Arial" w:eastAsia="Arial" w:hAnsi="Arial"/>
                <w:sz w:val="18"/>
                <w:szCs w:val="18"/>
                <w:color w:val="auto"/>
              </w:rPr>
              <w:t>$.50 par value</w:t>
            </w:r>
          </w:p>
        </w:tc>
        <w:tc>
          <w:tcPr>
            <w:tcW w:w="2100" w:type="dxa"/>
            <w:vAlign w:val="bottom"/>
          </w:tcPr>
          <w:p>
            <w:pPr>
              <w:jc w:val="center"/>
              <w:ind w:left="247"/>
              <w:spacing w:after="0"/>
              <w:rPr>
                <w:sz w:val="20"/>
                <w:szCs w:val="20"/>
                <w:color w:val="auto"/>
              </w:rPr>
            </w:pPr>
            <w:r>
              <w:rPr>
                <w:rFonts w:ascii="Arial" w:cs="Arial" w:eastAsia="Arial" w:hAnsi="Arial"/>
                <w:sz w:val="18"/>
                <w:szCs w:val="18"/>
                <w:color w:val="auto"/>
                <w:w w:val="85"/>
              </w:rPr>
              <w:t>2,000,000 Shares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$65.07</w:t>
            </w:r>
          </w:p>
        </w:tc>
        <w:tc>
          <w:tcPr>
            <w:tcW w:w="1360" w:type="dxa"/>
            <w:vAlign w:val="bottom"/>
          </w:tcPr>
          <w:p>
            <w:pPr>
              <w:jc w:val="right"/>
              <w:ind w:right="109"/>
              <w:spacing w:after="0"/>
              <w:rPr>
                <w:sz w:val="20"/>
                <w:szCs w:val="20"/>
                <w:color w:val="auto"/>
              </w:rPr>
            </w:pPr>
            <w:r>
              <w:rPr>
                <w:rFonts w:ascii="Arial" w:cs="Arial" w:eastAsia="Arial" w:hAnsi="Arial"/>
                <w:sz w:val="18"/>
                <w:szCs w:val="18"/>
                <w:color w:val="auto"/>
              </w:rPr>
              <w:t>$130,140,000</w:t>
            </w:r>
          </w:p>
        </w:tc>
        <w:tc>
          <w:tcPr>
            <w:tcW w:w="900" w:type="dxa"/>
            <w:vAlign w:val="bottom"/>
          </w:tcPr>
          <w:p>
            <w:pPr>
              <w:jc w:val="center"/>
              <w:ind w:left="67"/>
              <w:spacing w:after="0"/>
              <w:rPr>
                <w:sz w:val="20"/>
                <w:szCs w:val="20"/>
                <w:color w:val="auto"/>
              </w:rPr>
            </w:pPr>
            <w:r>
              <w:rPr>
                <w:rFonts w:ascii="Arial" w:cs="Arial" w:eastAsia="Arial" w:hAnsi="Arial"/>
                <w:sz w:val="18"/>
                <w:szCs w:val="18"/>
                <w:color w:val="auto"/>
                <w:w w:val="86"/>
              </w:rPr>
              <w:t>$16,490</w:t>
            </w:r>
          </w:p>
        </w:tc>
      </w:tr>
      <w:tr>
        <w:trPr>
          <w:trHeight w:val="120"/>
        </w:trPr>
        <w:tc>
          <w:tcPr>
            <w:tcW w:w="25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6195060</wp:posOffset>
            </wp:positionH>
            <wp:positionV relativeFrom="paragraph">
              <wp:posOffset>-443230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-443230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4"/>
          <w:szCs w:val="24"/>
          <w:color w:val="auto"/>
        </w:rPr>
      </w:pPr>
    </w:p>
    <w:p>
      <w:pPr>
        <w:ind w:right="140" w:firstLine="359"/>
        <w:spacing w:after="0" w:line="259" w:lineRule="auto"/>
        <w:tabs>
          <w:tab w:leader="none" w:pos="951"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457(c) and (h), the proposed maximum offering price per share and maximum aggregate offering price and amount of registration fee are calculated based upon a price per share of $65.07, the average of the high and low prices for the shares of Winnebago Industries, Inc. Common Stock as reported by The New York Stock Exchange, Inc. on February 25,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PART II INFORMATION REQUIRED IN THE REGISTRATION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ITEM 3. INCORPORATION OF CERTAIN DOCUMENTS BY REFERENCE</w:t>
      </w:r>
    </w:p>
    <w:p>
      <w:pPr>
        <w:sectPr>
          <w:pgSz w:w="11900" w:h="16838" w:orient="portrait"/>
          <w:cols w:equalWidth="0" w:num="1">
            <w:col w:w="11420"/>
          </w:cols>
          <w:pgMar w:left="240" w:top="239" w:right="239" w:bottom="67" w:gutter="0" w:footer="0" w:header="0"/>
        </w:sectPr>
      </w:pPr>
    </w:p>
    <w:bookmarkStart w:id="1" w:name="page2"/>
    <w:bookmarkEnd w:id="1"/>
    <w:p>
      <w:pPr>
        <w:ind w:left="360"/>
        <w:spacing w:after="0"/>
        <w:rPr>
          <w:sz w:val="20"/>
          <w:szCs w:val="20"/>
          <w:color w:val="auto"/>
        </w:rPr>
      </w:pPr>
      <w:r>
        <w:rPr>
          <w:rFonts w:ascii="Arial" w:cs="Arial" w:eastAsia="Arial" w:hAnsi="Arial"/>
          <w:sz w:val="16"/>
          <w:szCs w:val="16"/>
          <w:color w:val="auto"/>
        </w:rPr>
        <w:t xml:space="preserve">The following documents which have been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by Winnebago Industries,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“WINNEBAGO”</w:t>
      </w:r>
      <w:r>
        <w:rPr>
          <w:rFonts w:ascii="Arial" w:cs="Arial" w:eastAsia="Arial" w:hAnsi="Arial"/>
          <w:sz w:val="18"/>
          <w:szCs w:val="18"/>
          <w:color w:val="auto"/>
        </w:rPr>
        <w:t xml:space="preserve">or the </w:t>
      </w:r>
      <w:r>
        <w:rPr>
          <w:rFonts w:ascii="Arial" w:cs="Arial" w:eastAsia="Arial" w:hAnsi="Arial"/>
          <w:sz w:val="18"/>
          <w:szCs w:val="18"/>
          <w:i w:val="1"/>
          <w:iCs w:val="1"/>
          <w:color w:val="auto"/>
        </w:rPr>
        <w:t>“REGISTRANT”</w:t>
      </w:r>
      <w:r>
        <w:rPr>
          <w:rFonts w:ascii="Arial" w:cs="Arial" w:eastAsia="Arial" w:hAnsi="Arial"/>
          <w:sz w:val="18"/>
          <w:szCs w:val="18"/>
          <w:color w:val="auto"/>
        </w:rPr>
        <w:t>) pursuant to the Securities Exchange Act of 1934 (</w:t>
      </w:r>
      <w:r>
        <w:rPr>
          <w:rFonts w:ascii="Arial" w:cs="Arial" w:eastAsia="Arial" w:hAnsi="Arial"/>
          <w:sz w:val="18"/>
          <w:szCs w:val="18"/>
          <w:i w:val="1"/>
          <w:iCs w:val="1"/>
          <w:color w:val="auto"/>
        </w:rPr>
        <w:t>“1934 ACT”</w:t>
      </w:r>
      <w:r>
        <w:rPr>
          <w:rFonts w:ascii="Arial" w:cs="Arial" w:eastAsia="Arial" w:hAnsi="Arial"/>
          <w:sz w:val="18"/>
          <w:szCs w:val="18"/>
          <w:color w:val="auto"/>
        </w:rPr>
        <w:t>) are incorporated herein by reference:</w:t>
      </w:r>
    </w:p>
    <w:p>
      <w:pPr>
        <w:spacing w:after="0" w:line="219" w:lineRule="exact"/>
        <w:rPr>
          <w:sz w:val="20"/>
          <w:szCs w:val="20"/>
          <w:color w:val="auto"/>
        </w:rPr>
      </w:pPr>
    </w:p>
    <w:p>
      <w:pPr>
        <w:ind w:left="1480" w:hanging="540"/>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August 30, 2003 of Winnebago; and</w:t>
      </w:r>
    </w:p>
    <w:p>
      <w:pPr>
        <w:spacing w:after="0" w:line="252" w:lineRule="exact"/>
        <w:rPr>
          <w:rFonts w:ascii="Arial" w:cs="Arial" w:eastAsia="Arial" w:hAnsi="Arial"/>
          <w:sz w:val="18"/>
          <w:szCs w:val="18"/>
          <w:color w:val="auto"/>
        </w:rPr>
      </w:pPr>
    </w:p>
    <w:p>
      <w:pPr>
        <w:ind w:left="1500" w:hanging="560"/>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November 29, 2003 of Winnebago;</w:t>
      </w:r>
    </w:p>
    <w:p>
      <w:pPr>
        <w:spacing w:after="0" w:line="252" w:lineRule="exact"/>
        <w:rPr>
          <w:rFonts w:ascii="Arial" w:cs="Arial" w:eastAsia="Arial" w:hAnsi="Arial"/>
          <w:sz w:val="18"/>
          <w:szCs w:val="18"/>
          <w:color w:val="auto"/>
        </w:rPr>
      </w:pPr>
    </w:p>
    <w:p>
      <w:pPr>
        <w:ind w:left="580" w:right="720" w:firstLine="360"/>
        <w:spacing w:after="0" w:line="268" w:lineRule="auto"/>
        <w:tabs>
          <w:tab w:leader="none" w:pos="1477"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October 14, 2003, October 16, 2003, October 21, 2003, October 30, 2003, November 14, 2003, December 12, 2003, December 17, 2003, January 27, 2004 and February 13, 2004;</w:t>
      </w:r>
    </w:p>
    <w:p>
      <w:pPr>
        <w:spacing w:after="0" w:line="212" w:lineRule="exact"/>
        <w:rPr>
          <w:rFonts w:ascii="Arial" w:cs="Arial" w:eastAsia="Arial" w:hAnsi="Arial"/>
          <w:sz w:val="18"/>
          <w:szCs w:val="18"/>
          <w:color w:val="auto"/>
        </w:rPr>
      </w:pPr>
    </w:p>
    <w:p>
      <w:pPr>
        <w:ind w:left="1500" w:hanging="560"/>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Notice of Annual Meeting of Shareholders to be Held January 13, 2004 and Proxy Statement, filed November 21, 2003; and</w:t>
      </w:r>
    </w:p>
    <w:p>
      <w:pPr>
        <w:spacing w:after="0" w:line="252" w:lineRule="exact"/>
        <w:rPr>
          <w:rFonts w:ascii="Arial" w:cs="Arial" w:eastAsia="Arial" w:hAnsi="Arial"/>
          <w:sz w:val="18"/>
          <w:szCs w:val="18"/>
          <w:color w:val="auto"/>
        </w:rPr>
      </w:pPr>
    </w:p>
    <w:p>
      <w:pPr>
        <w:ind w:left="580" w:right="220" w:firstLine="360"/>
        <w:spacing w:after="0" w:line="268" w:lineRule="auto"/>
        <w:tabs>
          <w:tab w:leader="none" w:pos="14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Winnebago’s Common Stock which is contained in the Forms 8-A pursuant to Section 12(b) of the 1934 Act filed with the Commission on June 18, 1969 and June 16, 1971 (1934 Act File No. 1-6403).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All documents subsequently filed by Winnebago pursuant to Sections 13(a), 13(c), 14 and 15(d) of the 1934 Act, prior to the filing of a post-effective amendment which indicates that all securities offered hereby have been sold or which deregisters all such securities then remaining unsold, shall be deemed to be incorporated by reference into this Registration Statement and to be a part hereof from the date of filing such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4.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00" w:lineRule="exact"/>
        <w:rPr>
          <w:sz w:val="20"/>
          <w:szCs w:val="20"/>
          <w:color w:val="auto"/>
        </w:rPr>
      </w:pPr>
    </w:p>
    <w:p>
      <w:pPr>
        <w:spacing w:after="0" w:line="26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Sections 490.851 of the Iowa Business Corporation Act gives Iowa corporations the power to indemnify present and former directors under certain circumstances. The Amended and Restated Articles of Incorporation of Winnebago provide for indemnification by Winnebago of directors against all expenses, liabilities and loss (including attorney’s fees, judgements, fines or penalties and amounts paid or to be paid in settlement) actually incurred by such person relating to his or her conduct as a director of Winnebago, except that the aforesaid mandatory indemnification shall not apply (i) to a breach of a director’s duty of loyalty to the corporation or its shareholders, (ii) for acts or omissions not in good faith or which involve intentional misconduct or knowing violation of the law, (iii) for a transaction from which a director derived an improper personal benefit, (iv) under Section 496A.44 of the Iowa Business Corporation Act, or (v) against judgments, penalties, fines and settlements arising from any proceeding by or in the right of the corporation, or against expenses in any such case where such director shall be adjudged liable to the corporation. The Amended and Restated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17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addition, Winnebago maintains a directors’ and officers’ liability insurance policy to insure its liability under the above-described provision of its Amended and Restated Articles of Incorporation and to insure its individual directors and officers against certain obligations not covered by such provisions.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ITEM 7.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List of Exhibits on page II-7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undersigned Registrant hereby undertakes: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 To file, during any period in which offers or sales are being made, a post-effective amendment to this Registration Statement:</w:t>
      </w:r>
    </w:p>
    <w:p>
      <w:pPr>
        <w:spacing w:after="0" w:line="27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 To include any prospectus required by Section 10(a)(3) of the Securities Act of 1933;</w:t>
      </w:r>
    </w:p>
    <w:p>
      <w:pPr>
        <w:spacing w:after="0" w:line="252"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(i) To reflect in the prospectus any facts or events arising after the effective date of the Registration Statement (or the most recent</w:t>
      </w:r>
    </w:p>
    <w:p>
      <w:pPr>
        <w:sectPr>
          <w:pgSz w:w="11900" w:h="16838" w:orient="portrait"/>
          <w:cols w:equalWidth="0" w:num="1">
            <w:col w:w="11400"/>
          </w:cols>
          <w:pgMar w:left="240" w:top="131" w:right="259" w:bottom="0" w:gutter="0" w:footer="0" w:header="0"/>
        </w:sectPr>
      </w:pPr>
    </w:p>
    <w:bookmarkStart w:id="2" w:name="page3"/>
    <w:bookmarkEnd w:id="2"/>
    <w:p>
      <w:pPr>
        <w:spacing w:after="0" w:line="137" w:lineRule="exact"/>
        <w:rPr>
          <w:sz w:val="20"/>
          <w:szCs w:val="20"/>
          <w:color w:val="auto"/>
        </w:rPr>
      </w:pPr>
    </w:p>
    <w:p>
      <w:pPr>
        <w:ind w:left="1720" w:right="40"/>
        <w:spacing w:after="0" w:line="268" w:lineRule="auto"/>
        <w:rPr>
          <w:sz w:val="20"/>
          <w:szCs w:val="20"/>
          <w:color w:val="auto"/>
        </w:rPr>
      </w:pPr>
      <w:r>
        <w:rPr>
          <w:rFonts w:ascii="Arial" w:cs="Arial" w:eastAsia="Arial" w:hAnsi="Arial"/>
          <w:sz w:val="18"/>
          <w:szCs w:val="18"/>
          <w:color w:val="auto"/>
        </w:rPr>
        <w:t>post-effective amendment thereof) which individually or in the aggregate, represent a fundamental change in the information set forth in the Registration Statement;</w:t>
      </w:r>
    </w:p>
    <w:p>
      <w:pPr>
        <w:spacing w:after="0" w:line="213" w:lineRule="exact"/>
        <w:rPr>
          <w:sz w:val="20"/>
          <w:szCs w:val="20"/>
          <w:color w:val="auto"/>
        </w:rPr>
      </w:pPr>
    </w:p>
    <w:p>
      <w:pPr>
        <w:ind w:left="1720" w:right="560" w:firstLine="354"/>
        <w:spacing w:after="0" w:line="268" w:lineRule="auto"/>
        <w:tabs>
          <w:tab w:leader="none" w:pos="24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2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Registration Statement is on Form S-3, Form S-8 or Form F-3,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61" w:lineRule="exact"/>
        <w:rPr>
          <w:sz w:val="20"/>
          <w:szCs w:val="20"/>
          <w:color w:val="auto"/>
        </w:rPr>
      </w:pPr>
    </w:p>
    <w:p>
      <w:pPr>
        <w:ind w:left="1160" w:firstLine="347"/>
        <w:spacing w:after="0" w:line="259" w:lineRule="auto"/>
        <w:tabs>
          <w:tab w:leader="none" w:pos="1757"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1" w:lineRule="exact"/>
        <w:rPr>
          <w:rFonts w:ascii="Arial" w:cs="Arial" w:eastAsia="Arial" w:hAnsi="Arial"/>
          <w:sz w:val="18"/>
          <w:szCs w:val="18"/>
          <w:color w:val="auto"/>
        </w:rPr>
      </w:pPr>
    </w:p>
    <w:p>
      <w:pPr>
        <w:ind w:left="1160" w:right="140" w:firstLine="347"/>
        <w:spacing w:after="0" w:line="268" w:lineRule="auto"/>
        <w:tabs>
          <w:tab w:leader="none" w:pos="175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firstLine="359"/>
        <w:spacing w:after="0" w:line="255" w:lineRule="auto"/>
        <w:tabs>
          <w:tab w:leader="none" w:pos="59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the purpose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96" w:lineRule="exact"/>
        <w:rPr>
          <w:rFonts w:ascii="Arial" w:cs="Arial" w:eastAsia="Arial" w:hAnsi="Arial"/>
          <w:sz w:val="18"/>
          <w:szCs w:val="18"/>
          <w:color w:val="auto"/>
        </w:rPr>
      </w:pPr>
    </w:p>
    <w:p>
      <w:pPr>
        <w:ind w:right="180" w:firstLine="359"/>
        <w:spacing w:after="0" w:line="294" w:lineRule="auto"/>
        <w:tabs>
          <w:tab w:leader="none" w:pos="59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w:t>
      </w:r>
    </w:p>
    <w:p>
      <w:pPr>
        <w:sectPr>
          <w:pgSz w:w="11900" w:h="16975" w:orient="portrait"/>
          <w:cols w:equalWidth="0" w:num="1">
            <w:col w:w="11340"/>
          </w:cols>
          <w:pgMar w:left="240" w:top="131" w:right="31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City of Forest City, State of Iowa, on March 3, 2004.</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WINNEBAGO INDUSTRIES, INC.</w:t>
      </w:r>
    </w:p>
    <w:p>
      <w:pPr>
        <w:spacing w:after="0" w:line="208" w:lineRule="exact"/>
        <w:rPr>
          <w:sz w:val="20"/>
          <w:szCs w:val="20"/>
          <w:color w:val="auto"/>
        </w:rPr>
      </w:pPr>
    </w:p>
    <w:tbl>
      <w:tblPr>
        <w:tblLayout w:type="fixed"/>
        <w:tblInd w:w="674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Bruce D. Hertzke</w:t>
            </w:r>
          </w:p>
        </w:tc>
        <w:tc>
          <w:tcPr>
            <w:tcW w:w="260" w:type="dxa"/>
            <w:vAlign w:val="bottom"/>
          </w:tcPr>
          <w:p>
            <w:pPr>
              <w:spacing w:after="0"/>
              <w:rPr>
                <w:sz w:val="17"/>
                <w:szCs w:val="17"/>
                <w:color w:val="auto"/>
              </w:rPr>
            </w:pPr>
          </w:p>
        </w:tc>
      </w:tr>
      <w:tr>
        <w:trPr>
          <w:trHeight w:val="228"/>
        </w:trPr>
        <w:tc>
          <w:tcPr>
            <w:tcW w:w="300" w:type="dxa"/>
            <w:vAlign w:val="bottom"/>
          </w:tcPr>
          <w:p>
            <w:pPr>
              <w:spacing w:after="0"/>
              <w:rPr>
                <w:sz w:val="19"/>
                <w:szCs w:val="19"/>
                <w:color w:val="auto"/>
              </w:rPr>
            </w:pPr>
          </w:p>
        </w:tc>
        <w:tc>
          <w:tcPr>
            <w:tcW w:w="2400" w:type="dxa"/>
            <w:vAlign w:val="bottom"/>
            <w:gridSpan w:val="2"/>
          </w:tcPr>
          <w:p>
            <w:pPr>
              <w:ind w:left="540"/>
              <w:spacing w:after="0"/>
              <w:rPr>
                <w:sz w:val="20"/>
                <w:szCs w:val="20"/>
                <w:color w:val="auto"/>
              </w:rPr>
            </w:pPr>
            <w:r>
              <w:rPr>
                <w:rFonts w:ascii="Arial" w:cs="Arial" w:eastAsia="Arial" w:hAnsi="Arial"/>
                <w:sz w:val="18"/>
                <w:szCs w:val="18"/>
                <w:color w:val="auto"/>
              </w:rPr>
              <w:t>Bruce D. Hertzke</w:t>
            </w:r>
          </w:p>
        </w:tc>
      </w:tr>
      <w:tr>
        <w:trPr>
          <w:trHeight w:val="216"/>
        </w:trPr>
        <w:tc>
          <w:tcPr>
            <w:tcW w:w="300" w:type="dxa"/>
            <w:vAlign w:val="bottom"/>
          </w:tcPr>
          <w:p>
            <w:pPr>
              <w:spacing w:after="0"/>
              <w:rPr>
                <w:sz w:val="18"/>
                <w:szCs w:val="18"/>
                <w:color w:val="auto"/>
              </w:rPr>
            </w:pP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w w:val="93"/>
              </w:rPr>
              <w:t>Chairman of the Board, Chief</w:t>
            </w:r>
          </w:p>
        </w:tc>
      </w:tr>
      <w:tr>
        <w:trPr>
          <w:trHeight w:val="222"/>
        </w:trPr>
        <w:tc>
          <w:tcPr>
            <w:tcW w:w="300" w:type="dxa"/>
            <w:vAlign w:val="bottom"/>
          </w:tcPr>
          <w:p>
            <w:pPr>
              <w:spacing w:after="0"/>
              <w:rPr>
                <w:sz w:val="19"/>
                <w:szCs w:val="19"/>
                <w:color w:val="auto"/>
              </w:rPr>
            </w:pPr>
          </w:p>
        </w:tc>
        <w:tc>
          <w:tcPr>
            <w:tcW w:w="2400" w:type="dxa"/>
            <w:vAlign w:val="bottom"/>
            <w:gridSpan w:val="2"/>
          </w:tcPr>
          <w:p>
            <w:pPr>
              <w:ind w:left="140"/>
              <w:spacing w:after="0"/>
              <w:rPr>
                <w:sz w:val="20"/>
                <w:szCs w:val="20"/>
                <w:color w:val="auto"/>
              </w:rPr>
            </w:pPr>
            <w:r>
              <w:rPr>
                <w:rFonts w:ascii="Arial" w:cs="Arial" w:eastAsia="Arial" w:hAnsi="Arial"/>
                <w:sz w:val="18"/>
                <w:szCs w:val="18"/>
                <w:color w:val="auto"/>
                <w:w w:val="88"/>
              </w:rPr>
              <w:t>Executive Officer and President</w:t>
            </w: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Each person whose signature appears below hereby constitutes and appoints Bruce D. Hertzke and Edwin F. Barker and each of them, his true and lawful attorneys-in-fact and agents, with full power and substitution and resubstitution for him in his name, place and stead, in any and all capacities to sign any and all pre-effective and/or post-effective amendments to this Registration Statement and to file the same, with all exhibits thereto, and other documents in connection therewith with the Securities and Exchange Commission under the Securities Act of 1933.</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March 3,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60" w:type="dxa"/>
            <w:vAlign w:val="bottom"/>
          </w:tcPr>
          <w:p>
            <w:pPr>
              <w:spacing w:after="0"/>
              <w:rPr>
                <w:sz w:val="14"/>
                <w:szCs w:val="14"/>
                <w:color w:val="auto"/>
              </w:rPr>
            </w:pPr>
          </w:p>
        </w:tc>
        <w:tc>
          <w:tcPr>
            <w:tcW w:w="3820" w:type="dxa"/>
            <w:vAlign w:val="bottom"/>
            <w:gridSpan w:val="11"/>
          </w:tcPr>
          <w:p>
            <w:pPr>
              <w:ind w:left="340"/>
              <w:spacing w:after="0"/>
              <w:rPr>
                <w:sz w:val="20"/>
                <w:szCs w:val="20"/>
                <w:color w:val="auto"/>
              </w:rPr>
            </w:pPr>
            <w:r>
              <w:rPr>
                <w:rFonts w:ascii="Arial" w:cs="Arial" w:eastAsia="Arial" w:hAnsi="Arial"/>
                <w:sz w:val="14"/>
                <w:szCs w:val="14"/>
                <w:color w:val="auto"/>
              </w:rPr>
              <w:t>SIGNATURE</w:t>
            </w:r>
          </w:p>
        </w:tc>
        <w:tc>
          <w:tcPr>
            <w:tcW w:w="5940" w:type="dxa"/>
            <w:vAlign w:val="bottom"/>
          </w:tcPr>
          <w:p>
            <w:pPr>
              <w:jc w:val="center"/>
              <w:ind w:right="1333"/>
              <w:spacing w:after="0"/>
              <w:rPr>
                <w:sz w:val="20"/>
                <w:szCs w:val="20"/>
                <w:color w:val="auto"/>
              </w:rPr>
            </w:pPr>
            <w:r>
              <w:rPr>
                <w:rFonts w:ascii="Arial" w:cs="Arial" w:eastAsia="Arial" w:hAnsi="Arial"/>
                <w:sz w:val="14"/>
                <w:szCs w:val="14"/>
                <w:color w:val="auto"/>
                <w:w w:val="94"/>
              </w:rPr>
              <w:t>TITLE</w:t>
            </w:r>
          </w:p>
        </w:tc>
      </w:tr>
      <w:tr>
        <w:trPr>
          <w:trHeight w:val="379"/>
        </w:trPr>
        <w:tc>
          <w:tcPr>
            <w:tcW w:w="1660" w:type="dxa"/>
            <w:vAlign w:val="bottom"/>
          </w:tcPr>
          <w:p>
            <w:pPr>
              <w:spacing w:after="0"/>
              <w:rPr>
                <w:sz w:val="24"/>
                <w:szCs w:val="24"/>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 Bruce D. Hertzke</w:t>
            </w:r>
          </w:p>
        </w:tc>
        <w:tc>
          <w:tcPr>
            <w:tcW w:w="1940" w:type="dxa"/>
            <w:vAlign w:val="bottom"/>
            <w:gridSpan w:val="7"/>
          </w:tcPr>
          <w:p>
            <w:pPr>
              <w:spacing w:after="0"/>
              <w:rPr>
                <w:sz w:val="24"/>
                <w:szCs w:val="24"/>
                <w:color w:val="auto"/>
              </w:rPr>
            </w:pP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88"/>
              </w:rPr>
              <w:t>Chairman of the Board,</w:t>
            </w:r>
          </w:p>
        </w:tc>
      </w:tr>
      <w:tr>
        <w:trPr>
          <w:trHeight w:val="228"/>
        </w:trPr>
        <w:tc>
          <w:tcPr>
            <w:tcW w:w="1660" w:type="dxa"/>
            <w:vAlign w:val="bottom"/>
          </w:tcPr>
          <w:p>
            <w:pPr>
              <w:spacing w:after="0"/>
              <w:rPr>
                <w:sz w:val="19"/>
                <w:szCs w:val="19"/>
                <w:color w:val="auto"/>
              </w:rPr>
            </w:pPr>
          </w:p>
        </w:tc>
        <w:tc>
          <w:tcPr>
            <w:tcW w:w="3820" w:type="dxa"/>
            <w:vAlign w:val="bottom"/>
            <w:gridSpan w:val="11"/>
          </w:tcPr>
          <w:p>
            <w:pPr>
              <w:ind w:left="220"/>
              <w:spacing w:after="0"/>
              <w:rPr>
                <w:sz w:val="20"/>
                <w:szCs w:val="20"/>
                <w:color w:val="auto"/>
              </w:rPr>
            </w:pPr>
            <w:r>
              <w:rPr>
                <w:rFonts w:ascii="Arial" w:cs="Arial" w:eastAsia="Arial" w:hAnsi="Arial"/>
                <w:sz w:val="18"/>
                <w:szCs w:val="18"/>
                <w:color w:val="auto"/>
              </w:rPr>
              <w:t>Bruce D. Hertzke</w:t>
            </w:r>
          </w:p>
        </w:tc>
        <w:tc>
          <w:tcPr>
            <w:tcW w:w="5940" w:type="dxa"/>
            <w:vAlign w:val="bottom"/>
          </w:tcPr>
          <w:p>
            <w:pPr>
              <w:jc w:val="center"/>
              <w:ind w:right="1373"/>
              <w:spacing w:after="0"/>
              <w:rPr>
                <w:sz w:val="20"/>
                <w:szCs w:val="20"/>
                <w:color w:val="auto"/>
              </w:rPr>
            </w:pPr>
            <w:r>
              <w:rPr>
                <w:rFonts w:ascii="Arial" w:cs="Arial" w:eastAsia="Arial" w:hAnsi="Arial"/>
                <w:sz w:val="18"/>
                <w:szCs w:val="18"/>
                <w:color w:val="auto"/>
                <w:w w:val="89"/>
              </w:rPr>
              <w:t>Chief Executive</w:t>
            </w: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40" w:type="dxa"/>
            <w:vAlign w:val="bottom"/>
          </w:tcPr>
          <w:p>
            <w:pPr>
              <w:jc w:val="center"/>
              <w:ind w:right="1373"/>
              <w:spacing w:after="0"/>
              <w:rPr>
                <w:sz w:val="20"/>
                <w:szCs w:val="20"/>
                <w:color w:val="auto"/>
              </w:rPr>
            </w:pPr>
            <w:r>
              <w:rPr>
                <w:rFonts w:ascii="Arial" w:cs="Arial" w:eastAsia="Arial" w:hAnsi="Arial"/>
                <w:sz w:val="18"/>
                <w:szCs w:val="18"/>
                <w:color w:val="auto"/>
                <w:w w:val="89"/>
              </w:rPr>
              <w:t>Officer, President and Director</w:t>
            </w:r>
          </w:p>
        </w:tc>
      </w:tr>
      <w:tr>
        <w:trPr>
          <w:trHeight w:val="222"/>
        </w:trPr>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90"/>
              </w:rPr>
              <w:t>(Principal executive officer)</w:t>
            </w:r>
          </w:p>
        </w:tc>
      </w:tr>
      <w:tr>
        <w:trPr>
          <w:trHeight w:val="394"/>
        </w:trPr>
        <w:tc>
          <w:tcPr>
            <w:tcW w:w="1660" w:type="dxa"/>
            <w:vAlign w:val="bottom"/>
          </w:tcPr>
          <w:p>
            <w:pPr>
              <w:spacing w:after="0"/>
              <w:rPr>
                <w:sz w:val="24"/>
                <w:szCs w:val="24"/>
                <w:color w:val="auto"/>
              </w:rPr>
            </w:pPr>
          </w:p>
        </w:tc>
        <w:tc>
          <w:tcPr>
            <w:tcW w:w="18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/s/ Edwin F. Barker</w:t>
            </w:r>
          </w:p>
        </w:tc>
        <w:tc>
          <w:tcPr>
            <w:tcW w:w="2020" w:type="dxa"/>
            <w:vAlign w:val="bottom"/>
            <w:gridSpan w:val="8"/>
          </w:tcPr>
          <w:p>
            <w:pPr>
              <w:spacing w:after="0"/>
              <w:rPr>
                <w:sz w:val="24"/>
                <w:szCs w:val="24"/>
                <w:color w:val="auto"/>
              </w:rPr>
            </w:pP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86"/>
              </w:rPr>
              <w:t>Senior Vice President and</w:t>
            </w:r>
          </w:p>
        </w:tc>
      </w:tr>
      <w:tr>
        <w:trPr>
          <w:trHeight w:val="228"/>
        </w:trPr>
        <w:tc>
          <w:tcPr>
            <w:tcW w:w="1660" w:type="dxa"/>
            <w:vAlign w:val="bottom"/>
          </w:tcPr>
          <w:p>
            <w:pPr>
              <w:spacing w:after="0"/>
              <w:rPr>
                <w:sz w:val="19"/>
                <w:szCs w:val="19"/>
                <w:color w:val="auto"/>
              </w:rPr>
            </w:pPr>
          </w:p>
        </w:tc>
        <w:tc>
          <w:tcPr>
            <w:tcW w:w="3820" w:type="dxa"/>
            <w:vAlign w:val="bottom"/>
            <w:gridSpan w:val="11"/>
          </w:tcPr>
          <w:p>
            <w:pPr>
              <w:ind w:left="220"/>
              <w:spacing w:after="0"/>
              <w:rPr>
                <w:sz w:val="20"/>
                <w:szCs w:val="20"/>
                <w:color w:val="auto"/>
              </w:rPr>
            </w:pPr>
            <w:r>
              <w:rPr>
                <w:rFonts w:ascii="Arial" w:cs="Arial" w:eastAsia="Arial" w:hAnsi="Arial"/>
                <w:sz w:val="18"/>
                <w:szCs w:val="18"/>
                <w:color w:val="auto"/>
              </w:rPr>
              <w:t>Edwin F. Barker</w:t>
            </w:r>
          </w:p>
        </w:tc>
        <w:tc>
          <w:tcPr>
            <w:tcW w:w="5940" w:type="dxa"/>
            <w:vAlign w:val="bottom"/>
          </w:tcPr>
          <w:p>
            <w:pPr>
              <w:jc w:val="center"/>
              <w:ind w:right="1373"/>
              <w:spacing w:after="0"/>
              <w:rPr>
                <w:sz w:val="20"/>
                <w:szCs w:val="20"/>
                <w:color w:val="auto"/>
              </w:rPr>
            </w:pPr>
            <w:r>
              <w:rPr>
                <w:rFonts w:ascii="Arial" w:cs="Arial" w:eastAsia="Arial" w:hAnsi="Arial"/>
                <w:sz w:val="18"/>
                <w:szCs w:val="18"/>
                <w:color w:val="auto"/>
                <w:w w:val="92"/>
              </w:rPr>
              <w:t>Chief Financial Officer</w:t>
            </w:r>
          </w:p>
        </w:tc>
      </w:tr>
      <w:tr>
        <w:trPr>
          <w:trHeight w:val="222"/>
        </w:trPr>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93"/>
              </w:rPr>
              <w:t>(Principal financial officer)</w:t>
            </w:r>
          </w:p>
        </w:tc>
      </w:tr>
      <w:tr>
        <w:trPr>
          <w:trHeight w:val="394"/>
        </w:trPr>
        <w:tc>
          <w:tcPr>
            <w:tcW w:w="1660" w:type="dxa"/>
            <w:vAlign w:val="bottom"/>
          </w:tcPr>
          <w:p>
            <w:pPr>
              <w:spacing w:after="0"/>
              <w:rPr>
                <w:sz w:val="24"/>
                <w:szCs w:val="24"/>
                <w:color w:val="auto"/>
              </w:rPr>
            </w:pPr>
          </w:p>
        </w:tc>
        <w:tc>
          <w:tcPr>
            <w:tcW w:w="17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 Brian J. Hrubes</w:t>
            </w:r>
          </w:p>
        </w:tc>
        <w:tc>
          <w:tcPr>
            <w:tcW w:w="2080" w:type="dxa"/>
            <w:vAlign w:val="bottom"/>
            <w:gridSpan w:val="9"/>
          </w:tcPr>
          <w:p>
            <w:pPr>
              <w:spacing w:after="0"/>
              <w:rPr>
                <w:sz w:val="24"/>
                <w:szCs w:val="24"/>
                <w:color w:val="auto"/>
              </w:rPr>
            </w:pP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92"/>
              </w:rPr>
              <w:t>Controller</w:t>
            </w:r>
          </w:p>
        </w:tc>
      </w:tr>
      <w:tr>
        <w:trPr>
          <w:trHeight w:val="235"/>
        </w:trPr>
        <w:tc>
          <w:tcPr>
            <w:tcW w:w="1660" w:type="dxa"/>
            <w:vAlign w:val="bottom"/>
          </w:tcPr>
          <w:p>
            <w:pPr>
              <w:spacing w:after="0"/>
              <w:rPr>
                <w:sz w:val="20"/>
                <w:szCs w:val="20"/>
                <w:color w:val="auto"/>
              </w:rPr>
            </w:pPr>
          </w:p>
        </w:tc>
        <w:tc>
          <w:tcPr>
            <w:tcW w:w="3820" w:type="dxa"/>
            <w:vAlign w:val="bottom"/>
            <w:gridSpan w:val="11"/>
          </w:tcPr>
          <w:p>
            <w:pPr>
              <w:ind w:left="220"/>
              <w:spacing w:after="0"/>
              <w:rPr>
                <w:sz w:val="20"/>
                <w:szCs w:val="20"/>
                <w:color w:val="auto"/>
              </w:rPr>
            </w:pPr>
            <w:r>
              <w:rPr>
                <w:rFonts w:ascii="Arial" w:cs="Arial" w:eastAsia="Arial" w:hAnsi="Arial"/>
                <w:sz w:val="18"/>
                <w:szCs w:val="18"/>
                <w:color w:val="auto"/>
              </w:rPr>
              <w:t>Brian J. Hrubes</w:t>
            </w:r>
          </w:p>
        </w:tc>
        <w:tc>
          <w:tcPr>
            <w:tcW w:w="5940" w:type="dxa"/>
            <w:vAlign w:val="bottom"/>
          </w:tcPr>
          <w:p>
            <w:pPr>
              <w:jc w:val="center"/>
              <w:ind w:right="1333"/>
              <w:spacing w:after="0"/>
              <w:rPr>
                <w:sz w:val="20"/>
                <w:szCs w:val="20"/>
                <w:color w:val="auto"/>
              </w:rPr>
            </w:pPr>
            <w:r>
              <w:rPr>
                <w:rFonts w:ascii="Arial" w:cs="Arial" w:eastAsia="Arial" w:hAnsi="Arial"/>
                <w:sz w:val="18"/>
                <w:szCs w:val="18"/>
                <w:color w:val="auto"/>
                <w:w w:val="91"/>
              </w:rPr>
              <w:t>(Principal accounting officer)</w:t>
            </w:r>
          </w:p>
        </w:tc>
      </w:tr>
      <w:tr>
        <w:trPr>
          <w:trHeight w:val="918"/>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II-5</w:t>
            </w:r>
          </w:p>
        </w:tc>
      </w:tr>
      <w:tr>
        <w:trPr>
          <w:trHeight w:val="242"/>
        </w:trPr>
        <w:tc>
          <w:tcPr>
            <w:tcW w:w="166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5940" w:type="dxa"/>
            <w:vAlign w:val="bottom"/>
            <w:tcBorders>
              <w:bottom w:val="single" w:sz="8" w:color="808080"/>
            </w:tcBorders>
          </w:tcPr>
          <w:p>
            <w:pPr>
              <w:spacing w:after="0"/>
              <w:rPr>
                <w:sz w:val="21"/>
                <w:szCs w:val="21"/>
                <w:color w:val="auto"/>
              </w:rPr>
            </w:pPr>
          </w:p>
        </w:tc>
      </w:tr>
      <w:tr>
        <w:trPr>
          <w:trHeight w:val="523"/>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 Irvin E. Aal</w:t>
            </w:r>
          </w:p>
        </w:tc>
        <w:tc>
          <w:tcPr>
            <w:tcW w:w="980" w:type="dxa"/>
            <w:vAlign w:val="bottom"/>
            <w:gridSpan w:val="6"/>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Irvin E. Aal</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w w:val="99"/>
              </w:rPr>
              <w:t>/s/ Gerald E. Boman</w:t>
            </w:r>
          </w:p>
        </w:tc>
        <w:tc>
          <w:tcPr>
            <w:tcW w:w="600" w:type="dxa"/>
            <w:vAlign w:val="bottom"/>
            <w:gridSpan w:val="2"/>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Gerald E. Boman</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/s/ Jerry N. Currie</w:t>
            </w:r>
          </w:p>
        </w:tc>
        <w:tc>
          <w:tcPr>
            <w:tcW w:w="760" w:type="dxa"/>
            <w:vAlign w:val="bottom"/>
            <w:gridSpan w:val="5"/>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Jerry N. Currie</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80" w:type="dxa"/>
            <w:vAlign w:val="bottom"/>
            <w:tcBorders>
              <w:bottom w:val="single" w:sz="8" w:color="auto"/>
            </w:tcBorders>
            <w:gridSpan w:val="9"/>
          </w:tcPr>
          <w:p>
            <w:pPr>
              <w:ind w:left="220"/>
              <w:spacing w:after="0"/>
              <w:rPr>
                <w:sz w:val="20"/>
                <w:szCs w:val="20"/>
                <w:color w:val="auto"/>
              </w:rPr>
            </w:pPr>
            <w:r>
              <w:rPr>
                <w:rFonts w:ascii="Arial" w:cs="Arial" w:eastAsia="Arial" w:hAnsi="Arial"/>
                <w:sz w:val="18"/>
                <w:szCs w:val="18"/>
                <w:color w:val="auto"/>
                <w:w w:val="96"/>
              </w:rPr>
              <w:t>/s/ Joseph W. England</w:t>
            </w:r>
          </w:p>
        </w:tc>
        <w:tc>
          <w:tcPr>
            <w:tcW w:w="480" w:type="dxa"/>
            <w:vAlign w:val="bottom"/>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Joseph W. England</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color w:val="auto"/>
                <w:w w:val="98"/>
              </w:rPr>
              <w:t>/s/ John V. Hanson</w:t>
            </w:r>
          </w:p>
        </w:tc>
        <w:tc>
          <w:tcPr>
            <w:tcW w:w="720" w:type="dxa"/>
            <w:vAlign w:val="bottom"/>
            <w:gridSpan w:val="4"/>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John V. Hanson</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color w:val="auto"/>
              </w:rPr>
              <w:t>/s/ Gerald C. Kitch</w:t>
            </w:r>
          </w:p>
        </w:tc>
        <w:tc>
          <w:tcPr>
            <w:tcW w:w="700" w:type="dxa"/>
            <w:vAlign w:val="bottom"/>
            <w:gridSpan w:val="3"/>
          </w:tcPr>
          <w:p>
            <w:pPr>
              <w:spacing w:after="0"/>
              <w:rPr>
                <w:sz w:val="24"/>
                <w:szCs w:val="24"/>
                <w:color w:val="auto"/>
              </w:rPr>
            </w:pP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Gerald C. Kitch</w:t>
            </w:r>
          </w:p>
        </w:tc>
        <w:tc>
          <w:tcPr>
            <w:tcW w:w="5940" w:type="dxa"/>
            <w:vAlign w:val="bottom"/>
          </w:tcPr>
          <w:p>
            <w:pPr>
              <w:spacing w:after="0"/>
              <w:rPr>
                <w:sz w:val="20"/>
                <w:szCs w:val="20"/>
                <w:color w:val="auto"/>
              </w:rPr>
            </w:pPr>
          </w:p>
        </w:tc>
      </w:tr>
      <w:tr>
        <w:trPr>
          <w:trHeight w:val="394"/>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60" w:type="dxa"/>
            <w:vAlign w:val="bottom"/>
            <w:tcBorders>
              <w:bottom w:val="single" w:sz="8" w:color="auto"/>
            </w:tcBorders>
            <w:gridSpan w:val="10"/>
          </w:tcPr>
          <w:p>
            <w:pPr>
              <w:ind w:left="220"/>
              <w:spacing w:after="0"/>
              <w:rPr>
                <w:sz w:val="20"/>
                <w:szCs w:val="20"/>
                <w:color w:val="auto"/>
              </w:rPr>
            </w:pPr>
            <w:r>
              <w:rPr>
                <w:rFonts w:ascii="Arial" w:cs="Arial" w:eastAsia="Arial" w:hAnsi="Arial"/>
                <w:sz w:val="18"/>
                <w:szCs w:val="18"/>
                <w:color w:val="auto"/>
                <w:w w:val="98"/>
              </w:rPr>
              <w:t>/s/ Frederick M. Zimmerman</w:t>
            </w:r>
          </w:p>
        </w:tc>
        <w:tc>
          <w:tcPr>
            <w:tcW w:w="5940" w:type="dxa"/>
            <w:vAlign w:val="bottom"/>
          </w:tcPr>
          <w:p>
            <w:pPr>
              <w:ind w:left="2340"/>
              <w:spacing w:after="0"/>
              <w:rPr>
                <w:sz w:val="20"/>
                <w:szCs w:val="20"/>
                <w:color w:val="auto"/>
              </w:rPr>
            </w:pPr>
            <w:r>
              <w:rPr>
                <w:rFonts w:ascii="Arial" w:cs="Arial" w:eastAsia="Arial" w:hAnsi="Arial"/>
                <w:sz w:val="18"/>
                <w:szCs w:val="18"/>
                <w:color w:val="auto"/>
              </w:rPr>
              <w:t>Director</w:t>
            </w:r>
          </w:p>
        </w:tc>
      </w:tr>
      <w:tr>
        <w:trPr>
          <w:trHeight w:val="235"/>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60" w:type="dxa"/>
            <w:vAlign w:val="bottom"/>
            <w:gridSpan w:val="10"/>
          </w:tcPr>
          <w:p>
            <w:pPr>
              <w:ind w:left="220"/>
              <w:spacing w:after="0"/>
              <w:rPr>
                <w:sz w:val="20"/>
                <w:szCs w:val="20"/>
                <w:color w:val="auto"/>
              </w:rPr>
            </w:pPr>
            <w:r>
              <w:rPr>
                <w:rFonts w:ascii="Arial" w:cs="Arial" w:eastAsia="Arial" w:hAnsi="Arial"/>
                <w:sz w:val="18"/>
                <w:szCs w:val="18"/>
                <w:color w:val="auto"/>
              </w:rPr>
              <w:t>Frederick M. Zimmerman</w:t>
            </w:r>
          </w:p>
        </w:tc>
        <w:tc>
          <w:tcPr>
            <w:tcW w:w="5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-2993390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-2993390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color w:val="auto"/>
              </w:rPr>
              <w:t>EXHIBIT</w:t>
            </w:r>
          </w:p>
        </w:tc>
        <w:tc>
          <w:tcPr>
            <w:tcW w:w="568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Arial" w:cs="Arial" w:eastAsia="Arial" w:hAnsi="Arial"/>
                <w:sz w:val="14"/>
                <w:szCs w:val="14"/>
                <w:color w:val="auto"/>
              </w:rPr>
              <w:t>NUMBER</w:t>
            </w:r>
          </w:p>
        </w:tc>
        <w:tc>
          <w:tcPr>
            <w:tcW w:w="5680" w:type="dxa"/>
            <w:vAlign w:val="bottom"/>
          </w:tcPr>
          <w:p>
            <w:pPr>
              <w:ind w:left="3320"/>
              <w:spacing w:after="0"/>
              <w:rPr>
                <w:sz w:val="20"/>
                <w:szCs w:val="20"/>
                <w:color w:val="auto"/>
              </w:rPr>
            </w:pPr>
            <w:r>
              <w:rPr>
                <w:rFonts w:ascii="Arial" w:cs="Arial" w:eastAsia="Arial" w:hAnsi="Arial"/>
                <w:sz w:val="14"/>
                <w:szCs w:val="14"/>
                <w:color w:val="auto"/>
              </w:rPr>
              <w:t>DESCRIPTION</w:t>
            </w:r>
          </w:p>
        </w:tc>
      </w:tr>
      <w:tr>
        <w:trPr>
          <w:trHeight w:val="411"/>
        </w:trPr>
        <w:tc>
          <w:tcPr>
            <w:tcW w:w="940" w:type="dxa"/>
            <w:vAlign w:val="bottom"/>
          </w:tcPr>
          <w:p>
            <w:pPr>
              <w:jc w:val="center"/>
              <w:ind w:right="517"/>
              <w:spacing w:after="0"/>
              <w:rPr>
                <w:sz w:val="20"/>
                <w:szCs w:val="20"/>
                <w:color w:val="auto"/>
              </w:rPr>
            </w:pPr>
            <w:r>
              <w:rPr>
                <w:rFonts w:ascii="Arial" w:cs="Arial" w:eastAsia="Arial" w:hAnsi="Arial"/>
                <w:sz w:val="18"/>
                <w:szCs w:val="18"/>
                <w:color w:val="auto"/>
                <w:w w:val="87"/>
              </w:rPr>
              <w:t>4.1</w:t>
            </w:r>
          </w:p>
        </w:tc>
        <w:tc>
          <w:tcPr>
            <w:tcW w:w="5680" w:type="dxa"/>
            <w:vAlign w:val="bottom"/>
          </w:tcPr>
          <w:p>
            <w:pPr>
              <w:ind w:left="360"/>
              <w:spacing w:after="0"/>
              <w:rPr>
                <w:sz w:val="20"/>
                <w:szCs w:val="20"/>
                <w:color w:val="auto"/>
              </w:rPr>
            </w:pPr>
            <w:r>
              <w:rPr>
                <w:rFonts w:ascii="Arial" w:cs="Arial" w:eastAsia="Arial" w:hAnsi="Arial"/>
                <w:sz w:val="18"/>
                <w:szCs w:val="18"/>
                <w:color w:val="auto"/>
              </w:rPr>
              <w:t>Winnebago Industries, Inc. 2004 Incentive Compensation Plan</w:t>
            </w:r>
          </w:p>
        </w:tc>
      </w:tr>
      <w:tr>
        <w:trPr>
          <w:trHeight w:val="216"/>
        </w:trPr>
        <w:tc>
          <w:tcPr>
            <w:tcW w:w="9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w w:val="95"/>
              </w:rPr>
              <w:t>(incorporated by reference from Appendix B to the Registrant's Notice</w:t>
            </w:r>
          </w:p>
        </w:tc>
      </w:tr>
      <w:tr>
        <w:trPr>
          <w:trHeight w:val="216"/>
        </w:trPr>
        <w:tc>
          <w:tcPr>
            <w:tcW w:w="9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w w:val="89"/>
              </w:rPr>
              <w:t>of Annual Meeting of Shareholders to be Held January 13, 2004 and Proxy</w:t>
            </w:r>
          </w:p>
        </w:tc>
      </w:tr>
      <w:tr>
        <w:trPr>
          <w:trHeight w:val="216"/>
        </w:trPr>
        <w:tc>
          <w:tcPr>
            <w:tcW w:w="94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Statement, filed with the Securities and Exchange Commission on</w:t>
            </w:r>
          </w:p>
        </w:tc>
      </w:tr>
      <w:tr>
        <w:trPr>
          <w:trHeight w:val="222"/>
        </w:trPr>
        <w:tc>
          <w:tcPr>
            <w:tcW w:w="94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November 21, 2003)</w:t>
            </w:r>
          </w:p>
        </w:tc>
      </w:tr>
      <w:tr>
        <w:trPr>
          <w:trHeight w:val="432"/>
        </w:trPr>
        <w:tc>
          <w:tcPr>
            <w:tcW w:w="940" w:type="dxa"/>
            <w:vAlign w:val="bottom"/>
          </w:tcPr>
          <w:p>
            <w:pPr>
              <w:jc w:val="center"/>
              <w:ind w:right="517"/>
              <w:spacing w:after="0"/>
              <w:rPr>
                <w:sz w:val="20"/>
                <w:szCs w:val="20"/>
                <w:color w:val="auto"/>
              </w:rPr>
            </w:pPr>
            <w:r>
              <w:rPr>
                <w:rFonts w:ascii="Arial" w:cs="Arial" w:eastAsia="Arial" w:hAnsi="Arial"/>
                <w:sz w:val="18"/>
                <w:szCs w:val="18"/>
                <w:color w:val="auto"/>
                <w:w w:val="87"/>
              </w:rPr>
              <w:t>5.1</w:t>
            </w:r>
          </w:p>
        </w:tc>
        <w:tc>
          <w:tcPr>
            <w:tcW w:w="5680" w:type="dxa"/>
            <w:vAlign w:val="bottom"/>
          </w:tcPr>
          <w:p>
            <w:pPr>
              <w:ind w:left="360"/>
              <w:spacing w:after="0"/>
              <w:rPr>
                <w:sz w:val="20"/>
                <w:szCs w:val="20"/>
                <w:color w:val="auto"/>
              </w:rPr>
            </w:pPr>
            <w:r>
              <w:rPr>
                <w:rFonts w:ascii="Arial" w:cs="Arial" w:eastAsia="Arial" w:hAnsi="Arial"/>
                <w:sz w:val="18"/>
                <w:szCs w:val="18"/>
                <w:color w:val="auto"/>
              </w:rPr>
              <w:t>Opinion of Chapman and Cutler LLP</w:t>
            </w:r>
          </w:p>
        </w:tc>
      </w:tr>
      <w:tr>
        <w:trPr>
          <w:trHeight w:val="426"/>
        </w:trPr>
        <w:tc>
          <w:tcPr>
            <w:tcW w:w="940" w:type="dxa"/>
            <w:vAlign w:val="bottom"/>
          </w:tcPr>
          <w:p>
            <w:pPr>
              <w:jc w:val="center"/>
              <w:ind w:right="537"/>
              <w:spacing w:after="0"/>
              <w:rPr>
                <w:sz w:val="20"/>
                <w:szCs w:val="20"/>
                <w:color w:val="auto"/>
              </w:rPr>
            </w:pPr>
            <w:r>
              <w:rPr>
                <w:rFonts w:ascii="Arial" w:cs="Arial" w:eastAsia="Arial" w:hAnsi="Arial"/>
                <w:sz w:val="18"/>
                <w:szCs w:val="18"/>
                <w:color w:val="auto"/>
                <w:w w:val="91"/>
              </w:rPr>
              <w:t>15.1</w:t>
            </w:r>
          </w:p>
        </w:tc>
        <w:tc>
          <w:tcPr>
            <w:tcW w:w="5680" w:type="dxa"/>
            <w:vAlign w:val="bottom"/>
          </w:tcPr>
          <w:p>
            <w:pPr>
              <w:ind w:left="360"/>
              <w:spacing w:after="0"/>
              <w:rPr>
                <w:sz w:val="20"/>
                <w:szCs w:val="20"/>
                <w:color w:val="auto"/>
              </w:rPr>
            </w:pPr>
            <w:r>
              <w:rPr>
                <w:rFonts w:ascii="Arial" w:cs="Arial" w:eastAsia="Arial" w:hAnsi="Arial"/>
                <w:sz w:val="18"/>
                <w:szCs w:val="18"/>
                <w:color w:val="auto"/>
                <w:w w:val="90"/>
              </w:rPr>
              <w:t>Letter from Deloitte &amp; Touche LLP Regarding Unaudited Interim Financial</w:t>
            </w:r>
          </w:p>
        </w:tc>
      </w:tr>
      <w:tr>
        <w:trPr>
          <w:trHeight w:val="222"/>
        </w:trPr>
        <w:tc>
          <w:tcPr>
            <w:tcW w:w="94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Information</w:t>
            </w:r>
          </w:p>
        </w:tc>
      </w:tr>
      <w:tr>
        <w:trPr>
          <w:trHeight w:val="432"/>
        </w:trPr>
        <w:tc>
          <w:tcPr>
            <w:tcW w:w="940" w:type="dxa"/>
            <w:vAlign w:val="bottom"/>
          </w:tcPr>
          <w:p>
            <w:pPr>
              <w:jc w:val="center"/>
              <w:ind w:right="537"/>
              <w:spacing w:after="0"/>
              <w:rPr>
                <w:sz w:val="20"/>
                <w:szCs w:val="20"/>
                <w:color w:val="auto"/>
              </w:rPr>
            </w:pPr>
            <w:r>
              <w:rPr>
                <w:rFonts w:ascii="Arial" w:cs="Arial" w:eastAsia="Arial" w:hAnsi="Arial"/>
                <w:sz w:val="18"/>
                <w:szCs w:val="18"/>
                <w:color w:val="auto"/>
                <w:w w:val="91"/>
              </w:rPr>
              <w:t>23.1</w:t>
            </w:r>
          </w:p>
        </w:tc>
        <w:tc>
          <w:tcPr>
            <w:tcW w:w="5680" w:type="dxa"/>
            <w:vAlign w:val="bottom"/>
          </w:tcPr>
          <w:p>
            <w:pPr>
              <w:ind w:left="360"/>
              <w:spacing w:after="0"/>
              <w:rPr>
                <w:sz w:val="20"/>
                <w:szCs w:val="20"/>
                <w:color w:val="auto"/>
              </w:rPr>
            </w:pPr>
            <w:r>
              <w:rPr>
                <w:rFonts w:ascii="Arial" w:cs="Arial" w:eastAsia="Arial" w:hAnsi="Arial"/>
                <w:sz w:val="18"/>
                <w:szCs w:val="18"/>
                <w:color w:val="auto"/>
                <w:w w:val="97"/>
              </w:rPr>
              <w:t>Consent of Chapman and Cutler LLP (included in Exhibit 5.1 hereto)</w:t>
            </w:r>
          </w:p>
        </w:tc>
      </w:tr>
      <w:tr>
        <w:trPr>
          <w:trHeight w:val="432"/>
        </w:trPr>
        <w:tc>
          <w:tcPr>
            <w:tcW w:w="940" w:type="dxa"/>
            <w:vAlign w:val="bottom"/>
          </w:tcPr>
          <w:p>
            <w:pPr>
              <w:jc w:val="center"/>
              <w:ind w:right="537"/>
              <w:spacing w:after="0"/>
              <w:rPr>
                <w:sz w:val="20"/>
                <w:szCs w:val="20"/>
                <w:color w:val="auto"/>
              </w:rPr>
            </w:pPr>
            <w:r>
              <w:rPr>
                <w:rFonts w:ascii="Arial" w:cs="Arial" w:eastAsia="Arial" w:hAnsi="Arial"/>
                <w:sz w:val="18"/>
                <w:szCs w:val="18"/>
                <w:color w:val="auto"/>
                <w:w w:val="91"/>
              </w:rPr>
              <w:t>23.2</w:t>
            </w:r>
          </w:p>
        </w:tc>
        <w:tc>
          <w:tcPr>
            <w:tcW w:w="5680" w:type="dxa"/>
            <w:vAlign w:val="bottom"/>
          </w:tcPr>
          <w:p>
            <w:pPr>
              <w:ind w:left="360"/>
              <w:spacing w:after="0"/>
              <w:rPr>
                <w:sz w:val="20"/>
                <w:szCs w:val="20"/>
                <w:color w:val="auto"/>
              </w:rPr>
            </w:pPr>
            <w:r>
              <w:rPr>
                <w:rFonts w:ascii="Arial" w:cs="Arial" w:eastAsia="Arial" w:hAnsi="Arial"/>
                <w:sz w:val="18"/>
                <w:szCs w:val="18"/>
                <w:color w:val="auto"/>
              </w:rPr>
              <w:t>Consent of Deloitte &amp; Touche LLP</w:t>
            </w:r>
          </w:p>
        </w:tc>
      </w:tr>
      <w:tr>
        <w:trPr>
          <w:trHeight w:val="426"/>
        </w:trPr>
        <w:tc>
          <w:tcPr>
            <w:tcW w:w="940" w:type="dxa"/>
            <w:vAlign w:val="bottom"/>
          </w:tcPr>
          <w:p>
            <w:pPr>
              <w:jc w:val="center"/>
              <w:ind w:right="537"/>
              <w:spacing w:after="0"/>
              <w:rPr>
                <w:sz w:val="20"/>
                <w:szCs w:val="20"/>
                <w:color w:val="auto"/>
              </w:rPr>
            </w:pPr>
            <w:r>
              <w:rPr>
                <w:rFonts w:ascii="Arial" w:cs="Arial" w:eastAsia="Arial" w:hAnsi="Arial"/>
                <w:sz w:val="18"/>
                <w:szCs w:val="18"/>
                <w:color w:val="auto"/>
                <w:w w:val="91"/>
              </w:rPr>
              <w:t>24.1</w:t>
            </w:r>
          </w:p>
        </w:tc>
        <w:tc>
          <w:tcPr>
            <w:tcW w:w="5680" w:type="dxa"/>
            <w:vAlign w:val="bottom"/>
          </w:tcPr>
          <w:p>
            <w:pPr>
              <w:ind w:left="360"/>
              <w:spacing w:after="0"/>
              <w:rPr>
                <w:sz w:val="20"/>
                <w:szCs w:val="20"/>
                <w:color w:val="auto"/>
              </w:rPr>
            </w:pPr>
            <w:r>
              <w:rPr>
                <w:rFonts w:ascii="Arial" w:cs="Arial" w:eastAsia="Arial" w:hAnsi="Arial"/>
                <w:sz w:val="18"/>
                <w:szCs w:val="18"/>
                <w:color w:val="auto"/>
              </w:rPr>
              <w:t>Power of Attorney (included on Page II-5 of this Registration</w:t>
            </w:r>
          </w:p>
        </w:tc>
      </w:tr>
      <w:tr>
        <w:trPr>
          <w:trHeight w:val="222"/>
        </w:trPr>
        <w:tc>
          <w:tcPr>
            <w:tcW w:w="94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Statement)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35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2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  Winnebago Industries, Inc.</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Form S-8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acted as special counsel for Winnebago Industries, Inc. (</w:t>
      </w:r>
      <w:r>
        <w:rPr>
          <w:rFonts w:ascii="Arial" w:cs="Arial" w:eastAsia="Arial" w:hAnsi="Arial"/>
          <w:sz w:val="18"/>
          <w:szCs w:val="18"/>
          <w:i w:val="1"/>
          <w:iCs w:val="1"/>
          <w:color w:val="auto"/>
        </w:rPr>
        <w:t>“WINNEBAGO”</w:t>
      </w:r>
      <w:r>
        <w:rPr>
          <w:rFonts w:ascii="Arial" w:cs="Arial" w:eastAsia="Arial" w:hAnsi="Arial"/>
          <w:sz w:val="18"/>
          <w:szCs w:val="18"/>
          <w:color w:val="auto"/>
        </w:rPr>
        <w:t xml:space="preserve">), in connection with the registration statement on Form S-8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of Winnebago which is being filed with the Securities and Exchange Commission on March 3, 2004 covering up to 2,000,000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Winnebago’s Common Stock, $.50 par value (the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issuable to eligible participants in the Winnebago Industries, Inc. 2004 Incentive Compensation Plan (the </w:t>
      </w:r>
      <w:r>
        <w:rPr>
          <w:rFonts w:ascii="Arial" w:cs="Arial" w:eastAsia="Arial" w:hAnsi="Arial"/>
          <w:sz w:val="18"/>
          <w:szCs w:val="18"/>
          <w:i w:val="1"/>
          <w:iCs w:val="1"/>
          <w:color w:val="auto"/>
        </w:rPr>
        <w:t>“2004 Incentive Plan”</w:t>
      </w:r>
      <w:r>
        <w:rPr>
          <w:rFonts w:ascii="Arial" w:cs="Arial" w:eastAsia="Arial" w:hAnsi="Arial"/>
          <w:sz w:val="18"/>
          <w:szCs w:val="18"/>
          <w:color w:val="auto"/>
        </w:rPr>
        <w:t>).</w:t>
      </w:r>
    </w:p>
    <w:p>
      <w:pPr>
        <w:spacing w:after="0" w:line="197"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such counsel, we have examined the Articles of Incorporation and By-laws of Winnebago, the 2004 Incentive Plan, the Registration Statement and such other corporate documents and records and have made such other inquiries as we have deemed necessary or advisable in order to enable us to render the opinions hereinafter set forth.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the foregoing, we are of the opinion that:</w:t>
      </w:r>
    </w:p>
    <w:p>
      <w:pPr>
        <w:spacing w:after="0" w:line="225" w:lineRule="exact"/>
        <w:rPr>
          <w:sz w:val="20"/>
          <w:szCs w:val="20"/>
          <w:color w:val="auto"/>
        </w:rPr>
      </w:pPr>
    </w:p>
    <w:p>
      <w:pPr>
        <w:jc w:val="both"/>
        <w:ind w:left="580" w:right="20" w:firstLine="360"/>
        <w:spacing w:after="0" w:line="370" w:lineRule="auto"/>
        <w:tabs>
          <w:tab w:leader="none" w:pos="1414"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shares of Common Stock when sold, issued and delivered in the manner and for consideration pursuant to the 2004 Incentive Plan and as contemplated by the Registration Statement will be validly issued and outstanding, fully paid and non-assessable shares of Common Stock of Winnebago.</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hereby consent to the filing of this opinion as an exhibit to the Registration Statement.</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/s/ Chapman and Cutler LLP</w:t>
      </w:r>
    </w:p>
    <w:p>
      <w:pPr>
        <w:sectPr>
          <w:pgSz w:w="11900" w:h="16838" w:orient="portrait"/>
          <w:cols w:equalWidth="0" w:num="1">
            <w:col w:w="11420"/>
          </w:cols>
          <w:pgMar w:left="240" w:top="13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have performed a review, in accordance with standards established by the American Institute of Certified Public Accountants, of the unaudited interim financial information of Winnebago Industries, Inc. and subsidiaries for the periods ended November 29, 2003 and November 30, 2002 as indicated in our report dated December 30, 2003; because we did not perform an audit, we express no opinion on that information.</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aware that our reports referred to above, which were included in your Quarterly Report on Form 10-Q for the quarter ended November 29, 2003 and November 30, 2002, are incorporated by reference in this Registration Statement.</w:t>
      </w:r>
    </w:p>
    <w:p>
      <w:pPr>
        <w:spacing w:after="0" w:line="186" w:lineRule="exact"/>
        <w:rPr>
          <w:sz w:val="20"/>
          <w:szCs w:val="20"/>
          <w:color w:val="auto"/>
        </w:rPr>
      </w:pPr>
    </w:p>
    <w:p>
      <w:pPr>
        <w:ind w:right="480" w:firstLine="348"/>
        <w:spacing w:after="0" w:line="370" w:lineRule="auto"/>
        <w:rPr>
          <w:sz w:val="20"/>
          <w:szCs w:val="20"/>
          <w:color w:val="auto"/>
        </w:rPr>
      </w:pPr>
      <w:r>
        <w:rPr>
          <w:rFonts w:ascii="Arial" w:cs="Arial" w:eastAsia="Arial" w:hAnsi="Arial"/>
          <w:sz w:val="15"/>
          <w:szCs w:val="15"/>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p>
      <w:pPr>
        <w:sectPr>
          <w:pgSz w:w="11900" w:h="16838" w:orient="portrait"/>
          <w:cols w:equalWidth="0" w:num="1">
            <w:col w:w="11420"/>
          </w:cols>
          <w:pgMar w:left="240" w:top="13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AUDITORS’ CONSENT</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consent to the incorporation by reference in this Registration Statement of Winnebago Industries, Inc. on Form S-8 of our report dated November 21, 2003, appearing in the Annual Report on Form 10-K of Winnebago Industries, Inc. for the year ended August 30,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12"/>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2019-12-11T19:24:21Z</dcterms:created>
  <dcterms:modified xsi:type="dcterms:W3CDTF">2019-12-11T19:24:21Z</dcterms:modified>
</cp:coreProperties>
</file>