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June 25,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863600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177800</wp:posOffset>
            </wp:positionV>
            <wp:extent cx="326707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84"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45"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Winnebago Industries, Inc. is filing herewith a press release issued on June 25, 2015, as Exhibit 99.1 which is incorporated by reference herein. The press release was issued to report earnings for the third quarter Fiscal 2015 ended May 30, 2015.</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7.01 Regulation FD Disclosure; 8.01 Other Events.</w:t>
      </w:r>
    </w:p>
    <w:p>
      <w:pPr>
        <w:spacing w:after="0" w:line="245"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Winnebago Industries, Inc. (Winnebago Industries) is filing herewith a press release issued on June 25, 2015, as Exhibit 99.1 which is included herein. The press release was issued to report that on June 17, 2015, the Board of Winnebago Industries, Inc. approved a quarterly cash dividend of $0.09 per share of common stock, payable on August 5, 2015 to shareholders of record at the close of business on July 22, 2015.</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18"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6"/>
          <w:szCs w:val="16"/>
          <w:b w:val="1"/>
          <w:bCs w:val="1"/>
          <w:color w:val="auto"/>
        </w:rPr>
        <w:t>Number</w:t>
        <w:tab/>
        <w:t>Description</w:t>
      </w:r>
    </w:p>
    <w:p>
      <w:pPr>
        <w:spacing w:after="0" w:line="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Press release of Winnebago Industries, Inc. dated June 25, 2015.</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SIGNATURES</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p>
      <w:pPr>
        <w:spacing w:after="0" w:line="80"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(Registrant)</w:t>
      </w:r>
    </w:p>
    <w:p>
      <w:pPr>
        <w:spacing w:after="0" w:line="353" w:lineRule="exact"/>
        <w:rPr>
          <w:sz w:val="20"/>
          <w:szCs w:val="20"/>
          <w:color w:val="auto"/>
        </w:rPr>
      </w:pPr>
    </w:p>
    <w:p>
      <w:pPr>
        <w:ind w:left="40"/>
        <w:spacing w:after="0"/>
        <w:tabs>
          <w:tab w:leader="none" w:pos="600" w:val="left"/>
          <w:tab w:leader="none" w:pos="3440" w:val="left"/>
          <w:tab w:leader="none" w:pos="4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8"/>
          <w:szCs w:val="18"/>
          <w:color w:val="auto"/>
        </w:rPr>
        <w:t>June 25, 2015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14605</wp:posOffset>
            </wp:positionV>
            <wp:extent cx="31299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59" w:lineRule="exact"/>
        <w:rPr>
          <w:sz w:val="20"/>
          <w:szCs w:val="20"/>
          <w:color w:val="auto"/>
        </w:rPr>
      </w:pPr>
    </w:p>
    <w:p>
      <w:pPr>
        <w:ind w:left="3460"/>
        <w:spacing w:after="0"/>
        <w:tabs>
          <w:tab w:leader="none" w:pos="4100" w:val="left"/>
        </w:tabs>
        <w:rPr>
          <w:sz w:val="20"/>
          <w:szCs w:val="20"/>
          <w:color w:val="auto"/>
        </w:rPr>
      </w:pPr>
      <w:r>
        <w:rPr>
          <w:rFonts w:ascii="Arial" w:cs="Arial" w:eastAsia="Arial" w:hAnsi="Arial"/>
          <w:sz w:val="16"/>
          <w:szCs w:val="16"/>
          <w:color w:val="auto"/>
        </w:rPr>
        <w:t>Name:</w:t>
        <w:tab/>
        <w:t>Randy J. Potts</w:t>
      </w:r>
    </w:p>
    <w:p>
      <w:pPr>
        <w:spacing w:after="0" w:line="86" w:lineRule="exact"/>
        <w:rPr>
          <w:sz w:val="20"/>
          <w:szCs w:val="20"/>
          <w:color w:val="auto"/>
        </w:rPr>
      </w:pPr>
    </w:p>
    <w:p>
      <w:pPr>
        <w:ind w:left="3460"/>
        <w:spacing w:after="0"/>
        <w:tabs>
          <w:tab w:leader="none" w:pos="410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Chairman of the Board, Chief Executive Officer and President</w:t>
      </w:r>
    </w:p>
    <w:p>
      <w:pPr>
        <w:sectPr>
          <w:pgSz w:w="11900" w:h="16838" w:orient="portrait"/>
          <w:cols w:equalWidth="0" w:num="1">
            <w:col w:w="11220"/>
          </w:cols>
          <w:pgMar w:left="240" w:top="571" w:right="439" w:bottom="1440" w:gutter="0" w:footer="0" w:header="0"/>
        </w:sectPr>
      </w:pPr>
    </w:p>
    <w:bookmarkStart w:id="2" w:name="page3"/>
    <w:bookmarkEnd w:id="2"/>
    <w:p>
      <w:pPr>
        <w:ind w:left="5460"/>
        <w:spacing w:after="0"/>
        <w:rPr>
          <w:sz w:val="20"/>
          <w:szCs w:val="20"/>
          <w:color w:val="auto"/>
        </w:rPr>
      </w:pPr>
      <w:r>
        <w:rPr>
          <w:rFonts w:ascii="Arial" w:cs="Arial" w:eastAsia="Arial" w:hAnsi="Arial"/>
          <w:sz w:val="63"/>
          <w:szCs w:val="6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-389255</wp:posOffset>
            </wp:positionV>
            <wp:extent cx="2306955" cy="3346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06955" cy="33464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Contact: Samantha Dugan - Investor Relations - 641-585-6160 - sdugan@wgo.net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Media Contact: Sam Jefson - Public Relations Specialist - 641-585-6803 - sjefson@wgo.net</w:t>
      </w:r>
    </w:p>
    <w:p>
      <w:pPr>
        <w:spacing w:after="0" w:line="377" w:lineRule="exact"/>
        <w:rPr>
          <w:sz w:val="20"/>
          <w:szCs w:val="20"/>
          <w:color w:val="auto"/>
        </w:rPr>
      </w:pPr>
    </w:p>
    <w:p>
      <w:pPr>
        <w:jc w:val="center"/>
        <w:ind w:left="280" w:right="2500"/>
        <w:spacing w:after="0" w:line="372" w:lineRule="auto"/>
        <w:rPr>
          <w:sz w:val="20"/>
          <w:szCs w:val="20"/>
          <w:color w:val="auto"/>
        </w:rPr>
      </w:pPr>
      <w:r>
        <w:rPr>
          <w:rFonts w:ascii="Arial" w:cs="Arial" w:eastAsia="Arial" w:hAnsi="Arial"/>
          <w:sz w:val="16"/>
          <w:szCs w:val="16"/>
          <w:b w:val="1"/>
          <w:bCs w:val="1"/>
          <w:color w:val="auto"/>
        </w:rPr>
        <w:t>WINNEBAGO INDUSTRIES ANNOUNCES THIRD QUARTER FISCAL 2015 RESULTS - Strong Quarterly Operating Cash Flow Generation of $52.6 Million - -- Board of Directors Approve Quarterly Cash Dividend of $0.09 Per Share --</w:t>
      </w:r>
    </w:p>
    <w:p>
      <w:pPr>
        <w:spacing w:after="0" w:line="285" w:lineRule="exact"/>
        <w:rPr>
          <w:sz w:val="20"/>
          <w:szCs w:val="20"/>
          <w:color w:val="auto"/>
        </w:rPr>
      </w:pPr>
    </w:p>
    <w:p>
      <w:pPr>
        <w:ind w:right="400"/>
        <w:spacing w:after="0" w:line="366" w:lineRule="auto"/>
        <w:rPr>
          <w:sz w:val="20"/>
          <w:szCs w:val="20"/>
          <w:color w:val="auto"/>
        </w:rPr>
      </w:pPr>
      <w:r>
        <w:rPr>
          <w:rFonts w:ascii="Arial" w:cs="Arial" w:eastAsia="Arial" w:hAnsi="Arial"/>
          <w:sz w:val="16"/>
          <w:szCs w:val="16"/>
          <w:color w:val="auto"/>
        </w:rPr>
        <w:t>FOREST CITY, IOWA, June 25, 2015 - Winnebago Industries, Inc. (NYSE:WGO), a leading United States recreation vehicle manufacturer, today reported financial results for the Company's third quarter of Fiscal 2015.</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Third Quarter Fiscal 2015 Results</w:t>
      </w:r>
    </w:p>
    <w:p>
      <w:pPr>
        <w:spacing w:after="0" w:line="86" w:lineRule="exact"/>
        <w:rPr>
          <w:sz w:val="20"/>
          <w:szCs w:val="20"/>
          <w:color w:val="auto"/>
        </w:rPr>
      </w:pPr>
    </w:p>
    <w:p>
      <w:pPr>
        <w:ind w:right="120"/>
        <w:spacing w:after="0" w:line="359" w:lineRule="auto"/>
        <w:rPr>
          <w:sz w:val="20"/>
          <w:szCs w:val="20"/>
          <w:color w:val="auto"/>
        </w:rPr>
      </w:pPr>
      <w:r>
        <w:rPr>
          <w:rFonts w:ascii="Arial" w:cs="Arial" w:eastAsia="Arial" w:hAnsi="Arial"/>
          <w:sz w:val="16"/>
          <w:szCs w:val="16"/>
          <w:color w:val="auto"/>
        </w:rPr>
        <w:t>Revenues for the Fiscal 2015 third quarter ended May 30, 2015, were $266.5 million, an increase of 7.6%, versus $247.7 million for the Fiscal 2014 period. Operating income was $16.1 million for the current quarter compared to $15.6 million in the third quarter of last year. Fiscal 2015 third quarter net income was $11.5 million, or $0.43 per diluted share, versus $11.4 million, or $0.42 per diluted share, in the same period last year.</w:t>
      </w:r>
    </w:p>
    <w:p>
      <w:pPr>
        <w:spacing w:after="0" w:line="255" w:lineRule="exact"/>
        <w:rPr>
          <w:sz w:val="20"/>
          <w:szCs w:val="20"/>
          <w:color w:val="auto"/>
        </w:rPr>
      </w:pPr>
    </w:p>
    <w:p>
      <w:pPr>
        <w:ind w:right="100"/>
        <w:spacing w:after="0" w:line="355" w:lineRule="auto"/>
        <w:rPr>
          <w:sz w:val="20"/>
          <w:szCs w:val="20"/>
          <w:color w:val="auto"/>
        </w:rPr>
      </w:pPr>
      <w:r>
        <w:rPr>
          <w:rFonts w:ascii="Arial" w:cs="Arial" w:eastAsia="Arial" w:hAnsi="Arial"/>
          <w:sz w:val="16"/>
          <w:szCs w:val="16"/>
          <w:color w:val="auto"/>
        </w:rPr>
        <w:t>Gross margin improved on a sequential quarter basis as motorized manufacturing inefficiencies moderated. However, on a year-over-year basis gross margin was slightly lower, a result of costs related to inefficiencies, partly offset by improved towable results. Operating expenses increased in the third quarter of Fiscal 2015 compared to the third quarter of Fiscal 2014 and included $0.8 million of incremental general and administrative expenses associated with two previously disclosed strategic initiatives related to Enterprise Resource Planning (ERP) implementation and strategic sourcing, as well as $0.5 million for the impairment of fixed assets in relation to the Company’s corporate plane, which is being held for sale. Additionally, the Fiscal 2014 third quarter included a gain on life insurance of $0.7 million.</w:t>
      </w:r>
    </w:p>
    <w:p>
      <w:pPr>
        <w:spacing w:after="0" w:line="258" w:lineRule="exact"/>
        <w:rPr>
          <w:sz w:val="20"/>
          <w:szCs w:val="20"/>
          <w:color w:val="auto"/>
        </w:rPr>
      </w:pPr>
    </w:p>
    <w:p>
      <w:pPr>
        <w:spacing w:after="0" w:line="355" w:lineRule="auto"/>
        <w:rPr>
          <w:sz w:val="20"/>
          <w:szCs w:val="20"/>
          <w:color w:val="auto"/>
        </w:rPr>
      </w:pPr>
      <w:r>
        <w:rPr>
          <w:rFonts w:ascii="Arial" w:cs="Arial" w:eastAsia="Arial" w:hAnsi="Arial"/>
          <w:sz w:val="16"/>
          <w:szCs w:val="16"/>
          <w:color w:val="auto"/>
        </w:rPr>
        <w:t>Compared to the same period of last year, motorhome revenues increased 7.4% in the Fiscal 2015 third quarter, primarily a result of motorhome unit shipment growth of 11.4%, partly offset by lower average selling price (ASP) of 3.1%. In the Fiscal 2015 period, motorized unit volume growth was partly attributable to a greater level of units recognized as revenue from the Apollo rental program compared to the Fiscal 2014 third quarter, as the 2015 rental program did not impose a repurchase obligation on Winnebago. In the Fiscal 2014 third quarter, a majority of the Apollo rental units were recognized as operating leases due to the repurchase obligation. Year over year, in the Fiscal 2015 third quarter, towable revenue grew 15.9%, comprised of a 12.4% increase in ASP and 2.1% growth in unit shipments.</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First Nine Months Fiscal 2015 Results</w:t>
      </w:r>
    </w:p>
    <w:p>
      <w:pPr>
        <w:spacing w:after="0" w:line="86" w:lineRule="exact"/>
        <w:rPr>
          <w:sz w:val="20"/>
          <w:szCs w:val="20"/>
          <w:color w:val="auto"/>
        </w:rPr>
      </w:pPr>
    </w:p>
    <w:p>
      <w:pPr>
        <w:ind w:right="40"/>
        <w:spacing w:after="0" w:line="355" w:lineRule="auto"/>
        <w:rPr>
          <w:sz w:val="20"/>
          <w:szCs w:val="20"/>
          <w:color w:val="auto"/>
        </w:rPr>
      </w:pPr>
      <w:r>
        <w:rPr>
          <w:rFonts w:ascii="Arial" w:cs="Arial" w:eastAsia="Arial" w:hAnsi="Arial"/>
          <w:sz w:val="16"/>
          <w:szCs w:val="16"/>
          <w:color w:val="auto"/>
        </w:rPr>
        <w:t>Revenues for the first nine months of Fiscal 2015 were $725.5 million, an increase of 3.8%, from $699.2 million for the same period of Fiscal 2014. The sales growth was primarily comprised of motorhome unit growth of 5.3% and towable ASP and unit growth of 11.6% and 6.0%, respectively. Net income in the Fiscal 2015 first nine months was $29.5 million, or $1.09 per diluted share, versus $32.1 million, or $1.16 per diluted share, last year. Winnebago motorhome retail registrations increased 12% on a trailing 12-month basis, while Winnebago towable retail registrations increased 8% on a trailing 12-month basis, based on internally reported retail information.</w:t>
      </w:r>
    </w:p>
    <w:p>
      <w:pPr>
        <w:sectPr>
          <w:pgSz w:w="11900" w:h="16838" w:orient="portrait"/>
          <w:cols w:equalWidth="0" w:num="1">
            <w:col w:w="11400"/>
          </w:cols>
          <w:pgMar w:left="240" w:top="799" w:right="25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auto"/>
        </w:rPr>
        <w:t>Quarterly Cash Dividend</w:t>
      </w:r>
    </w:p>
    <w:p>
      <w:pPr>
        <w:spacing w:after="0" w:line="86" w:lineRule="exact"/>
        <w:rPr>
          <w:sz w:val="20"/>
          <w:szCs w:val="20"/>
          <w:color w:val="auto"/>
        </w:rPr>
      </w:pPr>
    </w:p>
    <w:p>
      <w:pPr>
        <w:ind w:right="880"/>
        <w:spacing w:after="0" w:line="366" w:lineRule="auto"/>
        <w:rPr>
          <w:sz w:val="20"/>
          <w:szCs w:val="20"/>
          <w:color w:val="auto"/>
        </w:rPr>
      </w:pPr>
      <w:r>
        <w:rPr>
          <w:rFonts w:ascii="Arial" w:cs="Arial" w:eastAsia="Arial" w:hAnsi="Arial"/>
          <w:sz w:val="16"/>
          <w:szCs w:val="16"/>
          <w:color w:val="auto"/>
        </w:rPr>
        <w:t>On June 17, 2015, the Company’s board of directors approved a quarterly cash dividend of $0.09 per share payable on August 5, 2015 to common stockholders of record at the close of business on July 22, 2015.</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Management Comments</w:t>
      </w:r>
    </w:p>
    <w:p>
      <w:pPr>
        <w:spacing w:after="0" w:line="86" w:lineRule="exact"/>
        <w:rPr>
          <w:sz w:val="20"/>
          <w:szCs w:val="20"/>
          <w:color w:val="auto"/>
        </w:rPr>
      </w:pPr>
    </w:p>
    <w:p>
      <w:pPr>
        <w:ind w:right="20"/>
        <w:spacing w:after="0" w:line="355" w:lineRule="auto"/>
        <w:rPr>
          <w:sz w:val="20"/>
          <w:szCs w:val="20"/>
          <w:color w:val="auto"/>
        </w:rPr>
      </w:pPr>
      <w:r>
        <w:rPr>
          <w:rFonts w:ascii="Arial" w:cs="Arial" w:eastAsia="Arial" w:hAnsi="Arial"/>
          <w:sz w:val="16"/>
          <w:szCs w:val="16"/>
          <w:color w:val="auto"/>
        </w:rPr>
        <w:t>Chairman, CEO and President Randy Potts commented, “Year over year, third quarter results came in quite strong, despite costs related to our two strategic initiatives, an impairment charge and the absence of the life insurance gain from last year. Our continued investment in an ERP system and strategic sourcing project are progressing on schedule, and while they have an impact on our near-term earnings, we anticipate they will benefit us in the future through improved efficiencies. We also made additional investments to expand motorized capacity through the purchase of a facility in Waverly, Iowa. In addition, to further our commitment to our towables business, we purchased our previously leased towables assembly facilities in Middlebury, Indiana.</w:t>
      </w:r>
    </w:p>
    <w:p>
      <w:pPr>
        <w:spacing w:after="0" w:line="260" w:lineRule="exact"/>
        <w:rPr>
          <w:sz w:val="20"/>
          <w:szCs w:val="20"/>
          <w:color w:val="auto"/>
        </w:rPr>
      </w:pPr>
    </w:p>
    <w:p>
      <w:pPr>
        <w:ind w:right="140"/>
        <w:spacing w:after="0" w:line="355" w:lineRule="auto"/>
        <w:rPr>
          <w:sz w:val="20"/>
          <w:szCs w:val="20"/>
          <w:color w:val="auto"/>
        </w:rPr>
      </w:pPr>
      <w:r>
        <w:rPr>
          <w:rFonts w:ascii="Arial" w:cs="Arial" w:eastAsia="Arial" w:hAnsi="Arial"/>
          <w:sz w:val="16"/>
          <w:szCs w:val="16"/>
          <w:color w:val="auto"/>
        </w:rPr>
        <w:t>“We are pleased with growth of 11% in our motorized bookings over the trailing twelve months, which is aligned with our retail registration growth over the same period. We are also pleased with the continued impressive performance by our towables group where we experienced six consecutive quarters of profitability, including growth in both revenues and operating income. With our lineup of industry leading recreation vehicles, coupled with favorable consumer demand and RVIA’s current projection for further industry growth through calendar 2016, we believe we are well positioned to generate improved financial results.”</w:t>
      </w:r>
    </w:p>
    <w:p>
      <w:pPr>
        <w:spacing w:after="0" w:line="260" w:lineRule="exact"/>
        <w:rPr>
          <w:sz w:val="20"/>
          <w:szCs w:val="20"/>
          <w:color w:val="auto"/>
        </w:rPr>
      </w:pPr>
    </w:p>
    <w:p>
      <w:pPr>
        <w:ind w:right="100"/>
        <w:spacing w:after="0" w:line="355" w:lineRule="auto"/>
        <w:rPr>
          <w:sz w:val="20"/>
          <w:szCs w:val="20"/>
          <w:color w:val="auto"/>
        </w:rPr>
      </w:pPr>
      <w:r>
        <w:rPr>
          <w:rFonts w:ascii="Arial" w:cs="Arial" w:eastAsia="Arial" w:hAnsi="Arial"/>
          <w:sz w:val="16"/>
          <w:szCs w:val="16"/>
          <w:color w:val="auto"/>
        </w:rPr>
        <w:t>Chief Financial Officer Sarah Nielsen added, “By using $34 million of cash from operations in the first six months of Fiscal 2015, primarily through investments in inventory and receivables, we were able to generate strong operating cash flow of $52.6 million in the third quarter resulting in cash provided by operating activities of $18.6 million year to date compared to $10.2 million this time last year. Meanwhile, notwithstanding $9.0 million of capital expenditures during the third quarter largely attributable to the purchase of facilities in Indiana and Iowa, we ended the quarter with no debt and a cash position of $49.2 million. We remain on target for planned capital expenditures of $15 to $20 million for this fiscal year.”</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Conference Call</w:t>
      </w:r>
    </w:p>
    <w:p>
      <w:pPr>
        <w:spacing w:after="0" w:line="86" w:lineRule="exact"/>
        <w:rPr>
          <w:sz w:val="20"/>
          <w:szCs w:val="20"/>
          <w:color w:val="auto"/>
        </w:rPr>
      </w:pPr>
    </w:p>
    <w:p>
      <w:pPr>
        <w:spacing w:after="0" w:line="359" w:lineRule="auto"/>
        <w:rPr>
          <w:sz w:val="20"/>
          <w:szCs w:val="20"/>
          <w:color w:val="auto"/>
        </w:rPr>
      </w:pPr>
      <w:r>
        <w:rPr>
          <w:rFonts w:ascii="Arial" w:cs="Arial" w:eastAsia="Arial" w:hAnsi="Arial"/>
          <w:sz w:val="16"/>
          <w:szCs w:val="16"/>
          <w:color w:val="auto"/>
        </w:rPr>
        <w:t xml:space="preserve">Winnebago Industries, Inc. will conduct a conference call to discuss third quarter Fiscal 2015 results at 9 a.m. Central Time today. Members of the news media, investors and the general public are invited to access a live broadcast of the conference call via the Investor Relations page of the Company's website at </w:t>
      </w:r>
      <w:r>
        <w:rPr>
          <w:rFonts w:ascii="Arial" w:cs="Arial" w:eastAsia="Arial" w:hAnsi="Arial"/>
          <w:sz w:val="16"/>
          <w:szCs w:val="16"/>
          <w:u w:val="single" w:color="auto"/>
          <w:color w:val="auto"/>
        </w:rPr>
        <w:t>http://investor.wgo.net</w:t>
      </w:r>
      <w:r>
        <w:rPr>
          <w:rFonts w:ascii="Arial" w:cs="Arial" w:eastAsia="Arial" w:hAnsi="Arial"/>
          <w:sz w:val="16"/>
          <w:szCs w:val="16"/>
          <w:color w:val="auto"/>
        </w:rPr>
        <w:t>. The event will be archived and available for replay for the next 90 days.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40" w:lineRule="exact"/>
        <w:rPr>
          <w:sz w:val="20"/>
          <w:szCs w:val="20"/>
          <w:color w:val="auto"/>
        </w:rPr>
      </w:pPr>
    </w:p>
    <w:p>
      <w:pPr>
        <w:ind w:right="60"/>
        <w:spacing w:after="0" w:line="345" w:lineRule="auto"/>
        <w:rPr>
          <w:sz w:val="20"/>
          <w:szCs w:val="20"/>
          <w:color w:val="auto"/>
        </w:rPr>
      </w:pPr>
      <w:r>
        <w:rPr>
          <w:rFonts w:ascii="Arial" w:cs="Arial" w:eastAsia="Arial" w:hAnsi="Arial"/>
          <w:sz w:val="16"/>
          <w:szCs w:val="16"/>
          <w:color w:val="auto"/>
        </w:rPr>
        <w:t>Winnebago Industries, Inc., "The Most Recognized Name in Motor Homes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is a leading U.S. manufacturer of recreation vehicles, which are used primarily in leisure travel and outdoor recreation activities. The Company builds quality motorhomes, travel trailers, fifth wheel products, and transit buses. Winnebago Industries has received the Quality Circle Award from the Recreation Vehicle Dealers Association every year since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6"/>
          <w:szCs w:val="16"/>
          <w:u w:val="single" w:color="auto"/>
          <w:color w:val="auto"/>
        </w:rPr>
        <w:t>http://www.wgo.net/investor.html</w:t>
      </w:r>
      <w:r>
        <w:rPr>
          <w:rFonts w:ascii="Arial" w:cs="Arial" w:eastAsia="Arial" w:hAnsi="Arial"/>
          <w:sz w:val="16"/>
          <w:szCs w:val="16"/>
          <w:color w:val="auto"/>
        </w:rPr>
        <w:t>.</w:t>
      </w:r>
    </w:p>
    <w:p>
      <w:pPr>
        <w:spacing w:after="0" w:line="267" w:lineRule="exact"/>
        <w:rPr>
          <w:sz w:val="20"/>
          <w:szCs w:val="20"/>
          <w:color w:val="auto"/>
        </w:rPr>
      </w:pPr>
    </w:p>
    <w:p>
      <w:pPr>
        <w:ind w:right="100"/>
        <w:spacing w:after="0" w:line="356"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w:t>
      </w:r>
    </w:p>
    <w:p>
      <w:pPr>
        <w:sectPr>
          <w:pgSz w:w="11900" w:h="16838" w:orient="portrait"/>
          <w:cols w:equalWidth="0" w:num="1">
            <w:col w:w="11400"/>
          </w:cols>
          <w:pgMar w:left="240" w:top="641" w:right="259" w:bottom="1440" w:gutter="0" w:footer="0" w:header="0"/>
        </w:sectPr>
      </w:pPr>
    </w:p>
    <w:bookmarkStart w:id="4" w:name="page5"/>
    <w:bookmarkEnd w:id="4"/>
    <w:p>
      <w:pPr>
        <w:spacing w:after="0" w:line="352" w:lineRule="auto"/>
        <w:rPr>
          <w:sz w:val="20"/>
          <w:szCs w:val="20"/>
          <w:color w:val="auto"/>
        </w:rPr>
      </w:pPr>
      <w:r>
        <w:rPr>
          <w:rFonts w:ascii="Arial" w:cs="Arial" w:eastAsia="Arial" w:hAnsi="Arial"/>
          <w:sz w:val="16"/>
          <w:szCs w:val="16"/>
          <w:color w:val="auto"/>
        </w:rPr>
        <w:t>chassis and other key component parts, sales order cancellations, slower than anticipated sales of new or existing products, new product introductions by competitors, the effect of global tensions, integration of operations relating to merger and acquisition activities, unexpected expenses related to ERP and Strategic Sourcing projects, compliance with environmental or other regulatory requirements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 # #</w:t>
      </w:r>
    </w:p>
    <w:p>
      <w:pPr>
        <w:sectPr>
          <w:pgSz w:w="11900" w:h="16838" w:orient="portrait"/>
          <w:cols w:equalWidth="0" w:num="1">
            <w:col w:w="11260"/>
          </w:cols>
          <w:pgMar w:left="240" w:top="641" w:right="3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percent and per share data)</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Quarter Ended</w:t>
            </w: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4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3"/>
          </w:tcPr>
          <w:p>
            <w:pPr>
              <w:ind w:left="760"/>
              <w:spacing w:after="0"/>
              <w:rPr>
                <w:sz w:val="20"/>
                <w:szCs w:val="20"/>
                <w:color w:val="auto"/>
              </w:rPr>
            </w:pPr>
            <w:r>
              <w:rPr>
                <w:rFonts w:ascii="Arial" w:cs="Arial" w:eastAsia="Arial" w:hAnsi="Arial"/>
                <w:sz w:val="16"/>
                <w:szCs w:val="16"/>
                <w:b w:val="1"/>
                <w:bCs w:val="1"/>
                <w:color w:val="auto"/>
              </w:rPr>
              <w:t>May 30, 2015</w:t>
            </w:r>
          </w:p>
        </w:tc>
        <w:tc>
          <w:tcPr>
            <w:tcW w:w="980" w:type="dxa"/>
            <w:vAlign w:val="bottom"/>
            <w:tcBorders>
              <w:bottom w:val="single" w:sz="8" w:color="auto"/>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3"/>
          </w:tcPr>
          <w:p>
            <w:pPr>
              <w:ind w:left="660"/>
              <w:spacing w:after="0"/>
              <w:rPr>
                <w:sz w:val="20"/>
                <w:szCs w:val="20"/>
                <w:color w:val="auto"/>
              </w:rPr>
            </w:pPr>
            <w:r>
              <w:rPr>
                <w:rFonts w:ascii="Arial" w:cs="Arial" w:eastAsia="Arial" w:hAnsi="Arial"/>
                <w:sz w:val="16"/>
                <w:szCs w:val="16"/>
                <w:b w:val="1"/>
                <w:bCs w:val="1"/>
                <w:color w:val="auto"/>
              </w:rPr>
              <w:t>May 31, 2014</w:t>
            </w: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266,510</w:t>
            </w:r>
          </w:p>
        </w:tc>
        <w:tc>
          <w:tcPr>
            <w:tcW w:w="3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4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247,747</w:t>
            </w:r>
          </w:p>
        </w:tc>
        <w:tc>
          <w:tcPr>
            <w:tcW w:w="3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64"/>
        </w:trPr>
        <w:tc>
          <w:tcPr>
            <w:tcW w:w="44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238,327</w:t>
            </w:r>
          </w:p>
        </w:tc>
        <w:tc>
          <w:tcPr>
            <w:tcW w:w="3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89.4%</w:t>
            </w:r>
          </w:p>
        </w:tc>
        <w:tc>
          <w:tcPr>
            <w:tcW w:w="4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221,266</w:t>
            </w:r>
          </w:p>
        </w:tc>
        <w:tc>
          <w:tcPr>
            <w:tcW w:w="34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89.3%</w:t>
            </w:r>
          </w:p>
        </w:tc>
        <w:tc>
          <w:tcPr>
            <w:tcW w:w="0" w:type="dxa"/>
            <w:vAlign w:val="bottom"/>
          </w:tcPr>
          <w:p>
            <w:pPr>
              <w:spacing w:after="0"/>
              <w:rPr>
                <w:sz w:val="1"/>
                <w:szCs w:val="1"/>
                <w:color w:val="auto"/>
              </w:rPr>
            </w:pPr>
          </w:p>
        </w:tc>
      </w:tr>
      <w:tr>
        <w:trPr>
          <w:trHeight w:val="257"/>
        </w:trPr>
        <w:tc>
          <w:tcPr>
            <w:tcW w:w="44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3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28,183</w:t>
            </w:r>
          </w:p>
        </w:tc>
        <w:tc>
          <w:tcPr>
            <w:tcW w:w="320" w:type="dxa"/>
            <w:vAlign w:val="bottom"/>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10.6%</w:t>
            </w:r>
          </w:p>
        </w:tc>
        <w:tc>
          <w:tcPr>
            <w:tcW w:w="42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26,481</w:t>
            </w:r>
          </w:p>
        </w:tc>
        <w:tc>
          <w:tcPr>
            <w:tcW w:w="34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54"/>
        </w:trPr>
        <w:tc>
          <w:tcPr>
            <w:tcW w:w="448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4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5,150</w:t>
            </w: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1.9%</w:t>
            </w:r>
          </w:p>
        </w:tc>
        <w:tc>
          <w:tcPr>
            <w:tcW w:w="4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4,887</w:t>
            </w:r>
          </w:p>
        </w:tc>
        <w:tc>
          <w:tcPr>
            <w:tcW w:w="3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60"/>
        </w:trPr>
        <w:tc>
          <w:tcPr>
            <w:tcW w:w="448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3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6,453</w:t>
            </w: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2.4%</w:t>
            </w: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6,005</w:t>
            </w: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73"/>
        </w:trPr>
        <w:tc>
          <w:tcPr>
            <w:tcW w:w="44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Impairment on fixed assets</w:t>
            </w:r>
          </w:p>
        </w:tc>
        <w:tc>
          <w:tcPr>
            <w:tcW w:w="3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462</w:t>
            </w:r>
          </w:p>
        </w:tc>
        <w:tc>
          <w:tcPr>
            <w:tcW w:w="3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0.2%</w:t>
            </w:r>
          </w:p>
        </w:tc>
        <w:tc>
          <w:tcPr>
            <w:tcW w:w="4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780" w:type="dxa"/>
            <w:vAlign w:val="bottom"/>
            <w:gridSpan w:val="3"/>
            <w:shd w:val="clear" w:color="auto" w:fill="CCEEFF"/>
          </w:tcPr>
          <w:p>
            <w:pPr>
              <w:jc w:val="right"/>
              <w:ind w:right="10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operating expenses</w:t>
            </w:r>
          </w:p>
        </w:tc>
        <w:tc>
          <w:tcPr>
            <w:tcW w:w="3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12,065</w:t>
            </w:r>
          </w:p>
        </w:tc>
        <w:tc>
          <w:tcPr>
            <w:tcW w:w="320" w:type="dxa"/>
            <w:vAlign w:val="bottom"/>
            <w:tcBorders>
              <w:bottom w:val="single" w:sz="8" w:color="CCEEFF"/>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4.5%</w:t>
            </w:r>
          </w:p>
        </w:tc>
        <w:tc>
          <w:tcPr>
            <w:tcW w:w="42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10,892</w:t>
            </w:r>
          </w:p>
        </w:tc>
        <w:tc>
          <w:tcPr>
            <w:tcW w:w="34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57"/>
        </w:trPr>
        <w:tc>
          <w:tcPr>
            <w:tcW w:w="4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3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16,118</w:t>
            </w:r>
          </w:p>
        </w:tc>
        <w:tc>
          <w:tcPr>
            <w:tcW w:w="3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6.0%</w:t>
            </w:r>
          </w:p>
        </w:tc>
        <w:tc>
          <w:tcPr>
            <w:tcW w:w="4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15,589</w:t>
            </w:r>
          </w:p>
        </w:tc>
        <w:tc>
          <w:tcPr>
            <w:tcW w:w="3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64"/>
        </w:trPr>
        <w:tc>
          <w:tcPr>
            <w:tcW w:w="4480" w:type="dxa"/>
            <w:vAlign w:val="bottom"/>
          </w:tcPr>
          <w:p>
            <w:pPr>
              <w:ind w:left="40"/>
              <w:spacing w:after="0"/>
              <w:rPr>
                <w:sz w:val="20"/>
                <w:szCs w:val="20"/>
                <w:color w:val="auto"/>
              </w:rPr>
            </w:pPr>
            <w:r>
              <w:rPr>
                <w:rFonts w:ascii="Arial" w:cs="Arial" w:eastAsia="Arial" w:hAnsi="Arial"/>
                <w:sz w:val="16"/>
                <w:szCs w:val="16"/>
                <w:color w:val="auto"/>
              </w:rPr>
              <w:t>Non-operating income</w:t>
            </w:r>
          </w:p>
        </w:tc>
        <w:tc>
          <w:tcPr>
            <w:tcW w:w="380" w:type="dxa"/>
            <w:vAlign w:val="bottom"/>
          </w:tcPr>
          <w:p>
            <w:pPr>
              <w:spacing w:after="0"/>
              <w:rPr>
                <w:sz w:val="22"/>
                <w:szCs w:val="22"/>
                <w:color w:val="auto"/>
              </w:rPr>
            </w:pPr>
          </w:p>
        </w:tc>
        <w:tc>
          <w:tcPr>
            <w:tcW w:w="1900" w:type="dxa"/>
            <w:vAlign w:val="bottom"/>
            <w:gridSpan w:val="3"/>
          </w:tcPr>
          <w:p>
            <w:pPr>
              <w:jc w:val="right"/>
              <w:ind w:right="106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7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735</w:t>
            </w: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57"/>
        </w:trPr>
        <w:tc>
          <w:tcPr>
            <w:tcW w:w="44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38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16,118</w:t>
            </w:r>
          </w:p>
        </w:tc>
        <w:tc>
          <w:tcPr>
            <w:tcW w:w="32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6.0%</w:t>
            </w:r>
          </w:p>
        </w:tc>
        <w:tc>
          <w:tcPr>
            <w:tcW w:w="42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16,324</w:t>
            </w:r>
          </w:p>
        </w:tc>
        <w:tc>
          <w:tcPr>
            <w:tcW w:w="34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64"/>
        </w:trPr>
        <w:tc>
          <w:tcPr>
            <w:tcW w:w="44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taxes</w:t>
            </w: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4,616</w:t>
            </w:r>
          </w:p>
        </w:tc>
        <w:tc>
          <w:tcPr>
            <w:tcW w:w="3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1.7%</w:t>
            </w:r>
          </w:p>
        </w:tc>
        <w:tc>
          <w:tcPr>
            <w:tcW w:w="4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4,939</w:t>
            </w:r>
          </w:p>
        </w:tc>
        <w:tc>
          <w:tcPr>
            <w:tcW w:w="34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4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11,502</w:t>
            </w:r>
          </w:p>
        </w:tc>
        <w:tc>
          <w:tcPr>
            <w:tcW w:w="3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4.3%</w:t>
            </w:r>
          </w:p>
        </w:tc>
        <w:tc>
          <w:tcPr>
            <w:tcW w:w="4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11,385</w:t>
            </w:r>
          </w:p>
        </w:tc>
        <w:tc>
          <w:tcPr>
            <w:tcW w:w="3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
        </w:trPr>
        <w:tc>
          <w:tcPr>
            <w:tcW w:w="4480" w:type="dxa"/>
            <w:vAlign w:val="bottom"/>
            <w:vMerge w:val="restart"/>
          </w:tcPr>
          <w:p>
            <w:pPr>
              <w:ind w:left="40"/>
              <w:spacing w:after="0"/>
              <w:rPr>
                <w:sz w:val="20"/>
                <w:szCs w:val="20"/>
                <w:color w:val="auto"/>
              </w:rPr>
            </w:pPr>
            <w:r>
              <w:rPr>
                <w:rFonts w:ascii="Arial" w:cs="Arial" w:eastAsia="Arial" w:hAnsi="Arial"/>
                <w:sz w:val="16"/>
                <w:szCs w:val="16"/>
                <w:color w:val="auto"/>
              </w:rPr>
              <w:t>Income per common share:</w:t>
            </w: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48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0.43</w:t>
            </w: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0.42</w:t>
            </w:r>
          </w:p>
        </w:tc>
        <w:tc>
          <w:tcPr>
            <w:tcW w:w="3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480" w:type="dxa"/>
            <w:vAlign w:val="bottom"/>
          </w:tcPr>
          <w:p>
            <w:pPr>
              <w:ind w:left="240"/>
              <w:spacing w:after="0"/>
              <w:rPr>
                <w:sz w:val="20"/>
                <w:szCs w:val="20"/>
                <w:color w:val="auto"/>
              </w:rPr>
            </w:pPr>
            <w:r>
              <w:rPr>
                <w:rFonts w:ascii="Arial" w:cs="Arial" w:eastAsia="Arial" w:hAnsi="Arial"/>
                <w:sz w:val="16"/>
                <w:szCs w:val="16"/>
                <w:color w:val="auto"/>
              </w:rPr>
              <w:t>Diluted</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0.43</w:t>
            </w: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0.42</w:t>
            </w: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480" w:type="dxa"/>
            <w:vAlign w:val="bottom"/>
          </w:tcPr>
          <w:p>
            <w:pPr>
              <w:ind w:left="240"/>
              <w:spacing w:after="0"/>
              <w:rPr>
                <w:sz w:val="20"/>
                <w:szCs w:val="20"/>
                <w:color w:val="auto"/>
              </w:rPr>
            </w:pPr>
            <w:r>
              <w:rPr>
                <w:rFonts w:ascii="Arial" w:cs="Arial" w:eastAsia="Arial" w:hAnsi="Arial"/>
                <w:sz w:val="16"/>
                <w:szCs w:val="16"/>
                <w:color w:val="auto"/>
              </w:rPr>
              <w:t>Basic</w:t>
            </w:r>
          </w:p>
        </w:tc>
        <w:tc>
          <w:tcPr>
            <w:tcW w:w="3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26,932</w:t>
            </w: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27,209</w:t>
            </w: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27,030</w:t>
            </w: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27,319</w:t>
            </w:r>
          </w:p>
        </w:tc>
        <w:tc>
          <w:tcPr>
            <w:tcW w:w="3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4480" w:type="dxa"/>
            <w:vAlign w:val="bottom"/>
          </w:tcPr>
          <w:p>
            <w:pPr>
              <w:spacing w:after="0"/>
              <w:rPr>
                <w:sz w:val="20"/>
                <w:szCs w:val="20"/>
                <w:color w:val="auto"/>
              </w:rPr>
            </w:pPr>
            <w:r>
              <w:rPr>
                <w:rFonts w:ascii="Arial" w:cs="Arial" w:eastAsia="Arial" w:hAnsi="Arial"/>
                <w:sz w:val="16"/>
                <w:szCs w:val="16"/>
                <w:color w:val="auto"/>
              </w:rPr>
              <w:t>Percentages may not add due to rounding differences.</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6"/>
          </w:tcPr>
          <w:p>
            <w:pPr>
              <w:ind w:left="500"/>
              <w:spacing w:after="0"/>
              <w:rPr>
                <w:sz w:val="20"/>
                <w:szCs w:val="20"/>
                <w:color w:val="auto"/>
              </w:rPr>
            </w:pPr>
            <w:r>
              <w:rPr>
                <w:rFonts w:ascii="Arial" w:cs="Arial" w:eastAsia="Arial" w:hAnsi="Arial"/>
                <w:sz w:val="16"/>
                <w:szCs w:val="16"/>
                <w:b w:val="1"/>
                <w:bCs w:val="1"/>
                <w:color w:val="auto"/>
              </w:rPr>
              <w:t>Nine Months Ended</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4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3"/>
          </w:tcPr>
          <w:p>
            <w:pPr>
              <w:ind w:left="760"/>
              <w:spacing w:after="0"/>
              <w:rPr>
                <w:sz w:val="20"/>
                <w:szCs w:val="20"/>
                <w:color w:val="auto"/>
              </w:rPr>
            </w:pPr>
            <w:r>
              <w:rPr>
                <w:rFonts w:ascii="Arial" w:cs="Arial" w:eastAsia="Arial" w:hAnsi="Arial"/>
                <w:sz w:val="16"/>
                <w:szCs w:val="16"/>
                <w:b w:val="1"/>
                <w:bCs w:val="1"/>
                <w:color w:val="auto"/>
              </w:rPr>
              <w:t>May 30, 2015</w:t>
            </w:r>
          </w:p>
        </w:tc>
        <w:tc>
          <w:tcPr>
            <w:tcW w:w="960" w:type="dxa"/>
            <w:vAlign w:val="bottom"/>
            <w:tcBorders>
              <w:bottom w:val="single" w:sz="8" w:color="auto"/>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May 31, 2014</w:t>
            </w: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725,456</w:t>
            </w:r>
          </w:p>
        </w:tc>
        <w:tc>
          <w:tcPr>
            <w:tcW w:w="3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4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699,228</w:t>
            </w:r>
          </w:p>
        </w:tc>
        <w:tc>
          <w:tcPr>
            <w:tcW w:w="3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64"/>
        </w:trPr>
        <w:tc>
          <w:tcPr>
            <w:tcW w:w="4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648,629</w:t>
            </w:r>
          </w:p>
        </w:tc>
        <w:tc>
          <w:tcPr>
            <w:tcW w:w="34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89.4%</w:t>
            </w:r>
          </w:p>
        </w:tc>
        <w:tc>
          <w:tcPr>
            <w:tcW w:w="4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623,940</w:t>
            </w:r>
          </w:p>
        </w:tc>
        <w:tc>
          <w:tcPr>
            <w:tcW w:w="34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89.2 %</w:t>
            </w:r>
          </w:p>
        </w:tc>
        <w:tc>
          <w:tcPr>
            <w:tcW w:w="0" w:type="dxa"/>
            <w:vAlign w:val="bottom"/>
          </w:tcPr>
          <w:p>
            <w:pPr>
              <w:spacing w:after="0"/>
              <w:rPr>
                <w:sz w:val="1"/>
                <w:szCs w:val="1"/>
                <w:color w:val="auto"/>
              </w:rPr>
            </w:pPr>
          </w:p>
        </w:tc>
      </w:tr>
      <w:tr>
        <w:trPr>
          <w:trHeight w:val="257"/>
        </w:trPr>
        <w:tc>
          <w:tcPr>
            <w:tcW w:w="4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3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76,827</w:t>
            </w:r>
          </w:p>
        </w:tc>
        <w:tc>
          <w:tcPr>
            <w:tcW w:w="34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10.6%</w:t>
            </w:r>
          </w:p>
        </w:tc>
        <w:tc>
          <w:tcPr>
            <w:tcW w:w="4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75,288</w:t>
            </w:r>
          </w:p>
        </w:tc>
        <w:tc>
          <w:tcPr>
            <w:tcW w:w="34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10.8 %</w:t>
            </w:r>
          </w:p>
        </w:tc>
        <w:tc>
          <w:tcPr>
            <w:tcW w:w="0" w:type="dxa"/>
            <w:vAlign w:val="bottom"/>
          </w:tcPr>
          <w:p>
            <w:pPr>
              <w:spacing w:after="0"/>
              <w:rPr>
                <w:sz w:val="1"/>
                <w:szCs w:val="1"/>
                <w:color w:val="auto"/>
              </w:rPr>
            </w:pPr>
          </w:p>
        </w:tc>
      </w:tr>
      <w:tr>
        <w:trPr>
          <w:trHeight w:val="254"/>
        </w:trPr>
        <w:tc>
          <w:tcPr>
            <w:tcW w:w="440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3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14,703</w:t>
            </w:r>
          </w:p>
        </w:tc>
        <w:tc>
          <w:tcPr>
            <w:tcW w:w="3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2.0%</w:t>
            </w:r>
          </w:p>
        </w:tc>
        <w:tc>
          <w:tcPr>
            <w:tcW w:w="4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13,709</w:t>
            </w: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60"/>
        </w:trPr>
        <w:tc>
          <w:tcPr>
            <w:tcW w:w="440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3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19,154</w:t>
            </w: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2.6%</w:t>
            </w: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16,577</w:t>
            </w: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73"/>
        </w:trPr>
        <w:tc>
          <w:tcPr>
            <w:tcW w:w="4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Impairment (gain) on fixed assets</w:t>
            </w:r>
          </w:p>
        </w:tc>
        <w:tc>
          <w:tcPr>
            <w:tcW w:w="3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462</w:t>
            </w:r>
          </w:p>
        </w:tc>
        <w:tc>
          <w:tcPr>
            <w:tcW w:w="34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0.1%</w:t>
            </w:r>
          </w:p>
        </w:tc>
        <w:tc>
          <w:tcPr>
            <w:tcW w:w="4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(629)</w:t>
            </w:r>
          </w:p>
        </w:tc>
        <w:tc>
          <w:tcPr>
            <w:tcW w:w="34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50"/>
        </w:trPr>
        <w:tc>
          <w:tcPr>
            <w:tcW w:w="44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34,319</w:t>
            </w:r>
          </w:p>
        </w:tc>
        <w:tc>
          <w:tcPr>
            <w:tcW w:w="34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4.7%</w:t>
            </w:r>
          </w:p>
        </w:tc>
        <w:tc>
          <w:tcPr>
            <w:tcW w:w="4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29,657</w:t>
            </w:r>
          </w:p>
        </w:tc>
        <w:tc>
          <w:tcPr>
            <w:tcW w:w="34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4.2 %</w:t>
            </w:r>
          </w:p>
        </w:tc>
        <w:tc>
          <w:tcPr>
            <w:tcW w:w="0" w:type="dxa"/>
            <w:vAlign w:val="bottom"/>
          </w:tcPr>
          <w:p>
            <w:pPr>
              <w:spacing w:after="0"/>
              <w:rPr>
                <w:sz w:val="1"/>
                <w:szCs w:val="1"/>
                <w:color w:val="auto"/>
              </w:rPr>
            </w:pPr>
          </w:p>
        </w:tc>
      </w:tr>
      <w:tr>
        <w:trPr>
          <w:trHeight w:val="257"/>
        </w:trPr>
        <w:tc>
          <w:tcPr>
            <w:tcW w:w="4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3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42,508</w:t>
            </w:r>
          </w:p>
        </w:tc>
        <w:tc>
          <w:tcPr>
            <w:tcW w:w="3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5.9%</w:t>
            </w:r>
          </w:p>
        </w:tc>
        <w:tc>
          <w:tcPr>
            <w:tcW w:w="4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45,631</w:t>
            </w:r>
          </w:p>
        </w:tc>
        <w:tc>
          <w:tcPr>
            <w:tcW w:w="3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6.5 %</w:t>
            </w:r>
          </w:p>
        </w:tc>
        <w:tc>
          <w:tcPr>
            <w:tcW w:w="0" w:type="dxa"/>
            <w:vAlign w:val="bottom"/>
          </w:tcPr>
          <w:p>
            <w:pPr>
              <w:spacing w:after="0"/>
              <w:rPr>
                <w:sz w:val="1"/>
                <w:szCs w:val="1"/>
                <w:color w:val="auto"/>
              </w:rPr>
            </w:pPr>
          </w:p>
        </w:tc>
      </w:tr>
      <w:tr>
        <w:trPr>
          <w:trHeight w:val="264"/>
        </w:trPr>
        <w:tc>
          <w:tcPr>
            <w:tcW w:w="4400" w:type="dxa"/>
            <w:vAlign w:val="bottom"/>
          </w:tcPr>
          <w:p>
            <w:pPr>
              <w:ind w:left="40"/>
              <w:spacing w:after="0"/>
              <w:rPr>
                <w:sz w:val="20"/>
                <w:szCs w:val="20"/>
                <w:color w:val="auto"/>
              </w:rPr>
            </w:pPr>
            <w:r>
              <w:rPr>
                <w:rFonts w:ascii="Arial" w:cs="Arial" w:eastAsia="Arial" w:hAnsi="Arial"/>
                <w:sz w:val="16"/>
                <w:szCs w:val="16"/>
                <w:color w:val="auto"/>
              </w:rPr>
              <w:t>Non-operating income</w:t>
            </w:r>
          </w:p>
        </w:tc>
        <w:tc>
          <w:tcPr>
            <w:tcW w:w="3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752</w:t>
            </w: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57"/>
        </w:trPr>
        <w:tc>
          <w:tcPr>
            <w:tcW w:w="4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36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42,543</w:t>
            </w:r>
          </w:p>
        </w:tc>
        <w:tc>
          <w:tcPr>
            <w:tcW w:w="34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5.9%</w:t>
            </w:r>
          </w:p>
        </w:tc>
        <w:tc>
          <w:tcPr>
            <w:tcW w:w="4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46,383</w:t>
            </w:r>
          </w:p>
        </w:tc>
        <w:tc>
          <w:tcPr>
            <w:tcW w:w="34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6.6 %</w:t>
            </w:r>
          </w:p>
        </w:tc>
        <w:tc>
          <w:tcPr>
            <w:tcW w:w="0" w:type="dxa"/>
            <w:vAlign w:val="bottom"/>
          </w:tcPr>
          <w:p>
            <w:pPr>
              <w:spacing w:after="0"/>
              <w:rPr>
                <w:sz w:val="1"/>
                <w:szCs w:val="1"/>
                <w:color w:val="auto"/>
              </w:rPr>
            </w:pPr>
          </w:p>
        </w:tc>
      </w:tr>
      <w:tr>
        <w:trPr>
          <w:trHeight w:val="264"/>
        </w:trPr>
        <w:tc>
          <w:tcPr>
            <w:tcW w:w="4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taxes</w:t>
            </w: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13,050</w:t>
            </w:r>
          </w:p>
        </w:tc>
        <w:tc>
          <w:tcPr>
            <w:tcW w:w="34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1.8%</w:t>
            </w:r>
          </w:p>
        </w:tc>
        <w:tc>
          <w:tcPr>
            <w:tcW w:w="4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14,259</w:t>
            </w:r>
          </w:p>
        </w:tc>
        <w:tc>
          <w:tcPr>
            <w:tcW w:w="34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4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29,493</w:t>
            </w:r>
          </w:p>
        </w:tc>
        <w:tc>
          <w:tcPr>
            <w:tcW w:w="3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4.1%</w:t>
            </w:r>
          </w:p>
        </w:tc>
        <w:tc>
          <w:tcPr>
            <w:tcW w:w="4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32,124</w:t>
            </w:r>
          </w:p>
        </w:tc>
        <w:tc>
          <w:tcPr>
            <w:tcW w:w="3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4.6 %</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40"/>
              <w:spacing w:after="0"/>
              <w:rPr>
                <w:sz w:val="20"/>
                <w:szCs w:val="20"/>
                <w:color w:val="auto"/>
              </w:rPr>
            </w:pPr>
            <w:r>
              <w:rPr>
                <w:rFonts w:ascii="Arial" w:cs="Arial" w:eastAsia="Arial" w:hAnsi="Arial"/>
                <w:sz w:val="16"/>
                <w:szCs w:val="16"/>
                <w:color w:val="auto"/>
              </w:rPr>
              <w:t>Income per common share:</w:t>
            </w: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40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w:t>
            </w:r>
          </w:p>
        </w:tc>
        <w:tc>
          <w:tcPr>
            <w:tcW w:w="3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1.17</w:t>
            </w: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400" w:type="dxa"/>
            <w:vAlign w:val="bottom"/>
          </w:tcPr>
          <w:p>
            <w:pPr>
              <w:ind w:left="240"/>
              <w:spacing w:after="0"/>
              <w:rPr>
                <w:sz w:val="20"/>
                <w:szCs w:val="20"/>
                <w:color w:val="auto"/>
              </w:rPr>
            </w:pPr>
            <w:r>
              <w:rPr>
                <w:rFonts w:ascii="Arial" w:cs="Arial" w:eastAsia="Arial" w:hAnsi="Arial"/>
                <w:sz w:val="16"/>
                <w:szCs w:val="16"/>
                <w:color w:val="auto"/>
              </w:rPr>
              <w:t>Diluted</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1.09</w:t>
            </w: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1.16</w:t>
            </w: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400" w:type="dxa"/>
            <w:vAlign w:val="bottom"/>
          </w:tcPr>
          <w:p>
            <w:pPr>
              <w:ind w:left="240"/>
              <w:spacing w:after="0"/>
              <w:rPr>
                <w:sz w:val="20"/>
                <w:szCs w:val="20"/>
                <w:color w:val="auto"/>
              </w:rPr>
            </w:pPr>
            <w:r>
              <w:rPr>
                <w:rFonts w:ascii="Arial" w:cs="Arial" w:eastAsia="Arial" w:hAnsi="Arial"/>
                <w:sz w:val="16"/>
                <w:szCs w:val="16"/>
                <w:color w:val="auto"/>
              </w:rPr>
              <w:t>Basic</w:t>
            </w:r>
          </w:p>
        </w:tc>
        <w:tc>
          <w:tcPr>
            <w:tcW w:w="3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26,942</w:t>
            </w: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27,552</w:t>
            </w: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3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27,042</w:t>
            </w:r>
          </w:p>
        </w:tc>
        <w:tc>
          <w:tcPr>
            <w:tcW w:w="3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27,666</w:t>
            </w: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Percentages may not add due to rounding differences.</w:t>
      </w:r>
    </w:p>
    <w:p>
      <w:pPr>
        <w:sectPr>
          <w:pgSz w:w="11900" w:h="16838" w:orient="portrait"/>
          <w:cols w:equalWidth="0" w:num="1">
            <w:col w:w="11420"/>
          </w:cols>
          <w:pgMar w:left="240" w:top="57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30,</w:t>
            </w:r>
          </w:p>
        </w:tc>
        <w:tc>
          <w:tcPr>
            <w:tcW w:w="280" w:type="dxa"/>
            <w:vAlign w:val="bottom"/>
          </w:tcPr>
          <w:p>
            <w:pPr>
              <w:spacing w:after="0"/>
              <w:rPr>
                <w:sz w:val="17"/>
                <w:szCs w:val="17"/>
                <w:color w:val="auto"/>
              </w:rPr>
            </w:pPr>
          </w:p>
        </w:tc>
        <w:tc>
          <w:tcPr>
            <w:tcW w:w="1320" w:type="dxa"/>
            <w:vAlign w:val="bottom"/>
          </w:tcPr>
          <w:p>
            <w:pPr>
              <w:jc w:val="right"/>
              <w:ind w:right="418"/>
              <w:spacing w:after="0"/>
              <w:rPr>
                <w:sz w:val="20"/>
                <w:szCs w:val="20"/>
                <w:color w:val="auto"/>
              </w:rPr>
            </w:pPr>
            <w:r>
              <w:rPr>
                <w:rFonts w:ascii="Arial" w:cs="Arial" w:eastAsia="Arial" w:hAnsi="Arial"/>
                <w:sz w:val="18"/>
                <w:szCs w:val="18"/>
                <w:b w:val="1"/>
                <w:bCs w:val="1"/>
                <w:color w:val="auto"/>
              </w:rPr>
              <w:t>Aug 30,</w:t>
            </w:r>
          </w:p>
        </w:tc>
      </w:tr>
      <w:tr>
        <w:trPr>
          <w:trHeight w:val="246"/>
        </w:trPr>
        <w:tc>
          <w:tcPr>
            <w:tcW w:w="79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98"/>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8"/>
              <w:spacing w:after="0"/>
              <w:rPr>
                <w:sz w:val="20"/>
                <w:szCs w:val="20"/>
                <w:color w:val="auto"/>
              </w:rPr>
            </w:pPr>
            <w:r>
              <w:rPr>
                <w:rFonts w:ascii="Arial" w:cs="Arial" w:eastAsia="Arial" w:hAnsi="Arial"/>
                <w:sz w:val="18"/>
                <w:szCs w:val="18"/>
                <w:b w:val="1"/>
                <w:bCs w:val="1"/>
                <w:color w:val="auto"/>
              </w:rPr>
              <w:t>2014</w:t>
            </w: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49,215</w:t>
            </w: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57,804</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Receivables, net</w:t>
            </w:r>
          </w:p>
        </w:tc>
        <w:tc>
          <w:tcPr>
            <w:tcW w:w="28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65,198</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69,699</w:t>
            </w: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122,575</w:t>
            </w: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112,848</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Net investment in operating leases</w:t>
            </w:r>
          </w:p>
        </w:tc>
        <w:tc>
          <w:tcPr>
            <w:tcW w:w="280" w:type="dxa"/>
            <w:vAlign w:val="bottom"/>
          </w:tcPr>
          <w:p>
            <w:pPr>
              <w:spacing w:after="0"/>
              <w:rPr>
                <w:sz w:val="22"/>
                <w:szCs w:val="22"/>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15,978</w:t>
            </w: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8,450</w:t>
            </w: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5,718</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Income taxes receivable and prepaid</w:t>
            </w:r>
          </w:p>
        </w:tc>
        <w:tc>
          <w:tcPr>
            <w:tcW w:w="28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190</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5</w:t>
            </w:r>
          </w:p>
        </w:tc>
      </w:tr>
      <w:tr>
        <w:trPr>
          <w:trHeight w:val="273"/>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5,907</w:t>
            </w:r>
          </w:p>
        </w:tc>
        <w:tc>
          <w:tcPr>
            <w:tcW w:w="3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9,641</w:t>
            </w:r>
          </w:p>
        </w:tc>
      </w:tr>
      <w:tr>
        <w:trPr>
          <w:trHeight w:val="247"/>
        </w:trPr>
        <w:tc>
          <w:tcPr>
            <w:tcW w:w="790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28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251,535</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271,693</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property and equipment, net</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34,646</w:t>
            </w: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25,135</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Investment in life insurance</w:t>
            </w:r>
          </w:p>
        </w:tc>
        <w:tc>
          <w:tcPr>
            <w:tcW w:w="28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25,843</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25,126</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24,164</w:t>
            </w: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24,029</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1,228</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1,228</w:t>
            </w: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9,329</w:t>
            </w:r>
          </w:p>
        </w:tc>
        <w:tc>
          <w:tcPr>
            <w:tcW w:w="3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11,091</w:t>
            </w:r>
          </w:p>
        </w:tc>
      </w:tr>
      <w:tr>
        <w:trPr>
          <w:trHeight w:val="280"/>
        </w:trPr>
        <w:tc>
          <w:tcPr>
            <w:tcW w:w="79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346,745</w:t>
            </w:r>
          </w:p>
        </w:tc>
        <w:tc>
          <w:tcPr>
            <w:tcW w:w="3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358,302</w:t>
            </w:r>
          </w:p>
        </w:tc>
      </w:tr>
      <w:tr>
        <w:trPr>
          <w:trHeight w:val="254"/>
        </w:trPr>
        <w:tc>
          <w:tcPr>
            <w:tcW w:w="79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LIABILITIES AND STOCKHOLDERS' EQUITY</w:t>
            </w: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29,547</w:t>
            </w:r>
          </w:p>
        </w:tc>
        <w:tc>
          <w:tcPr>
            <w:tcW w:w="34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33,111</w:t>
            </w: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taxes payable</w:t>
            </w:r>
          </w:p>
        </w:tc>
        <w:tc>
          <w:tcPr>
            <w:tcW w:w="280" w:type="dxa"/>
            <w:vAlign w:val="bottom"/>
            <w:shd w:val="clear" w:color="auto" w:fill="CCEEFF"/>
          </w:tcPr>
          <w:p>
            <w:pPr>
              <w:spacing w:after="0"/>
              <w:rPr>
                <w:sz w:val="24"/>
                <w:szCs w:val="24"/>
                <w:color w:val="auto"/>
              </w:rPr>
            </w:pP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2,927</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Accrued expenses</w:t>
            </w:r>
          </w:p>
        </w:tc>
        <w:tc>
          <w:tcPr>
            <w:tcW w:w="28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44,606</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47,631</w:t>
            </w:r>
          </w:p>
        </w:tc>
      </w:tr>
      <w:tr>
        <w:trPr>
          <w:trHeight w:val="273"/>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Operating lease repurchase obligations</w:t>
            </w:r>
          </w:p>
        </w:tc>
        <w:tc>
          <w:tcPr>
            <w:tcW w:w="28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16,050</w:t>
            </w:r>
          </w:p>
        </w:tc>
      </w:tr>
      <w:tr>
        <w:trPr>
          <w:trHeight w:val="250"/>
        </w:trPr>
        <w:tc>
          <w:tcPr>
            <w:tcW w:w="79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74,153</w:t>
            </w:r>
          </w:p>
        </w:tc>
        <w:tc>
          <w:tcPr>
            <w:tcW w:w="34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99,719</w:t>
            </w: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Non-current liabilities:</w:t>
            </w: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Unrecognized tax benefits</w:t>
            </w:r>
          </w:p>
        </w:tc>
        <w:tc>
          <w:tcPr>
            <w:tcW w:w="28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2,619</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3,024</w:t>
            </w:r>
          </w:p>
        </w:tc>
      </w:tr>
      <w:tr>
        <w:trPr>
          <w:trHeight w:val="273"/>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Postretirement health care and deferred compensation benefits, net of current portion</w:t>
            </w:r>
          </w:p>
        </w:tc>
        <w:tc>
          <w:tcPr>
            <w:tcW w:w="2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59,211</w:t>
            </w:r>
          </w:p>
        </w:tc>
        <w:tc>
          <w:tcPr>
            <w:tcW w:w="3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62,811</w:t>
            </w:r>
          </w:p>
        </w:tc>
      </w:tr>
      <w:tr>
        <w:trPr>
          <w:trHeight w:val="247"/>
        </w:trPr>
        <w:tc>
          <w:tcPr>
            <w:tcW w:w="7900" w:type="dxa"/>
            <w:vAlign w:val="bottom"/>
          </w:tcPr>
          <w:p>
            <w:pPr>
              <w:ind w:left="500"/>
              <w:spacing w:after="0"/>
              <w:rPr>
                <w:sz w:val="20"/>
                <w:szCs w:val="20"/>
                <w:color w:val="auto"/>
              </w:rPr>
            </w:pPr>
            <w:r>
              <w:rPr>
                <w:rFonts w:ascii="Arial" w:cs="Arial" w:eastAsia="Arial" w:hAnsi="Arial"/>
                <w:sz w:val="16"/>
                <w:szCs w:val="16"/>
                <w:color w:val="auto"/>
              </w:rPr>
              <w:t>Total non-current liabilities</w:t>
            </w:r>
          </w:p>
        </w:tc>
        <w:tc>
          <w:tcPr>
            <w:tcW w:w="28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61,830</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65,835</w:t>
            </w: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210,762</w:t>
            </w:r>
          </w:p>
        </w:tc>
        <w:tc>
          <w:tcPr>
            <w:tcW w:w="3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192,748</w:t>
            </w:r>
          </w:p>
        </w:tc>
      </w:tr>
      <w:tr>
        <w:trPr>
          <w:trHeight w:val="240"/>
        </w:trPr>
        <w:tc>
          <w:tcPr>
            <w:tcW w:w="7900" w:type="dxa"/>
            <w:vAlign w:val="bottom"/>
          </w:tcPr>
          <w:p>
            <w:pPr>
              <w:ind w:left="72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346,745</w:t>
            </w:r>
          </w:p>
        </w:tc>
        <w:tc>
          <w:tcPr>
            <w:tcW w:w="34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358,302</w:t>
            </w: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7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3"/>
          </w:tcPr>
          <w:p>
            <w:pPr>
              <w:jc w:val="right"/>
              <w:ind w:right="638"/>
              <w:spacing w:after="0"/>
              <w:rPr>
                <w:sz w:val="20"/>
                <w:szCs w:val="20"/>
                <w:color w:val="auto"/>
              </w:rPr>
            </w:pPr>
            <w:r>
              <w:rPr>
                <w:rFonts w:ascii="Arial" w:cs="Arial" w:eastAsia="Arial" w:hAnsi="Arial"/>
                <w:sz w:val="18"/>
                <w:szCs w:val="18"/>
                <w:b w:val="1"/>
                <w:bCs w:val="1"/>
                <w:color w:val="auto"/>
              </w:rPr>
              <w:t>Nine Months Ended</w:t>
            </w:r>
          </w:p>
        </w:tc>
      </w:tr>
      <w:tr>
        <w:trPr>
          <w:trHeight w:val="207"/>
        </w:trPr>
        <w:tc>
          <w:tcPr>
            <w:tcW w:w="8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ind w:right="318"/>
              <w:spacing w:after="0"/>
              <w:rPr>
                <w:sz w:val="20"/>
                <w:szCs w:val="20"/>
                <w:color w:val="auto"/>
              </w:rPr>
            </w:pPr>
            <w:r>
              <w:rPr>
                <w:rFonts w:ascii="Arial" w:cs="Arial" w:eastAsia="Arial" w:hAnsi="Arial"/>
                <w:sz w:val="18"/>
                <w:szCs w:val="18"/>
                <w:b w:val="1"/>
                <w:bCs w:val="1"/>
                <w:color w:val="auto"/>
              </w:rPr>
              <w:t>May 30,</w:t>
            </w:r>
          </w:p>
        </w:tc>
        <w:tc>
          <w:tcPr>
            <w:tcW w:w="340" w:type="dxa"/>
            <w:vAlign w:val="bottom"/>
          </w:tcPr>
          <w:p>
            <w:pPr>
              <w:spacing w:after="0"/>
              <w:rPr>
                <w:sz w:val="17"/>
                <w:szCs w:val="17"/>
                <w:color w:val="auto"/>
              </w:rPr>
            </w:pPr>
          </w:p>
        </w:tc>
        <w:tc>
          <w:tcPr>
            <w:tcW w:w="1300" w:type="dxa"/>
            <w:vAlign w:val="bottom"/>
          </w:tcPr>
          <w:p>
            <w:pPr>
              <w:jc w:val="right"/>
              <w:ind w:right="398"/>
              <w:spacing w:after="0"/>
              <w:rPr>
                <w:sz w:val="20"/>
                <w:szCs w:val="20"/>
                <w:color w:val="auto"/>
              </w:rPr>
            </w:pPr>
            <w:r>
              <w:rPr>
                <w:rFonts w:ascii="Arial" w:cs="Arial" w:eastAsia="Arial" w:hAnsi="Arial"/>
                <w:sz w:val="18"/>
                <w:szCs w:val="18"/>
                <w:b w:val="1"/>
                <w:bCs w:val="1"/>
                <w:color w:val="auto"/>
              </w:rPr>
              <w:t>May 31,</w:t>
            </w:r>
          </w:p>
        </w:tc>
      </w:tr>
      <w:tr>
        <w:trPr>
          <w:trHeight w:val="246"/>
        </w:trPr>
        <w:tc>
          <w:tcPr>
            <w:tcW w:w="82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18"/>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98"/>
              <w:spacing w:after="0"/>
              <w:rPr>
                <w:sz w:val="20"/>
                <w:szCs w:val="20"/>
                <w:color w:val="auto"/>
              </w:rPr>
            </w:pPr>
            <w:r>
              <w:rPr>
                <w:rFonts w:ascii="Arial" w:cs="Arial" w:eastAsia="Arial" w:hAnsi="Arial"/>
                <w:sz w:val="18"/>
                <w:szCs w:val="18"/>
                <w:b w:val="1"/>
                <w:bCs w:val="1"/>
                <w:color w:val="auto"/>
              </w:rPr>
              <w:t>2014</w:t>
            </w:r>
          </w:p>
        </w:tc>
      </w:tr>
      <w:tr>
        <w:trPr>
          <w:trHeight w:val="270"/>
        </w:trPr>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29,493</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38"/>
              <w:spacing w:after="0"/>
              <w:rPr>
                <w:sz w:val="20"/>
                <w:szCs w:val="20"/>
                <w:color w:val="auto"/>
              </w:rPr>
            </w:pPr>
            <w:r>
              <w:rPr>
                <w:rFonts w:ascii="Arial" w:cs="Arial" w:eastAsia="Arial" w:hAnsi="Arial"/>
                <w:sz w:val="16"/>
                <w:szCs w:val="16"/>
                <w:color w:val="auto"/>
              </w:rPr>
              <w:t>32,124</w:t>
            </w:r>
          </w:p>
        </w:tc>
      </w:tr>
      <w:tr>
        <w:trPr>
          <w:trHeight w:val="280"/>
        </w:trPr>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0"/>
                <w:szCs w:val="20"/>
                <w:color w:val="auto"/>
              </w:rPr>
            </w:pP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3,284</w:t>
            </w:r>
          </w:p>
        </w:tc>
        <w:tc>
          <w:tcPr>
            <w:tcW w:w="340" w:type="dxa"/>
            <w:vAlign w:val="bottom"/>
          </w:tcPr>
          <w:p>
            <w:pPr>
              <w:spacing w:after="0"/>
              <w:rPr>
                <w:sz w:val="20"/>
                <w:szCs w:val="20"/>
                <w:color w:val="auto"/>
              </w:rPr>
            </w:pPr>
          </w:p>
        </w:tc>
        <w:tc>
          <w:tcPr>
            <w:tcW w:w="1300" w:type="dxa"/>
            <w:vAlign w:val="bottom"/>
          </w:tcPr>
          <w:p>
            <w:pPr>
              <w:jc w:val="right"/>
              <w:ind w:right="138"/>
              <w:spacing w:after="0"/>
              <w:rPr>
                <w:sz w:val="20"/>
                <w:szCs w:val="20"/>
                <w:color w:val="auto"/>
              </w:rPr>
            </w:pPr>
            <w:r>
              <w:rPr>
                <w:rFonts w:ascii="Arial" w:cs="Arial" w:eastAsia="Arial" w:hAnsi="Arial"/>
                <w:sz w:val="16"/>
                <w:szCs w:val="16"/>
                <w:color w:val="auto"/>
              </w:rPr>
              <w:t>2,962</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LIFO expense</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1,041</w:t>
            </w: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934</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Asset impairment</w:t>
            </w:r>
          </w:p>
        </w:tc>
        <w:tc>
          <w:tcPr>
            <w:tcW w:w="280" w:type="dxa"/>
            <w:vAlign w:val="bottom"/>
          </w:tcPr>
          <w:p>
            <w:pPr>
              <w:spacing w:after="0"/>
              <w:rPr>
                <w:sz w:val="20"/>
                <w:szCs w:val="20"/>
                <w:color w:val="auto"/>
              </w:rPr>
            </w:pP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462</w:t>
            </w:r>
          </w:p>
        </w:tc>
        <w:tc>
          <w:tcPr>
            <w:tcW w:w="340" w:type="dxa"/>
            <w:vAlign w:val="bottom"/>
          </w:tcPr>
          <w:p>
            <w:pPr>
              <w:spacing w:after="0"/>
              <w:rPr>
                <w:sz w:val="20"/>
                <w:szCs w:val="20"/>
                <w:color w:val="auto"/>
              </w:rPr>
            </w:pPr>
          </w:p>
        </w:tc>
        <w:tc>
          <w:tcPr>
            <w:tcW w:w="1300" w:type="dxa"/>
            <w:vAlign w:val="bottom"/>
          </w:tcPr>
          <w:p>
            <w:pPr>
              <w:jc w:val="right"/>
              <w:ind w:right="138"/>
              <w:spacing w:after="0"/>
              <w:rPr>
                <w:sz w:val="20"/>
                <w:szCs w:val="20"/>
                <w:color w:val="auto"/>
              </w:rPr>
            </w:pPr>
            <w:r>
              <w:rPr>
                <w:rFonts w:ascii="Arial" w:cs="Arial" w:eastAsia="Arial" w:hAnsi="Arial"/>
                <w:sz w:val="16"/>
                <w:szCs w:val="16"/>
                <w:color w:val="auto"/>
              </w:rPr>
              <w:t>—</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Stock-based compensation</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1,739</w:t>
            </w: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1,694</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20"/>
                <w:szCs w:val="20"/>
                <w:color w:val="auto"/>
              </w:rPr>
            </w:pP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2,793</w:t>
            </w:r>
          </w:p>
        </w:tc>
        <w:tc>
          <w:tcPr>
            <w:tcW w:w="340" w:type="dxa"/>
            <w:vAlign w:val="bottom"/>
          </w:tcPr>
          <w:p>
            <w:pPr>
              <w:spacing w:after="0"/>
              <w:rPr>
                <w:sz w:val="20"/>
                <w:szCs w:val="20"/>
                <w:color w:val="auto"/>
              </w:rPr>
            </w:pPr>
          </w:p>
        </w:tc>
        <w:tc>
          <w:tcPr>
            <w:tcW w:w="1300" w:type="dxa"/>
            <w:vAlign w:val="bottom"/>
          </w:tcPr>
          <w:p>
            <w:pPr>
              <w:jc w:val="right"/>
              <w:ind w:right="138"/>
              <w:spacing w:after="0"/>
              <w:rPr>
                <w:sz w:val="20"/>
                <w:szCs w:val="20"/>
                <w:color w:val="auto"/>
              </w:rPr>
            </w:pPr>
            <w:r>
              <w:rPr>
                <w:rFonts w:ascii="Arial" w:cs="Arial" w:eastAsia="Arial" w:hAnsi="Arial"/>
                <w:sz w:val="16"/>
                <w:szCs w:val="16"/>
                <w:color w:val="auto"/>
              </w:rPr>
              <w:t>464</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Postretirement benefit income and deferred compensation expenses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(752)</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Provision for doubtful accounts</w:t>
            </w:r>
          </w:p>
        </w:tc>
        <w:tc>
          <w:tcPr>
            <w:tcW w:w="280" w:type="dxa"/>
            <w:vAlign w:val="bottom"/>
          </w:tcPr>
          <w:p>
            <w:pPr>
              <w:spacing w:after="0"/>
              <w:rPr>
                <w:sz w:val="20"/>
                <w:szCs w:val="20"/>
                <w:color w:val="auto"/>
              </w:rPr>
            </w:pP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300" w:type="dxa"/>
            <w:vAlign w:val="bottom"/>
          </w:tcPr>
          <w:p>
            <w:pPr>
              <w:jc w:val="right"/>
              <w:ind w:right="138"/>
              <w:spacing w:after="0"/>
              <w:rPr>
                <w:sz w:val="20"/>
                <w:szCs w:val="20"/>
                <w:color w:val="auto"/>
              </w:rPr>
            </w:pPr>
            <w:r>
              <w:rPr>
                <w:rFonts w:ascii="Arial" w:cs="Arial" w:eastAsia="Arial" w:hAnsi="Arial"/>
                <w:sz w:val="16"/>
                <w:szCs w:val="16"/>
                <w:color w:val="auto"/>
              </w:rPr>
              <w:t>1</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 on disposal of property</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(712)</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Gain on life insurance</w:t>
            </w:r>
          </w:p>
        </w:tc>
        <w:tc>
          <w:tcPr>
            <w:tcW w:w="280" w:type="dxa"/>
            <w:vAlign w:val="bottom"/>
          </w:tcPr>
          <w:p>
            <w:pPr>
              <w:spacing w:after="0"/>
              <w:rPr>
                <w:sz w:val="20"/>
                <w:szCs w:val="20"/>
                <w:color w:val="auto"/>
              </w:rPr>
            </w:pP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300" w:type="dxa"/>
            <w:vAlign w:val="bottom"/>
          </w:tcPr>
          <w:p>
            <w:pPr>
              <w:jc w:val="right"/>
              <w:ind w:right="78"/>
              <w:spacing w:after="0"/>
              <w:rPr>
                <w:sz w:val="20"/>
                <w:szCs w:val="20"/>
                <w:color w:val="auto"/>
              </w:rPr>
            </w:pPr>
            <w:r>
              <w:rPr>
                <w:rFonts w:ascii="Arial" w:cs="Arial" w:eastAsia="Arial" w:hAnsi="Arial"/>
                <w:sz w:val="16"/>
                <w:szCs w:val="16"/>
                <w:color w:val="auto"/>
              </w:rPr>
              <w:t>(726)</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Increase in cash surrender value of life insurance policies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w:t>
            </w: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(651)</w:t>
            </w:r>
          </w:p>
        </w:tc>
      </w:tr>
      <w:tr>
        <w:trPr>
          <w:trHeight w:val="260"/>
        </w:trPr>
        <w:tc>
          <w:tcPr>
            <w:tcW w:w="8280" w:type="dxa"/>
            <w:vAlign w:val="bottom"/>
          </w:tcPr>
          <w:p>
            <w:pPr>
              <w:ind w:left="40"/>
              <w:spacing w:after="0"/>
              <w:rPr>
                <w:sz w:val="20"/>
                <w:szCs w:val="20"/>
                <w:color w:val="auto"/>
              </w:rPr>
            </w:pPr>
            <w:r>
              <w:rPr>
                <w:rFonts w:ascii="Arial" w:cs="Arial" w:eastAsia="Arial" w:hAnsi="Arial"/>
                <w:sz w:val="16"/>
                <w:szCs w:val="16"/>
                <w:color w:val="auto"/>
              </w:rPr>
              <w:t>Change in assets and liabilities:</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(10,768)</w:t>
            </w: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(6,128)</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Receivables, prepaid and other assets</w:t>
            </w:r>
          </w:p>
        </w:tc>
        <w:tc>
          <w:tcPr>
            <w:tcW w:w="280" w:type="dxa"/>
            <w:vAlign w:val="bottom"/>
          </w:tcPr>
          <w:p>
            <w:pPr>
              <w:spacing w:after="0"/>
              <w:rPr>
                <w:sz w:val="20"/>
                <w:szCs w:val="20"/>
                <w:color w:val="auto"/>
              </w:rPr>
            </w:pP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3,581</w:t>
            </w:r>
          </w:p>
        </w:tc>
        <w:tc>
          <w:tcPr>
            <w:tcW w:w="340" w:type="dxa"/>
            <w:vAlign w:val="bottom"/>
          </w:tcPr>
          <w:p>
            <w:pPr>
              <w:spacing w:after="0"/>
              <w:rPr>
                <w:sz w:val="20"/>
                <w:szCs w:val="20"/>
                <w:color w:val="auto"/>
              </w:rPr>
            </w:pPr>
          </w:p>
        </w:tc>
        <w:tc>
          <w:tcPr>
            <w:tcW w:w="1300" w:type="dxa"/>
            <w:vAlign w:val="bottom"/>
          </w:tcPr>
          <w:p>
            <w:pPr>
              <w:jc w:val="right"/>
              <w:ind w:right="78"/>
              <w:spacing w:after="0"/>
              <w:rPr>
                <w:sz w:val="20"/>
                <w:szCs w:val="20"/>
                <w:color w:val="auto"/>
              </w:rPr>
            </w:pPr>
            <w:r>
              <w:rPr>
                <w:rFonts w:ascii="Arial" w:cs="Arial" w:eastAsia="Arial" w:hAnsi="Arial"/>
                <w:sz w:val="16"/>
                <w:szCs w:val="16"/>
                <w:color w:val="auto"/>
              </w:rPr>
              <w:t>(26,349)</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Investment in operating leases, net of repurchase obligations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(429)</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Income taxes and unrecognized tax benefits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(2,375)</w:t>
            </w:r>
          </w:p>
        </w:tc>
        <w:tc>
          <w:tcPr>
            <w:tcW w:w="340" w:type="dxa"/>
            <w:vAlign w:val="bottom"/>
          </w:tcPr>
          <w:p>
            <w:pPr>
              <w:spacing w:after="0"/>
              <w:rPr>
                <w:sz w:val="20"/>
                <w:szCs w:val="20"/>
                <w:color w:val="auto"/>
              </w:rPr>
            </w:pPr>
          </w:p>
        </w:tc>
        <w:tc>
          <w:tcPr>
            <w:tcW w:w="1300" w:type="dxa"/>
            <w:vAlign w:val="bottom"/>
          </w:tcPr>
          <w:p>
            <w:pPr>
              <w:jc w:val="right"/>
              <w:ind w:right="138"/>
              <w:spacing w:after="0"/>
              <w:rPr>
                <w:sz w:val="20"/>
                <w:szCs w:val="20"/>
                <w:color w:val="auto"/>
              </w:rPr>
            </w:pPr>
            <w:r>
              <w:rPr>
                <w:rFonts w:ascii="Arial" w:cs="Arial" w:eastAsia="Arial" w:hAnsi="Arial"/>
                <w:sz w:val="16"/>
                <w:szCs w:val="16"/>
                <w:color w:val="auto"/>
              </w:rPr>
              <w:t>1,986</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 and accrued expenses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(6,308)</w:t>
            </w: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8,851</w:t>
            </w:r>
          </w:p>
        </w:tc>
      </w:tr>
      <w:tr>
        <w:trPr>
          <w:trHeight w:val="237"/>
        </w:trPr>
        <w:tc>
          <w:tcPr>
            <w:tcW w:w="82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Postretirement and deferred compensation benefits</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(3,049)</w:t>
            </w: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(3,080)</w:t>
            </w:r>
          </w:p>
        </w:tc>
      </w:tr>
      <w:tr>
        <w:trPr>
          <w:trHeight w:val="237"/>
        </w:trPr>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18,557</w:t>
            </w:r>
          </w:p>
        </w:tc>
        <w:tc>
          <w:tcPr>
            <w:tcW w:w="3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rPr>
              <w:t>10,189</w:t>
            </w:r>
          </w:p>
        </w:tc>
      </w:tr>
      <w:tr>
        <w:trPr>
          <w:trHeight w:val="162"/>
        </w:trPr>
        <w:tc>
          <w:tcPr>
            <w:tcW w:w="8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70"/>
        </w:trPr>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Proceeds from the sale of investments</w:t>
            </w:r>
          </w:p>
        </w:tc>
        <w:tc>
          <w:tcPr>
            <w:tcW w:w="280" w:type="dxa"/>
            <w:vAlign w:val="bottom"/>
          </w:tcPr>
          <w:p>
            <w:pPr>
              <w:spacing w:after="0"/>
              <w:rPr>
                <w:sz w:val="20"/>
                <w:szCs w:val="20"/>
                <w:color w:val="auto"/>
              </w:rPr>
            </w:pP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300" w:type="dxa"/>
            <w:vAlign w:val="bottom"/>
          </w:tcPr>
          <w:p>
            <w:pPr>
              <w:jc w:val="right"/>
              <w:ind w:right="138"/>
              <w:spacing w:after="0"/>
              <w:rPr>
                <w:sz w:val="20"/>
                <w:szCs w:val="20"/>
                <w:color w:val="auto"/>
              </w:rPr>
            </w:pPr>
            <w:r>
              <w:rPr>
                <w:rFonts w:ascii="Arial" w:cs="Arial" w:eastAsia="Arial" w:hAnsi="Arial"/>
                <w:sz w:val="16"/>
                <w:szCs w:val="16"/>
                <w:color w:val="auto"/>
              </w:rPr>
              <w:t>2,350</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life insurance</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1,737</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Purchases of property and equipment</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(14,174)</w:t>
            </w:r>
          </w:p>
        </w:tc>
        <w:tc>
          <w:tcPr>
            <w:tcW w:w="340" w:type="dxa"/>
            <w:vAlign w:val="bottom"/>
          </w:tcPr>
          <w:p>
            <w:pPr>
              <w:spacing w:after="0"/>
              <w:rPr>
                <w:sz w:val="20"/>
                <w:szCs w:val="20"/>
                <w:color w:val="auto"/>
              </w:rPr>
            </w:pPr>
          </w:p>
        </w:tc>
        <w:tc>
          <w:tcPr>
            <w:tcW w:w="1300" w:type="dxa"/>
            <w:vAlign w:val="bottom"/>
          </w:tcPr>
          <w:p>
            <w:pPr>
              <w:jc w:val="right"/>
              <w:ind w:right="78"/>
              <w:spacing w:after="0"/>
              <w:rPr>
                <w:sz w:val="20"/>
                <w:szCs w:val="20"/>
                <w:color w:val="auto"/>
              </w:rPr>
            </w:pPr>
            <w:r>
              <w:rPr>
                <w:rFonts w:ascii="Arial" w:cs="Arial" w:eastAsia="Arial" w:hAnsi="Arial"/>
                <w:sz w:val="16"/>
                <w:szCs w:val="16"/>
                <w:color w:val="auto"/>
              </w:rPr>
              <w:t>(7,005)</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the sale of property</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43</w:t>
            </w: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2,403</w:t>
            </w:r>
          </w:p>
        </w:tc>
      </w:tr>
      <w:tr>
        <w:trPr>
          <w:trHeight w:val="237"/>
        </w:trPr>
        <w:tc>
          <w:tcPr>
            <w:tcW w:w="82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435</w:t>
            </w: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(1,123)</w:t>
            </w:r>
          </w:p>
        </w:tc>
      </w:tr>
      <w:tr>
        <w:trPr>
          <w:trHeight w:val="237"/>
        </w:trPr>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(13,696)</w:t>
            </w:r>
          </w:p>
        </w:tc>
        <w:tc>
          <w:tcPr>
            <w:tcW w:w="3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(1,638)</w:t>
            </w:r>
          </w:p>
        </w:tc>
      </w:tr>
      <w:tr>
        <w:trPr>
          <w:trHeight w:val="162"/>
        </w:trPr>
        <w:tc>
          <w:tcPr>
            <w:tcW w:w="8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70"/>
        </w:trPr>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Payments for purchase of common stock</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(6,166)</w:t>
            </w:r>
          </w:p>
        </w:tc>
        <w:tc>
          <w:tcPr>
            <w:tcW w:w="340" w:type="dxa"/>
            <w:vAlign w:val="bottom"/>
          </w:tcPr>
          <w:p>
            <w:pPr>
              <w:spacing w:after="0"/>
              <w:rPr>
                <w:sz w:val="20"/>
                <w:szCs w:val="20"/>
                <w:color w:val="auto"/>
              </w:rPr>
            </w:pPr>
          </w:p>
        </w:tc>
        <w:tc>
          <w:tcPr>
            <w:tcW w:w="1300" w:type="dxa"/>
            <w:vAlign w:val="bottom"/>
          </w:tcPr>
          <w:p>
            <w:pPr>
              <w:jc w:val="right"/>
              <w:ind w:right="78"/>
              <w:spacing w:after="0"/>
              <w:rPr>
                <w:sz w:val="20"/>
                <w:szCs w:val="20"/>
                <w:color w:val="auto"/>
              </w:rPr>
            </w:pPr>
            <w:r>
              <w:rPr>
                <w:rFonts w:ascii="Arial" w:cs="Arial" w:eastAsia="Arial" w:hAnsi="Arial"/>
                <w:sz w:val="16"/>
                <w:szCs w:val="16"/>
                <w:color w:val="auto"/>
              </w:rPr>
              <w:t>(24,324)</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Payments of cash dividends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(7,324)</w:t>
            </w: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Proceeds from exercise of stock options</w:t>
            </w:r>
          </w:p>
        </w:tc>
        <w:tc>
          <w:tcPr>
            <w:tcW w:w="280" w:type="dxa"/>
            <w:vAlign w:val="bottom"/>
          </w:tcPr>
          <w:p>
            <w:pPr>
              <w:spacing w:after="0"/>
              <w:rPr>
                <w:sz w:val="20"/>
                <w:szCs w:val="20"/>
                <w:color w:val="auto"/>
              </w:rPr>
            </w:pP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300" w:type="dxa"/>
            <w:vAlign w:val="bottom"/>
          </w:tcPr>
          <w:p>
            <w:pPr>
              <w:jc w:val="right"/>
              <w:ind w:right="138"/>
              <w:spacing w:after="0"/>
              <w:rPr>
                <w:sz w:val="20"/>
                <w:szCs w:val="20"/>
                <w:color w:val="auto"/>
              </w:rPr>
            </w:pPr>
            <w:r>
              <w:rPr>
                <w:rFonts w:ascii="Arial" w:cs="Arial" w:eastAsia="Arial" w:hAnsi="Arial"/>
                <w:sz w:val="16"/>
                <w:szCs w:val="16"/>
                <w:color w:val="auto"/>
              </w:rPr>
              <w:t>2,080</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Borrowings on loans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22,000</w:t>
            </w: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Repayment of loans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(22,000)</w:t>
            </w:r>
          </w:p>
        </w:tc>
        <w:tc>
          <w:tcPr>
            <w:tcW w:w="340" w:type="dxa"/>
            <w:vAlign w:val="bottom"/>
          </w:tcPr>
          <w:p>
            <w:pPr>
              <w:spacing w:after="0"/>
              <w:rPr>
                <w:sz w:val="20"/>
                <w:szCs w:val="20"/>
                <w:color w:val="auto"/>
              </w:rPr>
            </w:pPr>
          </w:p>
        </w:tc>
        <w:tc>
          <w:tcPr>
            <w:tcW w:w="1300" w:type="dxa"/>
            <w:vAlign w:val="bottom"/>
          </w:tcPr>
          <w:p>
            <w:pPr>
              <w:jc w:val="right"/>
              <w:ind w:right="138"/>
              <w:spacing w:after="0"/>
              <w:rPr>
                <w:sz w:val="20"/>
                <w:szCs w:val="20"/>
                <w:color w:val="auto"/>
              </w:rPr>
            </w:pPr>
            <w:r>
              <w:rPr>
                <w:rFonts w:ascii="Arial" w:cs="Arial" w:eastAsia="Arial" w:hAnsi="Arial"/>
                <w:sz w:val="16"/>
                <w:szCs w:val="16"/>
                <w:color w:val="auto"/>
              </w:rPr>
              <w:t>—</w:t>
            </w:r>
          </w:p>
        </w:tc>
      </w:tr>
      <w:tr>
        <w:trPr>
          <w:trHeight w:val="246"/>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40</w:t>
            </w:r>
          </w:p>
        </w:tc>
        <w:tc>
          <w:tcPr>
            <w:tcW w:w="3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(94)</w:t>
            </w:r>
          </w:p>
        </w:tc>
      </w:tr>
      <w:tr>
        <w:trPr>
          <w:trHeight w:val="237"/>
        </w:trPr>
        <w:tc>
          <w:tcPr>
            <w:tcW w:w="82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(13,450)</w:t>
            </w: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(22,338)</w:t>
            </w:r>
          </w:p>
        </w:tc>
      </w:tr>
      <w:tr>
        <w:trPr>
          <w:trHeight w:val="162"/>
        </w:trPr>
        <w:tc>
          <w:tcPr>
            <w:tcW w:w="8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233"/>
        </w:trPr>
        <w:tc>
          <w:tcPr>
            <w:tcW w:w="8280" w:type="dxa"/>
            <w:vAlign w:val="bottom"/>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(8,589)</w:t>
            </w:r>
          </w:p>
        </w:tc>
        <w:tc>
          <w:tcPr>
            <w:tcW w:w="340" w:type="dxa"/>
            <w:vAlign w:val="bottom"/>
          </w:tcPr>
          <w:p>
            <w:pPr>
              <w:spacing w:after="0"/>
              <w:rPr>
                <w:sz w:val="20"/>
                <w:szCs w:val="20"/>
                <w:color w:val="auto"/>
              </w:rPr>
            </w:pPr>
          </w:p>
        </w:tc>
        <w:tc>
          <w:tcPr>
            <w:tcW w:w="1300" w:type="dxa"/>
            <w:vAlign w:val="bottom"/>
          </w:tcPr>
          <w:p>
            <w:pPr>
              <w:jc w:val="right"/>
              <w:ind w:right="78"/>
              <w:spacing w:after="0"/>
              <w:rPr>
                <w:sz w:val="20"/>
                <w:szCs w:val="20"/>
                <w:color w:val="auto"/>
              </w:rPr>
            </w:pPr>
            <w:r>
              <w:rPr>
                <w:rFonts w:ascii="Arial" w:cs="Arial" w:eastAsia="Arial" w:hAnsi="Arial"/>
                <w:sz w:val="16"/>
                <w:szCs w:val="16"/>
                <w:color w:val="auto"/>
              </w:rPr>
              <w:t>(13,787)</w:t>
            </w:r>
          </w:p>
        </w:tc>
      </w:tr>
      <w:tr>
        <w:trPr>
          <w:trHeight w:val="246"/>
        </w:trPr>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57,804</w:t>
            </w:r>
          </w:p>
        </w:tc>
        <w:tc>
          <w:tcPr>
            <w:tcW w:w="3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rPr>
              <w:t>64,277</w:t>
            </w:r>
          </w:p>
        </w:tc>
      </w:tr>
      <w:tr>
        <w:trPr>
          <w:trHeight w:val="280"/>
        </w:trPr>
        <w:tc>
          <w:tcPr>
            <w:tcW w:w="82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49,215</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50,490</w:t>
            </w:r>
          </w:p>
        </w:tc>
      </w:tr>
      <w:tr>
        <w:trPr>
          <w:trHeight w:val="146"/>
        </w:trPr>
        <w:tc>
          <w:tcPr>
            <w:tcW w:w="8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260"/>
        </w:trPr>
        <w:tc>
          <w:tcPr>
            <w:tcW w:w="8280" w:type="dxa"/>
            <w:vAlign w:val="bottom"/>
          </w:tcPr>
          <w:p>
            <w:pPr>
              <w:ind w:left="40"/>
              <w:spacing w:after="0"/>
              <w:rPr>
                <w:sz w:val="20"/>
                <w:szCs w:val="20"/>
                <w:color w:val="auto"/>
              </w:rPr>
            </w:pPr>
            <w:r>
              <w:rPr>
                <w:rFonts w:ascii="Arial" w:cs="Arial" w:eastAsia="Arial" w:hAnsi="Arial"/>
                <w:sz w:val="16"/>
                <w:szCs w:val="16"/>
                <w:color w:val="auto"/>
              </w:rPr>
              <w:t>Supplemental cash flow disclosure:</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taxes paid</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12,631</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11,814</w:t>
            </w:r>
          </w:p>
        </w:tc>
      </w:tr>
      <w:tr>
        <w:trPr>
          <w:trHeight w:val="224"/>
        </w:trPr>
        <w:tc>
          <w:tcPr>
            <w:tcW w:w="8280" w:type="dxa"/>
            <w:vAlign w:val="bottom"/>
          </w:tcPr>
          <w:p>
            <w:pPr>
              <w:ind w:left="280"/>
              <w:spacing w:after="0"/>
              <w:rPr>
                <w:sz w:val="20"/>
                <w:szCs w:val="20"/>
                <w:color w:val="auto"/>
              </w:rPr>
            </w:pPr>
            <w:r>
              <w:rPr>
                <w:rFonts w:ascii="Arial" w:cs="Arial" w:eastAsia="Arial" w:hAnsi="Arial"/>
                <w:sz w:val="16"/>
                <w:szCs w:val="16"/>
                <w:color w:val="auto"/>
              </w:rPr>
              <w:t>Interest paid</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10</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38"/>
              <w:spacing w:after="0"/>
              <w:rPr>
                <w:sz w:val="20"/>
                <w:szCs w:val="20"/>
                <w:color w:val="auto"/>
              </w:rPr>
            </w:pPr>
            <w:r>
              <w:rPr>
                <w:rFonts w:ascii="Arial" w:cs="Arial" w:eastAsia="Arial" w:hAnsi="Arial"/>
                <w:sz w:val="16"/>
                <w:szCs w:val="16"/>
                <w:color w:val="auto"/>
              </w:rPr>
              <w:t>—</w:t>
            </w:r>
          </w:p>
        </w:tc>
      </w:tr>
    </w:tbl>
    <w:p>
      <w:pPr>
        <w:sectPr>
          <w:pgSz w:w="11900" w:h="16838" w:orient="portrait"/>
          <w:cols w:equalWidth="0" w:num="1">
            <w:col w:w="11420"/>
          </w:cols>
          <w:pgMar w:left="240" w:top="57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Deliveries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4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3"/>
          </w:tcPr>
          <w:p>
            <w:pPr>
              <w:jc w:val="right"/>
              <w:ind w:right="719"/>
              <w:spacing w:after="0"/>
              <w:rPr>
                <w:sz w:val="20"/>
                <w:szCs w:val="20"/>
                <w:color w:val="auto"/>
              </w:rPr>
            </w:pPr>
            <w:r>
              <w:rPr>
                <w:rFonts w:ascii="Arial" w:cs="Arial" w:eastAsia="Arial" w:hAnsi="Arial"/>
                <w:sz w:val="16"/>
                <w:szCs w:val="16"/>
                <w:b w:val="1"/>
                <w:bCs w:val="1"/>
                <w:color w:val="auto"/>
              </w:rPr>
              <w:t>Quarter Ended</w:t>
            </w:r>
          </w:p>
        </w:tc>
        <w:tc>
          <w:tcPr>
            <w:tcW w:w="1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b w:val="1"/>
                <w:bCs w:val="1"/>
                <w:color w:val="auto"/>
                <w:w w:val="98"/>
              </w:rPr>
              <w:t>Change</w:t>
            </w:r>
          </w:p>
        </w:tc>
      </w:tr>
      <w:tr>
        <w:trPr>
          <w:trHeight w:val="198"/>
        </w:trPr>
        <w:tc>
          <w:tcPr>
            <w:tcW w:w="3240" w:type="dxa"/>
            <w:vAlign w:val="bottom"/>
          </w:tcPr>
          <w:p>
            <w:pPr>
              <w:spacing w:after="0"/>
              <w:rPr>
                <w:sz w:val="17"/>
                <w:szCs w:val="17"/>
                <w:color w:val="auto"/>
              </w:rPr>
            </w:pPr>
          </w:p>
        </w:tc>
        <w:tc>
          <w:tcPr>
            <w:tcW w:w="1300" w:type="dxa"/>
            <w:vAlign w:val="bottom"/>
          </w:tcPr>
          <w:p>
            <w:pPr>
              <w:jc w:val="center"/>
              <w:ind w:right="119"/>
              <w:spacing w:after="0"/>
              <w:rPr>
                <w:sz w:val="20"/>
                <w:szCs w:val="20"/>
                <w:color w:val="auto"/>
              </w:rPr>
            </w:pPr>
            <w:r>
              <w:rPr>
                <w:rFonts w:ascii="Arial" w:cs="Arial" w:eastAsia="Arial" w:hAnsi="Arial"/>
                <w:sz w:val="16"/>
                <w:szCs w:val="16"/>
                <w:b w:val="1"/>
                <w:bCs w:val="1"/>
                <w:color w:val="auto"/>
              </w:rPr>
              <w:t>May 30,</w:t>
            </w:r>
          </w:p>
        </w:tc>
        <w:tc>
          <w:tcPr>
            <w:tcW w:w="1420" w:type="dxa"/>
            <w:vAlign w:val="bottom"/>
            <w:gridSpan w:val="2"/>
          </w:tcPr>
          <w:p>
            <w:pPr>
              <w:ind w:left="280"/>
              <w:spacing w:after="0"/>
              <w:rPr>
                <w:sz w:val="20"/>
                <w:szCs w:val="20"/>
                <w:color w:val="auto"/>
              </w:rPr>
            </w:pPr>
            <w:r>
              <w:rPr>
                <w:rFonts w:ascii="Arial" w:cs="Arial" w:eastAsia="Arial" w:hAnsi="Arial"/>
                <w:sz w:val="16"/>
                <w:szCs w:val="16"/>
                <w:b w:val="1"/>
                <w:bCs w:val="1"/>
                <w:color w:val="auto"/>
              </w:rPr>
              <w:t>Product</w:t>
            </w:r>
          </w:p>
        </w:tc>
        <w:tc>
          <w:tcPr>
            <w:tcW w:w="1320" w:type="dxa"/>
            <w:vAlign w:val="bottom"/>
          </w:tcPr>
          <w:p>
            <w:pPr>
              <w:jc w:val="center"/>
              <w:ind w:right="259"/>
              <w:spacing w:after="0"/>
              <w:rPr>
                <w:sz w:val="20"/>
                <w:szCs w:val="20"/>
                <w:color w:val="auto"/>
              </w:rPr>
            </w:pPr>
            <w:r>
              <w:rPr>
                <w:rFonts w:ascii="Arial" w:cs="Arial" w:eastAsia="Arial" w:hAnsi="Arial"/>
                <w:sz w:val="16"/>
                <w:szCs w:val="16"/>
                <w:b w:val="1"/>
                <w:bCs w:val="1"/>
                <w:color w:val="auto"/>
              </w:rPr>
              <w:t>May 31,</w:t>
            </w:r>
          </w:p>
        </w:tc>
        <w:tc>
          <w:tcPr>
            <w:tcW w:w="140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1080" w:type="dxa"/>
            <w:vAlign w:val="bottom"/>
          </w:tcPr>
          <w:p>
            <w:pPr>
              <w:spacing w:after="0"/>
              <w:rPr>
                <w:sz w:val="17"/>
                <w:szCs w:val="17"/>
                <w:color w:val="auto"/>
              </w:rPr>
            </w:pPr>
          </w:p>
        </w:tc>
        <w:tc>
          <w:tcPr>
            <w:tcW w:w="1660" w:type="dxa"/>
            <w:vAlign w:val="bottom"/>
          </w:tcPr>
          <w:p>
            <w:pPr>
              <w:jc w:val="center"/>
              <w:ind w:left="19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240" w:type="dxa"/>
            <w:vAlign w:val="bottom"/>
          </w:tcPr>
          <w:p>
            <w:pPr>
              <w:ind w:left="40"/>
              <w:spacing w:after="0"/>
              <w:rPr>
                <w:sz w:val="20"/>
                <w:szCs w:val="20"/>
                <w:color w:val="auto"/>
              </w:rPr>
            </w:pPr>
            <w:r>
              <w:rPr>
                <w:rFonts w:ascii="Arial" w:cs="Arial" w:eastAsia="Arial" w:hAnsi="Arial"/>
                <w:sz w:val="16"/>
                <w:szCs w:val="16"/>
                <w:b w:val="1"/>
                <w:bCs w:val="1"/>
                <w:color w:val="auto"/>
              </w:rPr>
              <w:t>(In units)</w:t>
            </w: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2015</w:t>
            </w:r>
          </w:p>
        </w:tc>
        <w:tc>
          <w:tcPr>
            <w:tcW w:w="1420" w:type="dxa"/>
            <w:vAlign w:val="bottom"/>
            <w:gridSpan w:val="2"/>
          </w:tcPr>
          <w:p>
            <w:pPr>
              <w:ind w:left="26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320" w:type="dxa"/>
            <w:vAlign w:val="bottom"/>
          </w:tcPr>
          <w:p>
            <w:pPr>
              <w:jc w:val="center"/>
              <w:ind w:right="199"/>
              <w:spacing w:after="0"/>
              <w:rPr>
                <w:sz w:val="20"/>
                <w:szCs w:val="20"/>
                <w:color w:val="auto"/>
              </w:rPr>
            </w:pPr>
            <w:r>
              <w:rPr>
                <w:rFonts w:ascii="Arial" w:cs="Arial" w:eastAsia="Arial" w:hAnsi="Arial"/>
                <w:sz w:val="16"/>
                <w:szCs w:val="16"/>
                <w:b w:val="1"/>
                <w:bCs w:val="1"/>
                <w:color w:val="auto"/>
              </w:rPr>
              <w:t>2014</w:t>
            </w:r>
          </w:p>
        </w:tc>
        <w:tc>
          <w:tcPr>
            <w:tcW w:w="1400" w:type="dxa"/>
            <w:vAlign w:val="bottom"/>
            <w:gridSpan w:val="2"/>
          </w:tcPr>
          <w:p>
            <w:pPr>
              <w:ind w:left="24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080" w:type="dxa"/>
            <w:vAlign w:val="bottom"/>
          </w:tcPr>
          <w:p>
            <w:pPr>
              <w:jc w:val="right"/>
              <w:ind w:right="119"/>
              <w:spacing w:after="0"/>
              <w:rPr>
                <w:sz w:val="20"/>
                <w:szCs w:val="20"/>
                <w:color w:val="auto"/>
              </w:rPr>
            </w:pPr>
            <w:r>
              <w:rPr>
                <w:rFonts w:ascii="Arial" w:cs="Arial" w:eastAsia="Arial" w:hAnsi="Arial"/>
                <w:sz w:val="16"/>
                <w:szCs w:val="16"/>
                <w:b w:val="1"/>
                <w:bCs w:val="1"/>
                <w:color w:val="auto"/>
              </w:rPr>
              <w:t>Units</w:t>
            </w:r>
          </w:p>
        </w:tc>
        <w:tc>
          <w:tcPr>
            <w:tcW w:w="1660" w:type="dxa"/>
            <w:vAlign w:val="bottom"/>
          </w:tcPr>
          <w:p>
            <w:pPr>
              <w:jc w:val="center"/>
              <w:ind w:left="179"/>
              <w:spacing w:after="0"/>
              <w:rPr>
                <w:sz w:val="20"/>
                <w:szCs w:val="20"/>
                <w:color w:val="auto"/>
              </w:rPr>
            </w:pPr>
            <w:r>
              <w:rPr>
                <w:rFonts w:ascii="Arial" w:cs="Arial" w:eastAsia="Arial" w:hAnsi="Arial"/>
                <w:sz w:val="16"/>
                <w:szCs w:val="16"/>
                <w:b w:val="1"/>
                <w:bCs w:val="1"/>
                <w:color w:val="auto"/>
              </w:rPr>
              <w:t>Change</w:t>
            </w:r>
          </w:p>
        </w:tc>
      </w:tr>
      <w:tr>
        <w:trPr>
          <w:trHeight w:val="250"/>
        </w:trPr>
        <w:tc>
          <w:tcPr>
            <w:tcW w:w="3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30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601</w:t>
            </w:r>
          </w:p>
        </w:tc>
        <w:tc>
          <w:tcPr>
            <w:tcW w:w="13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23.2%</w:t>
            </w:r>
          </w:p>
        </w:tc>
        <w:tc>
          <w:tcPr>
            <w:tcW w:w="120" w:type="dxa"/>
            <w:vAlign w:val="bottom"/>
            <w:tcBorders>
              <w:top w:val="single" w:sz="8" w:color="CCEEFF"/>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786</w:t>
            </w:r>
          </w:p>
        </w:tc>
        <w:tc>
          <w:tcPr>
            <w:tcW w:w="13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33.7%</w:t>
            </w:r>
          </w:p>
        </w:tc>
        <w:tc>
          <w:tcPr>
            <w:tcW w:w="100" w:type="dxa"/>
            <w:vAlign w:val="bottom"/>
            <w:tcBorders>
              <w:top w:val="single" w:sz="8" w:color="CCEEFF"/>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6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(23.5)%</w:t>
            </w:r>
          </w:p>
        </w:tc>
      </w:tr>
      <w:tr>
        <w:trPr>
          <w:trHeight w:val="264"/>
        </w:trPr>
        <w:tc>
          <w:tcPr>
            <w:tcW w:w="3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285</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280</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1.8 %</w:t>
            </w:r>
          </w:p>
        </w:tc>
      </w:tr>
      <w:tr>
        <w:trPr>
          <w:trHeight w:val="257"/>
        </w:trPr>
        <w:tc>
          <w:tcPr>
            <w:tcW w:w="3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Class A</w:t>
            </w: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886</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34.1%</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1,066</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45.7%</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6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(16.9)%</w:t>
            </w:r>
          </w:p>
        </w:tc>
      </w:tr>
      <w:tr>
        <w:trPr>
          <w:trHeight w:val="260"/>
        </w:trPr>
        <w:tc>
          <w:tcPr>
            <w:tcW w:w="3240" w:type="dxa"/>
            <w:vAlign w:val="bottom"/>
          </w:tcPr>
          <w:p>
            <w:pPr>
              <w:ind w:left="40"/>
              <w:spacing w:after="0"/>
              <w:rPr>
                <w:sz w:val="20"/>
                <w:szCs w:val="20"/>
                <w:color w:val="auto"/>
              </w:rPr>
            </w:pPr>
            <w:r>
              <w:rPr>
                <w:rFonts w:ascii="Arial" w:cs="Arial" w:eastAsia="Arial" w:hAnsi="Arial"/>
                <w:sz w:val="16"/>
                <w:szCs w:val="16"/>
                <w:color w:val="auto"/>
              </w:rPr>
              <w:t>Class B</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270</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2"/>
                <w:szCs w:val="22"/>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224</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w:t>
            </w:r>
          </w:p>
        </w:tc>
        <w:tc>
          <w:tcPr>
            <w:tcW w:w="1660" w:type="dxa"/>
            <w:vAlign w:val="bottom"/>
          </w:tcPr>
          <w:p>
            <w:pPr>
              <w:jc w:val="right"/>
              <w:ind w:right="99"/>
              <w:spacing w:after="0"/>
              <w:rPr>
                <w:sz w:val="20"/>
                <w:szCs w:val="20"/>
                <w:color w:val="auto"/>
              </w:rPr>
            </w:pPr>
            <w:r>
              <w:rPr>
                <w:rFonts w:ascii="Arial" w:cs="Arial" w:eastAsia="Arial" w:hAnsi="Arial"/>
                <w:sz w:val="16"/>
                <w:szCs w:val="16"/>
                <w:color w:val="auto"/>
              </w:rPr>
              <w:t>20.5 %</w:t>
            </w:r>
          </w:p>
        </w:tc>
      </w:tr>
      <w:tr>
        <w:trPr>
          <w:trHeight w:val="273"/>
        </w:trPr>
        <w:tc>
          <w:tcPr>
            <w:tcW w:w="3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1,440</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55.5%</w:t>
            </w:r>
          </w:p>
        </w:tc>
        <w:tc>
          <w:tcPr>
            <w:tcW w:w="12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1,041</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44.7%</w:t>
            </w:r>
          </w:p>
        </w:tc>
        <w:tc>
          <w:tcPr>
            <w:tcW w:w="10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16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38.3 %</w:t>
            </w:r>
          </w:p>
        </w:tc>
      </w:tr>
      <w:tr>
        <w:trPr>
          <w:trHeight w:val="280"/>
        </w:trPr>
        <w:tc>
          <w:tcPr>
            <w:tcW w:w="32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motorhomes</w:t>
            </w: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2,596</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2,331</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1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11.4 %</w:t>
            </w:r>
          </w:p>
        </w:tc>
      </w:tr>
      <w:tr>
        <w:trPr>
          <w:trHeight w:val="146"/>
        </w:trPr>
        <w:tc>
          <w:tcPr>
            <w:tcW w:w="32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r>
      <w:tr>
        <w:trPr>
          <w:trHeight w:val="260"/>
        </w:trPr>
        <w:tc>
          <w:tcPr>
            <w:tcW w:w="3240" w:type="dxa"/>
            <w:vAlign w:val="bottom"/>
          </w:tcPr>
          <w:p>
            <w:pPr>
              <w:ind w:left="40"/>
              <w:spacing w:after="0"/>
              <w:rPr>
                <w:sz w:val="20"/>
                <w:szCs w:val="20"/>
                <w:color w:val="auto"/>
              </w:rPr>
            </w:pPr>
            <w:r>
              <w:rPr>
                <w:rFonts w:ascii="Arial" w:cs="Arial" w:eastAsia="Arial" w:hAnsi="Arial"/>
                <w:sz w:val="16"/>
                <w:szCs w:val="16"/>
                <w:color w:val="auto"/>
              </w:rPr>
              <w:t>Travel trailer</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598</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80.6%</w:t>
            </w:r>
          </w:p>
        </w:tc>
        <w:tc>
          <w:tcPr>
            <w:tcW w:w="120" w:type="dxa"/>
            <w:vAlign w:val="bottom"/>
          </w:tcPr>
          <w:p>
            <w:pPr>
              <w:spacing w:after="0"/>
              <w:rPr>
                <w:sz w:val="22"/>
                <w:szCs w:val="22"/>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598</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82.3%</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99"/>
              <w:spacing w:after="0"/>
              <w:rPr>
                <w:sz w:val="20"/>
                <w:szCs w:val="20"/>
                <w:color w:val="auto"/>
              </w:rPr>
            </w:pPr>
            <w:r>
              <w:rPr>
                <w:rFonts w:ascii="Arial" w:cs="Arial" w:eastAsia="Arial" w:hAnsi="Arial"/>
                <w:sz w:val="16"/>
                <w:szCs w:val="16"/>
                <w:color w:val="auto"/>
              </w:rPr>
              <w:t>— %</w:t>
            </w:r>
          </w:p>
        </w:tc>
      </w:tr>
      <w:tr>
        <w:trPr>
          <w:trHeight w:val="273"/>
        </w:trPr>
        <w:tc>
          <w:tcPr>
            <w:tcW w:w="3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144</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19.4%</w:t>
            </w:r>
          </w:p>
        </w:tc>
        <w:tc>
          <w:tcPr>
            <w:tcW w:w="12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129</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6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11.6 %</w:t>
            </w:r>
          </w:p>
        </w:tc>
      </w:tr>
      <w:tr>
        <w:trPr>
          <w:trHeight w:val="240"/>
        </w:trPr>
        <w:tc>
          <w:tcPr>
            <w:tcW w:w="3240" w:type="dxa"/>
            <w:vAlign w:val="bottom"/>
          </w:tcPr>
          <w:p>
            <w:pPr>
              <w:ind w:left="220"/>
              <w:spacing w:after="0"/>
              <w:rPr>
                <w:sz w:val="20"/>
                <w:szCs w:val="20"/>
                <w:color w:val="auto"/>
              </w:rPr>
            </w:pPr>
            <w:r>
              <w:rPr>
                <w:rFonts w:ascii="Arial" w:cs="Arial" w:eastAsia="Arial" w:hAnsi="Arial"/>
                <w:sz w:val="16"/>
                <w:szCs w:val="16"/>
                <w:color w:val="auto"/>
              </w:rPr>
              <w:t>Total Towables</w:t>
            </w: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742</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727</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2.1 %</w:t>
            </w:r>
          </w:p>
        </w:tc>
      </w:tr>
      <w:tr>
        <w:trPr>
          <w:trHeight w:val="20"/>
        </w:trPr>
        <w:tc>
          <w:tcPr>
            <w:tcW w:w="3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409"/>
        </w:trPr>
        <w:tc>
          <w:tcPr>
            <w:tcW w:w="324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6"/>
                <w:szCs w:val="16"/>
                <w:b w:val="1"/>
                <w:bCs w:val="1"/>
                <w:color w:val="auto"/>
              </w:rPr>
              <w:t>Nine Months Ended</w:t>
            </w: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b w:val="1"/>
                <w:bCs w:val="1"/>
                <w:color w:val="auto"/>
                <w:w w:val="98"/>
              </w:rPr>
              <w:t>Change</w:t>
            </w:r>
          </w:p>
        </w:tc>
      </w:tr>
      <w:tr>
        <w:trPr>
          <w:trHeight w:val="198"/>
        </w:trPr>
        <w:tc>
          <w:tcPr>
            <w:tcW w:w="3240" w:type="dxa"/>
            <w:vAlign w:val="bottom"/>
          </w:tcPr>
          <w:p>
            <w:pPr>
              <w:spacing w:after="0"/>
              <w:rPr>
                <w:sz w:val="17"/>
                <w:szCs w:val="17"/>
                <w:color w:val="auto"/>
              </w:rPr>
            </w:pPr>
          </w:p>
        </w:tc>
        <w:tc>
          <w:tcPr>
            <w:tcW w:w="1300" w:type="dxa"/>
            <w:vAlign w:val="bottom"/>
          </w:tcPr>
          <w:p>
            <w:pPr>
              <w:jc w:val="center"/>
              <w:ind w:right="119"/>
              <w:spacing w:after="0"/>
              <w:rPr>
                <w:sz w:val="20"/>
                <w:szCs w:val="20"/>
                <w:color w:val="auto"/>
              </w:rPr>
            </w:pPr>
            <w:r>
              <w:rPr>
                <w:rFonts w:ascii="Arial" w:cs="Arial" w:eastAsia="Arial" w:hAnsi="Arial"/>
                <w:sz w:val="16"/>
                <w:szCs w:val="16"/>
                <w:b w:val="1"/>
                <w:bCs w:val="1"/>
                <w:color w:val="auto"/>
              </w:rPr>
              <w:t>May 30,</w:t>
            </w:r>
          </w:p>
        </w:tc>
        <w:tc>
          <w:tcPr>
            <w:tcW w:w="1420" w:type="dxa"/>
            <w:vAlign w:val="bottom"/>
            <w:gridSpan w:val="2"/>
          </w:tcPr>
          <w:p>
            <w:pPr>
              <w:ind w:left="280"/>
              <w:spacing w:after="0"/>
              <w:rPr>
                <w:sz w:val="20"/>
                <w:szCs w:val="20"/>
                <w:color w:val="auto"/>
              </w:rPr>
            </w:pPr>
            <w:r>
              <w:rPr>
                <w:rFonts w:ascii="Arial" w:cs="Arial" w:eastAsia="Arial" w:hAnsi="Arial"/>
                <w:sz w:val="16"/>
                <w:szCs w:val="16"/>
                <w:b w:val="1"/>
                <w:bCs w:val="1"/>
                <w:color w:val="auto"/>
              </w:rPr>
              <w:t>Product</w:t>
            </w:r>
          </w:p>
        </w:tc>
        <w:tc>
          <w:tcPr>
            <w:tcW w:w="1320" w:type="dxa"/>
            <w:vAlign w:val="bottom"/>
          </w:tcPr>
          <w:p>
            <w:pPr>
              <w:jc w:val="center"/>
              <w:ind w:right="259"/>
              <w:spacing w:after="0"/>
              <w:rPr>
                <w:sz w:val="20"/>
                <w:szCs w:val="20"/>
                <w:color w:val="auto"/>
              </w:rPr>
            </w:pPr>
            <w:r>
              <w:rPr>
                <w:rFonts w:ascii="Arial" w:cs="Arial" w:eastAsia="Arial" w:hAnsi="Arial"/>
                <w:sz w:val="16"/>
                <w:szCs w:val="16"/>
                <w:b w:val="1"/>
                <w:bCs w:val="1"/>
                <w:color w:val="auto"/>
              </w:rPr>
              <w:t>May 31,</w:t>
            </w:r>
          </w:p>
        </w:tc>
        <w:tc>
          <w:tcPr>
            <w:tcW w:w="140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1080" w:type="dxa"/>
            <w:vAlign w:val="bottom"/>
          </w:tcPr>
          <w:p>
            <w:pPr>
              <w:spacing w:after="0"/>
              <w:rPr>
                <w:sz w:val="17"/>
                <w:szCs w:val="17"/>
                <w:color w:val="auto"/>
              </w:rPr>
            </w:pPr>
          </w:p>
        </w:tc>
        <w:tc>
          <w:tcPr>
            <w:tcW w:w="1660" w:type="dxa"/>
            <w:vAlign w:val="bottom"/>
          </w:tcPr>
          <w:p>
            <w:pPr>
              <w:jc w:val="center"/>
              <w:ind w:left="19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240" w:type="dxa"/>
            <w:vAlign w:val="bottom"/>
          </w:tcPr>
          <w:p>
            <w:pPr>
              <w:ind w:left="40"/>
              <w:spacing w:after="0"/>
              <w:rPr>
                <w:sz w:val="20"/>
                <w:szCs w:val="20"/>
                <w:color w:val="auto"/>
              </w:rPr>
            </w:pPr>
            <w:r>
              <w:rPr>
                <w:rFonts w:ascii="Arial" w:cs="Arial" w:eastAsia="Arial" w:hAnsi="Arial"/>
                <w:sz w:val="16"/>
                <w:szCs w:val="16"/>
                <w:b w:val="1"/>
                <w:bCs w:val="1"/>
                <w:color w:val="auto"/>
              </w:rPr>
              <w:t>(In units)</w:t>
            </w: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2015</w:t>
            </w:r>
          </w:p>
        </w:tc>
        <w:tc>
          <w:tcPr>
            <w:tcW w:w="1420" w:type="dxa"/>
            <w:vAlign w:val="bottom"/>
            <w:gridSpan w:val="2"/>
          </w:tcPr>
          <w:p>
            <w:pPr>
              <w:ind w:left="26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320" w:type="dxa"/>
            <w:vAlign w:val="bottom"/>
          </w:tcPr>
          <w:p>
            <w:pPr>
              <w:jc w:val="center"/>
              <w:ind w:right="199"/>
              <w:spacing w:after="0"/>
              <w:rPr>
                <w:sz w:val="20"/>
                <w:szCs w:val="20"/>
                <w:color w:val="auto"/>
              </w:rPr>
            </w:pPr>
            <w:r>
              <w:rPr>
                <w:rFonts w:ascii="Arial" w:cs="Arial" w:eastAsia="Arial" w:hAnsi="Arial"/>
                <w:sz w:val="16"/>
                <w:szCs w:val="16"/>
                <w:b w:val="1"/>
                <w:bCs w:val="1"/>
                <w:color w:val="auto"/>
              </w:rPr>
              <w:t>2014</w:t>
            </w:r>
          </w:p>
        </w:tc>
        <w:tc>
          <w:tcPr>
            <w:tcW w:w="1400" w:type="dxa"/>
            <w:vAlign w:val="bottom"/>
            <w:gridSpan w:val="2"/>
          </w:tcPr>
          <w:p>
            <w:pPr>
              <w:ind w:left="24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080" w:type="dxa"/>
            <w:vAlign w:val="bottom"/>
          </w:tcPr>
          <w:p>
            <w:pPr>
              <w:jc w:val="right"/>
              <w:ind w:right="119"/>
              <w:spacing w:after="0"/>
              <w:rPr>
                <w:sz w:val="20"/>
                <w:szCs w:val="20"/>
                <w:color w:val="auto"/>
              </w:rPr>
            </w:pPr>
            <w:r>
              <w:rPr>
                <w:rFonts w:ascii="Arial" w:cs="Arial" w:eastAsia="Arial" w:hAnsi="Arial"/>
                <w:sz w:val="16"/>
                <w:szCs w:val="16"/>
                <w:b w:val="1"/>
                <w:bCs w:val="1"/>
                <w:color w:val="auto"/>
              </w:rPr>
              <w:t>Units</w:t>
            </w:r>
          </w:p>
        </w:tc>
        <w:tc>
          <w:tcPr>
            <w:tcW w:w="1660" w:type="dxa"/>
            <w:vAlign w:val="bottom"/>
          </w:tcPr>
          <w:p>
            <w:pPr>
              <w:jc w:val="center"/>
              <w:ind w:left="179"/>
              <w:spacing w:after="0"/>
              <w:rPr>
                <w:sz w:val="20"/>
                <w:szCs w:val="20"/>
                <w:color w:val="auto"/>
              </w:rPr>
            </w:pPr>
            <w:r>
              <w:rPr>
                <w:rFonts w:ascii="Arial" w:cs="Arial" w:eastAsia="Arial" w:hAnsi="Arial"/>
                <w:sz w:val="16"/>
                <w:szCs w:val="16"/>
                <w:b w:val="1"/>
                <w:bCs w:val="1"/>
                <w:color w:val="auto"/>
              </w:rPr>
              <w:t>Change</w:t>
            </w:r>
          </w:p>
        </w:tc>
      </w:tr>
      <w:tr>
        <w:trPr>
          <w:trHeight w:val="250"/>
        </w:trPr>
        <w:tc>
          <w:tcPr>
            <w:tcW w:w="3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30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1,740</w:t>
            </w:r>
          </w:p>
        </w:tc>
        <w:tc>
          <w:tcPr>
            <w:tcW w:w="13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25.9%</w:t>
            </w:r>
          </w:p>
        </w:tc>
        <w:tc>
          <w:tcPr>
            <w:tcW w:w="120" w:type="dxa"/>
            <w:vAlign w:val="bottom"/>
            <w:tcBorders>
              <w:top w:val="single" w:sz="8" w:color="CCEEFF"/>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2,085</w:t>
            </w:r>
          </w:p>
        </w:tc>
        <w:tc>
          <w:tcPr>
            <w:tcW w:w="13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32.6%</w:t>
            </w:r>
          </w:p>
        </w:tc>
        <w:tc>
          <w:tcPr>
            <w:tcW w:w="100" w:type="dxa"/>
            <w:vAlign w:val="bottom"/>
            <w:tcBorders>
              <w:top w:val="single" w:sz="8" w:color="CCEEFF"/>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6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(16.5)%</w:t>
            </w:r>
          </w:p>
        </w:tc>
      </w:tr>
      <w:tr>
        <w:trPr>
          <w:trHeight w:val="264"/>
        </w:trPr>
        <w:tc>
          <w:tcPr>
            <w:tcW w:w="3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883</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1,133</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1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(22.1)%</w:t>
            </w:r>
          </w:p>
        </w:tc>
      </w:tr>
      <w:tr>
        <w:trPr>
          <w:trHeight w:val="257"/>
        </w:trPr>
        <w:tc>
          <w:tcPr>
            <w:tcW w:w="3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Class A</w:t>
            </w: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2,623</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39.0%</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3,218</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50.4%</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6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(18.5)%</w:t>
            </w:r>
          </w:p>
        </w:tc>
      </w:tr>
      <w:tr>
        <w:trPr>
          <w:trHeight w:val="260"/>
        </w:trPr>
        <w:tc>
          <w:tcPr>
            <w:tcW w:w="3240" w:type="dxa"/>
            <w:vAlign w:val="bottom"/>
          </w:tcPr>
          <w:p>
            <w:pPr>
              <w:ind w:left="40"/>
              <w:spacing w:after="0"/>
              <w:rPr>
                <w:sz w:val="20"/>
                <w:szCs w:val="20"/>
                <w:color w:val="auto"/>
              </w:rPr>
            </w:pPr>
            <w:r>
              <w:rPr>
                <w:rFonts w:ascii="Arial" w:cs="Arial" w:eastAsia="Arial" w:hAnsi="Arial"/>
                <w:sz w:val="16"/>
                <w:szCs w:val="16"/>
                <w:color w:val="auto"/>
              </w:rPr>
              <w:t>Class B</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735</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2"/>
                <w:szCs w:val="22"/>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524</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211</w:t>
            </w:r>
          </w:p>
        </w:tc>
        <w:tc>
          <w:tcPr>
            <w:tcW w:w="1660" w:type="dxa"/>
            <w:vAlign w:val="bottom"/>
          </w:tcPr>
          <w:p>
            <w:pPr>
              <w:jc w:val="right"/>
              <w:ind w:right="99"/>
              <w:spacing w:after="0"/>
              <w:rPr>
                <w:sz w:val="20"/>
                <w:szCs w:val="20"/>
                <w:color w:val="auto"/>
              </w:rPr>
            </w:pPr>
            <w:r>
              <w:rPr>
                <w:rFonts w:ascii="Arial" w:cs="Arial" w:eastAsia="Arial" w:hAnsi="Arial"/>
                <w:sz w:val="16"/>
                <w:szCs w:val="16"/>
                <w:color w:val="auto"/>
              </w:rPr>
              <w:t>40.3 %</w:t>
            </w:r>
          </w:p>
        </w:tc>
      </w:tr>
      <w:tr>
        <w:trPr>
          <w:trHeight w:val="273"/>
        </w:trPr>
        <w:tc>
          <w:tcPr>
            <w:tcW w:w="3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3,373</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50.1%</w:t>
            </w:r>
          </w:p>
        </w:tc>
        <w:tc>
          <w:tcPr>
            <w:tcW w:w="12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2,649</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41.4%</w:t>
            </w:r>
          </w:p>
        </w:tc>
        <w:tc>
          <w:tcPr>
            <w:tcW w:w="10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16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27.3 %</w:t>
            </w:r>
          </w:p>
        </w:tc>
      </w:tr>
      <w:tr>
        <w:trPr>
          <w:trHeight w:val="280"/>
        </w:trPr>
        <w:tc>
          <w:tcPr>
            <w:tcW w:w="32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motorhomes</w:t>
            </w: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6,731</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6,391</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w:t>
            </w:r>
          </w:p>
        </w:tc>
        <w:tc>
          <w:tcPr>
            <w:tcW w:w="1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5.3 %</w:t>
            </w:r>
          </w:p>
        </w:tc>
      </w:tr>
      <w:tr>
        <w:trPr>
          <w:trHeight w:val="146"/>
        </w:trPr>
        <w:tc>
          <w:tcPr>
            <w:tcW w:w="32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r>
      <w:tr>
        <w:trPr>
          <w:trHeight w:val="260"/>
        </w:trPr>
        <w:tc>
          <w:tcPr>
            <w:tcW w:w="3240" w:type="dxa"/>
            <w:vAlign w:val="bottom"/>
          </w:tcPr>
          <w:p>
            <w:pPr>
              <w:ind w:left="40"/>
              <w:spacing w:after="0"/>
              <w:rPr>
                <w:sz w:val="20"/>
                <w:szCs w:val="20"/>
                <w:color w:val="auto"/>
              </w:rPr>
            </w:pPr>
            <w:r>
              <w:rPr>
                <w:rFonts w:ascii="Arial" w:cs="Arial" w:eastAsia="Arial" w:hAnsi="Arial"/>
                <w:sz w:val="16"/>
                <w:szCs w:val="16"/>
                <w:color w:val="auto"/>
              </w:rPr>
              <w:t>Travel trailer</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1,567</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82.8%</w:t>
            </w:r>
          </w:p>
        </w:tc>
        <w:tc>
          <w:tcPr>
            <w:tcW w:w="120" w:type="dxa"/>
            <w:vAlign w:val="bottom"/>
          </w:tcPr>
          <w:p>
            <w:pPr>
              <w:spacing w:after="0"/>
              <w:rPr>
                <w:sz w:val="22"/>
                <w:szCs w:val="22"/>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1,468</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82.2%</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99</w:t>
            </w:r>
          </w:p>
        </w:tc>
        <w:tc>
          <w:tcPr>
            <w:tcW w:w="1660" w:type="dxa"/>
            <w:vAlign w:val="bottom"/>
          </w:tcPr>
          <w:p>
            <w:pPr>
              <w:jc w:val="right"/>
              <w:ind w:right="99"/>
              <w:spacing w:after="0"/>
              <w:rPr>
                <w:sz w:val="20"/>
                <w:szCs w:val="20"/>
                <w:color w:val="auto"/>
              </w:rPr>
            </w:pPr>
            <w:r>
              <w:rPr>
                <w:rFonts w:ascii="Arial" w:cs="Arial" w:eastAsia="Arial" w:hAnsi="Arial"/>
                <w:sz w:val="16"/>
                <w:szCs w:val="16"/>
                <w:color w:val="auto"/>
              </w:rPr>
              <w:t>6.7 %</w:t>
            </w:r>
          </w:p>
        </w:tc>
      </w:tr>
      <w:tr>
        <w:trPr>
          <w:trHeight w:val="273"/>
        </w:trPr>
        <w:tc>
          <w:tcPr>
            <w:tcW w:w="3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326</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17.2%</w:t>
            </w:r>
          </w:p>
        </w:tc>
        <w:tc>
          <w:tcPr>
            <w:tcW w:w="12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318</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6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2.5 %</w:t>
            </w:r>
          </w:p>
        </w:tc>
      </w:tr>
      <w:tr>
        <w:trPr>
          <w:trHeight w:val="237"/>
        </w:trPr>
        <w:tc>
          <w:tcPr>
            <w:tcW w:w="3240" w:type="dxa"/>
            <w:vAlign w:val="bottom"/>
          </w:tcPr>
          <w:p>
            <w:pPr>
              <w:ind w:left="280"/>
              <w:spacing w:after="0"/>
              <w:rPr>
                <w:sz w:val="20"/>
                <w:szCs w:val="20"/>
                <w:color w:val="auto"/>
              </w:rPr>
            </w:pPr>
            <w:r>
              <w:rPr>
                <w:rFonts w:ascii="Arial" w:cs="Arial" w:eastAsia="Arial" w:hAnsi="Arial"/>
                <w:sz w:val="16"/>
                <w:szCs w:val="16"/>
                <w:color w:val="auto"/>
              </w:rPr>
              <w:t>Total Towables</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1,893</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1,786</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107</w:t>
            </w:r>
          </w:p>
        </w:tc>
        <w:tc>
          <w:tcPr>
            <w:tcW w:w="1660" w:type="dxa"/>
            <w:vAlign w:val="bottom"/>
          </w:tcPr>
          <w:p>
            <w:pPr>
              <w:jc w:val="right"/>
              <w:ind w:right="99"/>
              <w:spacing w:after="0"/>
              <w:rPr>
                <w:sz w:val="20"/>
                <w:szCs w:val="20"/>
                <w:color w:val="auto"/>
              </w:rPr>
            </w:pPr>
            <w:r>
              <w:rPr>
                <w:rFonts w:ascii="Arial" w:cs="Arial" w:eastAsia="Arial" w:hAnsi="Arial"/>
                <w:sz w:val="16"/>
                <w:szCs w:val="16"/>
                <w:color w:val="auto"/>
              </w:rPr>
              <w:t>6.0 %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3810</wp:posOffset>
            </wp:positionV>
            <wp:extent cx="519684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96840" cy="26035"/>
                    </a:xfrm>
                    <a:prstGeom prst="rect">
                      <a:avLst/>
                    </a:prstGeom>
                    <a:noFill/>
                  </pic:spPr>
                </pic:pic>
              </a:graphicData>
            </a:graphic>
          </wp:anchor>
        </w:drawing>
      </w:r>
    </w:p>
    <w:p>
      <w:pPr>
        <w:spacing w:after="0" w:line="20"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3"/>
          <w:szCs w:val="13"/>
          <w:color w:val="auto"/>
        </w:rPr>
        <w:t>Percentages may not add due to rounding differences.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Backlog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w w:val="98"/>
              </w:rPr>
              <w:t>As Of</w:t>
            </w:r>
          </w:p>
        </w:tc>
        <w:tc>
          <w:tcPr>
            <w:tcW w:w="1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bottom w:val="single" w:sz="8" w:color="auto"/>
            </w:tcBorders>
          </w:tcPr>
          <w:p>
            <w:pPr>
              <w:spacing w:after="0"/>
              <w:rPr>
                <w:sz w:val="19"/>
                <w:szCs w:val="19"/>
                <w:color w:val="auto"/>
              </w:rPr>
            </w:pPr>
          </w:p>
        </w:tc>
      </w:tr>
      <w:tr>
        <w:trPr>
          <w:trHeight w:val="264"/>
        </w:trPr>
        <w:tc>
          <w:tcPr>
            <w:tcW w:w="3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60" w:type="dxa"/>
            <w:vAlign w:val="bottom"/>
            <w:gridSpan w:val="2"/>
          </w:tcPr>
          <w:p>
            <w:pPr>
              <w:jc w:val="right"/>
              <w:ind w:right="542"/>
              <w:spacing w:after="0"/>
              <w:rPr>
                <w:sz w:val="20"/>
                <w:szCs w:val="20"/>
                <w:color w:val="auto"/>
              </w:rPr>
            </w:pPr>
            <w:r>
              <w:rPr>
                <w:rFonts w:ascii="Arial" w:cs="Arial" w:eastAsia="Arial" w:hAnsi="Arial"/>
                <w:sz w:val="16"/>
                <w:szCs w:val="16"/>
                <w:b w:val="1"/>
                <w:bCs w:val="1"/>
                <w:color w:val="auto"/>
              </w:rPr>
              <w:t>May 30, 2015</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0" w:type="dxa"/>
            <w:vAlign w:val="bottom"/>
            <w:gridSpan w:val="3"/>
          </w:tcPr>
          <w:p>
            <w:pPr>
              <w:ind w:left="500"/>
              <w:spacing w:after="0"/>
              <w:rPr>
                <w:sz w:val="20"/>
                <w:szCs w:val="20"/>
                <w:color w:val="auto"/>
              </w:rPr>
            </w:pPr>
            <w:r>
              <w:rPr>
                <w:rFonts w:ascii="Arial" w:cs="Arial" w:eastAsia="Arial" w:hAnsi="Arial"/>
                <w:sz w:val="16"/>
                <w:szCs w:val="16"/>
                <w:b w:val="1"/>
                <w:bCs w:val="1"/>
                <w:color w:val="auto"/>
              </w:rPr>
              <w:t>May 31, 2014</w:t>
            </w:r>
          </w:p>
        </w:tc>
        <w:tc>
          <w:tcPr>
            <w:tcW w:w="2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20" w:type="dxa"/>
            <w:vAlign w:val="bottom"/>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70"/>
        </w:trPr>
        <w:tc>
          <w:tcPr>
            <w:tcW w:w="3340" w:type="dxa"/>
            <w:vAlign w:val="bottom"/>
            <w:tcBorders>
              <w:bottom w:val="single" w:sz="8" w:color="auto"/>
            </w:tcBorders>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Units</w:t>
            </w:r>
          </w:p>
        </w:tc>
        <w:tc>
          <w:tcPr>
            <w:tcW w:w="1000" w:type="dxa"/>
            <w:vAlign w:val="bottom"/>
            <w:tcBorders>
              <w:top w:val="single" w:sz="8" w:color="auto"/>
              <w:bottom w:val="single" w:sz="8" w:color="auto"/>
            </w:tcBorders>
          </w:tcPr>
          <w:p>
            <w:pPr>
              <w:jc w:val="right"/>
              <w:ind w:right="302"/>
              <w:spacing w:after="0" w:line="269" w:lineRule="exact"/>
              <w:rPr>
                <w:sz w:val="20"/>
                <w:szCs w:val="20"/>
                <w:color w:val="auto"/>
              </w:rPr>
            </w:pPr>
            <w:r>
              <w:rPr>
                <w:rFonts w:ascii="Arial" w:cs="Arial" w:eastAsia="Arial" w:hAnsi="Arial"/>
                <w:sz w:val="31"/>
                <w:szCs w:val="31"/>
                <w:b w:val="1"/>
                <w:bCs w:val="1"/>
                <w:color w:val="auto"/>
                <w:vertAlign w:val="subscript"/>
              </w:rPr>
              <w:t>%</w:t>
            </w:r>
            <w:r>
              <w:rPr>
                <w:rFonts w:ascii="Arial" w:cs="Arial" w:eastAsia="Arial" w:hAnsi="Arial"/>
                <w:sz w:val="11"/>
                <w:szCs w:val="11"/>
                <w:b w:val="1"/>
                <w:bCs w:val="1"/>
                <w:color w:val="auto"/>
              </w:rPr>
              <w:t xml:space="preserve"> (1)</w:t>
            </w:r>
          </w:p>
        </w:tc>
        <w:tc>
          <w:tcPr>
            <w:tcW w:w="140" w:type="dxa"/>
            <w:vAlign w:val="bottom"/>
            <w:tcBorders>
              <w:top w:val="single" w:sz="8" w:color="auto"/>
              <w:bottom w:val="single" w:sz="8" w:color="auto"/>
            </w:tcBorders>
          </w:tcPr>
          <w:p>
            <w:pPr>
              <w:spacing w:after="0"/>
              <w:rPr>
                <w:sz w:val="23"/>
                <w:szCs w:val="23"/>
                <w:color w:val="auto"/>
              </w:rPr>
            </w:pPr>
          </w:p>
        </w:tc>
        <w:tc>
          <w:tcPr>
            <w:tcW w:w="120" w:type="dxa"/>
            <w:vAlign w:val="bottom"/>
            <w:tcBorders>
              <w:top w:val="single" w:sz="8" w:color="auto"/>
              <w:bottom w:val="single" w:sz="8" w:color="CCEEFF"/>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Units</w:t>
            </w:r>
          </w:p>
        </w:tc>
        <w:tc>
          <w:tcPr>
            <w:tcW w:w="1160" w:type="dxa"/>
            <w:vAlign w:val="bottom"/>
            <w:tcBorders>
              <w:top w:val="single" w:sz="8" w:color="auto"/>
              <w:bottom w:val="single" w:sz="8" w:color="auto"/>
            </w:tcBorders>
          </w:tcPr>
          <w:p>
            <w:pPr>
              <w:jc w:val="right"/>
              <w:ind w:right="442"/>
              <w:spacing w:after="0" w:line="269" w:lineRule="exact"/>
              <w:rPr>
                <w:sz w:val="20"/>
                <w:szCs w:val="20"/>
                <w:color w:val="auto"/>
              </w:rPr>
            </w:pPr>
            <w:r>
              <w:rPr>
                <w:rFonts w:ascii="Arial" w:cs="Arial" w:eastAsia="Arial" w:hAnsi="Arial"/>
                <w:sz w:val="31"/>
                <w:szCs w:val="31"/>
                <w:b w:val="1"/>
                <w:bCs w:val="1"/>
                <w:color w:val="auto"/>
                <w:vertAlign w:val="subscript"/>
              </w:rPr>
              <w:t>%</w:t>
            </w:r>
            <w:r>
              <w:rPr>
                <w:rFonts w:ascii="Arial" w:cs="Arial" w:eastAsia="Arial" w:hAnsi="Arial"/>
                <w:sz w:val="11"/>
                <w:szCs w:val="11"/>
                <w:b w:val="1"/>
                <w:bCs w:val="1"/>
                <w:color w:val="auto"/>
              </w:rPr>
              <w:t xml:space="preserve"> (1)</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Units</w:t>
            </w: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98"/>
              </w:rPr>
              <w:t>Change</w:t>
            </w:r>
          </w:p>
        </w:tc>
      </w:tr>
      <w:tr>
        <w:trPr>
          <w:trHeight w:val="25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584</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752</w:t>
            </w:r>
          </w:p>
        </w:tc>
        <w:tc>
          <w:tcPr>
            <w:tcW w:w="11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31.9%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(168)</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(22.3)%</w:t>
            </w: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157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280</w:t>
            </w: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(123)</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(43.9)%</w:t>
            </w:r>
          </w:p>
        </w:tc>
      </w:tr>
      <w:tr>
        <w:trPr>
          <w:trHeight w:val="257"/>
        </w:trPr>
        <w:tc>
          <w:tcPr>
            <w:tcW w:w="3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Class A</w:t>
            </w: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741</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1,032</w:t>
            </w:r>
          </w:p>
        </w:tc>
        <w:tc>
          <w:tcPr>
            <w:tcW w:w="11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43.8%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(291)</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(28.2)%</w:t>
            </w:r>
          </w:p>
        </w:tc>
      </w:tr>
      <w:tr>
        <w:trPr>
          <w:trHeight w:val="260"/>
        </w:trPr>
        <w:tc>
          <w:tcPr>
            <w:tcW w:w="3340" w:type="dxa"/>
            <w:vAlign w:val="bottom"/>
          </w:tcPr>
          <w:p>
            <w:pPr>
              <w:ind w:left="40"/>
              <w:spacing w:after="0"/>
              <w:rPr>
                <w:sz w:val="20"/>
                <w:szCs w:val="20"/>
                <w:color w:val="auto"/>
              </w:rPr>
            </w:pPr>
            <w:r>
              <w:rPr>
                <w:rFonts w:ascii="Arial" w:cs="Arial" w:eastAsia="Arial" w:hAnsi="Arial"/>
                <w:sz w:val="16"/>
                <w:szCs w:val="16"/>
                <w:color w:val="auto"/>
              </w:rPr>
              <w:t>Class B</w:t>
            </w:r>
          </w:p>
        </w:tc>
        <w:tc>
          <w:tcPr>
            <w:tcW w:w="240" w:type="dxa"/>
            <w:vAlign w:val="bottom"/>
          </w:tcPr>
          <w:p>
            <w:pPr>
              <w:spacing w:after="0"/>
              <w:rPr>
                <w:sz w:val="22"/>
                <w:szCs w:val="22"/>
                <w:color w:val="auto"/>
              </w:rPr>
            </w:pPr>
          </w:p>
        </w:tc>
        <w:tc>
          <w:tcPr>
            <w:tcW w:w="1160" w:type="dxa"/>
            <w:vAlign w:val="bottom"/>
          </w:tcPr>
          <w:p>
            <w:pPr>
              <w:jc w:val="right"/>
              <w:ind w:right="239"/>
              <w:spacing w:after="0"/>
              <w:rPr>
                <w:sz w:val="20"/>
                <w:szCs w:val="20"/>
                <w:color w:val="auto"/>
              </w:rPr>
            </w:pPr>
            <w:r>
              <w:rPr>
                <w:rFonts w:ascii="Arial" w:cs="Arial" w:eastAsia="Arial" w:hAnsi="Arial"/>
                <w:sz w:val="16"/>
                <w:szCs w:val="16"/>
                <w:color w:val="auto"/>
              </w:rPr>
              <w:t>243</w:t>
            </w:r>
          </w:p>
        </w:tc>
        <w:tc>
          <w:tcPr>
            <w:tcW w:w="1000" w:type="dxa"/>
            <w:vAlign w:val="bottom"/>
          </w:tcPr>
          <w:p>
            <w:pPr>
              <w:jc w:val="right"/>
              <w:spacing w:after="0"/>
              <w:rPr>
                <w:sz w:val="20"/>
                <w:szCs w:val="20"/>
                <w:color w:val="auto"/>
              </w:rPr>
            </w:pPr>
            <w:r>
              <w:rPr>
                <w:rFonts w:ascii="Arial" w:cs="Arial" w:eastAsia="Arial" w:hAnsi="Arial"/>
                <w:sz w:val="16"/>
                <w:szCs w:val="16"/>
                <w:color w:val="auto"/>
              </w:rPr>
              <w:t>10.7%</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264</w:t>
            </w: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479"/>
              <w:spacing w:after="0"/>
              <w:rPr>
                <w:sz w:val="20"/>
                <w:szCs w:val="20"/>
                <w:color w:val="auto"/>
              </w:rPr>
            </w:pPr>
            <w:r>
              <w:rPr>
                <w:rFonts w:ascii="Arial" w:cs="Arial" w:eastAsia="Arial" w:hAnsi="Arial"/>
                <w:sz w:val="16"/>
                <w:szCs w:val="16"/>
                <w:color w:val="auto"/>
              </w:rPr>
              <w:t>(21)</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(8.0)%</w:t>
            </w:r>
          </w:p>
        </w:tc>
      </w:tr>
      <w:tr>
        <w:trPr>
          <w:trHeight w:val="273"/>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2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1,295</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w:t>
            </w:r>
          </w:p>
        </w:tc>
        <w:tc>
          <w:tcPr>
            <w:tcW w:w="1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1,061</w:t>
            </w:r>
          </w:p>
        </w:tc>
        <w:tc>
          <w:tcPr>
            <w:tcW w:w="11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45.0%</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234</w:t>
            </w: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22.1 %</w:t>
            </w:r>
          </w:p>
        </w:tc>
      </w:tr>
      <w:tr>
        <w:trPr>
          <w:trHeight w:val="283"/>
        </w:trPr>
        <w:tc>
          <w:tcPr>
            <w:tcW w:w="33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motorhome backlog</w:t>
            </w:r>
            <w:r>
              <w:rPr>
                <w:rFonts w:ascii="Arial" w:cs="Arial" w:eastAsia="Arial" w:hAnsi="Arial"/>
                <w:sz w:val="21"/>
                <w:szCs w:val="21"/>
                <w:color w:val="auto"/>
                <w:vertAlign w:val="superscript"/>
              </w:rPr>
              <w:t>(2)</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2,279</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2,357</w:t>
            </w: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(78)</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(3.3)%</w:t>
            </w:r>
          </w:p>
        </w:tc>
      </w:tr>
      <w:tr>
        <w:trPr>
          <w:trHeight w:val="170"/>
        </w:trPr>
        <w:tc>
          <w:tcPr>
            <w:tcW w:w="3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60"/>
        </w:trPr>
        <w:tc>
          <w:tcPr>
            <w:tcW w:w="3340" w:type="dxa"/>
            <w:vAlign w:val="bottom"/>
          </w:tcPr>
          <w:p>
            <w:pPr>
              <w:ind w:left="40"/>
              <w:spacing w:after="0"/>
              <w:rPr>
                <w:sz w:val="20"/>
                <w:szCs w:val="20"/>
                <w:color w:val="auto"/>
              </w:rPr>
            </w:pPr>
            <w:r>
              <w:rPr>
                <w:rFonts w:ascii="Arial" w:cs="Arial" w:eastAsia="Arial" w:hAnsi="Arial"/>
                <w:sz w:val="16"/>
                <w:szCs w:val="16"/>
                <w:color w:val="auto"/>
              </w:rPr>
              <w:t>Travel trailer</w:t>
            </w:r>
          </w:p>
        </w:tc>
        <w:tc>
          <w:tcPr>
            <w:tcW w:w="240" w:type="dxa"/>
            <w:vAlign w:val="bottom"/>
          </w:tcPr>
          <w:p>
            <w:pPr>
              <w:spacing w:after="0"/>
              <w:rPr>
                <w:sz w:val="22"/>
                <w:szCs w:val="22"/>
                <w:color w:val="auto"/>
              </w:rPr>
            </w:pPr>
          </w:p>
        </w:tc>
        <w:tc>
          <w:tcPr>
            <w:tcW w:w="1160" w:type="dxa"/>
            <w:vAlign w:val="bottom"/>
          </w:tcPr>
          <w:p>
            <w:pPr>
              <w:jc w:val="right"/>
              <w:ind w:right="239"/>
              <w:spacing w:after="0"/>
              <w:rPr>
                <w:sz w:val="20"/>
                <w:szCs w:val="20"/>
                <w:color w:val="auto"/>
              </w:rPr>
            </w:pPr>
            <w:r>
              <w:rPr>
                <w:rFonts w:ascii="Arial" w:cs="Arial" w:eastAsia="Arial" w:hAnsi="Arial"/>
                <w:sz w:val="16"/>
                <w:szCs w:val="16"/>
                <w:color w:val="auto"/>
              </w:rPr>
              <w:t>155</w:t>
            </w:r>
          </w:p>
        </w:tc>
        <w:tc>
          <w:tcPr>
            <w:tcW w:w="1000" w:type="dxa"/>
            <w:vAlign w:val="bottom"/>
          </w:tcPr>
          <w:p>
            <w:pPr>
              <w:jc w:val="right"/>
              <w:spacing w:after="0"/>
              <w:rPr>
                <w:sz w:val="20"/>
                <w:szCs w:val="20"/>
                <w:color w:val="auto"/>
              </w:rPr>
            </w:pPr>
            <w:r>
              <w:rPr>
                <w:rFonts w:ascii="Arial" w:cs="Arial" w:eastAsia="Arial" w:hAnsi="Arial"/>
                <w:sz w:val="16"/>
                <w:szCs w:val="16"/>
                <w:color w:val="auto"/>
              </w:rPr>
              <w:t>86.6%</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224</w:t>
            </w: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73.9%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479"/>
              <w:spacing w:after="0"/>
              <w:rPr>
                <w:sz w:val="20"/>
                <w:szCs w:val="20"/>
                <w:color w:val="auto"/>
              </w:rPr>
            </w:pPr>
            <w:r>
              <w:rPr>
                <w:rFonts w:ascii="Arial" w:cs="Arial" w:eastAsia="Arial" w:hAnsi="Arial"/>
                <w:sz w:val="16"/>
                <w:szCs w:val="16"/>
                <w:color w:val="auto"/>
              </w:rPr>
              <w:t>(69)</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(30.8)%</w:t>
            </w:r>
          </w:p>
        </w:tc>
      </w:tr>
      <w:tr>
        <w:trPr>
          <w:trHeight w:val="273"/>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2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79</w:t>
            </w:r>
          </w:p>
        </w:tc>
        <w:tc>
          <w:tcPr>
            <w:tcW w:w="11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26.1%</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(55)</w:t>
            </w: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(69.6)%</w:t>
            </w:r>
          </w:p>
        </w:tc>
      </w:tr>
      <w:tr>
        <w:trPr>
          <w:trHeight w:val="283"/>
        </w:trPr>
        <w:tc>
          <w:tcPr>
            <w:tcW w:w="33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 xml:space="preserve">Total towable backlog </w:t>
            </w:r>
            <w:r>
              <w:rPr>
                <w:rFonts w:ascii="Arial" w:cs="Arial" w:eastAsia="Arial" w:hAnsi="Arial"/>
                <w:sz w:val="21"/>
                <w:szCs w:val="21"/>
                <w:color w:val="auto"/>
                <w:vertAlign w:val="superscript"/>
              </w:rPr>
              <w:t>(2)</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179</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303</w:t>
            </w: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(124)</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(40.9)%</w:t>
            </w:r>
          </w:p>
        </w:tc>
      </w:tr>
      <w:tr>
        <w:trPr>
          <w:trHeight w:val="143"/>
        </w:trPr>
        <w:tc>
          <w:tcPr>
            <w:tcW w:w="3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260"/>
        </w:trPr>
        <w:tc>
          <w:tcPr>
            <w:tcW w:w="4740" w:type="dxa"/>
            <w:vAlign w:val="bottom"/>
            <w:gridSpan w:val="3"/>
          </w:tcPr>
          <w:p>
            <w:pPr>
              <w:ind w:left="40"/>
              <w:spacing w:after="0"/>
              <w:rPr>
                <w:sz w:val="20"/>
                <w:szCs w:val="20"/>
                <w:color w:val="auto"/>
              </w:rPr>
            </w:pPr>
            <w:r>
              <w:rPr>
                <w:rFonts w:ascii="Arial" w:cs="Arial" w:eastAsia="Arial" w:hAnsi="Arial"/>
                <w:sz w:val="16"/>
                <w:szCs w:val="16"/>
                <w:color w:val="auto"/>
              </w:rPr>
              <w:t>Total approximate backlog revenue dollars (in 000's):</w:t>
            </w: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Motorhomes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196,915</w:t>
            </w:r>
          </w:p>
        </w:tc>
        <w:tc>
          <w:tcPr>
            <w:tcW w:w="1000" w:type="dxa"/>
            <w:vAlign w:val="bottom"/>
            <w:shd w:val="clear" w:color="auto" w:fill="CCEEFF"/>
          </w:tcPr>
          <w:p>
            <w:pPr>
              <w:spacing w:after="0"/>
              <w:rPr>
                <w:sz w:val="24"/>
                <w:szCs w:val="24"/>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219,676</w:t>
            </w: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(22,761)</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(10.4)%</w:t>
            </w:r>
          </w:p>
        </w:tc>
      </w:tr>
      <w:tr>
        <w:trPr>
          <w:trHeight w:val="251"/>
        </w:trPr>
        <w:tc>
          <w:tcPr>
            <w:tcW w:w="3340" w:type="dxa"/>
            <w:vAlign w:val="bottom"/>
          </w:tcPr>
          <w:p>
            <w:pPr>
              <w:ind w:left="40"/>
              <w:spacing w:after="0"/>
              <w:rPr>
                <w:sz w:val="20"/>
                <w:szCs w:val="20"/>
                <w:color w:val="auto"/>
              </w:rPr>
            </w:pPr>
            <w:r>
              <w:rPr>
                <w:rFonts w:ascii="Arial" w:cs="Arial" w:eastAsia="Arial" w:hAnsi="Arial"/>
                <w:sz w:val="16"/>
                <w:szCs w:val="16"/>
                <w:color w:val="auto"/>
              </w:rPr>
              <w:t>Towables</w:t>
            </w:r>
          </w:p>
        </w:tc>
        <w:tc>
          <w:tcPr>
            <w:tcW w:w="240" w:type="dxa"/>
            <w:vAlign w:val="bottom"/>
          </w:tcPr>
          <w:p>
            <w:pPr>
              <w:spacing w:after="0"/>
              <w:rPr>
                <w:sz w:val="21"/>
                <w:szCs w:val="21"/>
                <w:color w:val="auto"/>
              </w:rPr>
            </w:pPr>
          </w:p>
        </w:tc>
        <w:tc>
          <w:tcPr>
            <w:tcW w:w="1160" w:type="dxa"/>
            <w:vAlign w:val="bottom"/>
          </w:tcPr>
          <w:p>
            <w:pPr>
              <w:jc w:val="right"/>
              <w:ind w:right="239"/>
              <w:spacing w:after="0"/>
              <w:rPr>
                <w:sz w:val="20"/>
                <w:szCs w:val="20"/>
                <w:color w:val="auto"/>
              </w:rPr>
            </w:pPr>
            <w:r>
              <w:rPr>
                <w:rFonts w:ascii="Arial" w:cs="Arial" w:eastAsia="Arial" w:hAnsi="Arial"/>
                <w:sz w:val="16"/>
                <w:szCs w:val="16"/>
                <w:color w:val="auto"/>
              </w:rPr>
              <w:t>4,512</w:t>
            </w: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6,072</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479"/>
              <w:spacing w:after="0"/>
              <w:rPr>
                <w:sz w:val="20"/>
                <w:szCs w:val="20"/>
                <w:color w:val="auto"/>
              </w:rPr>
            </w:pPr>
            <w:r>
              <w:rPr>
                <w:rFonts w:ascii="Arial" w:cs="Arial" w:eastAsia="Arial" w:hAnsi="Arial"/>
                <w:sz w:val="16"/>
                <w:szCs w:val="16"/>
                <w:color w:val="auto"/>
              </w:rPr>
              <w:t>(1,560)</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(25.7)%</w:t>
            </w:r>
          </w:p>
        </w:tc>
      </w:tr>
    </w:tbl>
    <w:p>
      <w:pPr>
        <w:ind w:left="340" w:hanging="332"/>
        <w:spacing w:after="0" w:line="216" w:lineRule="auto"/>
        <w:tabs>
          <w:tab w:leader="none" w:pos="34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ind w:left="340" w:right="640" w:hanging="332"/>
        <w:spacing w:after="0" w:line="207" w:lineRule="auto"/>
        <w:tabs>
          <w:tab w:leader="none" w:pos="34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Our backlog includes all accepted orders from dealers to be shipped within the next six months. Orders in backlog can be canceled or postponed at the option of the purchaser at any time without penalty and, therefore, backlog may not necessarily be an accurate measure of future sales.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Dealer Inventory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40" w:type="dxa"/>
            <w:vAlign w:val="bottom"/>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Units As Of</w:t>
            </w:r>
          </w:p>
        </w:tc>
        <w:tc>
          <w:tcPr>
            <w:tcW w:w="1140" w:type="dxa"/>
            <w:vAlign w:val="bottom"/>
            <w:tcBorders>
              <w:bottom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198"/>
        </w:trPr>
        <w:tc>
          <w:tcPr>
            <w:tcW w:w="5940" w:type="dxa"/>
            <w:vAlign w:val="bottom"/>
          </w:tcPr>
          <w:p>
            <w:pPr>
              <w:spacing w:after="0"/>
              <w:rPr>
                <w:sz w:val="17"/>
                <w:szCs w:val="17"/>
                <w:color w:val="auto"/>
              </w:rPr>
            </w:pPr>
          </w:p>
        </w:tc>
        <w:tc>
          <w:tcPr>
            <w:tcW w:w="2000" w:type="dxa"/>
            <w:vAlign w:val="bottom"/>
          </w:tcPr>
          <w:p>
            <w:pPr>
              <w:jc w:val="right"/>
              <w:ind w:right="859"/>
              <w:spacing w:after="0"/>
              <w:rPr>
                <w:sz w:val="20"/>
                <w:szCs w:val="20"/>
                <w:color w:val="auto"/>
              </w:rPr>
            </w:pPr>
            <w:r>
              <w:rPr>
                <w:rFonts w:ascii="Arial" w:cs="Arial" w:eastAsia="Arial" w:hAnsi="Arial"/>
                <w:sz w:val="16"/>
                <w:szCs w:val="16"/>
                <w:b w:val="1"/>
                <w:bCs w:val="1"/>
                <w:color w:val="auto"/>
              </w:rPr>
              <w:t>May 30,</w:t>
            </w:r>
          </w:p>
        </w:tc>
        <w:tc>
          <w:tcPr>
            <w:tcW w:w="1140" w:type="dxa"/>
            <w:vAlign w:val="bottom"/>
          </w:tcPr>
          <w:p>
            <w:pPr>
              <w:jc w:val="right"/>
              <w:ind w:right="419"/>
              <w:spacing w:after="0"/>
              <w:rPr>
                <w:sz w:val="20"/>
                <w:szCs w:val="20"/>
                <w:color w:val="auto"/>
              </w:rPr>
            </w:pPr>
            <w:r>
              <w:rPr>
                <w:rFonts w:ascii="Arial" w:cs="Arial" w:eastAsia="Arial" w:hAnsi="Arial"/>
                <w:sz w:val="16"/>
                <w:szCs w:val="16"/>
                <w:b w:val="1"/>
                <w:bCs w:val="1"/>
                <w:color w:val="auto"/>
              </w:rPr>
              <w:t>May 31,</w:t>
            </w:r>
          </w:p>
        </w:tc>
        <w:tc>
          <w:tcPr>
            <w:tcW w:w="16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28"/>
        </w:trPr>
        <w:tc>
          <w:tcPr>
            <w:tcW w:w="59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b w:val="1"/>
                <w:bCs w:val="1"/>
                <w:color w:val="auto"/>
              </w:rPr>
              <w:t>2015</w:t>
            </w: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2014</w:t>
            </w:r>
          </w:p>
        </w:tc>
        <w:tc>
          <w:tcPr>
            <w:tcW w:w="1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740" w:type="dxa"/>
            <w:vAlign w:val="bottom"/>
            <w:tcBorders>
              <w:bottom w:val="single" w:sz="8" w:color="auto"/>
            </w:tcBorders>
          </w:tcPr>
          <w:p>
            <w:pPr>
              <w:spacing w:after="0"/>
              <w:rPr>
                <w:sz w:val="19"/>
                <w:szCs w:val="19"/>
                <w:color w:val="auto"/>
              </w:rPr>
            </w:pPr>
          </w:p>
        </w:tc>
      </w:tr>
      <w:tr>
        <w:trPr>
          <w:trHeight w:val="270"/>
        </w:trPr>
        <w:tc>
          <w:tcPr>
            <w:tcW w:w="5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Motorhomes</w:t>
            </w:r>
          </w:p>
        </w:tc>
        <w:tc>
          <w:tcPr>
            <w:tcW w:w="200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4,501</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3,798</w:t>
            </w:r>
          </w:p>
        </w:tc>
        <w:tc>
          <w:tcPr>
            <w:tcW w:w="16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703</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18.5%</w:t>
            </w:r>
          </w:p>
        </w:tc>
      </w:tr>
      <w:tr>
        <w:trPr>
          <w:trHeight w:val="251"/>
        </w:trPr>
        <w:tc>
          <w:tcPr>
            <w:tcW w:w="5940" w:type="dxa"/>
            <w:vAlign w:val="bottom"/>
          </w:tcPr>
          <w:p>
            <w:pPr>
              <w:ind w:left="40"/>
              <w:spacing w:after="0"/>
              <w:rPr>
                <w:sz w:val="20"/>
                <w:szCs w:val="20"/>
                <w:color w:val="auto"/>
              </w:rPr>
            </w:pPr>
            <w:r>
              <w:rPr>
                <w:rFonts w:ascii="Arial" w:cs="Arial" w:eastAsia="Arial" w:hAnsi="Arial"/>
                <w:sz w:val="16"/>
                <w:szCs w:val="16"/>
                <w:color w:val="auto"/>
              </w:rPr>
              <w:t>Towables</w:t>
            </w:r>
          </w:p>
        </w:tc>
        <w:tc>
          <w:tcPr>
            <w:tcW w:w="2000" w:type="dxa"/>
            <w:vAlign w:val="bottom"/>
          </w:tcPr>
          <w:p>
            <w:pPr>
              <w:jc w:val="right"/>
              <w:ind w:right="579"/>
              <w:spacing w:after="0"/>
              <w:rPr>
                <w:sz w:val="20"/>
                <w:szCs w:val="20"/>
                <w:color w:val="auto"/>
              </w:rPr>
            </w:pPr>
            <w:r>
              <w:rPr>
                <w:rFonts w:ascii="Arial" w:cs="Arial" w:eastAsia="Arial" w:hAnsi="Arial"/>
                <w:sz w:val="16"/>
                <w:szCs w:val="16"/>
                <w:color w:val="auto"/>
              </w:rPr>
              <w:t>1,823</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1,775</w:t>
            </w:r>
          </w:p>
        </w:tc>
        <w:tc>
          <w:tcPr>
            <w:tcW w:w="1600" w:type="dxa"/>
            <w:vAlign w:val="bottom"/>
          </w:tcPr>
          <w:p>
            <w:pPr>
              <w:jc w:val="right"/>
              <w:ind w:right="499"/>
              <w:spacing w:after="0"/>
              <w:rPr>
                <w:sz w:val="20"/>
                <w:szCs w:val="20"/>
                <w:color w:val="auto"/>
              </w:rPr>
            </w:pPr>
            <w:r>
              <w:rPr>
                <w:rFonts w:ascii="Arial" w:cs="Arial" w:eastAsia="Arial" w:hAnsi="Arial"/>
                <w:sz w:val="16"/>
                <w:szCs w:val="16"/>
                <w:color w:val="auto"/>
              </w:rPr>
              <w:t>48</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2.7%</w:t>
            </w:r>
          </w:p>
        </w:tc>
      </w:tr>
    </w:tbl>
    <w:p>
      <w:pPr>
        <w:spacing w:after="0" w:line="1" w:lineRule="exact"/>
        <w:rPr>
          <w:sz w:val="20"/>
          <w:szCs w:val="20"/>
          <w:color w:val="auto"/>
        </w:rPr>
      </w:pPr>
    </w:p>
    <w:sectPr>
      <w:pgSz w:w="11900" w:h="16838" w:orient="portrait"/>
      <w:cols w:equalWidth="0" w:num="1">
        <w:col w:w="11420"/>
      </w:cols>
      <w:pgMar w:left="240" w:top="576" w:right="239" w:bottom="86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2019-12-05T17:53:54Z</dcterms:created>
  <dcterms:modified xsi:type="dcterms:W3CDTF">2019-12-05T17:53:54Z</dcterms:modified>
</cp:coreProperties>
</file>