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10/09/2012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7"/>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10/09/2012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2"/>
              </w:rPr>
              <w:t>2,904</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22,595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10/09/2012</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06"/>
              <w:spacing w:after="0"/>
              <w:rPr>
                <w:sz w:val="20"/>
                <w:szCs w:val="20"/>
                <w:color w:val="auto"/>
              </w:rPr>
            </w:pPr>
            <w:r>
              <w:rPr>
                <w:rFonts w:ascii="Arial" w:cs="Arial" w:eastAsia="Arial" w:hAnsi="Arial"/>
                <w:sz w:val="18"/>
                <w:szCs w:val="18"/>
                <w:color w:val="0000FF"/>
                <w:w w:val="86"/>
              </w:rPr>
              <w:t>942</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21,653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10/09/2012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2"/>
              </w:rPr>
              <w:t>5,403</w:t>
            </w:r>
            <w:r>
              <w:rPr>
                <w:rFonts w:ascii="Arial" w:cs="Arial" w:eastAsia="Arial" w:hAnsi="Arial"/>
                <w:sz w:val="22"/>
                <w:szCs w:val="22"/>
                <w:color w:val="008000"/>
                <w:w w:val="82"/>
                <w:vertAlign w:val="superscript"/>
              </w:rPr>
              <w:t>(2)</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27,056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10/09/2012</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26"/>
              <w:spacing w:after="0"/>
              <w:rPr>
                <w:sz w:val="20"/>
                <w:szCs w:val="20"/>
                <w:color w:val="auto"/>
              </w:rPr>
            </w:pPr>
            <w:r>
              <w:rPr>
                <w:rFonts w:ascii="Arial" w:cs="Arial" w:eastAsia="Arial" w:hAnsi="Arial"/>
                <w:sz w:val="18"/>
                <w:szCs w:val="18"/>
                <w:color w:val="0000FF"/>
                <w:w w:val="88"/>
              </w:rPr>
              <w:t>1,753</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25,303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10/10/2012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28,000</w:t>
            </w:r>
            <w:r>
              <w:rPr>
                <w:rFonts w:ascii="Arial" w:cs="Arial" w:eastAsia="Arial" w:hAnsi="Arial"/>
                <w:sz w:val="22"/>
                <w:szCs w:val="22"/>
                <w:color w:val="008000"/>
                <w:w w:val="84"/>
                <w:vertAlign w:val="superscript"/>
              </w:rPr>
              <w:t>(3)</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53,303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which provides for stock grants to Executive Officers under the Officers' Long-Term Incentive Plan for Fiscal Three-Year Period 2010, 2011 and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Restricted shares vest in annual increments of one-third beginning 10/10/2013.</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Randy J. Potts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Randy J. Potts</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8th day of October, 2012, by Randy J. Potts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2019-12-16T07:54:26Z</dcterms:created>
  <dcterms:modified xsi:type="dcterms:W3CDTF">2019-12-16T07:54:26Z</dcterms:modified>
</cp:coreProperties>
</file>