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WASHINGTON, DC 20549</w:t>
      </w:r>
    </w:p>
    <w:p>
      <w:pPr>
        <w:ind w:left="3380"/>
        <w:spacing w:after="0"/>
        <w:rPr>
          <w:sz w:val="20"/>
          <w:szCs w:val="20"/>
          <w:color w:val="auto"/>
        </w:rPr>
      </w:pPr>
      <w:r>
        <w:rPr>
          <w:rFonts w:ascii="Courier New" w:cs="Courier New" w:eastAsia="Courier New" w:hAnsi="Courier New"/>
          <w:sz w:val="18"/>
          <w:szCs w:val="18"/>
          <w:color w:val="auto"/>
        </w:rPr>
        <w:t>FORM 10-K/A NO. 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1" w:lineRule="exact"/>
        <w:rPr>
          <w:sz w:val="24"/>
          <w:szCs w:val="24"/>
          <w:color w:val="auto"/>
        </w:rPr>
      </w:pPr>
    </w:p>
    <w:p>
      <w:pPr>
        <w:ind w:left="960" w:right="1779" w:hanging="952"/>
        <w:spacing w:after="0" w:line="292"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 (No Fee Required) for the fiscal year ended August 31, 1996; or</w:t>
      </w:r>
    </w:p>
    <w:p>
      <w:pPr>
        <w:spacing w:after="0" w:line="66" w:lineRule="exact"/>
        <w:rPr>
          <w:sz w:val="24"/>
          <w:szCs w:val="24"/>
          <w:color w:val="auto"/>
        </w:rPr>
      </w:pPr>
    </w:p>
    <w:p>
      <w:pPr>
        <w:ind w:left="960" w:right="1999" w:hanging="952"/>
        <w:spacing w:after="0" w:line="289" w:lineRule="auto"/>
        <w:tabs>
          <w:tab w:leader="none" w:pos="22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pursuant to Section 13 or 15(d) of the Securities Exchange Act of 1934 (No Fee Required) For the transition period from</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 to _________________</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1-6403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jc w:val="right"/>
              <w:ind w:right="1852"/>
              <w:spacing w:after="0"/>
              <w:rPr>
                <w:sz w:val="20"/>
                <w:szCs w:val="20"/>
                <w:color w:val="auto"/>
              </w:rPr>
            </w:pPr>
            <w:r>
              <w:rPr>
                <w:rFonts w:ascii="Courier New" w:cs="Courier New" w:eastAsia="Courier New" w:hAnsi="Courier New"/>
                <w:sz w:val="18"/>
                <w:szCs w:val="18"/>
                <w:color w:val="auto"/>
              </w:rPr>
              <w:t>Iowa</w:t>
            </w:r>
          </w:p>
        </w:tc>
        <w:tc>
          <w:tcPr>
            <w:tcW w:w="37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6"/>
              </w:rPr>
              <w:t>42-0802678</w:t>
            </w:r>
          </w:p>
        </w:tc>
        <w:tc>
          <w:tcPr>
            <w:tcW w:w="0" w:type="dxa"/>
            <w:vAlign w:val="bottom"/>
          </w:tcPr>
          <w:p>
            <w:pPr>
              <w:spacing w:after="0"/>
              <w:rPr>
                <w:sz w:val="1"/>
                <w:szCs w:val="1"/>
                <w:color w:val="auto"/>
              </w:rPr>
            </w:pPr>
          </w:p>
        </w:tc>
      </w:tr>
      <w:tr>
        <w:trPr>
          <w:trHeight w:val="203"/>
        </w:trPr>
        <w:tc>
          <w:tcPr>
            <w:tcW w:w="4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37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(I.R.S. Employer</w:t>
            </w:r>
          </w:p>
        </w:tc>
        <w:tc>
          <w:tcPr>
            <w:tcW w:w="0" w:type="dxa"/>
            <w:vAlign w:val="bottom"/>
          </w:tcPr>
          <w:p>
            <w:pPr>
              <w:spacing w:after="0"/>
              <w:rPr>
                <w:sz w:val="1"/>
                <w:szCs w:val="1"/>
                <w:color w:val="auto"/>
              </w:rPr>
            </w:pPr>
          </w:p>
        </w:tc>
      </w:tr>
      <w:tr>
        <w:trPr>
          <w:trHeight w:val="296"/>
        </w:trPr>
        <w:tc>
          <w:tcPr>
            <w:tcW w:w="44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incorporation or organization)</w:t>
            </w:r>
          </w:p>
        </w:tc>
        <w:tc>
          <w:tcPr>
            <w:tcW w:w="374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8"/>
              </w:rPr>
              <w:t>Identification No.)</w:t>
            </w:r>
          </w:p>
        </w:tc>
        <w:tc>
          <w:tcPr>
            <w:tcW w:w="0" w:type="dxa"/>
            <w:vAlign w:val="bottom"/>
          </w:tcPr>
          <w:p>
            <w:pPr>
              <w:spacing w:after="0"/>
              <w:rPr>
                <w:sz w:val="1"/>
                <w:szCs w:val="1"/>
                <w:color w:val="auto"/>
              </w:rPr>
            </w:pPr>
          </w:p>
        </w:tc>
      </w:tr>
      <w:tr>
        <w:trPr>
          <w:trHeight w:val="311"/>
        </w:trPr>
        <w:tc>
          <w:tcPr>
            <w:tcW w:w="44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P.O. Box 152, Forest City, Iowa</w:t>
            </w:r>
          </w:p>
        </w:tc>
        <w:tc>
          <w:tcPr>
            <w:tcW w:w="374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50436</w:t>
            </w:r>
          </w:p>
        </w:tc>
        <w:tc>
          <w:tcPr>
            <w:tcW w:w="0" w:type="dxa"/>
            <w:vAlign w:val="bottom"/>
          </w:tcPr>
          <w:p>
            <w:pPr>
              <w:spacing w:after="0"/>
              <w:rPr>
                <w:sz w:val="1"/>
                <w:szCs w:val="1"/>
                <w:color w:val="auto"/>
              </w:rPr>
            </w:pPr>
          </w:p>
        </w:tc>
      </w:tr>
      <w:tr>
        <w:trPr>
          <w:trHeight w:val="296"/>
        </w:trPr>
        <w:tc>
          <w:tcPr>
            <w:tcW w:w="4480" w:type="dxa"/>
            <w:vAlign w:val="bottom"/>
          </w:tcPr>
          <w:p>
            <w:pPr>
              <w:jc w:val="right"/>
              <w:spacing w:after="0"/>
              <w:rPr>
                <w:sz w:val="20"/>
                <w:szCs w:val="20"/>
                <w:color w:val="auto"/>
              </w:rPr>
            </w:pPr>
            <w:r>
              <w:rPr>
                <w:rFonts w:ascii="Courier New" w:cs="Courier New" w:eastAsia="Courier New" w:hAnsi="Courier New"/>
                <w:sz w:val="18"/>
                <w:szCs w:val="18"/>
                <w:color w:val="auto"/>
              </w:rPr>
              <w:t>(Address of Principal executive offices)</w:t>
            </w:r>
          </w:p>
        </w:tc>
        <w:tc>
          <w:tcPr>
            <w:tcW w:w="37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6"/>
              </w:rPr>
              <w:t>(Zip Code)</w:t>
            </w:r>
          </w:p>
        </w:tc>
        <w:tc>
          <w:tcPr>
            <w:tcW w:w="0" w:type="dxa"/>
            <w:vAlign w:val="bottom"/>
          </w:tcPr>
          <w:p>
            <w:pPr>
              <w:spacing w:after="0"/>
              <w:rPr>
                <w:sz w:val="1"/>
                <w:szCs w:val="1"/>
                <w:color w:val="auto"/>
              </w:rPr>
            </w:pPr>
          </w:p>
        </w:tc>
      </w:tr>
      <w:tr>
        <w:trPr>
          <w:trHeight w:val="405"/>
        </w:trPr>
        <w:tc>
          <w:tcPr>
            <w:tcW w:w="822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Registrant's telephone number, including area code: (515) 582-3535</w:t>
            </w:r>
          </w:p>
        </w:tc>
        <w:tc>
          <w:tcPr>
            <w:tcW w:w="0" w:type="dxa"/>
            <w:vAlign w:val="bottom"/>
          </w:tcPr>
          <w:p>
            <w:pPr>
              <w:spacing w:after="0"/>
              <w:rPr>
                <w:sz w:val="1"/>
                <w:szCs w:val="1"/>
                <w:color w:val="auto"/>
              </w:rPr>
            </w:pPr>
          </w:p>
        </w:tc>
      </w:tr>
      <w:tr>
        <w:trPr>
          <w:trHeight w:val="608"/>
        </w:trPr>
        <w:tc>
          <w:tcPr>
            <w:tcW w:w="822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SECURITIES REGISTERED PURSUANT TO SECTION 12(b) OF THE ACT:</w:t>
            </w:r>
          </w:p>
        </w:tc>
        <w:tc>
          <w:tcPr>
            <w:tcW w:w="0" w:type="dxa"/>
            <w:vAlign w:val="bottom"/>
          </w:tcPr>
          <w:p>
            <w:pPr>
              <w:spacing w:after="0"/>
              <w:rPr>
                <w:sz w:val="1"/>
                <w:szCs w:val="1"/>
                <w:color w:val="auto"/>
              </w:rPr>
            </w:pPr>
          </w:p>
        </w:tc>
      </w:tr>
      <w:tr>
        <w:trPr>
          <w:trHeight w:val="311"/>
        </w:trPr>
        <w:tc>
          <w:tcPr>
            <w:tcW w:w="4480" w:type="dxa"/>
            <w:vAlign w:val="bottom"/>
            <w:vMerge w:val="restart"/>
          </w:tcPr>
          <w:p>
            <w:pPr>
              <w:jc w:val="right"/>
              <w:ind w:right="1852"/>
              <w:spacing w:after="0"/>
              <w:rPr>
                <w:sz w:val="20"/>
                <w:szCs w:val="20"/>
                <w:color w:val="auto"/>
              </w:rPr>
            </w:pPr>
            <w:r>
              <w:rPr>
                <w:rFonts w:ascii="Courier New" w:cs="Courier New" w:eastAsia="Courier New" w:hAnsi="Courier New"/>
                <w:sz w:val="18"/>
                <w:szCs w:val="18"/>
                <w:color w:val="auto"/>
              </w:rPr>
              <w:t>TITLE OF EACH CLASS</w:t>
            </w:r>
          </w:p>
        </w:tc>
        <w:tc>
          <w:tcPr>
            <w:tcW w:w="3740" w:type="dxa"/>
            <w:vAlign w:val="bottom"/>
          </w:tcPr>
          <w:p>
            <w:pPr>
              <w:jc w:val="center"/>
              <w:spacing w:after="0"/>
              <w:rPr>
                <w:sz w:val="20"/>
                <w:szCs w:val="20"/>
                <w:color w:val="auto"/>
              </w:rPr>
            </w:pPr>
            <w:r>
              <w:rPr>
                <w:rFonts w:ascii="Courier New" w:cs="Courier New" w:eastAsia="Courier New" w:hAnsi="Courier New"/>
                <w:sz w:val="18"/>
                <w:szCs w:val="18"/>
                <w:color w:val="auto"/>
                <w:w w:val="97"/>
              </w:rPr>
              <w:t>NAME OF EACH EXCHANGE ON</w:t>
            </w:r>
          </w:p>
        </w:tc>
        <w:tc>
          <w:tcPr>
            <w:tcW w:w="0" w:type="dxa"/>
            <w:vAlign w:val="bottom"/>
          </w:tcPr>
          <w:p>
            <w:pPr>
              <w:spacing w:after="0"/>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3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WHICH REGISTERED</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($.50 par value)</w:t>
            </w:r>
          </w:p>
        </w:tc>
        <w:tc>
          <w:tcPr>
            <w:tcW w:w="3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The New York Stock Exchange, Inc.</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3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Chicago Stock Exchange, Inc.</w:t>
            </w:r>
          </w:p>
        </w:tc>
        <w:tc>
          <w:tcPr>
            <w:tcW w:w="0" w:type="dxa"/>
            <w:vAlign w:val="bottom"/>
          </w:tcPr>
          <w:p>
            <w:pPr>
              <w:spacing w:after="0"/>
              <w:rPr>
                <w:sz w:val="1"/>
                <w:szCs w:val="1"/>
                <w:color w:val="auto"/>
              </w:rPr>
            </w:pPr>
          </w:p>
        </w:tc>
      </w:tr>
      <w:tr>
        <w:trPr>
          <w:trHeight w:val="296"/>
        </w:trPr>
        <w:tc>
          <w:tcPr>
            <w:tcW w:w="448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Courier New" w:cs="Courier New" w:eastAsia="Courier New" w:hAnsi="Courier New"/>
                <w:sz w:val="18"/>
                <w:szCs w:val="18"/>
                <w:color w:val="auto"/>
                <w:w w:val="97"/>
              </w:rPr>
              <w:t>The Pacific Stock Exchange, Inc.</w:t>
            </w:r>
          </w:p>
        </w:tc>
        <w:tc>
          <w:tcPr>
            <w:tcW w:w="0" w:type="dxa"/>
            <w:vAlign w:val="bottom"/>
          </w:tcPr>
          <w:p>
            <w:pPr>
              <w:spacing w:after="0"/>
              <w:rPr>
                <w:sz w:val="1"/>
                <w:szCs w:val="1"/>
                <w:color w:val="auto"/>
              </w:rPr>
            </w:pPr>
          </w:p>
        </w:tc>
      </w:tr>
    </w:tbl>
    <w:p>
      <w:pPr>
        <w:spacing w:after="0" w:line="31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Indicate by check mark whether the registrant (1) has filed all reports</w:t>
      </w:r>
    </w:p>
    <w:tbl>
      <w:tblPr>
        <w:tblLayout w:type="fixed"/>
        <w:tblInd w:w="0" w:type="dxa"/>
        <w:tblCellMar>
          <w:top w:w="0" w:type="dxa"/>
          <w:left w:w="0" w:type="dxa"/>
          <w:bottom w:w="0" w:type="dxa"/>
          <w:right w:w="0" w:type="dxa"/>
        </w:tblCellMar>
      </w:tblPr>
      <w:tr>
        <w:trPr>
          <w:trHeight w:val="201"/>
        </w:trPr>
        <w:tc>
          <w:tcPr>
            <w:tcW w:w="1220" w:type="dxa"/>
            <w:vAlign w:val="bottom"/>
          </w:tcPr>
          <w:p>
            <w:pPr>
              <w:spacing w:after="0" w:line="201" w:lineRule="exact"/>
              <w:rPr>
                <w:sz w:val="20"/>
                <w:szCs w:val="20"/>
                <w:color w:val="auto"/>
              </w:rPr>
            </w:pPr>
            <w:r>
              <w:rPr>
                <w:rFonts w:ascii="Courier New" w:cs="Courier New" w:eastAsia="Courier New" w:hAnsi="Courier New"/>
                <w:sz w:val="18"/>
                <w:szCs w:val="18"/>
                <w:color w:val="auto"/>
              </w:rPr>
              <w:t>required to</w:t>
            </w:r>
          </w:p>
        </w:tc>
        <w:tc>
          <w:tcPr>
            <w:tcW w:w="360" w:type="dxa"/>
            <w:vAlign w:val="bottom"/>
          </w:tcPr>
          <w:p>
            <w:pPr>
              <w:ind w:left="60"/>
              <w:spacing w:after="0" w:line="201" w:lineRule="exact"/>
              <w:rPr>
                <w:sz w:val="20"/>
                <w:szCs w:val="20"/>
                <w:color w:val="auto"/>
              </w:rPr>
            </w:pPr>
            <w:r>
              <w:rPr>
                <w:rFonts w:ascii="Courier New" w:cs="Courier New" w:eastAsia="Courier New" w:hAnsi="Courier New"/>
                <w:sz w:val="18"/>
                <w:szCs w:val="18"/>
                <w:color w:val="auto"/>
              </w:rPr>
              <w:t>be</w:t>
            </w:r>
          </w:p>
        </w:tc>
        <w:tc>
          <w:tcPr>
            <w:tcW w:w="900" w:type="dxa"/>
            <w:vAlign w:val="bottom"/>
          </w:tcPr>
          <w:p>
            <w:pPr>
              <w:spacing w:after="0" w:line="201" w:lineRule="exact"/>
              <w:rPr>
                <w:sz w:val="20"/>
                <w:szCs w:val="20"/>
                <w:color w:val="auto"/>
              </w:rPr>
            </w:pPr>
            <w:r>
              <w:rPr>
                <w:rFonts w:ascii="Courier New" w:cs="Courier New" w:eastAsia="Courier New" w:hAnsi="Courier New"/>
                <w:sz w:val="18"/>
                <w:szCs w:val="18"/>
                <w:color w:val="auto"/>
              </w:rPr>
              <w:t>filed by</w:t>
            </w:r>
          </w:p>
        </w:tc>
        <w:tc>
          <w:tcPr>
            <w:tcW w:w="2120" w:type="dxa"/>
            <w:vAlign w:val="bottom"/>
            <w:gridSpan w:val="2"/>
          </w:tcPr>
          <w:p>
            <w:pPr>
              <w:ind w:left="60"/>
              <w:spacing w:after="0" w:line="201" w:lineRule="exact"/>
              <w:rPr>
                <w:sz w:val="20"/>
                <w:szCs w:val="20"/>
                <w:color w:val="auto"/>
              </w:rPr>
            </w:pPr>
            <w:r>
              <w:rPr>
                <w:rFonts w:ascii="Courier New" w:cs="Courier New" w:eastAsia="Courier New" w:hAnsi="Courier New"/>
                <w:sz w:val="18"/>
                <w:szCs w:val="18"/>
                <w:color w:val="auto"/>
                <w:w w:val="99"/>
              </w:rPr>
              <w:t>Section 13 or 15(d)</w:t>
            </w:r>
          </w:p>
        </w:tc>
        <w:tc>
          <w:tcPr>
            <w:tcW w:w="720" w:type="dxa"/>
            <w:vAlign w:val="bottom"/>
          </w:tcPr>
          <w:p>
            <w:pPr>
              <w:ind w:left="40"/>
              <w:spacing w:after="0" w:line="201" w:lineRule="exact"/>
              <w:rPr>
                <w:sz w:val="20"/>
                <w:szCs w:val="20"/>
                <w:color w:val="auto"/>
              </w:rPr>
            </w:pPr>
            <w:r>
              <w:rPr>
                <w:rFonts w:ascii="Courier New" w:cs="Courier New" w:eastAsia="Courier New" w:hAnsi="Courier New"/>
                <w:sz w:val="18"/>
                <w:szCs w:val="18"/>
                <w:color w:val="auto"/>
              </w:rPr>
              <w:t>of the</w:t>
            </w:r>
          </w:p>
        </w:tc>
        <w:tc>
          <w:tcPr>
            <w:tcW w:w="2540" w:type="dxa"/>
            <w:vAlign w:val="bottom"/>
          </w:tcPr>
          <w:p>
            <w:pPr>
              <w:ind w:left="60"/>
              <w:spacing w:after="0" w:line="201" w:lineRule="exact"/>
              <w:rPr>
                <w:sz w:val="20"/>
                <w:szCs w:val="20"/>
                <w:color w:val="auto"/>
              </w:rPr>
            </w:pPr>
            <w:r>
              <w:rPr>
                <w:rFonts w:ascii="Courier New" w:cs="Courier New" w:eastAsia="Courier New" w:hAnsi="Courier New"/>
                <w:sz w:val="18"/>
                <w:szCs w:val="18"/>
                <w:color w:val="auto"/>
                <w:w w:val="99"/>
              </w:rPr>
              <w:t>Securities Exchange Act</w:t>
            </w:r>
          </w:p>
        </w:tc>
        <w:tc>
          <w:tcPr>
            <w:tcW w:w="480" w:type="dxa"/>
            <w:vAlign w:val="bottom"/>
          </w:tcPr>
          <w:p>
            <w:pPr>
              <w:ind w:left="40"/>
              <w:spacing w:after="0" w:line="201" w:lineRule="exact"/>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1934 during</w:t>
            </w:r>
          </w:p>
        </w:tc>
        <w:tc>
          <w:tcPr>
            <w:tcW w:w="25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the preceding 12 months</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for</w:t>
            </w:r>
          </w:p>
        </w:tc>
        <w:tc>
          <w:tcPr>
            <w:tcW w:w="3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such shorter period that the</w:t>
            </w:r>
          </w:p>
        </w:tc>
        <w:tc>
          <w:tcPr>
            <w:tcW w:w="48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7"/>
              </w:rPr>
              <w:t>such</w:t>
            </w:r>
          </w:p>
        </w:tc>
        <w:tc>
          <w:tcPr>
            <w:tcW w:w="0" w:type="dxa"/>
            <w:vAlign w:val="bottom"/>
          </w:tcPr>
          <w:p>
            <w:pPr>
              <w:spacing w:after="0"/>
              <w:rPr>
                <w:sz w:val="1"/>
                <w:szCs w:val="1"/>
                <w:color w:val="auto"/>
              </w:rPr>
            </w:pP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registrant was</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w:t>
            </w:r>
          </w:p>
        </w:tc>
        <w:tc>
          <w:tcPr>
            <w:tcW w:w="2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to file such reports), and</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(2) has been subject to</w:t>
            </w: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filing requirements for</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past 90</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days.</w:t>
            </w:r>
          </w:p>
        </w:tc>
        <w:tc>
          <w:tcPr>
            <w:tcW w:w="7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220" w:type="dxa"/>
            <w:vAlign w:val="bottom"/>
          </w:tcPr>
          <w:p>
            <w:pPr>
              <w:ind w:left="740"/>
              <w:spacing w:after="0"/>
              <w:rPr>
                <w:sz w:val="20"/>
                <w:szCs w:val="20"/>
                <w:color w:val="auto"/>
              </w:rPr>
            </w:pPr>
            <w:r>
              <w:rPr>
                <w:rFonts w:ascii="Courier New" w:cs="Courier New" w:eastAsia="Courier New" w:hAnsi="Courier New"/>
                <w:sz w:val="18"/>
                <w:szCs w:val="18"/>
                <w:color w:val="auto"/>
              </w:rPr>
              <w:t>Yes</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_x_</w:t>
            </w:r>
          </w:p>
        </w:tc>
        <w:tc>
          <w:tcPr>
            <w:tcW w:w="216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No __.</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right="1999" w:firstLine="737"/>
        <w:spacing w:after="0" w:line="265"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Annual Report on Form 10-K or any amendment to this Annual Report on Form 10-K _x_.</w:t>
      </w:r>
    </w:p>
    <w:p>
      <w:pPr>
        <w:spacing w:after="0" w:line="90" w:lineRule="exact"/>
        <w:rPr>
          <w:sz w:val="24"/>
          <w:szCs w:val="24"/>
          <w:color w:val="auto"/>
        </w:rPr>
      </w:pPr>
    </w:p>
    <w:p>
      <w:pPr>
        <w:ind w:right="1779" w:firstLine="737"/>
        <w:spacing w:after="0" w:line="292" w:lineRule="auto"/>
        <w:rPr>
          <w:sz w:val="20"/>
          <w:szCs w:val="20"/>
          <w:color w:val="auto"/>
        </w:rPr>
      </w:pPr>
      <w:r>
        <w:rPr>
          <w:rFonts w:ascii="Courier New" w:cs="Courier New" w:eastAsia="Courier New" w:hAnsi="Courier New"/>
          <w:sz w:val="18"/>
          <w:szCs w:val="18"/>
          <w:color w:val="auto"/>
        </w:rPr>
        <w:t>Aggregate market value of the common stock held by non-affiliates of the Registrant on October 14, 1996: $108,994,466 (14,063,802 shares at closing price on New York Stock Exchange of $7.75).</w:t>
      </w:r>
    </w:p>
    <w:p>
      <w:pPr>
        <w:spacing w:after="0" w:line="6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Common stock outstanding on November 18, 1996, 25,405,679 shares.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PART I</w:t>
      </w:r>
    </w:p>
    <w:p>
      <w:pPr>
        <w:spacing w:after="0" w:line="200" w:lineRule="exact"/>
        <w:rPr>
          <w:sz w:val="24"/>
          <w:szCs w:val="24"/>
          <w:color w:val="auto"/>
        </w:rPr>
      </w:pPr>
    </w:p>
    <w:p>
      <w:pPr>
        <w:spacing w:after="0" w:line="20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 (as amended January 29, 1997)</w:t>
      </w:r>
    </w:p>
    <w:p>
      <w:pPr>
        <w:spacing w:after="0" w:line="201" w:lineRule="exact"/>
        <w:rPr>
          <w:sz w:val="24"/>
          <w:szCs w:val="24"/>
          <w:color w:val="auto"/>
        </w:rPr>
      </w:pPr>
    </w:p>
    <w:p>
      <w:pPr>
        <w:ind w:right="1879"/>
        <w:spacing w:after="0" w:line="252" w:lineRule="auto"/>
        <w:rPr>
          <w:sz w:val="20"/>
          <w:szCs w:val="20"/>
          <w:color w:val="auto"/>
        </w:rPr>
      </w:pPr>
      <w:r>
        <w:rPr>
          <w:rFonts w:ascii="Courier New" w:cs="Courier New" w:eastAsia="Courier New" w:hAnsi="Courier New"/>
          <w:sz w:val="18"/>
          <w:szCs w:val="18"/>
          <w:color w:val="auto"/>
        </w:rPr>
        <w:t>The Company is involved in various legal proceedings which are ordinary routine litigation incident to its business, many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ectPr>
          <w:pgSz w:w="11900" w:h="16931" w:orient="portrait"/>
          <w:cols w:equalWidth="0" w:num="1">
            <w:col w:w="10219"/>
          </w:cols>
          <w:pgMar w:left="240" w:top="623" w:right="1440" w:bottom="0" w:gutter="0" w:footer="0" w:header="0"/>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Pursuant to the requirements of Section 13 of 15(d) of the Securities Exchange Act of 1934, the Registrant has duly caused this report to be signed on its behalf by the undersigned, thereunto duly authorized.</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WINNEBAGO INDUSTRIES, INC.</w:t>
      </w:r>
    </w:p>
    <w:p>
      <w:pPr>
        <w:sectPr>
          <w:pgSz w:w="11900" w:h="16838" w:orient="portrait"/>
          <w:cols w:equalWidth="0" w:num="1">
            <w:col w:w="10219"/>
          </w:cols>
          <w:pgMar w:left="240" w:top="7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Fred G. Dohrmann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192" w:lineRule="exact"/>
        <w:rPr>
          <w:sz w:val="20"/>
          <w:szCs w:val="20"/>
          <w:color w:val="auto"/>
        </w:rPr>
      </w:pPr>
    </w:p>
    <w:p>
      <w:pPr>
        <w:sectPr>
          <w:pgSz w:w="11900" w:h="16838" w:orient="portrait"/>
          <w:cols w:equalWidth="0" w:num="3">
            <w:col w:w="4340" w:space="720"/>
            <w:col w:w="320" w:space="640"/>
            <w:col w:w="4199"/>
          </w:cols>
          <w:pgMar w:left="240" w:top="718" w:right="1440" w:bottom="1440" w:gutter="0" w:footer="0" w:header="0"/>
          <w:type w:val="continuous"/>
        </w:sect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29, 1997</w:t>
      </w:r>
    </w:p>
    <w:sectPr>
      <w:pgSz w:w="11900" w:h="16838" w:orient="portrait"/>
      <w:cols w:equalWidth="0" w:num="1">
        <w:col w:w="10219"/>
      </w:cols>
      <w:pgMar w:left="240" w:top="7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2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2019-12-13T08:13:55Z</dcterms:created>
  <dcterms:modified xsi:type="dcterms:W3CDTF">2019-12-13T08:13:55Z</dcterms:modified>
</cp:coreProperties>
</file>