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May 18,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1087120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-1270</wp:posOffset>
            </wp:positionV>
            <wp:extent cx="2040890"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089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001-06403</w:t>
            </w:r>
          </w:p>
        </w:tc>
        <w:tc>
          <w:tcPr>
            <w:tcW w:w="31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2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32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74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740" w:type="dxa"/>
            <w:vAlign w:val="bottom"/>
          </w:tcPr>
          <w:p>
            <w:pPr>
              <w:spacing w:after="0"/>
              <w:rPr>
                <w:sz w:val="24"/>
                <w:szCs w:val="24"/>
                <w:color w:val="auto"/>
              </w:rPr>
            </w:pPr>
          </w:p>
        </w:tc>
        <w:tc>
          <w:tcPr>
            <w:tcW w:w="31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2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74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060" w:type="dxa"/>
            <w:vAlign w:val="bottom"/>
            <w:gridSpan w:val="2"/>
          </w:tcPr>
          <w:p>
            <w:pPr>
              <w:ind w:left="1940"/>
              <w:spacing w:after="0"/>
              <w:rPr>
                <w:sz w:val="20"/>
                <w:szCs w:val="20"/>
                <w:color w:val="auto"/>
              </w:rPr>
            </w:pPr>
            <w:r>
              <w:rPr>
                <w:rFonts w:ascii="Arial" w:cs="Arial" w:eastAsia="Arial" w:hAnsi="Arial"/>
                <w:sz w:val="18"/>
                <w:szCs w:val="18"/>
                <w:color w:val="auto"/>
                <w:w w:val="99"/>
              </w:rPr>
              <w:t>Registrant's telephone number, including area code</w:t>
            </w:r>
          </w:p>
        </w:tc>
        <w:tc>
          <w:tcPr>
            <w:tcW w:w="316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76"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8.01 Other Events.</w:t>
      </w:r>
    </w:p>
    <w:p>
      <w:pPr>
        <w:spacing w:after="0" w:line="23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May 18, 2012, Winnebago Industries, Inc. issued a press release, a copy of which is attached as Exhibit 99.1 to this report and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332" w:lineRule="exact"/>
        <w:rPr>
          <w:sz w:val="20"/>
          <w:szCs w:val="20"/>
          <w:color w:val="auto"/>
        </w:rPr>
      </w:pPr>
    </w:p>
    <w:p>
      <w:pPr>
        <w:ind w:left="500" w:hanging="46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7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ind w:left="620"/>
        <w:spacing w:after="0"/>
        <w:tabs>
          <w:tab w:leader="none" w:pos="18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6" w:lineRule="exact"/>
        <w:rPr>
          <w:sz w:val="20"/>
          <w:szCs w:val="20"/>
          <w:color w:val="auto"/>
        </w:rPr>
      </w:pPr>
    </w:p>
    <w:p>
      <w:pPr>
        <w:ind w:left="820"/>
        <w:spacing w:after="0"/>
        <w:tabs>
          <w:tab w:leader="none" w:pos="1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May 18, 2012.</w:t>
      </w:r>
    </w:p>
    <w:p>
      <w:pPr>
        <w:sectPr>
          <w:pgSz w:w="11900" w:h="16838" w:orient="portrait"/>
          <w:cols w:equalWidth="0" w:num="1">
            <w:col w:w="11420"/>
          </w:cols>
          <w:pgMar w:left="240" w:top="796" w:right="2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2700" w:type="dxa"/>
            <w:vAlign w:val="bottom"/>
          </w:tcPr>
          <w:p>
            <w:pPr>
              <w:spacing w:after="0"/>
              <w:rPr>
                <w:sz w:val="20"/>
                <w:szCs w:val="20"/>
                <w:color w:val="auto"/>
              </w:rPr>
            </w:pPr>
            <w:r>
              <w:rPr>
                <w:rFonts w:ascii="Arial" w:cs="Arial" w:eastAsia="Arial" w:hAnsi="Arial"/>
                <w:sz w:val="18"/>
                <w:szCs w:val="18"/>
                <w:color w:val="auto"/>
              </w:rPr>
              <w:t>Dated:  May 18, 2012  By:</w:t>
            </w:r>
          </w:p>
        </w:tc>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Randy J. Potts</w:t>
            </w:r>
          </w:p>
        </w:tc>
      </w:tr>
      <w:tr>
        <w:trPr>
          <w:trHeight w:val="243"/>
        </w:trPr>
        <w:tc>
          <w:tcPr>
            <w:tcW w:w="2700" w:type="dxa"/>
            <w:vAlign w:val="bottom"/>
          </w:tcPr>
          <w:p>
            <w:pPr>
              <w:ind w:left="2020"/>
              <w:spacing w:after="0"/>
              <w:rPr>
                <w:sz w:val="20"/>
                <w:szCs w:val="20"/>
                <w:color w:val="auto"/>
              </w:rPr>
            </w:pPr>
            <w:r>
              <w:rPr>
                <w:rFonts w:ascii="Arial" w:cs="Arial" w:eastAsia="Arial" w:hAnsi="Arial"/>
                <w:sz w:val="18"/>
                <w:szCs w:val="18"/>
                <w:color w:val="auto"/>
              </w:rPr>
              <w:t>Name:</w:t>
            </w:r>
          </w:p>
        </w:tc>
        <w:tc>
          <w:tcPr>
            <w:tcW w:w="5180" w:type="dxa"/>
            <w:vAlign w:val="bottom"/>
          </w:tcPr>
          <w:p>
            <w:pPr>
              <w:ind w:left="40"/>
              <w:spacing w:after="0"/>
              <w:rPr>
                <w:sz w:val="20"/>
                <w:szCs w:val="20"/>
                <w:color w:val="auto"/>
              </w:rPr>
            </w:pPr>
            <w:r>
              <w:rPr>
                <w:rFonts w:ascii="Arial" w:cs="Arial" w:eastAsia="Arial" w:hAnsi="Arial"/>
                <w:sz w:val="18"/>
                <w:szCs w:val="18"/>
                <w:color w:val="auto"/>
              </w:rPr>
              <w:t>Randy J. Potts</w:t>
            </w:r>
          </w:p>
        </w:tc>
      </w:tr>
      <w:tr>
        <w:trPr>
          <w:trHeight w:val="270"/>
        </w:trPr>
        <w:tc>
          <w:tcPr>
            <w:tcW w:w="2700" w:type="dxa"/>
            <w:vAlign w:val="bottom"/>
          </w:tcPr>
          <w:p>
            <w:pPr>
              <w:ind w:left="2020"/>
              <w:spacing w:after="0"/>
              <w:rPr>
                <w:sz w:val="20"/>
                <w:szCs w:val="20"/>
                <w:color w:val="auto"/>
              </w:rPr>
            </w:pPr>
            <w:r>
              <w:rPr>
                <w:rFonts w:ascii="Arial" w:cs="Arial" w:eastAsia="Arial" w:hAnsi="Arial"/>
                <w:sz w:val="18"/>
                <w:szCs w:val="18"/>
                <w:color w:val="auto"/>
              </w:rPr>
              <w:t>Title:</w:t>
            </w:r>
          </w:p>
        </w:tc>
        <w:tc>
          <w:tcPr>
            <w:tcW w:w="5180" w:type="dxa"/>
            <w:vAlign w:val="bottom"/>
          </w:tcPr>
          <w:p>
            <w:pPr>
              <w:ind w:left="40"/>
              <w:spacing w:after="0"/>
              <w:rPr>
                <w:sz w:val="20"/>
                <w:szCs w:val="20"/>
                <w:color w:val="auto"/>
              </w:rPr>
            </w:pPr>
            <w:r>
              <w:rPr>
                <w:rFonts w:ascii="Arial" w:cs="Arial" w:eastAsia="Arial" w:hAnsi="Arial"/>
                <w:sz w:val="18"/>
                <w:szCs w:val="18"/>
                <w:color w:val="auto"/>
              </w:rPr>
              <w:t>Chairman of the Board, Chief Executive Officer and President</w:t>
            </w:r>
          </w:p>
        </w:tc>
      </w:tr>
    </w:tbl>
    <w:p>
      <w:pPr>
        <w:sectPr>
          <w:pgSz w:w="11900" w:h="16838" w:orient="portrait"/>
          <w:cols w:equalWidth="0" w:num="1">
            <w:col w:w="11120"/>
          </w:cols>
          <w:pgMar w:left="240" w:top="580" w:right="5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22"/>
          <w:szCs w:val="22"/>
          <w:b w:val="1"/>
          <w:bCs w:val="1"/>
          <w:color w:val="auto"/>
        </w:rPr>
        <w:t>EXHIBIT INDEX</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6" w:lineRule="exact"/>
        <w:rPr>
          <w:sz w:val="20"/>
          <w:szCs w:val="20"/>
          <w:color w:val="auto"/>
        </w:rPr>
      </w:pPr>
    </w:p>
    <w:p>
      <w:pPr>
        <w:ind w:left="140"/>
        <w:spacing w:after="0"/>
        <w:tabs>
          <w:tab w:leader="none" w:pos="12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dated May 18, 2012.</w:t>
      </w:r>
    </w:p>
    <w:p>
      <w:pPr>
        <w:sectPr>
          <w:pgSz w:w="11900" w:h="16838" w:orient="portrait"/>
          <w:cols w:equalWidth="0" w:num="1">
            <w:col w:w="9039"/>
          </w:cols>
          <w:pgMar w:left="1420" w:top="580" w:right="1440"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Contact: Sheila Davis - PR/IR Mgr. - 641-585-6803 - sdavis@winnebagoind.com</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Inc. Reacts to Unsolicited Non-Binding Highly-Conditional Letter from North Street Capital, LP</w:t>
      </w:r>
    </w:p>
    <w:p>
      <w:pPr>
        <w:spacing w:after="0" w:line="26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Forest City, IA - May 18, 2012-Winnebago Industries, Inc. (NYSE - WGO) today confirmed that it is in receipt of a letter from North Street Capital, LP (“North Street”) proposing to acquire all outstanding common shares of Winnebago Industries at a price of $11.00 per share in cash. Company management has reviewed with the board of directors of the Company information provided by North Street in connection with the offer and has determined that, to date, it has not received sufficient information to deem the offer as credible. Consistent with its fiduciary duties to act in the best interests of Winnebago Industries and its stockholders, and in consultation with its independent financial and legal advisors, the board of directors of the Company will review any additional information relating to the North Street letter and respond in due course.</w:t>
      </w:r>
    </w:p>
    <w:p>
      <w:pPr>
        <w:spacing w:after="0" w:line="192"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The “offer” described in the letter is highly conditional, requiring, among other things, due diligence and further negotiation. The Company advises that no offer has been made to shareholders and that they need not take any action at this time in response to North Street's letter.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 Inc.</w:t>
      </w:r>
    </w:p>
    <w:p>
      <w:pPr>
        <w:spacing w:after="0" w:line="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Winnebago Industries, Inc., The Most Recognized Name In Motor Homes®, is a leading U.S. manufacturer of recreation vehicles used primarily in leisure travel and outdoor recreation activities. The Company and its subsidiary build quality motor homes, travel trailers and fifth wheel products under the Winnebago, Itasca, Era and SunnyBrook brand names.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auto"/>
        </w:rPr>
        <w:t>.</w:t>
      </w:r>
    </w:p>
    <w:p>
      <w:pPr>
        <w:spacing w:after="0" w:line="20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significant increase in repurchase obligations, inadequate liquidity or capital resources, availability and price of fuel, a slowdown in the economy,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60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2019-12-09T08:25:39Z</dcterms:created>
  <dcterms:modified xsi:type="dcterms:W3CDTF">2019-12-09T08:25:39Z</dcterms:modified>
</cp:coreProperties>
</file>