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WASHINGTON, D.C. 20549</w:t>
      </w: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ind w:left="1700"/>
        <w:spacing w:after="0"/>
        <w:tabs>
          <w:tab w:leader="none" w:pos="692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15,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3721100</wp:posOffset>
            </wp:positionH>
            <wp:positionV relativeFrom="paragraph">
              <wp:posOffset>-17780</wp:posOffset>
            </wp:positionV>
            <wp:extent cx="24504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0465" cy="8890"/>
                    </a:xfrm>
                    <a:prstGeom prst="rect">
                      <a:avLst/>
                    </a:prstGeom>
                    <a:noFill/>
                  </pic:spPr>
                </pic:pic>
              </a:graphicData>
            </a:graphic>
          </wp:anchor>
        </w:drawing>
      </w:r>
    </w:p>
    <w:p>
      <w:pPr>
        <w:spacing w:after="0" w:line="17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372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2485" cy="8890"/>
                    </a:xfrm>
                    <a:prstGeom prst="rect">
                      <a:avLst/>
                    </a:prstGeom>
                    <a:noFill/>
                  </pic:spPr>
                </pic:pic>
              </a:graphicData>
            </a:graphic>
          </wp:anchor>
        </w:drawing>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24"/>
          <w:szCs w:val="24"/>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4"/>
              </w:rPr>
              <w:t>Iowa</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89"/>
              </w:rPr>
              <w:t>001-06403</w:t>
            </w:r>
          </w:p>
        </w:tc>
        <w:tc>
          <w:tcPr>
            <w:tcW w:w="2600" w:type="dxa"/>
            <w:vAlign w:val="bottom"/>
            <w:gridSpan w:val="2"/>
          </w:tcPr>
          <w:p>
            <w:pPr>
              <w:jc w:val="center"/>
              <w:ind w:left="112"/>
              <w:spacing w:after="0"/>
              <w:rPr>
                <w:sz w:val="20"/>
                <w:szCs w:val="20"/>
                <w:color w:val="auto"/>
              </w:rPr>
            </w:pPr>
            <w:r>
              <w:rPr>
                <w:rFonts w:ascii="Arial" w:cs="Arial" w:eastAsia="Arial" w:hAnsi="Arial"/>
                <w:sz w:val="22"/>
                <w:szCs w:val="22"/>
                <w:color w:val="auto"/>
                <w:w w:val="90"/>
              </w:rPr>
              <w:t>42-0802678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23"/>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0"/>
              </w:rPr>
              <w:t>(State or other jurisdiction</w:t>
            </w:r>
          </w:p>
        </w:tc>
        <w:tc>
          <w:tcPr>
            <w:tcW w:w="2000" w:type="dxa"/>
            <w:vAlign w:val="bottom"/>
            <w:gridSpan w:val="4"/>
          </w:tcPr>
          <w:p>
            <w:pPr>
              <w:jc w:val="center"/>
              <w:ind w:right="360"/>
              <w:spacing w:after="0"/>
              <w:rPr>
                <w:sz w:val="20"/>
                <w:szCs w:val="20"/>
                <w:color w:val="auto"/>
              </w:rPr>
            </w:pPr>
            <w:r>
              <w:rPr>
                <w:rFonts w:ascii="Arial" w:cs="Arial" w:eastAsia="Arial" w:hAnsi="Arial"/>
                <w:sz w:val="22"/>
                <w:szCs w:val="22"/>
                <w:color w:val="auto"/>
                <w:w w:val="91"/>
              </w:rPr>
              <w:t>(Commission File</w:t>
            </w: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0"/>
              </w:rPr>
              <w:t>(IRS Employer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5"/>
        </w:trPr>
        <w:tc>
          <w:tcPr>
            <w:tcW w:w="3360" w:type="dxa"/>
            <w:vAlign w:val="bottom"/>
            <w:gridSpan w:val="3"/>
          </w:tcPr>
          <w:p>
            <w:pPr>
              <w:jc w:val="center"/>
              <w:ind w:right="600"/>
              <w:spacing w:after="0"/>
              <w:rPr>
                <w:sz w:val="20"/>
                <w:szCs w:val="20"/>
                <w:color w:val="auto"/>
              </w:rPr>
            </w:pPr>
            <w:r>
              <w:rPr>
                <w:rFonts w:ascii="Arial" w:cs="Arial" w:eastAsia="Arial" w:hAnsi="Arial"/>
                <w:sz w:val="22"/>
                <w:szCs w:val="22"/>
                <w:color w:val="auto"/>
                <w:w w:val="93"/>
              </w:rPr>
              <w:t>of incorporation)</w:t>
            </w:r>
          </w:p>
        </w:tc>
        <w:tc>
          <w:tcPr>
            <w:tcW w:w="2000" w:type="dxa"/>
            <w:vAlign w:val="bottom"/>
            <w:gridSpan w:val="4"/>
          </w:tcPr>
          <w:p>
            <w:pPr>
              <w:jc w:val="center"/>
              <w:ind w:right="380"/>
              <w:spacing w:after="0"/>
              <w:rPr>
                <w:sz w:val="20"/>
                <w:szCs w:val="20"/>
                <w:color w:val="auto"/>
              </w:rPr>
            </w:pPr>
            <w:r>
              <w:rPr>
                <w:rFonts w:ascii="Arial" w:cs="Arial" w:eastAsia="Arial" w:hAnsi="Arial"/>
                <w:sz w:val="22"/>
                <w:szCs w:val="22"/>
                <w:color w:val="auto"/>
                <w:w w:val="91"/>
              </w:rPr>
              <w:t>Number)</w:t>
            </w:r>
          </w:p>
        </w:tc>
        <w:tc>
          <w:tcPr>
            <w:tcW w:w="240" w:type="dxa"/>
            <w:vAlign w:val="bottom"/>
          </w:tcPr>
          <w:p>
            <w:pPr>
              <w:spacing w:after="0"/>
              <w:rPr>
                <w:sz w:val="23"/>
                <w:szCs w:val="23"/>
                <w:color w:val="auto"/>
              </w:rPr>
            </w:pPr>
          </w:p>
        </w:tc>
        <w:tc>
          <w:tcPr>
            <w:tcW w:w="236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86"/>
        </w:trPr>
        <w:tc>
          <w:tcPr>
            <w:tcW w:w="3360" w:type="dxa"/>
            <w:vAlign w:val="bottom"/>
            <w:gridSpan w:val="3"/>
          </w:tcPr>
          <w:p>
            <w:pPr>
              <w:jc w:val="center"/>
              <w:ind w:left="432"/>
              <w:spacing w:after="0"/>
              <w:rPr>
                <w:sz w:val="20"/>
                <w:szCs w:val="20"/>
                <w:color w:val="auto"/>
              </w:rPr>
            </w:pPr>
            <w:r>
              <w:rPr>
                <w:rFonts w:ascii="Arial" w:cs="Arial" w:eastAsia="Arial" w:hAnsi="Arial"/>
                <w:sz w:val="22"/>
                <w:szCs w:val="22"/>
                <w:color w:val="auto"/>
                <w:w w:val="88"/>
              </w:rPr>
              <w:t>P.O. Box 152, Forest City, Iowa</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12"/>
              <w:spacing w:after="0"/>
              <w:rPr>
                <w:sz w:val="20"/>
                <w:szCs w:val="20"/>
                <w:color w:val="auto"/>
              </w:rPr>
            </w:pPr>
            <w:r>
              <w:rPr>
                <w:rFonts w:ascii="Arial" w:cs="Arial" w:eastAsia="Arial" w:hAnsi="Arial"/>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900" w:type="dxa"/>
            <w:vAlign w:val="bottom"/>
            <w:tcBorders>
              <w:bottom w:val="single" w:sz="8" w:color="auto"/>
            </w:tcBorders>
            <w:gridSpan w:val="4"/>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55"/>
        </w:trPr>
        <w:tc>
          <w:tcPr>
            <w:tcW w:w="5360" w:type="dxa"/>
            <w:vAlign w:val="bottom"/>
            <w:gridSpan w:val="7"/>
          </w:tcPr>
          <w:p>
            <w:pPr>
              <w:jc w:val="center"/>
              <w:ind w:right="1460"/>
              <w:spacing w:after="0"/>
              <w:rPr>
                <w:sz w:val="20"/>
                <w:szCs w:val="20"/>
                <w:color w:val="auto"/>
              </w:rPr>
            </w:pPr>
            <w:r>
              <w:rPr>
                <w:rFonts w:ascii="Arial" w:cs="Arial" w:eastAsia="Arial" w:hAnsi="Arial"/>
                <w:sz w:val="22"/>
                <w:szCs w:val="22"/>
                <w:color w:val="auto"/>
                <w:w w:val="90"/>
              </w:rPr>
              <w:t>(Address of principal executive offices)</w:t>
            </w:r>
          </w:p>
        </w:tc>
        <w:tc>
          <w:tcPr>
            <w:tcW w:w="240" w:type="dxa"/>
            <w:vAlign w:val="bottom"/>
          </w:tcPr>
          <w:p>
            <w:pPr>
              <w:spacing w:after="0"/>
              <w:rPr>
                <w:sz w:val="24"/>
                <w:szCs w:val="24"/>
                <w:color w:val="auto"/>
              </w:rPr>
            </w:pPr>
          </w:p>
        </w:tc>
        <w:tc>
          <w:tcPr>
            <w:tcW w:w="2360" w:type="dxa"/>
            <w:vAlign w:val="bottom"/>
          </w:tcPr>
          <w:p>
            <w:pPr>
              <w:jc w:val="center"/>
              <w:ind w:right="1292"/>
              <w:spacing w:after="0"/>
              <w:rPr>
                <w:sz w:val="20"/>
                <w:szCs w:val="20"/>
                <w:color w:val="auto"/>
              </w:rPr>
            </w:pPr>
            <w:r>
              <w:rPr>
                <w:rFonts w:ascii="Arial" w:cs="Arial" w:eastAsia="Arial" w:hAnsi="Arial"/>
                <w:sz w:val="22"/>
                <w:szCs w:val="22"/>
                <w:color w:val="auto"/>
                <w:w w:val="92"/>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2"/>
        </w:trPr>
        <w:tc>
          <w:tcPr>
            <w:tcW w:w="4600" w:type="dxa"/>
            <w:vAlign w:val="bottom"/>
            <w:gridSpan w:val="6"/>
          </w:tcPr>
          <w:p>
            <w:pPr>
              <w:ind w:left="120"/>
              <w:spacing w:after="0"/>
              <w:rPr>
                <w:sz w:val="20"/>
                <w:szCs w:val="20"/>
                <w:color w:val="auto"/>
              </w:rPr>
            </w:pPr>
            <w:r>
              <w:rPr>
                <w:rFonts w:ascii="Arial" w:cs="Arial" w:eastAsia="Arial" w:hAnsi="Arial"/>
                <w:sz w:val="22"/>
                <w:szCs w:val="22"/>
                <w:color w:val="auto"/>
                <w:w w:val="8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6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6" w:lineRule="exact"/>
        <w:rPr>
          <w:sz w:val="24"/>
          <w:szCs w:val="24"/>
          <w:color w:val="auto"/>
        </w:rPr>
      </w:pPr>
    </w:p>
    <w:p>
      <w:pPr>
        <w:ind w:left="13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840" w:right="20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0" w:lineRule="exact"/>
        <w:rPr>
          <w:rFonts w:ascii="Arial" w:cs="Arial" w:eastAsia="Arial" w:hAnsi="Arial"/>
          <w:sz w:val="22"/>
          <w:szCs w:val="22"/>
          <w:color w:val="auto"/>
        </w:rPr>
      </w:pPr>
    </w:p>
    <w:p>
      <w:pPr>
        <w:ind w:left="1840" w:right="24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93" w:lineRule="exact"/>
        <w:rPr>
          <w:sz w:val="24"/>
          <w:szCs w:val="24"/>
          <w:color w:val="auto"/>
        </w:rPr>
      </w:pPr>
    </w:p>
    <w:p>
      <w:pPr>
        <w:ind w:right="540"/>
        <w:spacing w:after="0" w:line="328" w:lineRule="auto"/>
        <w:rPr>
          <w:sz w:val="20"/>
          <w:szCs w:val="20"/>
          <w:color w:val="auto"/>
        </w:rPr>
      </w:pPr>
      <w:r>
        <w:rPr>
          <w:rFonts w:ascii="Arial" w:cs="Arial" w:eastAsia="Arial" w:hAnsi="Arial"/>
          <w:sz w:val="19"/>
          <w:szCs w:val="19"/>
          <w:color w:val="auto"/>
        </w:rPr>
        <w:t>Winnebago Industries, Inc. is filing herewith a press release issued on December 15, 2004, as Exhibit 99.1 which is included herein. The press release was issued to report earnings for the first quarter ended November 27, 2004 of fiscal 2005.</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93" w:lineRule="exact"/>
        <w:rPr>
          <w:sz w:val="24"/>
          <w:szCs w:val="24"/>
          <w:color w:val="auto"/>
        </w:rPr>
      </w:pPr>
    </w:p>
    <w:tbl>
      <w:tblPr>
        <w:tblLayout w:type="fixed"/>
        <w:tblInd w:w="560" w:type="dxa"/>
        <w:tblCellMar>
          <w:top w:w="0" w:type="dxa"/>
          <w:left w:w="0" w:type="dxa"/>
          <w:bottom w:w="0" w:type="dxa"/>
          <w:right w:w="0" w:type="dxa"/>
        </w:tblCellMar>
      </w:tblPr>
      <w:tr>
        <w:trPr>
          <w:trHeight w:val="27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420" w:type="dxa"/>
            <w:vAlign w:val="bottom"/>
            <w:gridSpan w:val="3"/>
          </w:tcPr>
          <w:p>
            <w:pPr>
              <w:jc w:val="right"/>
              <w:ind w:right="520"/>
              <w:spacing w:after="0"/>
              <w:rPr>
                <w:sz w:val="20"/>
                <w:szCs w:val="20"/>
                <w:color w:val="auto"/>
              </w:rPr>
            </w:pPr>
            <w:r>
              <w:rPr>
                <w:rFonts w:ascii="Arial" w:cs="Arial" w:eastAsia="Arial" w:hAnsi="Arial"/>
                <w:sz w:val="22"/>
                <w:szCs w:val="22"/>
                <w:color w:val="auto"/>
              </w:rPr>
              <w:t>Exhibits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449"/>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4980" w:type="dxa"/>
            <w:vAlign w:val="bottom"/>
          </w:tcPr>
          <w:p>
            <w:pPr>
              <w:spacing w:after="0"/>
              <w:rPr>
                <w:sz w:val="20"/>
                <w:szCs w:val="20"/>
                <w:color w:val="auto"/>
              </w:rPr>
            </w:pPr>
          </w:p>
        </w:tc>
      </w:tr>
      <w:tr>
        <w:trPr>
          <w:trHeight w:val="274"/>
        </w:trPr>
        <w:tc>
          <w:tcPr>
            <w:tcW w:w="440" w:type="dxa"/>
            <w:vAlign w:val="bottom"/>
          </w:tcPr>
          <w:p>
            <w:pPr>
              <w:spacing w:after="0"/>
              <w:rPr>
                <w:sz w:val="23"/>
                <w:szCs w:val="23"/>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99.1</w:t>
            </w:r>
          </w:p>
        </w:tc>
        <w:tc>
          <w:tcPr>
            <w:tcW w:w="340" w:type="dxa"/>
            <w:vAlign w:val="bottom"/>
          </w:tcPr>
          <w:p>
            <w:pPr>
              <w:spacing w:after="0"/>
              <w:rPr>
                <w:sz w:val="23"/>
                <w:szCs w:val="23"/>
                <w:color w:val="auto"/>
              </w:rPr>
            </w:pPr>
          </w:p>
        </w:tc>
        <w:tc>
          <w:tcPr>
            <w:tcW w:w="6380" w:type="dxa"/>
            <w:vAlign w:val="bottom"/>
            <w:gridSpan w:val="3"/>
          </w:tcPr>
          <w:p>
            <w:pPr>
              <w:ind w:left="320"/>
              <w:spacing w:after="0"/>
              <w:rPr>
                <w:sz w:val="20"/>
                <w:szCs w:val="20"/>
                <w:color w:val="auto"/>
              </w:rPr>
            </w:pPr>
            <w:r>
              <w:rPr>
                <w:rFonts w:ascii="Arial" w:cs="Arial" w:eastAsia="Arial" w:hAnsi="Arial"/>
                <w:sz w:val="22"/>
                <w:szCs w:val="22"/>
                <w:color w:val="auto"/>
                <w:w w:val="87"/>
              </w:rPr>
              <w:t>Press release of Winnebago Industries, Inc. dated December 15, 2004.</w:t>
            </w:r>
          </w:p>
        </w:tc>
      </w:tr>
    </w:tbl>
    <w:p>
      <w:pPr>
        <w:spacing w:after="0" w:line="200" w:lineRule="exact"/>
        <w:rPr>
          <w:sz w:val="24"/>
          <w:szCs w:val="24"/>
          <w:color w:val="auto"/>
        </w:rPr>
      </w:pPr>
    </w:p>
    <w:p>
      <w:pPr>
        <w:sectPr>
          <w:pgSz w:w="11900" w:h="16838" w:orient="portrait"/>
          <w:cols w:equalWidth="0" w:num="1">
            <w:col w:w="11320"/>
          </w:cols>
          <w:pgMar w:left="240" w:top="219" w:right="339" w:bottom="348" w:gutter="0" w:footer="0" w:header="0"/>
        </w:sectPr>
      </w:pPr>
    </w:p>
    <w:p>
      <w:pPr>
        <w:spacing w:after="0" w:line="28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320"/>
          </w:cols>
          <w:pgMar w:left="240" w:top="219" w:right="339" w:bottom="348"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6060" w:val="left"/>
        </w:tabs>
        <w:rPr>
          <w:sz w:val="20"/>
          <w:szCs w:val="20"/>
          <w:color w:val="auto"/>
        </w:rPr>
      </w:pPr>
      <w:r>
        <w:rPr>
          <w:rFonts w:ascii="Arial" w:cs="Arial" w:eastAsia="Arial" w:hAnsi="Arial"/>
          <w:sz w:val="22"/>
          <w:szCs w:val="22"/>
          <w:color w:val="auto"/>
        </w:rPr>
        <w:t>Dated: December 15, 2004</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55"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  Bruce D. Hertzke</w:t>
      </w:r>
    </w:p>
    <w:p>
      <w:pPr>
        <w:ind w:left="6080"/>
        <w:spacing w:after="0" w:line="238" w:lineRule="auto"/>
        <w:rPr>
          <w:sz w:val="20"/>
          <w:szCs w:val="20"/>
          <w:color w:val="auto"/>
        </w:rPr>
      </w:pPr>
      <w:r>
        <w:rPr>
          <w:rFonts w:ascii="Arial" w:cs="Arial" w:eastAsia="Arial" w:hAnsi="Arial"/>
          <w:sz w:val="22"/>
          <w:szCs w:val="22"/>
          <w:color w:val="auto"/>
        </w:rPr>
        <w:t>Name:  Bruce D. Hertzke</w:t>
      </w:r>
    </w:p>
    <w:p>
      <w:pPr>
        <w:ind w:left="6080"/>
        <w:spacing w:after="0"/>
        <w:tabs>
          <w:tab w:leader="none" w:pos="6840" w:val="left"/>
        </w:tabs>
        <w:rPr>
          <w:sz w:val="20"/>
          <w:szCs w:val="20"/>
          <w:color w:val="auto"/>
        </w:rPr>
      </w:pPr>
      <w:r>
        <w:rPr>
          <w:rFonts w:ascii="Arial" w:cs="Arial" w:eastAsia="Arial" w:hAnsi="Arial"/>
          <w:sz w:val="22"/>
          <w:szCs w:val="22"/>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300" w:type="dxa"/>
        <w:tblCellMar>
          <w:top w:w="0" w:type="dxa"/>
          <w:left w:w="0" w:type="dxa"/>
          <w:bottom w:w="0" w:type="dxa"/>
          <w:right w:w="0" w:type="dxa"/>
        </w:tblCellMar>
      </w:tblPr>
      <w:tr>
        <w:trPr>
          <w:trHeight w:val="281"/>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tcPr>
          <w:p>
            <w:pPr>
              <w:ind w:left="1060"/>
              <w:spacing w:after="0"/>
              <w:rPr>
                <w:sz w:val="20"/>
                <w:szCs w:val="20"/>
                <w:color w:val="auto"/>
              </w:rPr>
            </w:pPr>
            <w:r>
              <w:rPr>
                <w:rFonts w:ascii="Arial" w:cs="Arial" w:eastAsia="Arial" w:hAnsi="Arial"/>
                <w:sz w:val="22"/>
                <w:szCs w:val="22"/>
                <w:b w:val="1"/>
                <w:bCs w:val="1"/>
                <w:color w:val="auto"/>
              </w:rPr>
              <w:t>EXHIBIT INDEX</w:t>
            </w:r>
          </w:p>
        </w:tc>
      </w:tr>
      <w:tr>
        <w:trPr>
          <w:trHeight w:val="503"/>
        </w:trPr>
        <w:tc>
          <w:tcPr>
            <w:tcW w:w="1120" w:type="dxa"/>
            <w:vAlign w:val="bottom"/>
            <w:gridSpan w:val="2"/>
          </w:tcPr>
          <w:p>
            <w:pPr>
              <w:spacing w:after="0"/>
              <w:rPr>
                <w:sz w:val="20"/>
                <w:szCs w:val="20"/>
                <w:color w:val="auto"/>
              </w:rPr>
            </w:pPr>
            <w:r>
              <w:rPr>
                <w:rFonts w:ascii="Arial" w:cs="Arial" w:eastAsia="Arial" w:hAnsi="Arial"/>
                <w:sz w:val="22"/>
                <w:szCs w:val="22"/>
                <w:b w:val="1"/>
                <w:bCs w:val="1"/>
                <w:color w:val="auto"/>
              </w:rPr>
              <w:t>Exhibit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30"/>
        </w:trPr>
        <w:tc>
          <w:tcPr>
            <w:tcW w:w="7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1"/>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7"/>
              </w:rPr>
              <w:t>Description</w:t>
            </w:r>
          </w:p>
        </w:tc>
        <w:tc>
          <w:tcPr>
            <w:tcW w:w="4980" w:type="dxa"/>
            <w:vAlign w:val="bottom"/>
          </w:tcPr>
          <w:p>
            <w:pPr>
              <w:spacing w:after="0"/>
              <w:rPr>
                <w:sz w:val="20"/>
                <w:szCs w:val="20"/>
                <w:color w:val="auto"/>
              </w:rPr>
            </w:pPr>
          </w:p>
        </w:tc>
      </w:tr>
      <w:tr>
        <w:trPr>
          <w:trHeight w:val="274"/>
        </w:trPr>
        <w:tc>
          <w:tcPr>
            <w:tcW w:w="780" w:type="dxa"/>
            <w:vAlign w:val="bottom"/>
          </w:tcPr>
          <w:p>
            <w:pPr>
              <w:jc w:val="right"/>
              <w:ind w:right="72"/>
              <w:spacing w:after="0"/>
              <w:rPr>
                <w:sz w:val="20"/>
                <w:szCs w:val="20"/>
                <w:color w:val="auto"/>
              </w:rPr>
            </w:pPr>
            <w:r>
              <w:rPr>
                <w:rFonts w:ascii="Arial" w:cs="Arial" w:eastAsia="Arial" w:hAnsi="Arial"/>
                <w:sz w:val="22"/>
                <w:szCs w:val="22"/>
                <w:color w:val="auto"/>
              </w:rPr>
              <w:t>99.1</w:t>
            </w:r>
          </w:p>
        </w:tc>
        <w:tc>
          <w:tcPr>
            <w:tcW w:w="340" w:type="dxa"/>
            <w:vAlign w:val="bottom"/>
          </w:tcPr>
          <w:p>
            <w:pPr>
              <w:spacing w:after="0"/>
              <w:rPr>
                <w:sz w:val="23"/>
                <w:szCs w:val="23"/>
                <w:color w:val="auto"/>
              </w:rPr>
            </w:pPr>
          </w:p>
        </w:tc>
        <w:tc>
          <w:tcPr>
            <w:tcW w:w="6380" w:type="dxa"/>
            <w:vAlign w:val="bottom"/>
            <w:gridSpan w:val="3"/>
          </w:tcPr>
          <w:p>
            <w:pPr>
              <w:ind w:left="320"/>
              <w:spacing w:after="0"/>
              <w:rPr>
                <w:sz w:val="20"/>
                <w:szCs w:val="20"/>
                <w:color w:val="auto"/>
              </w:rPr>
            </w:pPr>
            <w:r>
              <w:rPr>
                <w:rFonts w:ascii="Arial" w:cs="Arial" w:eastAsia="Arial" w:hAnsi="Arial"/>
                <w:sz w:val="22"/>
                <w:szCs w:val="22"/>
                <w:color w:val="auto"/>
                <w:w w:val="87"/>
              </w:rPr>
              <w:t>Press release of Winnebago Industries, Inc. dated December 15, 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PR/IR Manager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641/585-6803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sdavis@winnebagoind.com</w:t>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WINNEBAGO INDUSTRIES REPORTS RECORD FIRST QUARTER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REVENUES AND EARNINGS</w:t>
      </w:r>
    </w:p>
    <w:p>
      <w:pPr>
        <w:spacing w:after="0" w:line="28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FOREST CITY, IOWA, December 15, 2004 – Winnebago Industries, Inc., (NYSE:WGO), the leading United States (U.S.) motor home manufacturer, today reported record financial results for the Company’s first quarter ended November 27, 2004.</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Revenues for the first quarter of fiscal 2005 were a record $266.1 million, a 4.4 percent increase compared to revenues of $254.9 million for the first quarter of fiscal 2004.</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Net income for the first quarter was a record $19.5 million, a 7.7 percent increase compared to net income of $18.1 million for the first quarter last year. On a diluted per share basis, the Company earned a record 57 cents a share for the first quarter of fiscal 2005, a 14 percent increase compared to net income of 50 cents a share for the first quarter last year.</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“The increase in Winnebago Industries’ Class A diesel motor home shipments remains a very positive driver of our business,” said Winnebago Industries’ Chairman, CEO and President Bruce D. Hertzke. “Wholesale deliveries of our Winnebago Journey and Vectra, and Itasca Meridian and Horizon Class A diesel motor homes increased 13 percent in the first quarter of fiscal 2005 compared to the same quarter a year ago. Negatively impacting first quarter motor home deliveries, however, were hurricanes and severe weather conditions in the Southeastern portion of the U.S. Operating margins continued at a high level, although somewhat lower than last year’s exceptionally strong performance due primarily to a less favorable product mix. Additionally, the quarter benefited from a lower tax rate.”</w:t>
      </w:r>
    </w:p>
    <w:p>
      <w:pPr>
        <w:spacing w:after="0" w:line="198"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Winnebago Industries is the top-selling motor home manufacturer in the U.S. According to Statistical Surveys, Inc., an independent retail reporting service, Winnebago Industries leads the industry with 19.3 percent of the combined Class A and Class C retail market for the first 10 months of calendar 2004 compared to 19.0 percent for the same period last year.</w:t>
      </w:r>
    </w:p>
    <w:p>
      <w:pPr>
        <w:spacing w:after="0" w:line="19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company’s sales order backlog was 2,080 units at November 27, 2004 compared to the backlog of 2,768 units one year ago. The backlog is lower than last year’s historic levels due in part to increased capacity as a result of Winnebago Industries’ new Charles City Manufacturing Facility and due to more appropriate levels of dealer inventory.</w:t>
      </w:r>
    </w:p>
    <w:p>
      <w:pPr>
        <w:spacing w:after="0" w:line="19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Hertzke continued, “Dealer reaction to Winnebago Industries’ new products at the RVIA show in Louisville, Kentucky in early December was extremely positive, particularly to the brand new Winnebago View and Itasca Navion high-mileage Class C diesel models. Orders taken at the show were 53 percent ahead of those taken at last year’s Louisville show, of which a significant portion were for the new View and Navion, scheduled to be delivered to our dealers in the latter half of fiscal 2005.</w:t>
      </w:r>
    </w:p>
    <w:p>
      <w:pPr>
        <w:spacing w:after="0" w:line="197"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Also during the recent Louisville Show, Winnebago Industries accepted the prestigious Quality Circle Award for the ninth consecutive year from the Recreation Vehicle Dealer Association. Winnebago Industries is the only company to receive the award every year since its inception nine years ago. Hertzke noted, “Our employees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extremely hard to ensure that Winnebago Industries’ motor homes and services meet or exceed the high quality expectations of our dealer partners and retail customers, so we are extremely honored to receive this award on their behalf.”</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and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ectPr>
          <w:pgSz w:w="11900" w:h="16838" w:orient="portrait"/>
          <w:cols w:equalWidth="0" w:num="1">
            <w:col w:w="11420"/>
          </w:cols>
          <w:pgMar w:left="240" w:top="125"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1235710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Quarter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Quarter Ended</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Nov. 27, 2004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Nov. 29, 2003*</w:t>
            </w: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1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266,133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254,933</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226,069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215,468</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40,064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39,465</w:t>
            </w:r>
          </w:p>
        </w:tc>
        <w:tc>
          <w:tcPr>
            <w:tcW w:w="0" w:type="dxa"/>
            <w:vAlign w:val="bottom"/>
          </w:tcPr>
          <w:p>
            <w:pPr>
              <w:spacing w:after="0"/>
              <w:rPr>
                <w:sz w:val="1"/>
                <w:szCs w:val="1"/>
                <w:color w:val="auto"/>
              </w:rPr>
            </w:pPr>
          </w:p>
        </w:tc>
      </w:tr>
      <w:tr>
        <w:trPr>
          <w:trHeight w:val="110"/>
        </w:trPr>
        <w:tc>
          <w:tcPr>
            <w:tcW w:w="51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22"/>
        </w:trPr>
        <w:tc>
          <w:tcPr>
            <w:tcW w:w="5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29,953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29,166</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60" w:type="dxa"/>
            <w:vAlign w:val="bottom"/>
          </w:tcPr>
          <w:p>
            <w:pPr>
              <w:spacing w:after="0"/>
              <w:rPr>
                <w:sz w:val="20"/>
                <w:szCs w:val="20"/>
                <w:color w:val="auto"/>
              </w:rPr>
            </w:pPr>
            <w:r>
              <w:rPr>
                <w:rFonts w:ascii="Arial" w:cs="Arial" w:eastAsia="Arial" w:hAnsi="Arial"/>
                <w:sz w:val="18"/>
                <w:szCs w:val="18"/>
                <w:color w:val="auto"/>
              </w:rPr>
              <w:t>Pre-tax income</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30,447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29,469</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10,903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18,067</w:t>
            </w:r>
          </w:p>
        </w:tc>
        <w:tc>
          <w:tcPr>
            <w:tcW w:w="0" w:type="dxa"/>
            <w:vAlign w:val="bottom"/>
          </w:tcPr>
          <w:p>
            <w:pPr>
              <w:spacing w:after="0"/>
              <w:rPr>
                <w:sz w:val="1"/>
                <w:szCs w:val="1"/>
                <w:color w:val="auto"/>
              </w:rPr>
            </w:pPr>
          </w:p>
        </w:tc>
      </w:tr>
      <w:tr>
        <w:trPr>
          <w:trHeight w:val="120"/>
        </w:trPr>
        <w:tc>
          <w:tcPr>
            <w:tcW w:w="5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20"/>
        </w:trPr>
        <w:tc>
          <w:tcPr>
            <w:tcW w:w="5160" w:type="dxa"/>
            <w:vAlign w:val="bottom"/>
            <w:vMerge w:val="restart"/>
          </w:tcPr>
          <w:p>
            <w:pPr>
              <w:spacing w:after="0"/>
              <w:rPr>
                <w:sz w:val="20"/>
                <w:szCs w:val="20"/>
                <w:color w:val="auto"/>
              </w:rPr>
            </w:pPr>
            <w:r>
              <w:rPr>
                <w:rFonts w:ascii="Arial" w:cs="Arial" w:eastAsia="Arial" w:hAnsi="Arial"/>
                <w:sz w:val="18"/>
                <w:szCs w:val="18"/>
                <w:color w:val="auto"/>
              </w:rPr>
              <w:t>Number of shares used in per share</w:t>
            </w: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180"/>
              <w:spacing w:after="0"/>
              <w:rPr>
                <w:sz w:val="20"/>
                <w:szCs w:val="20"/>
                <w:color w:val="auto"/>
              </w:rPr>
            </w:pPr>
            <w:r>
              <w:rPr>
                <w:rFonts w:ascii="Arial" w:cs="Arial" w:eastAsia="Arial" w:hAnsi="Arial"/>
                <w:sz w:val="18"/>
                <w:szCs w:val="18"/>
                <w:color w:val="auto"/>
              </w:rPr>
              <w:t>calculations – basic</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33,606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35,298</w:t>
            </w:r>
          </w:p>
        </w:tc>
        <w:tc>
          <w:tcPr>
            <w:tcW w:w="0" w:type="dxa"/>
            <w:vAlign w:val="bottom"/>
          </w:tcPr>
          <w:p>
            <w:pPr>
              <w:spacing w:after="0"/>
              <w:rPr>
                <w:sz w:val="1"/>
                <w:szCs w:val="1"/>
                <w:color w:val="auto"/>
              </w:rPr>
            </w:pPr>
          </w:p>
        </w:tc>
      </w:tr>
      <w:tr>
        <w:trPr>
          <w:trHeight w:val="120"/>
        </w:trPr>
        <w:tc>
          <w:tcPr>
            <w:tcW w:w="5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60" w:type="dxa"/>
            <w:vAlign w:val="bottom"/>
          </w:tcPr>
          <w:p>
            <w:pPr>
              <w:spacing w:after="0"/>
              <w:rPr>
                <w:sz w:val="20"/>
                <w:szCs w:val="20"/>
                <w:color w:val="auto"/>
              </w:rPr>
            </w:pPr>
            <w:r>
              <w:rPr>
                <w:rFonts w:ascii="Arial" w:cs="Arial" w:eastAsia="Arial" w:hAnsi="Arial"/>
                <w:sz w:val="18"/>
                <w:szCs w:val="18"/>
                <w:color w:val="auto"/>
              </w:rPr>
              <w:t>Income per share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20"/>
        </w:trPr>
        <w:tc>
          <w:tcPr>
            <w:tcW w:w="5160" w:type="dxa"/>
            <w:vAlign w:val="bottom"/>
            <w:vMerge w:val="restart"/>
          </w:tcPr>
          <w:p>
            <w:pPr>
              <w:spacing w:after="0"/>
              <w:rPr>
                <w:sz w:val="20"/>
                <w:szCs w:val="20"/>
                <w:color w:val="auto"/>
              </w:rPr>
            </w:pPr>
            <w:r>
              <w:rPr>
                <w:rFonts w:ascii="Arial" w:cs="Arial" w:eastAsia="Arial" w:hAnsi="Arial"/>
                <w:sz w:val="18"/>
                <w:szCs w:val="18"/>
                <w:color w:val="auto"/>
              </w:rPr>
              <w:t>Number of shares used in per share</w:t>
            </w: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180"/>
              <w:spacing w:after="0"/>
              <w:rPr>
                <w:sz w:val="20"/>
                <w:szCs w:val="20"/>
                <w:color w:val="auto"/>
              </w:rPr>
            </w:pPr>
            <w:r>
              <w:rPr>
                <w:rFonts w:ascii="Arial" w:cs="Arial" w:eastAsia="Arial" w:hAnsi="Arial"/>
                <w:sz w:val="18"/>
                <w:szCs w:val="18"/>
                <w:color w:val="auto"/>
              </w:rPr>
              <w:t>calculations – diluted</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34,178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35,846</w:t>
            </w:r>
          </w:p>
        </w:tc>
        <w:tc>
          <w:tcPr>
            <w:tcW w:w="0" w:type="dxa"/>
            <w:vAlign w:val="bottom"/>
          </w:tcPr>
          <w:p>
            <w:pPr>
              <w:spacing w:after="0"/>
              <w:rPr>
                <w:sz w:val="1"/>
                <w:szCs w:val="1"/>
                <w:color w:val="auto"/>
              </w:rPr>
            </w:pPr>
          </w:p>
        </w:tc>
      </w:tr>
      <w:tr>
        <w:trPr>
          <w:trHeight w:val="120"/>
        </w:trPr>
        <w:tc>
          <w:tcPr>
            <w:tcW w:w="5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-1454785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-1454785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-1454785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-1454785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-1163320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-1163320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-1163320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-1163320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-734695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-734695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-734695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-734695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-443230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-443230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-443230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-443230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Adjusted for 2-for-1 stock split on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2217420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0219"/>
          </w:cols>
          <w:pgMar w:left="240" w:top="1440" w:right="1440" w:bottom="0" w:gutter="0" w:footer="0" w:header="0"/>
        </w:sectPr>
      </w:pPr>
    </w:p>
    <w:p>
      <w:pPr>
        <w:spacing w:after="0" w:line="214" w:lineRule="exact"/>
        <w:rPr>
          <w:sz w:val="20"/>
          <w:szCs w:val="20"/>
          <w:color w:val="auto"/>
        </w:rPr>
      </w:pPr>
    </w:p>
    <w:p>
      <w:pPr>
        <w:ind w:left="6980"/>
        <w:spacing w:after="0"/>
        <w:tabs>
          <w:tab w:leader="none" w:pos="8660" w:val="left"/>
        </w:tabs>
        <w:rPr>
          <w:sz w:val="20"/>
          <w:szCs w:val="20"/>
          <w:color w:val="auto"/>
        </w:rPr>
      </w:pPr>
      <w:r>
        <w:rPr>
          <w:rFonts w:ascii="Arial" w:cs="Arial" w:eastAsia="Arial" w:hAnsi="Arial"/>
          <w:sz w:val="14"/>
          <w:szCs w:val="14"/>
          <w:b w:val="1"/>
          <w:bCs w:val="1"/>
          <w:color w:val="auto"/>
        </w:rPr>
        <w:t>Nov. 27, 2004</w:t>
      </w:r>
      <w:r>
        <w:rPr>
          <w:sz w:val="20"/>
          <w:szCs w:val="20"/>
          <w:color w:val="auto"/>
        </w:rPr>
        <w:tab/>
      </w:r>
      <w:r>
        <w:rPr>
          <w:rFonts w:ascii="Arial" w:cs="Arial" w:eastAsia="Arial" w:hAnsi="Arial"/>
          <w:sz w:val="12"/>
          <w:szCs w:val="12"/>
          <w:b w:val="1"/>
          <w:bCs w:val="1"/>
          <w:color w:val="auto"/>
        </w:rPr>
        <w:t>Aug.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68580</wp:posOffset>
            </wp:positionV>
            <wp:extent cx="17665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4" w:name="page5"/>
    <w:bookmarkEnd w:id="4"/>
    <w:tbl>
      <w:tblPr>
        <w:tblLayout w:type="fixed"/>
        <w:tblInd w:w="46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101,342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75,545</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25,295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46,112</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137,348</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130,733</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18,404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282,389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270,069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62,998</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63,995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24,834</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21,782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14,196</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406,199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1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46,659</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14,443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22"/>
        </w:trPr>
        <w:tc>
          <w:tcPr>
            <w:tcW w:w="51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50,773</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54,285</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96,870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105,278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Post retirement health care and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8"/>
                <w:szCs w:val="18"/>
                <w:color w:val="auto"/>
              </w:rPr>
              <w:t>deferred compensation benefits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88,125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87,403</w:t>
            </w: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221,204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406,199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-1969770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-1969770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-1969770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-1969770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1677035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Quarter Ended</w:t>
            </w: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Quarter Ended</w:t>
            </w: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11/27/2004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11/29/2003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19,544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Decrease in receivable and other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(13,599)</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Decrease (increase) in deferred income taxes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Increase in income taxes payable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(Decrease) increase in postretirement benefits</w:t>
            </w:r>
          </w:p>
        </w:tc>
        <w:tc>
          <w:tcPr>
            <w:tcW w:w="100" w:type="dxa"/>
            <w:vAlign w:val="bottom"/>
          </w:tcPr>
          <w:p>
            <w:pPr>
              <w:spacing w:after="0"/>
              <w:rPr>
                <w:sz w:val="19"/>
                <w:szCs w:val="19"/>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27,944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60" w:type="dxa"/>
            <w:vAlign w:val="bottom"/>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1" w:right="1440" w:bottom="90" w:gutter="0" w:footer="0" w:header="0"/>
        </w:sectPr>
      </w:pPr>
    </w:p>
    <w:bookmarkStart w:id="5" w:name="page6"/>
    <w:bookmarkEnd w:id="5"/>
    <w:p>
      <w:pPr>
        <w:spacing w:after="0" w:line="1" w:lineRule="exact"/>
        <w:rPr>
          <w:sz w:val="20"/>
          <w:szCs w:val="20"/>
          <w:color w:val="auto"/>
        </w:rPr>
      </w:pPr>
    </w:p>
    <w:tbl>
      <w:tblPr>
        <w:tblLayout w:type="fixed"/>
        <w:tblInd w:w="1652"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and capital transactions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3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(63,979)</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Payment of cash dividends</w:t>
            </w:r>
          </w:p>
        </w:tc>
        <w:tc>
          <w:tcPr>
            <w:tcW w:w="3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(2,351)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(1,823)</w:t>
            </w:r>
          </w:p>
        </w:tc>
      </w:tr>
      <w:tr>
        <w:trPr>
          <w:trHeight w:val="222"/>
        </w:trPr>
        <w:tc>
          <w:tcPr>
            <w:tcW w:w="5160" w:type="dxa"/>
            <w:vAlign w:val="bottom"/>
          </w:tcPr>
          <w:p>
            <w:pPr>
              <w:ind w:left="140"/>
              <w:spacing w:after="0"/>
              <w:rPr>
                <w:sz w:val="20"/>
                <w:szCs w:val="20"/>
                <w:color w:val="auto"/>
              </w:rPr>
            </w:pPr>
            <w:r>
              <w:rPr>
                <w:rFonts w:ascii="Arial" w:cs="Arial" w:eastAsia="Arial" w:hAnsi="Arial"/>
                <w:sz w:val="18"/>
                <w:szCs w:val="18"/>
                <w:color w:val="auto"/>
              </w:rPr>
              <w:t>Proceeds from issuance of common and treasury stock</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1,686</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3,056</w:t>
            </w:r>
          </w:p>
        </w:tc>
        <w:tc>
          <w:tcPr>
            <w:tcW w:w="40" w:type="dxa"/>
            <w:vAlign w:val="bottom"/>
          </w:tcPr>
          <w:p>
            <w:pPr>
              <w:spacing w:after="0"/>
              <w:rPr>
                <w:sz w:val="19"/>
                <w:szCs w:val="19"/>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30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(62,746)</w:t>
            </w: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532"/>
        </w:trPr>
        <w:tc>
          <w:tcPr>
            <w:tcW w:w="51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25,797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(42,492)</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75,545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99,381</w:t>
            </w:r>
          </w:p>
        </w:tc>
        <w:tc>
          <w:tcPr>
            <w:tcW w:w="40" w:type="dxa"/>
            <w:vAlign w:val="bottom"/>
          </w:tcPr>
          <w:p>
            <w:pPr>
              <w:spacing w:after="0"/>
              <w:rPr>
                <w:sz w:val="24"/>
                <w:szCs w:val="24"/>
                <w:color w:val="auto"/>
              </w:rPr>
            </w:pPr>
          </w:p>
        </w:tc>
      </w:tr>
      <w:tr>
        <w:trPr>
          <w:trHeight w:val="110"/>
        </w:trPr>
        <w:tc>
          <w:tcPr>
            <w:tcW w:w="5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532"/>
        </w:trPr>
        <w:tc>
          <w:tcPr>
            <w:tcW w:w="516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101,342</w:t>
            </w:r>
          </w:p>
        </w:tc>
        <w:tc>
          <w:tcPr>
            <w:tcW w:w="64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56,889</w:t>
            </w:r>
          </w:p>
        </w:tc>
        <w:tc>
          <w:tcPr>
            <w:tcW w:w="40" w:type="dxa"/>
            <w:vAlign w:val="bottom"/>
          </w:tcPr>
          <w:p>
            <w:pPr>
              <w:spacing w:after="0"/>
              <w:rPr>
                <w:sz w:val="24"/>
                <w:szCs w:val="24"/>
                <w:color w:val="auto"/>
              </w:rPr>
            </w:pPr>
          </w:p>
        </w:tc>
      </w:tr>
      <w:tr>
        <w:trPr>
          <w:trHeight w:val="120"/>
        </w:trPr>
        <w:tc>
          <w:tcPr>
            <w:tcW w:w="5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1677035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Unaudited Motor Home Deliveries</w:t>
      </w:r>
    </w:p>
    <w:p>
      <w:pPr>
        <w:spacing w:after="0" w:line="9"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(Volume in Units)</w:t>
      </w:r>
    </w:p>
    <w:p>
      <w:pPr>
        <w:spacing w:after="0" w:line="202" w:lineRule="exact"/>
        <w:rPr>
          <w:sz w:val="20"/>
          <w:szCs w:val="20"/>
          <w:color w:val="auto"/>
        </w:rPr>
      </w:pPr>
    </w:p>
    <w:tbl>
      <w:tblPr>
        <w:tblLayout w:type="fixed"/>
        <w:tblInd w:w="3012"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11/27/2004</w:t>
            </w:r>
          </w:p>
        </w:tc>
        <w:tc>
          <w:tcPr>
            <w:tcW w:w="1360" w:type="dxa"/>
            <w:vAlign w:val="bottom"/>
            <w:gridSpan w:val="2"/>
          </w:tcPr>
          <w:p>
            <w:pPr>
              <w:jc w:val="center"/>
              <w:ind w:left="556"/>
              <w:spacing w:after="0"/>
              <w:rPr>
                <w:sz w:val="20"/>
                <w:szCs w:val="20"/>
                <w:color w:val="auto"/>
              </w:rPr>
            </w:pPr>
            <w:r>
              <w:rPr>
                <w:rFonts w:ascii="Arial" w:cs="Arial" w:eastAsia="Arial" w:hAnsi="Arial"/>
                <w:sz w:val="14"/>
                <w:szCs w:val="14"/>
                <w:b w:val="1"/>
                <w:bCs w:val="1"/>
                <w:color w:val="auto"/>
                <w:w w:val="85"/>
              </w:rPr>
              <w:t>11/29/2003</w:t>
            </w:r>
          </w:p>
        </w:tc>
        <w:tc>
          <w:tcPr>
            <w:tcW w:w="0" w:type="dxa"/>
            <w:vAlign w:val="bottom"/>
          </w:tcPr>
          <w:p>
            <w:pPr>
              <w:spacing w:after="0"/>
              <w:rPr>
                <w:sz w:val="1"/>
                <w:szCs w:val="1"/>
                <w:color w:val="auto"/>
              </w:rPr>
            </w:pPr>
          </w:p>
        </w:tc>
      </w:tr>
      <w:tr>
        <w:trPr>
          <w:trHeight w:val="95"/>
        </w:trPr>
        <w:tc>
          <w:tcPr>
            <w:tcW w:w="3240" w:type="dxa"/>
            <w:vAlign w:val="bottom"/>
            <w:vMerge w:val="restart"/>
          </w:tcPr>
          <w:p>
            <w:pPr>
              <w:spacing w:after="0"/>
              <w:rPr>
                <w:sz w:val="20"/>
                <w:szCs w:val="20"/>
                <w:color w:val="auto"/>
              </w:rPr>
            </w:pPr>
            <w:r>
              <w:rPr>
                <w:rFonts w:ascii="Arial" w:cs="Arial" w:eastAsia="Arial" w:hAnsi="Arial"/>
                <w:sz w:val="18"/>
                <w:szCs w:val="18"/>
                <w:color w:val="auto"/>
              </w:rPr>
              <w:t>Unit deliveries</w:t>
            </w: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2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80"/>
              <w:spacing w:after="0"/>
              <w:rPr>
                <w:sz w:val="20"/>
                <w:szCs w:val="20"/>
                <w:color w:val="auto"/>
              </w:rPr>
            </w:pPr>
            <w:r>
              <w:rPr>
                <w:rFonts w:ascii="Arial" w:cs="Arial" w:eastAsia="Arial" w:hAnsi="Arial"/>
                <w:sz w:val="18"/>
                <w:szCs w:val="18"/>
                <w:color w:val="auto"/>
              </w:rPr>
              <w:t>Class A gas</w:t>
            </w:r>
          </w:p>
        </w:tc>
        <w:tc>
          <w:tcPr>
            <w:tcW w:w="700" w:type="dxa"/>
            <w:vAlign w:val="bottom"/>
          </w:tcPr>
          <w:p>
            <w:pPr>
              <w:jc w:val="right"/>
              <w:spacing w:after="0"/>
              <w:rPr>
                <w:sz w:val="20"/>
                <w:szCs w:val="20"/>
                <w:color w:val="auto"/>
              </w:rPr>
            </w:pPr>
            <w:r>
              <w:rPr>
                <w:rFonts w:ascii="Arial" w:cs="Arial" w:eastAsia="Arial" w:hAnsi="Arial"/>
                <w:sz w:val="18"/>
                <w:szCs w:val="18"/>
                <w:color w:val="auto"/>
              </w:rPr>
              <w:t>1,326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32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700" w:type="dxa"/>
            <w:vAlign w:val="bottom"/>
          </w:tcPr>
          <w:p>
            <w:pPr>
              <w:jc w:val="right"/>
              <w:spacing w:after="0"/>
              <w:rPr>
                <w:sz w:val="20"/>
                <w:szCs w:val="20"/>
                <w:color w:val="auto"/>
              </w:rPr>
            </w:pPr>
            <w:r>
              <w:rPr>
                <w:rFonts w:ascii="Arial" w:cs="Arial" w:eastAsia="Arial" w:hAnsi="Arial"/>
                <w:sz w:val="18"/>
                <w:szCs w:val="18"/>
                <w:color w:val="auto"/>
              </w:rPr>
              <w:t>596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2"/>
        </w:trPr>
        <w:tc>
          <w:tcPr>
            <w:tcW w:w="3240" w:type="dxa"/>
            <w:vAlign w:val="bottom"/>
          </w:tcPr>
          <w:p>
            <w:pPr>
              <w:ind w:left="80"/>
              <w:spacing w:after="0"/>
              <w:rPr>
                <w:sz w:val="20"/>
                <w:szCs w:val="20"/>
                <w:color w:val="auto"/>
              </w:rPr>
            </w:pPr>
            <w:r>
              <w:rPr>
                <w:rFonts w:ascii="Arial" w:cs="Arial" w:eastAsia="Arial" w:hAnsi="Arial"/>
                <w:sz w:val="18"/>
                <w:szCs w:val="18"/>
                <w:color w:val="auto"/>
              </w:rPr>
              <w:t>Class C</w:t>
            </w:r>
          </w:p>
        </w:tc>
        <w:tc>
          <w:tcPr>
            <w:tcW w:w="700" w:type="dxa"/>
            <w:vAlign w:val="bottom"/>
          </w:tcPr>
          <w:p>
            <w:pPr>
              <w:jc w:val="right"/>
              <w:spacing w:after="0"/>
              <w:rPr>
                <w:sz w:val="20"/>
                <w:szCs w:val="20"/>
                <w:color w:val="auto"/>
              </w:rPr>
            </w:pPr>
            <w:r>
              <w:rPr>
                <w:rFonts w:ascii="Arial" w:cs="Arial" w:eastAsia="Arial" w:hAnsi="Arial"/>
                <w:sz w:val="18"/>
                <w:szCs w:val="18"/>
                <w:color w:val="auto"/>
              </w:rPr>
              <w:t>903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4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700" w:type="dxa"/>
            <w:vAlign w:val="bottom"/>
          </w:tcPr>
          <w:p>
            <w:pPr>
              <w:jc w:val="right"/>
              <w:spacing w:after="0"/>
              <w:rPr>
                <w:sz w:val="20"/>
                <w:szCs w:val="20"/>
                <w:color w:val="auto"/>
              </w:rPr>
            </w:pPr>
            <w:r>
              <w:rPr>
                <w:rFonts w:ascii="Arial" w:cs="Arial" w:eastAsia="Arial" w:hAnsi="Arial"/>
                <w:sz w:val="18"/>
                <w:szCs w:val="18"/>
                <w:color w:val="auto"/>
              </w:rPr>
              <w:t>2,825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(Volume in Units)</w:t>
      </w:r>
    </w:p>
    <w:p>
      <w:pPr>
        <w:spacing w:after="0" w:line="214" w:lineRule="exact"/>
        <w:rPr>
          <w:sz w:val="20"/>
          <w:szCs w:val="20"/>
          <w:color w:val="auto"/>
        </w:rPr>
      </w:pPr>
    </w:p>
    <w:tbl>
      <w:tblPr>
        <w:tblLayout w:type="fixed"/>
        <w:tblInd w:w="3012"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Nov. 27, 2004</w:t>
            </w:r>
          </w:p>
        </w:tc>
        <w:tc>
          <w:tcPr>
            <w:tcW w:w="6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Nov. 29, 2003</w:t>
            </w:r>
          </w:p>
        </w:tc>
        <w:tc>
          <w:tcPr>
            <w:tcW w:w="0" w:type="dxa"/>
            <w:vAlign w:val="bottom"/>
          </w:tcPr>
          <w:p>
            <w:pPr>
              <w:spacing w:after="0"/>
              <w:rPr>
                <w:sz w:val="1"/>
                <w:szCs w:val="1"/>
                <w:color w:val="auto"/>
              </w:rPr>
            </w:pPr>
          </w:p>
        </w:tc>
      </w:tr>
      <w:tr>
        <w:trPr>
          <w:trHeight w:val="95"/>
        </w:trPr>
        <w:tc>
          <w:tcPr>
            <w:tcW w:w="2480" w:type="dxa"/>
            <w:vAlign w:val="bottom"/>
            <w:vMerge w:val="restart"/>
          </w:tcPr>
          <w:p>
            <w:pPr>
              <w:spacing w:after="0"/>
              <w:rPr>
                <w:sz w:val="20"/>
                <w:szCs w:val="20"/>
                <w:color w:val="auto"/>
              </w:rPr>
            </w:pPr>
            <w:r>
              <w:rPr>
                <w:rFonts w:ascii="Arial" w:cs="Arial" w:eastAsia="Arial" w:hAnsi="Arial"/>
                <w:sz w:val="18"/>
                <w:szCs w:val="18"/>
                <w:color w:val="auto"/>
              </w:rPr>
              <w:t>Sales order backlog</w:t>
            </w: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Class A gas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2"/>
        </w:trPr>
        <w:tc>
          <w:tcPr>
            <w:tcW w:w="2480" w:type="dxa"/>
            <w:vAlign w:val="bottom"/>
          </w:tcPr>
          <w:p>
            <w:pPr>
              <w:ind w:left="80"/>
              <w:spacing w:after="0"/>
              <w:rPr>
                <w:sz w:val="20"/>
                <w:szCs w:val="20"/>
                <w:color w:val="auto"/>
              </w:rPr>
            </w:pPr>
            <w:r>
              <w:rPr>
                <w:rFonts w:ascii="Arial" w:cs="Arial" w:eastAsia="Arial" w:hAnsi="Arial"/>
                <w:sz w:val="18"/>
                <w:szCs w:val="18"/>
                <w:color w:val="auto"/>
              </w:rPr>
              <w:t>Class C</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480" w:type="dxa"/>
            <w:vAlign w:val="bottom"/>
          </w:tcPr>
          <w:p>
            <w:pPr>
              <w:ind w:left="260"/>
              <w:spacing w:after="0"/>
              <w:rPr>
                <w:sz w:val="20"/>
                <w:szCs w:val="20"/>
                <w:color w:val="auto"/>
              </w:rPr>
            </w:pPr>
            <w:r>
              <w:rPr>
                <w:rFonts w:ascii="Arial" w:cs="Arial" w:eastAsia="Arial" w:hAnsi="Arial"/>
                <w:sz w:val="18"/>
                <w:szCs w:val="18"/>
                <w:color w:val="auto"/>
              </w:rPr>
              <w:t>Total backlog*</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Total approximate revenue</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120"/>
              <w:spacing w:after="0"/>
              <w:rPr>
                <w:sz w:val="20"/>
                <w:szCs w:val="20"/>
                <w:color w:val="auto"/>
              </w:rPr>
            </w:pPr>
            <w:r>
              <w:rPr>
                <w:rFonts w:ascii="Arial" w:cs="Arial" w:eastAsia="Arial" w:hAnsi="Arial"/>
                <w:sz w:val="18"/>
                <w:szCs w:val="18"/>
                <w:color w:val="auto"/>
              </w:rPr>
              <w:t>dollars (in thousands)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187,780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227,880</w:t>
            </w: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Dealer inventory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5,138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8" w:firstLine="8"/>
        <w:spacing w:after="0" w:line="332" w:lineRule="auto"/>
        <w:tabs>
          <w:tab w:leader="none" w:pos="20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39" w:lineRule="exact"/>
        <w:rPr>
          <w:rFonts w:ascii="Arial" w:cs="Arial" w:eastAsia="Arial" w:hAnsi="Arial"/>
          <w:sz w:val="16"/>
          <w:szCs w:val="16"/>
          <w:color w:val="auto"/>
        </w:rPr>
      </w:pPr>
    </w:p>
    <w:p>
      <w:pPr>
        <w:ind w:left="5672" w:hanging="142"/>
        <w:spacing w:after="0"/>
        <w:tabs>
          <w:tab w:leader="none" w:pos="5672"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ectPr>
          <w:pgSz w:w="11900" w:h="16838" w:orient="portrait"/>
          <w:cols w:equalWidth="0" w:num="1">
            <w:col w:w="11112"/>
          </w:cols>
          <w:pgMar w:left="248" w:top="131" w:right="539" w:bottom="701" w:gutter="0" w:footer="0" w:header="0"/>
        </w:sectPr>
      </w:pPr>
    </w:p>
    <w:bookmarkStart w:id="6" w:name="page7"/>
    <w:bookmarkEnd w:id="6"/>
    <w:p>
      <w:pPr>
        <w:spacing w:after="0"/>
        <w:tabs>
          <w:tab w:leader="none" w:pos="567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2019-12-11T19:13:39Z</dcterms:created>
  <dcterms:modified xsi:type="dcterms:W3CDTF">2019-12-11T19:13:39Z</dcterms:modified>
</cp:coreProperties>
</file>