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6"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5040" w:type="dxa"/>
            <w:vAlign w:val="bottom"/>
            <w:gridSpan w:val="9"/>
          </w:tcPr>
          <w:p>
            <w:pPr>
              <w:ind w:left="900"/>
              <w:spacing w:after="0"/>
              <w:rPr>
                <w:sz w:val="20"/>
                <w:szCs w:val="20"/>
                <w:color w:val="auto"/>
              </w:rPr>
            </w:pPr>
            <w:r>
              <w:rPr>
                <w:rFonts w:ascii="Arial" w:cs="Arial" w:eastAsia="Arial" w:hAnsi="Arial"/>
                <w:sz w:val="18"/>
                <w:szCs w:val="18"/>
                <w:color w:val="auto"/>
              </w:rPr>
              <w:t>Date of Report (Date of earliest event reported)</w:t>
            </w:r>
          </w:p>
        </w:tc>
        <w:tc>
          <w:tcPr>
            <w:tcW w:w="2920" w:type="dxa"/>
            <w:vAlign w:val="bottom"/>
            <w:gridSpan w:val="7"/>
          </w:tcPr>
          <w:p>
            <w:pPr>
              <w:ind w:left="60"/>
              <w:spacing w:after="0"/>
              <w:rPr>
                <w:sz w:val="20"/>
                <w:szCs w:val="20"/>
                <w:color w:val="auto"/>
              </w:rPr>
            </w:pPr>
            <w:r>
              <w:rPr>
                <w:rFonts w:ascii="Arial" w:cs="Arial" w:eastAsia="Arial" w:hAnsi="Arial"/>
                <w:sz w:val="18"/>
                <w:szCs w:val="18"/>
                <w:color w:val="auto"/>
              </w:rPr>
              <w:t>October 14, 2004</w:t>
            </w:r>
          </w:p>
        </w:tc>
        <w:tc>
          <w:tcPr>
            <w:tcW w:w="8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Winnebago Industries, Inc.</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7960" w:type="dxa"/>
            <w:vAlign w:val="bottom"/>
            <w:gridSpan w:val="16"/>
          </w:tcPr>
          <w:p>
            <w:pPr>
              <w:ind w:left="2240"/>
              <w:spacing w:after="0"/>
              <w:rPr>
                <w:sz w:val="20"/>
                <w:szCs w:val="20"/>
                <w:color w:val="auto"/>
              </w:rPr>
            </w:pPr>
            <w:r>
              <w:rPr>
                <w:rFonts w:ascii="Arial" w:cs="Arial" w:eastAsia="Arial" w:hAnsi="Arial"/>
                <w:sz w:val="18"/>
                <w:szCs w:val="18"/>
                <w:color w:val="auto"/>
              </w:rPr>
              <w:t>(Exact name of registrant as specified in its charter)</w:t>
            </w:r>
          </w:p>
        </w:tc>
        <w:tc>
          <w:tcPr>
            <w:tcW w:w="80" w:type="dxa"/>
            <w:vAlign w:val="bottom"/>
          </w:tcPr>
          <w:p>
            <w:pPr>
              <w:spacing w:after="0"/>
              <w:rPr>
                <w:sz w:val="20"/>
                <w:szCs w:val="20"/>
                <w:color w:val="auto"/>
              </w:rPr>
            </w:pPr>
          </w:p>
        </w:tc>
      </w:tr>
      <w:tr>
        <w:trPr>
          <w:trHeight w:val="432"/>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Iowa</w:t>
            </w:r>
          </w:p>
        </w:tc>
        <w:tc>
          <w:tcPr>
            <w:tcW w:w="1960" w:type="dxa"/>
            <w:vAlign w:val="bottom"/>
            <w:gridSpan w:val="5"/>
          </w:tcPr>
          <w:p>
            <w:pPr>
              <w:jc w:val="right"/>
              <w:ind w:right="480"/>
              <w:spacing w:after="0"/>
              <w:rPr>
                <w:sz w:val="20"/>
                <w:szCs w:val="20"/>
                <w:color w:val="auto"/>
              </w:rPr>
            </w:pPr>
            <w:r>
              <w:rPr>
                <w:rFonts w:ascii="Arial" w:cs="Arial" w:eastAsia="Arial" w:hAnsi="Arial"/>
                <w:sz w:val="18"/>
                <w:szCs w:val="18"/>
                <w:color w:val="auto"/>
              </w:rPr>
              <w:t>001-06403</w:t>
            </w:r>
          </w:p>
        </w:tc>
        <w:tc>
          <w:tcPr>
            <w:tcW w:w="200" w:type="dxa"/>
            <w:vAlign w:val="bottom"/>
          </w:tcPr>
          <w:p>
            <w:pPr>
              <w:spacing w:after="0"/>
              <w:rPr>
                <w:sz w:val="24"/>
                <w:szCs w:val="24"/>
                <w:color w:val="auto"/>
              </w:rPr>
            </w:pPr>
          </w:p>
        </w:tc>
        <w:tc>
          <w:tcPr>
            <w:tcW w:w="1960" w:type="dxa"/>
            <w:vAlign w:val="bottom"/>
            <w:gridSpan w:val="4"/>
          </w:tcPr>
          <w:p>
            <w:pPr>
              <w:jc w:val="center"/>
              <w:ind w:left="1012"/>
              <w:spacing w:after="0"/>
              <w:rPr>
                <w:sz w:val="20"/>
                <w:szCs w:val="20"/>
                <w:color w:val="auto"/>
              </w:rPr>
            </w:pPr>
            <w:r>
              <w:rPr>
                <w:rFonts w:ascii="Arial" w:cs="Arial" w:eastAsia="Arial" w:hAnsi="Arial"/>
                <w:sz w:val="18"/>
                <w:szCs w:val="18"/>
                <w:color w:val="auto"/>
                <w:w w:val="89"/>
              </w:rPr>
              <w:t>42-0802678</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89"/>
              </w:rPr>
              <w:t>(State or other jurisdiction</w:t>
            </w:r>
          </w:p>
        </w:tc>
        <w:tc>
          <w:tcPr>
            <w:tcW w:w="2160" w:type="dxa"/>
            <w:vAlign w:val="bottom"/>
            <w:gridSpan w:val="6"/>
          </w:tcPr>
          <w:p>
            <w:pPr>
              <w:jc w:val="center"/>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of incorporation)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080" w:type="dxa"/>
            <w:vAlign w:val="bottom"/>
            <w:gridSpan w:val="4"/>
          </w:tcPr>
          <w:p>
            <w:pPr>
              <w:jc w:val="center"/>
              <w:ind w:left="712"/>
              <w:spacing w:after="0"/>
              <w:rPr>
                <w:sz w:val="20"/>
                <w:szCs w:val="20"/>
                <w:color w:val="auto"/>
              </w:rPr>
            </w:pPr>
            <w:r>
              <w:rPr>
                <w:rFonts w:ascii="Arial" w:cs="Arial" w:eastAsia="Arial" w:hAnsi="Arial"/>
                <w:sz w:val="18"/>
                <w:szCs w:val="18"/>
                <w:color w:val="auto"/>
                <w:w w:val="88"/>
              </w:rPr>
              <w:t>P.O. Box 152, Forest City, Iowa</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812"/>
              <w:spacing w:after="0"/>
              <w:rPr>
                <w:sz w:val="20"/>
                <w:szCs w:val="20"/>
                <w:color w:val="auto"/>
              </w:rPr>
            </w:pPr>
            <w:r>
              <w:rPr>
                <w:rFonts w:ascii="Arial" w:cs="Arial" w:eastAsia="Arial" w:hAnsi="Arial"/>
                <w:sz w:val="18"/>
                <w:szCs w:val="18"/>
                <w:color w:val="auto"/>
              </w:rPr>
              <w:t>50436</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040" w:type="dxa"/>
            <w:vAlign w:val="bottom"/>
            <w:gridSpan w:val="9"/>
          </w:tcPr>
          <w:p>
            <w:pPr>
              <w:jc w:val="center"/>
              <w:ind w:right="1140"/>
              <w:spacing w:after="0"/>
              <w:rPr>
                <w:sz w:val="20"/>
                <w:szCs w:val="20"/>
                <w:color w:val="auto"/>
              </w:rPr>
            </w:pPr>
            <w:r>
              <w:rPr>
                <w:rFonts w:ascii="Arial" w:cs="Arial" w:eastAsia="Arial" w:hAnsi="Arial"/>
                <w:sz w:val="18"/>
                <w:szCs w:val="18"/>
                <w:color w:val="auto"/>
                <w:w w:val="90"/>
              </w:rPr>
              <w:t>(Address of principal executive offices)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8"/>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8"/>
                <w:szCs w:val="18"/>
                <w:color w:val="auto"/>
                <w:w w:val="96"/>
              </w:rPr>
              <w:t>641-585-3535</w:t>
            </w:r>
          </w:p>
        </w:tc>
        <w:tc>
          <w:tcPr>
            <w:tcW w:w="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right="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31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October 14, 2004, as Exhibit 99.1 which is included herein. The press release was issued to report earnings for the fourth quarter and 2004 fiscal year ended August 28, 2004.</w:t>
      </w:r>
    </w:p>
    <w:p>
      <w:pPr>
        <w:spacing w:after="0" w:line="24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640" w:hanging="36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14, 2004.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331"/>
        </w:trPr>
        <w:tc>
          <w:tcPr>
            <w:tcW w:w="3760" w:type="dxa"/>
            <w:vAlign w:val="bottom"/>
            <w:gridSpan w:val="2"/>
          </w:tcPr>
          <w:p>
            <w:pPr>
              <w:jc w:val="center"/>
              <w:ind w:right="1932"/>
              <w:spacing w:after="0"/>
              <w:rPr>
                <w:sz w:val="20"/>
                <w:szCs w:val="20"/>
                <w:color w:val="auto"/>
              </w:rPr>
            </w:pPr>
            <w:r>
              <w:rPr>
                <w:rFonts w:ascii="Arial" w:cs="Arial" w:eastAsia="Arial" w:hAnsi="Arial"/>
                <w:sz w:val="18"/>
                <w:szCs w:val="18"/>
                <w:color w:val="auto"/>
                <w:w w:val="88"/>
              </w:rPr>
              <w:t>Dated: October 14, 2004</w:t>
            </w:r>
          </w:p>
        </w:tc>
        <w:tc>
          <w:tcPr>
            <w:tcW w:w="7160" w:type="dxa"/>
            <w:vAlign w:val="bottom"/>
            <w:gridSpan w:val="3"/>
          </w:tcPr>
          <w:p>
            <w:pPr>
              <w:ind w:left="23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537"/>
        </w:trPr>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77"/>
        </w:trPr>
        <w:tc>
          <w:tcPr>
            <w:tcW w:w="1420" w:type="dxa"/>
            <w:vAlign w:val="bottom"/>
          </w:tcPr>
          <w:p>
            <w:pPr>
              <w:jc w:val="center"/>
              <w:ind w:left="212"/>
              <w:spacing w:after="0"/>
              <w:rPr>
                <w:sz w:val="20"/>
                <w:szCs w:val="20"/>
                <w:color w:val="auto"/>
              </w:rPr>
            </w:pPr>
            <w:r>
              <w:rPr>
                <w:rFonts w:ascii="Arial" w:cs="Arial" w:eastAsia="Arial" w:hAnsi="Arial"/>
                <w:sz w:val="18"/>
                <w:szCs w:val="18"/>
                <w:b w:val="1"/>
                <w:bCs w:val="1"/>
                <w:color w:val="auto"/>
                <w:w w:val="93"/>
              </w:rPr>
              <w:t>Exhibit</w:t>
            </w:r>
          </w:p>
        </w:tc>
        <w:tc>
          <w:tcPr>
            <w:tcW w:w="2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28"/>
        </w:trPr>
        <w:tc>
          <w:tcPr>
            <w:tcW w:w="1420" w:type="dxa"/>
            <w:vAlign w:val="bottom"/>
          </w:tcPr>
          <w:p>
            <w:pPr>
              <w:jc w:val="center"/>
              <w:ind w:left="292"/>
              <w:spacing w:after="0"/>
              <w:rPr>
                <w:sz w:val="20"/>
                <w:szCs w:val="20"/>
                <w:color w:val="auto"/>
              </w:rPr>
            </w:pPr>
            <w:r>
              <w:rPr>
                <w:rFonts w:ascii="Arial" w:cs="Arial" w:eastAsia="Arial" w:hAnsi="Arial"/>
                <w:sz w:val="18"/>
                <w:szCs w:val="18"/>
                <w:b w:val="1"/>
                <w:bCs w:val="1"/>
                <w:color w:val="auto"/>
                <w:w w:val="94"/>
              </w:rPr>
              <w:t>Number</w:t>
            </w: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ectPr>
          <w:pgSz w:w="11900" w:h="16838" w:orient="portrait"/>
          <w:cols w:equalWidth="0" w:num="1">
            <w:col w:w="11360"/>
          </w:cols>
          <w:pgMar w:left="240" w:top="233" w:right="299" w:bottom="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695325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59"/>
          </w:cols>
          <w:pgMar w:left="1000"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WINNEBAGO INDUSTRIES REPORTS RECORD RESULTS</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AND $1 BILLION MILESTONE FOR FISCAL 2004</w:t>
      </w:r>
    </w:p>
    <w:p>
      <w:pPr>
        <w:jc w:val="center"/>
        <w:spacing w:after="0"/>
        <w:rPr>
          <w:sz w:val="20"/>
          <w:szCs w:val="20"/>
          <w:color w:val="auto"/>
        </w:rPr>
      </w:pPr>
      <w:r>
        <w:rPr>
          <w:rFonts w:ascii="Arial" w:cs="Arial" w:eastAsia="Arial" w:hAnsi="Arial"/>
          <w:sz w:val="18"/>
          <w:szCs w:val="18"/>
          <w:b w:val="1"/>
          <w:bCs w:val="1"/>
          <w:color w:val="auto"/>
        </w:rPr>
        <w:t>—Cash Dividend Announced —</w:t>
      </w:r>
    </w:p>
    <w:p>
      <w:pPr>
        <w:spacing w:after="0" w:line="29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FOREST CITY, IOWA, October 14, 2004 – Winnebago Industries, Inc. (NYSE:WGO), the nation’s leading motor home manufacturer, today reported record financial results for the Company’s fourth quarter and fiscal year ended August 28, 2004.</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Revenues for the fourth quarter of fiscal 2004 were a record $283.0 million, a 25 percent increase compared to revenues of $225.7 million for the fourth quarter last year.</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Net income for the fourth quarter ended August 28, 2004 was a record $19.0 million, a 58 percent increase compared to $12.0 million for the fourth quarter of fiscal 2003. On a diluted per share basis, the Company earned a record 55 cents a share for the fourth quarter of fiscal 2004, a 72 percent increase compared to 32 cents a share for the fourth quarter last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for fiscal 2004 were a record $1.1 billion, a 32 percent increase compared to $845.2 million for the previous fiscal year.</w:t>
      </w:r>
    </w:p>
    <w:p>
      <w:pPr>
        <w:spacing w:after="0" w:line="225"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Net income for fiscal 2004 was a record $70.6 million, a 41 percent increase compared to $49.9 million for fiscal 2003. On a diluted per share basis, the Company earned a record $2.03 a share, a 53 percent increase compared to $1.33 a share for fiscal 2003. Included in fiscal 2003 net income was $1.2 million from discontinued operations, or three cents a share.</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“We are extremely pleased with our record results for the fourth quarter and fiscal 2004,” said Winnebago Industries Chairman, CEO and President Bruce Hertzke. “It is a particularly significant milestone to reach $1 billion in revenues. I want to thank all of our Winnebago Industries team for helping us achieve these outstanding results.”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“The fourth quarter benefited from additional Class A diesel motor home sales, while fiscal 2004 was positively impacted by increased motor home sales volume overall, as well as a stronger mix of Class A diesel products,” continued Hertzke. “The successful launch last fall of our new Winnebago Vectra and redesigned Journey, as well as the new Itasca Horizon and Meridian diesel motor home products in our 2004 product lines, provided significant momentum for our growth in the Class A diesel market throughout the year. Winnebago Industries’ Class A diesel retail market share grew to 14.3 percent calendar year to date through August 2004 compared to 8.9 percent for the same period last year. Our new Charles City motor home production facility expansion also contributed to our successful results in fiscal 2004, enabling us to provide motor homes to our dealers in a timely manner.”</w:t>
      </w:r>
    </w:p>
    <w:p>
      <w:pPr>
        <w:spacing w:after="0" w:line="17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Winnebago Industries continues to be the top-selling motor home manufacturer in America with 19.2 percent market share for the first eight months of calendar 2004, compared to 19.1 percent for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Quarter/Fiscal 2004 Results – Page 2</w:t>
      </w:r>
    </w:p>
    <w:p>
      <w:pPr>
        <w:spacing w:after="0" w:line="138" w:lineRule="exact"/>
        <w:rPr>
          <w:sz w:val="20"/>
          <w:szCs w:val="20"/>
          <w:color w:val="auto"/>
        </w:rPr>
      </w:pPr>
    </w:p>
    <w:p>
      <w:pPr>
        <w:jc w:val="both"/>
        <w:ind w:right="180" w:firstLine="341"/>
        <w:spacing w:after="0" w:line="256" w:lineRule="auto"/>
        <w:rPr>
          <w:sz w:val="20"/>
          <w:szCs w:val="20"/>
          <w:color w:val="auto"/>
        </w:rPr>
      </w:pPr>
      <w:r>
        <w:rPr>
          <w:rFonts w:ascii="Arial" w:cs="Arial" w:eastAsia="Arial" w:hAnsi="Arial"/>
          <w:sz w:val="18"/>
          <w:szCs w:val="18"/>
          <w:color w:val="auto"/>
        </w:rPr>
        <w:t>As previously announced, Winnebago Industries increased its cash dividend by 40 percent. The Company increased the quarterly dividend to seven cents a share, which annualized would amount to a total of 28 cents a share during fiscal 2005 versus five cents a share quarterly for a total of 20 cents a share annually during fiscal 2004. In a meeting held yesterday, the Board of Directors declared a quarterly cash dividend of seven cents a share, payable on January 5, 2005 to shareholders of record as of December 3, 2004.</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June, the Board of Directors also announced the Company’s ninth stock repurchase program, authorizing the purchase of Winnebago Industries’ common stock for an aggregate price of up to $30 million. The Company had repurchased 116,800 shares as of August 28, 2004 under that authorization for an aggregate price of approximately $3.4 million. During fiscal 2004, Winnebago Industries repurchased in total approximately 3.4 million shares of common stock (adjusted for the 2-for-1 stock split on March 5, 2004) for an aggregate price of approximately $77.7 million. As of August 28, 2004, there were approximately 33.6 million shares outstanding.</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Winnebago Industries will conduct a conference call in conjunction with this release at 10 a.m. ET today, Thursday, October 14, 2004. Members of the news media, investors and the general public are invited to access a live broadcast of the conference call via the Investor Relations page of the Company’s website at www.winnebagoind.com, at </w:t>
      </w:r>
      <w:r>
        <w:rPr>
          <w:rFonts w:ascii="Arial" w:cs="Arial" w:eastAsia="Arial" w:hAnsi="Arial"/>
          <w:sz w:val="18"/>
          <w:szCs w:val="18"/>
          <w:u w:val="single" w:color="auto"/>
          <w:color w:val="auto"/>
        </w:rPr>
        <w:t>www.shareholder.com/winnebago/medialist.cfm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www.vcall.com</w:t>
      </w:r>
      <w:r>
        <w:rPr>
          <w:rFonts w:ascii="Arial" w:cs="Arial" w:eastAsia="Arial" w:hAnsi="Arial"/>
          <w:sz w:val="18"/>
          <w:szCs w:val="18"/>
          <w:color w:val="auto"/>
        </w:rPr>
        <w:t>. The event will be archived and available for replay for the next 90 days.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Winnebago Industries</w:t>
      </w:r>
    </w:p>
    <w:p>
      <w:pPr>
        <w:spacing w:after="0" w:line="30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and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ectPr>
          <w:pgSz w:w="11900" w:h="16838" w:orient="portrait"/>
          <w:cols w:equalWidth="0" w:num="1">
            <w:col w:w="11420"/>
          </w:cols>
          <w:pgMar w:left="240" w:top="125" w:right="239" w:bottom="2" w:gutter="0" w:footer="0" w:header="0"/>
        </w:sectPr>
      </w:pPr>
    </w:p>
    <w:bookmarkStart w:id="3" w:name="page4"/>
    <w:bookmarkEnd w:id="3"/>
    <w:p>
      <w:pPr>
        <w:spacing w:after="0" w:line="3"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(Adjusted for 2-for-1 Stock Split)</w:t>
      </w:r>
    </w:p>
    <w:p>
      <w:pPr>
        <w:sectPr>
          <w:pgSz w:w="11900" w:h="16841"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Net revenues</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Cost of goods sold</w:t>
      </w:r>
    </w:p>
    <w:p>
      <w:pPr>
        <w:spacing w:after="0" w:line="2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Gross profit</w:t>
      </w:r>
    </w:p>
    <w:p>
      <w:pPr>
        <w:spacing w:after="0" w:line="23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Operating expenses</w:t>
      </w:r>
    </w:p>
    <w:p>
      <w:pPr>
        <w:spacing w:after="0" w:line="1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Selling</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General and administrative</w:t>
      </w:r>
    </w:p>
    <w:p>
      <w:pPr>
        <w:spacing w:after="0" w:line="2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operating expenses</w:t>
      </w:r>
    </w:p>
    <w:p>
      <w:pPr>
        <w:spacing w:after="0" w:line="23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Operating income</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Financial income</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Pre-tax income</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Provision for taxes</w:t>
      </w:r>
    </w:p>
    <w:p>
      <w:pPr>
        <w:spacing w:after="0" w:line="232" w:lineRule="exact"/>
        <w:rPr>
          <w:sz w:val="20"/>
          <w:szCs w:val="20"/>
          <w:color w:val="auto"/>
        </w:rPr>
      </w:pPr>
    </w:p>
    <w:p>
      <w:pPr>
        <w:ind w:left="1660"/>
        <w:spacing w:after="0" w:line="306" w:lineRule="auto"/>
        <w:rPr>
          <w:sz w:val="20"/>
          <w:szCs w:val="20"/>
          <w:color w:val="auto"/>
        </w:rPr>
      </w:pPr>
      <w:r>
        <w:rPr>
          <w:rFonts w:ascii="Arial" w:cs="Arial" w:eastAsia="Arial" w:hAnsi="Arial"/>
          <w:sz w:val="16"/>
          <w:szCs w:val="16"/>
          <w:color w:val="auto"/>
        </w:rPr>
        <w:t>Income from continuing operations Income from discontinued operations (Net of taxes)</w:t>
      </w:r>
    </w:p>
    <w:p>
      <w:pPr>
        <w:spacing w:after="0" w:line="17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Income per share (basic)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From continuing operations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From discontinued operations</w:t>
      </w:r>
    </w:p>
    <w:p>
      <w:pPr>
        <w:spacing w:after="0" w:line="2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1800" w:right="160" w:hanging="131"/>
        <w:spacing w:after="0" w:line="268" w:lineRule="auto"/>
        <w:rPr>
          <w:sz w:val="20"/>
          <w:szCs w:val="20"/>
          <w:color w:val="auto"/>
        </w:rPr>
      </w:pPr>
      <w:r>
        <w:rPr>
          <w:rFonts w:ascii="Arial" w:cs="Arial" w:eastAsia="Arial" w:hAnsi="Arial"/>
          <w:sz w:val="18"/>
          <w:szCs w:val="18"/>
          <w:color w:val="auto"/>
        </w:rPr>
        <w:t>Number of shares used in per share calculations-basic</w:t>
      </w:r>
    </w:p>
    <w:p>
      <w:pPr>
        <w:spacing w:after="0" w:line="21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Income per share (diluted)</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From continuing operations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From discontinued operations</w:t>
      </w:r>
    </w:p>
    <w:p>
      <w:pPr>
        <w:spacing w:after="0" w:line="2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1800" w:right="160" w:hanging="131"/>
        <w:spacing w:after="0" w:line="268" w:lineRule="auto"/>
        <w:rPr>
          <w:sz w:val="20"/>
          <w:szCs w:val="20"/>
          <w:color w:val="auto"/>
        </w:rPr>
      </w:pPr>
      <w:r>
        <w:rPr>
          <w:rFonts w:ascii="Arial" w:cs="Arial" w:eastAsia="Arial" w:hAnsi="Arial"/>
          <w:sz w:val="18"/>
          <w:szCs w:val="18"/>
          <w:color w:val="auto"/>
        </w:rPr>
        <w:t>Number of shares used in per share calculations-diluted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9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Fiscal Year Ended</w:t>
            </w:r>
          </w:p>
        </w:tc>
      </w:tr>
      <w:tr>
        <w:trPr>
          <w:trHeight w:val="174"/>
        </w:trPr>
        <w:tc>
          <w:tcPr>
            <w:tcW w:w="10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8/28/2004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8/30/2003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8/28/2004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8/30/2003</w:t>
            </w:r>
          </w:p>
        </w:tc>
      </w:tr>
      <w:tr>
        <w:trPr>
          <w:trHeight w:val="95"/>
        </w:trPr>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30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283,002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225,694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1,114,154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845,210</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241,346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196,902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951,985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731,832</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41,656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28,792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162,169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113,378</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52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20,764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19,753</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51,371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36,084</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09"/>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29,027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110,798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77,294</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09"/>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29,511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18,800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112,234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78,693</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41,593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29,961</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18,990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70,641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48,732</w:t>
            </w:r>
          </w:p>
        </w:tc>
      </w:tr>
      <w:tr>
        <w:trPr>
          <w:trHeight w:val="432"/>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18,990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11,968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70,641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49,884</w:t>
            </w:r>
          </w:p>
        </w:tc>
      </w:tr>
      <w:tr>
        <w:trPr>
          <w:trHeight w:val="120"/>
        </w:trPr>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52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120"/>
        </w:trPr>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53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33,670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36,368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34,214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36,974</w:t>
            </w:r>
          </w:p>
        </w:tc>
      </w:tr>
      <w:tr>
        <w:trPr>
          <w:trHeight w:val="120"/>
        </w:trPr>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52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2"/>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110"/>
        </w:trPr>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120"/>
        </w:trPr>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53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34,244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36,980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34,789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37,636</w:t>
            </w:r>
          </w:p>
        </w:tc>
      </w:tr>
      <w:tr>
        <w:trPr>
          <w:trHeight w:val="120"/>
        </w:trPr>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-2569845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-1720850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-1720850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-1292225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-443230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441960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41" w:orient="portrait"/>
          <w:cols w:equalWidth="0" w:num="2">
            <w:col w:w="4300" w:space="640"/>
            <w:col w:w="6400"/>
          </w:cols>
          <w:pgMar w:left="240" w:top="131"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Aug. 28, 2004</w:t>
            </w:r>
          </w:p>
        </w:tc>
        <w:tc>
          <w:tcPr>
            <w:tcW w:w="4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Aug. 30, 2003</w:t>
            </w:r>
          </w:p>
        </w:tc>
        <w:tc>
          <w:tcPr>
            <w:tcW w:w="0" w:type="dxa"/>
            <w:vAlign w:val="bottom"/>
          </w:tcPr>
          <w:p>
            <w:pPr>
              <w:spacing w:after="0"/>
              <w:rPr>
                <w:sz w:val="1"/>
                <w:szCs w:val="1"/>
                <w:color w:val="auto"/>
              </w:rPr>
            </w:pPr>
          </w:p>
        </w:tc>
      </w:tr>
      <w:tr>
        <w:trPr>
          <w:trHeight w:val="95"/>
        </w:trPr>
        <w:tc>
          <w:tcPr>
            <w:tcW w:w="56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10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75,545</w:t>
            </w: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99,381</w:t>
            </w:r>
          </w:p>
        </w:tc>
        <w:tc>
          <w:tcPr>
            <w:tcW w:w="0" w:type="dxa"/>
            <w:vAlign w:val="bottom"/>
          </w:tcPr>
          <w:p>
            <w:pPr>
              <w:spacing w:after="0"/>
              <w:rPr>
                <w:sz w:val="1"/>
                <w:szCs w:val="1"/>
                <w:color w:val="auto"/>
              </w:rPr>
            </w:pPr>
          </w:p>
        </w:tc>
      </w:tr>
    </w:tbl>
    <w:p>
      <w:pPr>
        <w:sectPr>
          <w:pgSz w:w="11900" w:h="16841" w:orient="portrait"/>
          <w:cols w:equalWidth="0" w:num="1">
            <w:col w:w="11340"/>
          </w:cols>
          <w:pgMar w:left="240" w:top="131" w:right="319" w:bottom="0" w:gutter="0" w:footer="0" w:header="0"/>
          <w:type w:val="continuous"/>
        </w:sectPr>
      </w:pPr>
    </w:p>
    <w:bookmarkStart w:id="4" w:name="page5"/>
    <w:bookmarkEnd w:id="4"/>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Receivables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assets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 life insurance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right="1320"/>
        <w:spacing w:after="0" w:line="254" w:lineRule="auto"/>
        <w:rPr>
          <w:sz w:val="20"/>
          <w:szCs w:val="20"/>
          <w:color w:val="auto"/>
        </w:rPr>
      </w:pPr>
      <w:r>
        <w:rPr>
          <w:rFonts w:ascii="Arial" w:cs="Arial" w:eastAsia="Arial" w:hAnsi="Arial"/>
          <w:sz w:val="18"/>
          <w:szCs w:val="18"/>
          <w:color w:val="auto"/>
        </w:rPr>
        <w:t>LIABILITIES AND STOCKHOLDERS’ EQUITY Current liabilities</w:t>
      </w:r>
    </w:p>
    <w:p>
      <w:pPr>
        <w:ind w:left="5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Accrued expenses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liabilities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 retirement health care 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compensation benefits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equity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1312545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6"/>
          <w:szCs w:val="16"/>
          <w:color w:val="auto"/>
        </w:rPr>
        <w:t>46,112</w:t>
      </w:r>
      <w:r>
        <w:rPr>
          <w:sz w:val="20"/>
          <w:szCs w:val="20"/>
          <w:color w:val="auto"/>
        </w:rPr>
        <w:tab/>
      </w:r>
      <w:r>
        <w:rPr>
          <w:rFonts w:ascii="Arial" w:cs="Arial" w:eastAsia="Arial" w:hAnsi="Arial"/>
          <w:sz w:val="16"/>
          <w:szCs w:val="16"/>
          <w:color w:val="auto"/>
        </w:rPr>
        <w:t>30,885</w:t>
      </w:r>
    </w:p>
    <w:p>
      <w:pPr>
        <w:spacing w:after="0" w:line="38" w:lineRule="exact"/>
        <w:rPr>
          <w:sz w:val="20"/>
          <w:szCs w:val="20"/>
          <w:color w:val="auto"/>
        </w:rPr>
      </w:pPr>
    </w:p>
    <w:p>
      <w:pPr>
        <w:ind w:left="320"/>
        <w:spacing w:after="0"/>
        <w:tabs>
          <w:tab w:leader="none" w:pos="1700" w:val="left"/>
        </w:tabs>
        <w:rPr>
          <w:sz w:val="20"/>
          <w:szCs w:val="20"/>
          <w:color w:val="auto"/>
        </w:rPr>
      </w:pPr>
      <w:r>
        <w:rPr>
          <w:rFonts w:ascii="Arial" w:cs="Arial" w:eastAsia="Arial" w:hAnsi="Arial"/>
          <w:sz w:val="16"/>
          <w:szCs w:val="16"/>
          <w:color w:val="auto"/>
        </w:rPr>
        <w:t>130,733</w:t>
      </w:r>
      <w:r>
        <w:rPr>
          <w:sz w:val="20"/>
          <w:szCs w:val="20"/>
          <w:color w:val="auto"/>
        </w:rPr>
        <w:tab/>
      </w:r>
      <w:r>
        <w:rPr>
          <w:rFonts w:ascii="Arial" w:cs="Arial" w:eastAsia="Arial" w:hAnsi="Arial"/>
          <w:sz w:val="16"/>
          <w:szCs w:val="16"/>
          <w:color w:val="auto"/>
        </w:rPr>
        <w:t>114,282</w:t>
      </w:r>
    </w:p>
    <w:p>
      <w:pPr>
        <w:spacing w:after="0" w:line="32"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6"/>
          <w:szCs w:val="16"/>
          <w:color w:val="auto"/>
        </w:rPr>
        <w:t>17,679</w:t>
      </w:r>
      <w:r>
        <w:rPr>
          <w:sz w:val="20"/>
          <w:szCs w:val="20"/>
          <w:color w:val="auto"/>
        </w:rPr>
        <w:tab/>
      </w:r>
      <w:r>
        <w:rPr>
          <w:rFonts w:ascii="Arial" w:cs="Arial" w:eastAsia="Arial" w:hAnsi="Arial"/>
          <w:sz w:val="16"/>
          <w:szCs w:val="16"/>
          <w:color w:val="auto"/>
        </w:rPr>
        <w:t>12,741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35" w:lineRule="exact"/>
        <w:rPr>
          <w:sz w:val="20"/>
          <w:szCs w:val="20"/>
          <w:color w:val="auto"/>
        </w:rPr>
      </w:pPr>
    </w:p>
    <w:p>
      <w:pPr>
        <w:ind w:left="320"/>
        <w:spacing w:after="0"/>
        <w:tabs>
          <w:tab w:leader="none" w:pos="1700" w:val="left"/>
        </w:tabs>
        <w:rPr>
          <w:sz w:val="20"/>
          <w:szCs w:val="20"/>
          <w:color w:val="auto"/>
        </w:rPr>
      </w:pPr>
      <w:r>
        <w:rPr>
          <w:rFonts w:ascii="Arial" w:cs="Arial" w:eastAsia="Arial" w:hAnsi="Arial"/>
          <w:sz w:val="16"/>
          <w:szCs w:val="16"/>
          <w:color w:val="auto"/>
        </w:rPr>
        <w:t>270,069</w:t>
      </w:r>
      <w:r>
        <w:rPr>
          <w:sz w:val="20"/>
          <w:szCs w:val="20"/>
          <w:color w:val="auto"/>
        </w:rPr>
        <w:tab/>
      </w:r>
      <w:r>
        <w:rPr>
          <w:rFonts w:ascii="Arial" w:cs="Arial" w:eastAsia="Arial" w:hAnsi="Arial"/>
          <w:sz w:val="16"/>
          <w:szCs w:val="16"/>
          <w:color w:val="auto"/>
        </w:rPr>
        <w:t>257,289</w:t>
      </w:r>
    </w:p>
    <w:p>
      <w:pPr>
        <w:spacing w:after="0" w:line="38"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6"/>
          <w:szCs w:val="16"/>
          <w:color w:val="auto"/>
        </w:rPr>
        <w:t>63,995</w:t>
      </w:r>
      <w:r>
        <w:rPr>
          <w:sz w:val="20"/>
          <w:szCs w:val="20"/>
          <w:color w:val="auto"/>
        </w:rPr>
        <w:tab/>
      </w:r>
      <w:r>
        <w:rPr>
          <w:rFonts w:ascii="Arial" w:cs="Arial" w:eastAsia="Arial" w:hAnsi="Arial"/>
          <w:sz w:val="16"/>
          <w:szCs w:val="16"/>
          <w:color w:val="auto"/>
        </w:rPr>
        <w:t>63,318</w:t>
      </w:r>
    </w:p>
    <w:p>
      <w:pPr>
        <w:spacing w:after="0" w:line="32"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6"/>
          <w:szCs w:val="16"/>
          <w:color w:val="auto"/>
        </w:rPr>
        <w:t>25,166</w:t>
      </w:r>
      <w:r>
        <w:rPr>
          <w:sz w:val="20"/>
          <w:szCs w:val="20"/>
          <w:color w:val="auto"/>
        </w:rPr>
        <w:tab/>
      </w:r>
      <w:r>
        <w:rPr>
          <w:rFonts w:ascii="Arial" w:cs="Arial" w:eastAsia="Arial" w:hAnsi="Arial"/>
          <w:sz w:val="16"/>
          <w:szCs w:val="16"/>
          <w:color w:val="auto"/>
        </w:rPr>
        <w:t>22,491</w:t>
      </w:r>
    </w:p>
    <w:p>
      <w:pPr>
        <w:spacing w:after="0" w:line="32"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6"/>
          <w:szCs w:val="16"/>
          <w:color w:val="auto"/>
        </w:rPr>
        <w:t>22,863</w:t>
      </w:r>
      <w:r>
        <w:rPr>
          <w:sz w:val="20"/>
          <w:szCs w:val="20"/>
          <w:color w:val="auto"/>
        </w:rPr>
        <w:tab/>
      </w:r>
      <w:r>
        <w:rPr>
          <w:rFonts w:ascii="Arial" w:cs="Arial" w:eastAsia="Arial" w:hAnsi="Arial"/>
          <w:sz w:val="16"/>
          <w:szCs w:val="16"/>
          <w:color w:val="auto"/>
        </w:rPr>
        <w:t>22,794</w:t>
      </w:r>
    </w:p>
    <w:p>
      <w:pPr>
        <w:spacing w:after="0" w:line="32"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6"/>
          <w:szCs w:val="16"/>
          <w:color w:val="auto"/>
        </w:rPr>
        <w:t>12,463</w:t>
      </w:r>
      <w:r>
        <w:rPr>
          <w:sz w:val="20"/>
          <w:szCs w:val="20"/>
          <w:color w:val="auto"/>
        </w:rPr>
        <w:tab/>
      </w:r>
      <w:r>
        <w:rPr>
          <w:rFonts w:ascii="Arial" w:cs="Arial" w:eastAsia="Arial" w:hAnsi="Arial"/>
          <w:sz w:val="16"/>
          <w:szCs w:val="16"/>
          <w:color w:val="auto"/>
        </w:rPr>
        <w:t>11,570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1457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35" w:lineRule="exact"/>
        <w:rPr>
          <w:sz w:val="20"/>
          <w:szCs w:val="20"/>
          <w:color w:val="auto"/>
        </w:rPr>
      </w:pPr>
    </w:p>
    <w:p>
      <w:pPr>
        <w:spacing w:after="0"/>
        <w:tabs>
          <w:tab w:leader="none" w:pos="300" w:val="left"/>
          <w:tab w:leader="none" w:pos="1360" w:val="left"/>
          <w:tab w:leader="none" w:pos="1700" w:val="left"/>
        </w:tabs>
        <w:rPr>
          <w:sz w:val="20"/>
          <w:szCs w:val="20"/>
          <w:color w:val="auto"/>
        </w:rPr>
      </w:pPr>
      <w:r>
        <w:rPr>
          <w:rFonts w:ascii="Arial" w:cs="Arial" w:eastAsia="Arial" w:hAnsi="Arial"/>
          <w:sz w:val="18"/>
          <w:szCs w:val="18"/>
          <w:color w:val="auto"/>
        </w:rPr>
        <w:t>$</w:t>
        <w:tab/>
        <w:t>394,556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377,462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46177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17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46,659</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52,239</w:t>
            </w:r>
          </w:p>
        </w:tc>
      </w:tr>
      <w:tr>
        <w:trPr>
          <w:trHeight w:val="216"/>
        </w:trPr>
        <w:tc>
          <w:tcPr>
            <w:tcW w:w="20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4,334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0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54,285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40,159</w:t>
            </w:r>
          </w:p>
        </w:tc>
      </w:tr>
      <w:tr>
        <w:trPr>
          <w:trHeight w:val="110"/>
        </w:trPr>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316"/>
        </w:trPr>
        <w:tc>
          <w:tcPr>
            <w:tcW w:w="20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105,278</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92,398</w:t>
            </w:r>
          </w:p>
        </w:tc>
      </w:tr>
      <w:tr>
        <w:trPr>
          <w:trHeight w:val="426"/>
        </w:trPr>
        <w:tc>
          <w:tcPr>
            <w:tcW w:w="20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87,403</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74,438</w:t>
            </w:r>
          </w:p>
        </w:tc>
      </w:tr>
      <w:tr>
        <w:trPr>
          <w:trHeight w:val="222"/>
        </w:trPr>
        <w:tc>
          <w:tcPr>
            <w:tcW w:w="20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201,875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210,626</w:t>
            </w:r>
          </w:p>
        </w:tc>
      </w:tr>
      <w:tr>
        <w:trPr>
          <w:trHeight w:val="110"/>
        </w:trPr>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316"/>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394,556</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377,462</w:t>
            </w:r>
          </w:p>
        </w:tc>
      </w:tr>
      <w:tr>
        <w:trPr>
          <w:trHeight w:val="120"/>
        </w:trPr>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68" w:orient="portrait"/>
          <w:cols w:equalWidth="0" w:num="2">
            <w:col w:w="5400" w:space="720"/>
            <w:col w:w="2899"/>
          </w:cols>
          <w:pgMar w:left="14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8/28/2004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8/30/2003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Net income as shown on the statement of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70,641</w:t>
            </w:r>
          </w:p>
        </w:tc>
        <w:tc>
          <w:tcPr>
            <w:tcW w:w="3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70,641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Increase in receivable and other assets</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(16,451)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(7,615)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Increase (decrease) in income taxes payable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Increase in postretirement benefits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tcPr>
          <w:p>
            <w:pPr>
              <w:ind w:left="140"/>
              <w:spacing w:after="0"/>
              <w:rPr>
                <w:sz w:val="20"/>
                <w:szCs w:val="20"/>
                <w:color w:val="auto"/>
              </w:rPr>
            </w:pPr>
            <w:r>
              <w:rPr>
                <w:rFonts w:ascii="Arial" w:cs="Arial" w:eastAsia="Arial" w:hAnsi="Arial"/>
                <w:sz w:val="18"/>
                <w:szCs w:val="18"/>
                <w:color w:val="auto"/>
              </w:rPr>
              <w:t>Net cash provided by continuing operations</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66,684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Net cash provided by discontinued operations</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66,684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00" w:type="dxa"/>
            <w:vAlign w:val="bottom"/>
            <w:vMerge w:val="restart"/>
          </w:tcPr>
          <w:p>
            <w:pPr>
              <w:spacing w:after="0"/>
              <w:rPr>
                <w:sz w:val="20"/>
                <w:szCs w:val="20"/>
                <w:color w:val="auto"/>
              </w:rPr>
            </w:pPr>
            <w:r>
              <w:rPr>
                <w:rFonts w:ascii="Arial" w:cs="Arial" w:eastAsia="Arial" w:hAnsi="Arial"/>
                <w:sz w:val="18"/>
                <w:szCs w:val="18"/>
                <w:color w:val="auto"/>
              </w:rPr>
              <w:t>Cash flows (used in) provided by investing activities</w:t>
            </w: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(10,588)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(23,487)</w:t>
            </w: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tcPr>
          <w:p>
            <w:pPr>
              <w:ind w:left="140"/>
              <w:spacing w:after="0"/>
              <w:rPr>
                <w:sz w:val="20"/>
                <w:szCs w:val="20"/>
                <w:color w:val="auto"/>
              </w:rPr>
            </w:pPr>
            <w:r>
              <w:rPr>
                <w:rFonts w:ascii="Arial" w:cs="Arial" w:eastAsia="Arial" w:hAnsi="Arial"/>
                <w:sz w:val="18"/>
                <w:szCs w:val="18"/>
                <w:color w:val="auto"/>
              </w:rPr>
              <w:t>Net cash used in continuing operations</w:t>
            </w:r>
          </w:p>
        </w:tc>
        <w:tc>
          <w:tcPr>
            <w:tcW w:w="1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(10,906)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(24,719)</w:t>
            </w: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Net cash provided by discontinued operations</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(10,906)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8" w:orient="portrait"/>
          <w:cols w:equalWidth="0" w:num="1">
            <w:col w:w="9019"/>
          </w:cols>
          <w:pgMar w:left="1440" w:top="131" w:right="1440" w:bottom="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4693920</wp:posOffset>
            </wp:positionH>
            <wp:positionV relativeFrom="page">
              <wp:posOffset>88900</wp:posOffset>
            </wp:positionV>
            <wp:extent cx="1560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tbl>
      <w:tblPr>
        <w:tblLayout w:type="fixed"/>
        <w:tblInd w:w="1652" w:type="dxa"/>
        <w:tblCellMar>
          <w:top w:w="0" w:type="dxa"/>
          <w:left w:w="0" w:type="dxa"/>
          <w:bottom w:w="0" w:type="dxa"/>
          <w:right w:w="0" w:type="dxa"/>
        </w:tblCellMar>
      </w:tblP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Cash flows used in financing activities and capital transactions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2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(77,668)</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(20,221)</w:t>
            </w: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Payment of cash dividends</w:t>
            </w:r>
          </w:p>
        </w:tc>
        <w:tc>
          <w:tcPr>
            <w:tcW w:w="2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(6,899)</w:t>
            </w: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(3,701)</w:t>
            </w: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Proceeds from issuance of common and treasury stock</w:t>
            </w: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4,953</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3,493</w:t>
            </w:r>
          </w:p>
        </w:tc>
        <w:tc>
          <w:tcPr>
            <w:tcW w:w="40" w:type="dxa"/>
            <w:vAlign w:val="bottom"/>
          </w:tcPr>
          <w:p>
            <w:pPr>
              <w:spacing w:after="0"/>
              <w:rPr>
                <w:sz w:val="19"/>
                <w:szCs w:val="19"/>
                <w:color w:val="auto"/>
              </w:rPr>
            </w:pPr>
          </w:p>
        </w:tc>
      </w:tr>
      <w:tr>
        <w:trPr>
          <w:trHeight w:val="110"/>
        </w:trPr>
        <w:tc>
          <w:tcPr>
            <w:tcW w:w="5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22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(79,614)</w:t>
            </w:r>
          </w:p>
        </w:tc>
        <w:tc>
          <w:tcPr>
            <w:tcW w:w="5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(20,429)</w:t>
            </w:r>
          </w:p>
        </w:tc>
      </w:tr>
      <w:tr>
        <w:trPr>
          <w:trHeight w:val="110"/>
        </w:trPr>
        <w:tc>
          <w:tcPr>
            <w:tcW w:w="5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5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(23,836)</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57,156</w:t>
            </w:r>
          </w:p>
        </w:tc>
        <w:tc>
          <w:tcPr>
            <w:tcW w:w="40" w:type="dxa"/>
            <w:vAlign w:val="bottom"/>
          </w:tcPr>
          <w:p>
            <w:pPr>
              <w:spacing w:after="0"/>
              <w:rPr>
                <w:sz w:val="24"/>
                <w:szCs w:val="24"/>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99,381</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42,225</w:t>
            </w:r>
          </w:p>
        </w:tc>
        <w:tc>
          <w:tcPr>
            <w:tcW w:w="40" w:type="dxa"/>
            <w:vAlign w:val="bottom"/>
          </w:tcPr>
          <w:p>
            <w:pPr>
              <w:spacing w:after="0"/>
              <w:rPr>
                <w:sz w:val="19"/>
                <w:szCs w:val="19"/>
                <w:color w:val="auto"/>
              </w:rPr>
            </w:pPr>
          </w:p>
        </w:tc>
      </w:tr>
      <w:tr>
        <w:trPr>
          <w:trHeight w:val="110"/>
        </w:trPr>
        <w:tc>
          <w:tcPr>
            <w:tcW w:w="5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75,545</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99,381</w:t>
            </w:r>
          </w:p>
        </w:tc>
        <w:tc>
          <w:tcPr>
            <w:tcW w:w="40" w:type="dxa"/>
            <w:vAlign w:val="bottom"/>
          </w:tcPr>
          <w:p>
            <w:pPr>
              <w:spacing w:after="0"/>
              <w:rPr>
                <w:sz w:val="24"/>
                <w:szCs w:val="24"/>
                <w:color w:val="auto"/>
              </w:rPr>
            </w:pPr>
          </w:p>
        </w:tc>
      </w:tr>
      <w:tr>
        <w:trPr>
          <w:trHeight w:val="120"/>
        </w:trPr>
        <w:tc>
          <w:tcPr>
            <w:tcW w:w="55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750570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 Motor Home Deliveries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(Volume in Units)</w:t>
      </w:r>
    </w:p>
    <w:p>
      <w:pPr>
        <w:spacing w:after="0" w:line="202" w:lineRule="exact"/>
        <w:rPr>
          <w:sz w:val="20"/>
          <w:szCs w:val="20"/>
          <w:color w:val="auto"/>
        </w:rPr>
      </w:pPr>
    </w:p>
    <w:tbl>
      <w:tblPr>
        <w:tblLayout w:type="fixed"/>
        <w:tblInd w:w="1652"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6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0"/>
              </w:rPr>
              <w:t>Quarter Ended</w:t>
            </w:r>
          </w:p>
        </w:tc>
        <w:tc>
          <w:tcPr>
            <w:tcW w:w="1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8/28/2004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8/30/2003</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8/28/2004</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8/30/2003</w:t>
            </w:r>
          </w:p>
        </w:tc>
        <w:tc>
          <w:tcPr>
            <w:tcW w:w="0" w:type="dxa"/>
            <w:vAlign w:val="bottom"/>
          </w:tcPr>
          <w:p>
            <w:pPr>
              <w:spacing w:after="0"/>
              <w:rPr>
                <w:sz w:val="1"/>
                <w:szCs w:val="1"/>
                <w:color w:val="auto"/>
              </w:rPr>
            </w:pPr>
          </w:p>
        </w:tc>
      </w:tr>
      <w:tr>
        <w:trPr>
          <w:trHeight w:val="95"/>
        </w:trPr>
        <w:tc>
          <w:tcPr>
            <w:tcW w:w="1980" w:type="dxa"/>
            <w:vAlign w:val="bottom"/>
            <w:vMerge w:val="restart"/>
          </w:tcPr>
          <w:p>
            <w:pPr>
              <w:spacing w:after="0"/>
              <w:rPr>
                <w:sz w:val="20"/>
                <w:szCs w:val="20"/>
                <w:color w:val="auto"/>
              </w:rPr>
            </w:pPr>
            <w:r>
              <w:rPr>
                <w:rFonts w:ascii="Arial" w:cs="Arial" w:eastAsia="Arial" w:hAnsi="Arial"/>
                <w:sz w:val="18"/>
                <w:szCs w:val="18"/>
                <w:color w:val="auto"/>
              </w:rPr>
              <w:t>Unit deliveries</w:t>
            </w:r>
          </w:p>
        </w:tc>
        <w:tc>
          <w:tcPr>
            <w:tcW w:w="15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9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1,289</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686</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2"/>
        </w:trPr>
        <w:tc>
          <w:tcPr>
            <w:tcW w:w="1980" w:type="dxa"/>
            <w:vAlign w:val="bottom"/>
          </w:tcPr>
          <w:p>
            <w:pPr>
              <w:ind w:left="100"/>
              <w:spacing w:after="0"/>
              <w:rPr>
                <w:sz w:val="20"/>
                <w:szCs w:val="20"/>
                <w:color w:val="auto"/>
              </w:rPr>
            </w:pPr>
            <w:r>
              <w:rPr>
                <w:rFonts w:ascii="Arial" w:cs="Arial" w:eastAsia="Arial" w:hAnsi="Arial"/>
                <w:sz w:val="18"/>
                <w:szCs w:val="18"/>
                <w:color w:val="auto"/>
              </w:rPr>
              <w:t>Class C</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1,113</w:t>
            </w:r>
          </w:p>
        </w:tc>
        <w:tc>
          <w:tcPr>
            <w:tcW w:w="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1,151</w:t>
            </w: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80" w:type="dxa"/>
            <w:vAlign w:val="bottom"/>
          </w:tcPr>
          <w:p>
            <w:pPr>
              <w:ind w:left="220"/>
              <w:spacing w:after="0"/>
              <w:rPr>
                <w:sz w:val="20"/>
                <w:szCs w:val="20"/>
                <w:color w:val="auto"/>
              </w:rPr>
            </w:pPr>
            <w:r>
              <w:rPr>
                <w:rFonts w:ascii="Arial" w:cs="Arial" w:eastAsia="Arial" w:hAnsi="Arial"/>
                <w:sz w:val="18"/>
                <w:szCs w:val="18"/>
                <w:color w:val="auto"/>
              </w:rPr>
              <w:t>Total shipments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3,088</w:t>
            </w:r>
          </w:p>
        </w:tc>
        <w:tc>
          <w:tcPr>
            <w:tcW w:w="5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12,516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669"/>
        </w:trPr>
        <w:tc>
          <w:tcPr>
            <w:tcW w:w="1980" w:type="dxa"/>
            <w:vAlign w:val="bottom"/>
          </w:tcPr>
          <w:p>
            <w:pPr>
              <w:spacing w:after="0"/>
              <w:rPr>
                <w:sz w:val="24"/>
                <w:szCs w:val="24"/>
                <w:color w:val="auto"/>
              </w:rPr>
            </w:pPr>
          </w:p>
        </w:tc>
        <w:tc>
          <w:tcPr>
            <w:tcW w:w="4180" w:type="dxa"/>
            <w:vAlign w:val="bottom"/>
            <w:gridSpan w:val="7"/>
          </w:tcPr>
          <w:p>
            <w:pPr>
              <w:jc w:val="center"/>
              <w:ind w:right="80"/>
              <w:spacing w:after="0"/>
              <w:rPr>
                <w:sz w:val="20"/>
                <w:szCs w:val="20"/>
                <w:color w:val="auto"/>
              </w:rPr>
            </w:pPr>
            <w:r>
              <w:rPr>
                <w:rFonts w:ascii="Arial" w:cs="Arial" w:eastAsia="Arial" w:hAnsi="Arial"/>
                <w:sz w:val="18"/>
                <w:szCs w:val="18"/>
                <w:color w:val="auto"/>
                <w:w w:val="89"/>
              </w:rPr>
              <w:t>Winnebago Industries, Inc.</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180" w:type="dxa"/>
            <w:vAlign w:val="bottom"/>
            <w:gridSpan w:val="7"/>
          </w:tcPr>
          <w:p>
            <w:pPr>
              <w:jc w:val="center"/>
              <w:ind w:right="80"/>
              <w:spacing w:after="0"/>
              <w:rPr>
                <w:sz w:val="20"/>
                <w:szCs w:val="20"/>
                <w:color w:val="auto"/>
              </w:rPr>
            </w:pPr>
            <w:r>
              <w:rPr>
                <w:rFonts w:ascii="Arial" w:cs="Arial" w:eastAsia="Arial" w:hAnsi="Arial"/>
                <w:sz w:val="18"/>
                <w:szCs w:val="18"/>
                <w:color w:val="auto"/>
                <w:w w:val="89"/>
              </w:rPr>
              <w:t>Unaudited Backlog and Dealer Inventory</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2720" w:type="dxa"/>
            <w:vAlign w:val="bottom"/>
            <w:gridSpan w:val="4"/>
          </w:tcPr>
          <w:p>
            <w:pPr>
              <w:ind w:left="1440"/>
              <w:spacing w:after="0"/>
              <w:rPr>
                <w:sz w:val="20"/>
                <w:szCs w:val="20"/>
                <w:color w:val="auto"/>
              </w:rPr>
            </w:pPr>
            <w:r>
              <w:rPr>
                <w:rFonts w:ascii="Arial" w:cs="Arial" w:eastAsia="Arial" w:hAnsi="Arial"/>
                <w:sz w:val="18"/>
                <w:szCs w:val="18"/>
                <w:color w:val="auto"/>
                <w:w w:val="91"/>
              </w:rPr>
              <w:t>(Volume in Units)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6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86"/>
              </w:rPr>
              <w:t>Fiscal Year Ended</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8/28/2004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8/30/2003</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80" w:type="dxa"/>
            <w:vAlign w:val="bottom"/>
            <w:vMerge w:val="restart"/>
          </w:tcPr>
          <w:p>
            <w:pPr>
              <w:spacing w:after="0"/>
              <w:rPr>
                <w:sz w:val="20"/>
                <w:szCs w:val="20"/>
                <w:color w:val="auto"/>
              </w:rPr>
            </w:pPr>
            <w:r>
              <w:rPr>
                <w:rFonts w:ascii="Arial" w:cs="Arial" w:eastAsia="Arial" w:hAnsi="Arial"/>
                <w:sz w:val="18"/>
                <w:szCs w:val="18"/>
                <w:color w:val="auto"/>
              </w:rPr>
              <w:t>Sales order backlog</w:t>
            </w:r>
          </w:p>
        </w:tc>
        <w:tc>
          <w:tcPr>
            <w:tcW w:w="15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9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1,187</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614</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tcPr>
          <w:p>
            <w:pPr>
              <w:ind w:left="100"/>
              <w:spacing w:after="0"/>
              <w:rPr>
                <w:sz w:val="20"/>
                <w:szCs w:val="20"/>
                <w:color w:val="auto"/>
              </w:rPr>
            </w:pPr>
            <w:r>
              <w:rPr>
                <w:rFonts w:ascii="Arial" w:cs="Arial" w:eastAsia="Arial" w:hAnsi="Arial"/>
                <w:sz w:val="18"/>
                <w:szCs w:val="18"/>
                <w:color w:val="auto"/>
              </w:rPr>
              <w:t>Class C</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740</w:t>
            </w:r>
          </w:p>
        </w:tc>
        <w:tc>
          <w:tcPr>
            <w:tcW w:w="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80" w:type="dxa"/>
            <w:vAlign w:val="bottom"/>
          </w:tcPr>
          <w:p>
            <w:pPr>
              <w:ind w:left="220"/>
              <w:spacing w:after="0"/>
              <w:rPr>
                <w:sz w:val="20"/>
                <w:szCs w:val="20"/>
                <w:color w:val="auto"/>
              </w:rPr>
            </w:pPr>
            <w:r>
              <w:rPr>
                <w:rFonts w:ascii="Arial" w:cs="Arial" w:eastAsia="Arial" w:hAnsi="Arial"/>
                <w:sz w:val="18"/>
                <w:szCs w:val="18"/>
                <w:color w:val="auto"/>
              </w:rPr>
              <w:t>Total backlog*</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2,541</w:t>
            </w:r>
          </w:p>
        </w:tc>
        <w:tc>
          <w:tcPr>
            <w:tcW w:w="5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Dealer inventory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4,978</w:t>
            </w:r>
          </w:p>
        </w:tc>
        <w:tc>
          <w:tcPr>
            <w:tcW w:w="5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3,945</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8" w:firstLine="8"/>
        <w:spacing w:after="0" w:line="332" w:lineRule="auto"/>
        <w:tabs>
          <w:tab w:leader="none" w:pos="1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includes in its backlog all accepted orders from dealers shippable within the next six months. Orders in backlog can be cancelled or postponed at the option of the purchaser at any time without penalty and, therefore, backlog may not necessarily be an accurate measure of future sales.</w:t>
      </w:r>
    </w:p>
    <w:p>
      <w:pPr>
        <w:spacing w:after="0" w:line="139" w:lineRule="exact"/>
        <w:rPr>
          <w:rFonts w:ascii="Arial" w:cs="Arial" w:eastAsia="Arial" w:hAnsi="Arial"/>
          <w:sz w:val="16"/>
          <w:szCs w:val="16"/>
          <w:color w:val="auto"/>
        </w:rPr>
      </w:pPr>
    </w:p>
    <w:p>
      <w:pPr>
        <w:ind w:left="5672" w:hanging="142"/>
        <w:spacing w:after="0"/>
        <w:tabs>
          <w:tab w:leader="none" w:pos="5672"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32"/>
      </w:cols>
      <w:pgMar w:left="248" w:top="2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2019-12-13T08:25:28Z</dcterms:created>
  <dcterms:modified xsi:type="dcterms:W3CDTF">2019-12-13T08:25:28Z</dcterms:modified>
</cp:coreProperties>
</file>