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1, 2009, as Exhibit 99.1 which is included herein. The press release was issued to report that on October 15, 2009, Winnebago Industries anticipates announcing its financial results for the fourth quarter of fiscal 2009 ended August 29, 2009. In connection with the announcement, Winnebago Industries will host a conference call on October 15, 2009 at 9:00 a.m. Central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65" w:lineRule="exact"/>
        <w:rPr>
          <w:sz w:val="24"/>
          <w:szCs w:val="24"/>
          <w:color w:val="auto"/>
        </w:rPr>
      </w:pPr>
    </w:p>
    <w:p>
      <w:pPr>
        <w:ind w:left="82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 2009.</w:t>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20"/>
          </w:cols>
          <w:pgMar w:left="240" w:top="786"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3920" w:type="dxa"/>
            <w:vAlign w:val="bottom"/>
          </w:tcPr>
          <w:p>
            <w:pPr>
              <w:spacing w:after="0"/>
              <w:rPr>
                <w:sz w:val="20"/>
                <w:szCs w:val="20"/>
                <w:color w:val="auto"/>
              </w:rPr>
            </w:pPr>
            <w:r>
              <w:rPr>
                <w:rFonts w:ascii="Arial" w:cs="Arial" w:eastAsia="Arial" w:hAnsi="Arial"/>
                <w:sz w:val="18"/>
                <w:szCs w:val="18"/>
                <w:color w:val="auto"/>
              </w:rPr>
              <w:t>Dated: October 1, 2009</w:t>
            </w:r>
          </w:p>
        </w:tc>
        <w:tc>
          <w:tcPr>
            <w:tcW w:w="6360" w:type="dxa"/>
            <w:vAlign w:val="bottom"/>
            <w:gridSpan w:val="2"/>
          </w:tcPr>
          <w:p>
            <w:pPr>
              <w:ind w:left="224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9"/>
        </w:trPr>
        <w:tc>
          <w:tcPr>
            <w:tcW w:w="3920" w:type="dxa"/>
            <w:vAlign w:val="bottom"/>
          </w:tcPr>
          <w:p>
            <w:pPr>
              <w:spacing w:after="0"/>
              <w:rPr>
                <w:sz w:val="24"/>
                <w:szCs w:val="24"/>
                <w:color w:val="auto"/>
              </w:rPr>
            </w:pPr>
          </w:p>
        </w:tc>
        <w:tc>
          <w:tcPr>
            <w:tcW w:w="2940" w:type="dxa"/>
            <w:vAlign w:val="bottom"/>
          </w:tcPr>
          <w:p>
            <w:pPr>
              <w:ind w:left="22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15"/>
        </w:trPr>
        <w:tc>
          <w:tcPr>
            <w:tcW w:w="3920" w:type="dxa"/>
            <w:vAlign w:val="bottom"/>
          </w:tcPr>
          <w:p>
            <w:pPr>
              <w:spacing w:after="0"/>
              <w:rPr>
                <w:sz w:val="18"/>
                <w:szCs w:val="18"/>
                <w:color w:val="auto"/>
              </w:rPr>
            </w:pPr>
          </w:p>
        </w:tc>
        <w:tc>
          <w:tcPr>
            <w:tcW w:w="2940" w:type="dxa"/>
            <w:vAlign w:val="bottom"/>
          </w:tcPr>
          <w:p>
            <w:pPr>
              <w:ind w:left="224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Robert J. Olson</w:t>
            </w:r>
          </w:p>
        </w:tc>
      </w:tr>
      <w:tr>
        <w:trPr>
          <w:trHeight w:val="222"/>
        </w:trPr>
        <w:tc>
          <w:tcPr>
            <w:tcW w:w="3920" w:type="dxa"/>
            <w:vAlign w:val="bottom"/>
          </w:tcPr>
          <w:p>
            <w:pPr>
              <w:spacing w:after="0"/>
              <w:rPr>
                <w:sz w:val="19"/>
                <w:szCs w:val="19"/>
                <w:color w:val="auto"/>
              </w:rPr>
            </w:pPr>
          </w:p>
        </w:tc>
        <w:tc>
          <w:tcPr>
            <w:tcW w:w="2940" w:type="dxa"/>
            <w:vAlign w:val="bottom"/>
          </w:tcPr>
          <w:p>
            <w:pPr>
              <w:ind w:left="22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40" w:type="dxa"/>
            <w:vAlign w:val="bottom"/>
          </w:tcPr>
          <w:p>
            <w:pPr>
              <w:spacing w:after="0"/>
              <w:rPr>
                <w:sz w:val="24"/>
                <w:szCs w:val="24"/>
                <w:color w:val="auto"/>
              </w:rPr>
            </w:pPr>
          </w:p>
        </w:tc>
        <w:tc>
          <w:tcPr>
            <w:tcW w:w="9880" w:type="dxa"/>
            <w:vAlign w:val="bottom"/>
          </w:tcPr>
          <w:p>
            <w:pPr>
              <w:ind w:left="3340"/>
              <w:spacing w:after="0"/>
              <w:rPr>
                <w:sz w:val="20"/>
                <w:szCs w:val="20"/>
                <w:color w:val="auto"/>
              </w:rPr>
            </w:pPr>
            <w:r>
              <w:rPr>
                <w:rFonts w:ascii="Arial" w:cs="Arial" w:eastAsia="Arial" w:hAnsi="Arial"/>
                <w:sz w:val="22"/>
                <w:szCs w:val="22"/>
                <w:b w:val="1"/>
                <w:bCs w:val="1"/>
                <w:color w:val="auto"/>
              </w:rPr>
              <w:t>EXHIBIT INDEX</w:t>
            </w:r>
          </w:p>
        </w:tc>
      </w:tr>
      <w:tr>
        <w:trPr>
          <w:trHeight w:val="421"/>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24"/>
                <w:szCs w:val="24"/>
                <w:color w:val="auto"/>
              </w:rPr>
            </w:pPr>
          </w:p>
        </w:tc>
      </w:tr>
      <w:tr>
        <w:trPr>
          <w:trHeight w:val="228"/>
        </w:trPr>
        <w:tc>
          <w:tcPr>
            <w:tcW w:w="1540" w:type="dxa"/>
            <w:vAlign w:val="bottom"/>
          </w:tcPr>
          <w:p>
            <w:pPr>
              <w:ind w:left="660"/>
              <w:spacing w:after="0"/>
              <w:rPr>
                <w:sz w:val="20"/>
                <w:szCs w:val="20"/>
                <w:color w:val="auto"/>
              </w:rPr>
            </w:pPr>
            <w:r>
              <w:rPr>
                <w:rFonts w:ascii="Arial" w:cs="Arial" w:eastAsia="Arial" w:hAnsi="Arial"/>
                <w:sz w:val="18"/>
                <w:szCs w:val="18"/>
                <w:b w:val="1"/>
                <w:bCs w:val="1"/>
                <w:color w:val="auto"/>
              </w:rPr>
              <w:t>Number</w:t>
            </w:r>
          </w:p>
        </w:tc>
        <w:tc>
          <w:tcPr>
            <w:tcW w:w="988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378"/>
        </w:trPr>
        <w:tc>
          <w:tcPr>
            <w:tcW w:w="1540" w:type="dxa"/>
            <w:vAlign w:val="bottom"/>
          </w:tcPr>
          <w:p>
            <w:pPr>
              <w:jc w:val="right"/>
              <w:ind w:right="332"/>
              <w:spacing w:after="0"/>
              <w:rPr>
                <w:sz w:val="20"/>
                <w:szCs w:val="20"/>
                <w:color w:val="auto"/>
              </w:rPr>
            </w:pPr>
            <w:r>
              <w:rPr>
                <w:rFonts w:ascii="Arial" w:cs="Arial" w:eastAsia="Arial" w:hAnsi="Arial"/>
                <w:sz w:val="18"/>
                <w:szCs w:val="18"/>
                <w:color w:val="auto"/>
              </w:rPr>
              <w:t>99.1</w:t>
            </w:r>
          </w:p>
        </w:tc>
        <w:tc>
          <w:tcPr>
            <w:tcW w:w="9880" w:type="dxa"/>
            <w:vAlign w:val="bottom"/>
          </w:tcPr>
          <w:p>
            <w:pPr>
              <w:ind w:left="260"/>
              <w:spacing w:after="0"/>
              <w:rPr>
                <w:sz w:val="20"/>
                <w:szCs w:val="20"/>
                <w:color w:val="auto"/>
              </w:rPr>
            </w:pPr>
            <w:r>
              <w:rPr>
                <w:rFonts w:ascii="Arial" w:cs="Arial" w:eastAsia="Arial" w:hAnsi="Arial"/>
                <w:sz w:val="18"/>
                <w:szCs w:val="18"/>
                <w:color w:val="auto"/>
              </w:rPr>
              <w:t>Press release of Winnebago Industries, Inc. dated October 1, 2009.</w:t>
            </w:r>
          </w:p>
        </w:tc>
      </w:tr>
      <w:tr>
        <w:trPr>
          <w:trHeight w:val="1025"/>
        </w:trPr>
        <w:tc>
          <w:tcPr>
            <w:tcW w:w="15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06" w:lineRule="exact"/>
        <w:rPr>
          <w:sz w:val="20"/>
          <w:szCs w:val="20"/>
          <w:color w:val="auto"/>
        </w:rPr>
      </w:pPr>
    </w:p>
    <w:p>
      <w:pPr>
        <w:jc w:val="center"/>
        <w:ind w:left="260" w:right="1960"/>
        <w:spacing w:after="0" w:line="243" w:lineRule="auto"/>
        <w:rPr>
          <w:sz w:val="20"/>
          <w:szCs w:val="20"/>
          <w:color w:val="auto"/>
        </w:rPr>
      </w:pPr>
      <w:r>
        <w:rPr>
          <w:rFonts w:ascii="Arial" w:cs="Arial" w:eastAsia="Arial" w:hAnsi="Arial"/>
          <w:sz w:val="22"/>
          <w:szCs w:val="22"/>
          <w:b w:val="1"/>
          <w:bCs w:val="1"/>
          <w:color w:val="auto"/>
        </w:rPr>
        <w:t>WINNEBAGO INDUSTRIES FOURTH QUARTER FISCAL 2009 FINANCIAL RESULTS ANNOUNCEMENT TO BE MADE ON OCTOBER 15, 2009 -- Conference Call Scheduled for 9:00 a.m. CT --</w:t>
      </w:r>
    </w:p>
    <w:p>
      <w:pPr>
        <w:spacing w:after="0" w:line="1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FOREST CITY, IOWA, October 1, 2009 – Winnebago Industries, Inc. (NYSE: WGO), the nation’s top-selling motor home manufacturer, will issue an advisory release and host a conference call on Thursday, October 15, 2009. In compliance with the U.S. Securities and Exchange Commission's ("SEC") recent guidance regarding "notice-and-access" news releases(1), the Company plans to discontinue issuance of full-text financial news releases via a wire service and will issue only advisory press releases notifying investors when new and material information is available on its websites. Winnebago Industries plans to issue an advisory release before the market open on October 15, notifying the public that a complete and full-text press release discussing the financial results for the Company’s fourth quarter fiscal year 2009 ended August 29, 2009 will be available no earlier than 6:00 a.m. Central Time (CT) in the “Investor Relations” section of the Company’s Web site at: </w:t>
      </w:r>
      <w:r>
        <w:rPr>
          <w:rFonts w:ascii="Arial" w:cs="Arial" w:eastAsia="Arial" w:hAnsi="Arial"/>
          <w:sz w:val="16"/>
          <w:szCs w:val="16"/>
          <w:u w:val="single" w:color="auto"/>
          <w:color w:val="auto"/>
        </w:rPr>
        <w:t>www.winnebagoind.com/investor.html</w:t>
      </w:r>
      <w:r>
        <w:rPr>
          <w:rFonts w:ascii="Arial" w:cs="Arial" w:eastAsia="Arial" w:hAnsi="Arial"/>
          <w:sz w:val="16"/>
          <w:szCs w:val="16"/>
          <w:color w:val="auto"/>
        </w:rPr>
        <w:t>.</w:t>
      </w:r>
    </w:p>
    <w:p>
      <w:pPr>
        <w:spacing w:after="0" w:line="17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 xml:space="preserve">The Company will also host a conference call on October 15 at 9 a.m. Central Time (CT) to discuss the financial results for its fourth quarter fiscal 2009. 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 SEC Release Nos. 34-58288, IC-28351; File No. S7-23-08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2019-12-10T03:42:34Z</dcterms:created>
  <dcterms:modified xsi:type="dcterms:W3CDTF">2019-12-10T03:42:34Z</dcterms:modified>
</cp:coreProperties>
</file>