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-234315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5316220</wp:posOffset>
            </wp:positionH>
            <wp:positionV relativeFrom="paragraph">
              <wp:posOffset>-607695</wp:posOffset>
            </wp:positionV>
            <wp:extent cx="8255" cy="6083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8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4009390</wp:posOffset>
            </wp:positionH>
            <wp:positionV relativeFrom="paragraph">
              <wp:posOffset>-615315</wp:posOffset>
            </wp:positionV>
            <wp:extent cx="8255" cy="6159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5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4034155</wp:posOffset>
            </wp:positionH>
            <wp:positionV relativeFrom="paragraph">
              <wp:posOffset>-591185</wp:posOffset>
            </wp:positionV>
            <wp:extent cx="1265555" cy="5670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5555" cy="567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28575</wp:posOffset>
            </wp:positionV>
            <wp:extent cx="6967855" cy="17500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750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280"/>
            <w:col w:w="8540"/>
          </w:cols>
          <w:pgMar w:left="460" w:top="222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MILES DAVID W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FOREST CITY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3840" w:type="dxa"/>
            <w:vAlign w:val="bottom"/>
            <w:gridSpan w:val="2"/>
          </w:tcPr>
          <w:p>
            <w:pPr>
              <w:ind w:left="80"/>
              <w:spacing w:after="0" w:line="203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9"/>
                </w:rPr>
                <w:t>WINNEBAGO INDUSTRIES INC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9"/>
              </w:rPr>
              <w:t>WGO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w w:val="99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3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05/29/2020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19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-2435225</wp:posOffset>
            </wp:positionH>
            <wp:positionV relativeFrom="paragraph">
              <wp:posOffset>259080</wp:posOffset>
            </wp:positionV>
            <wp:extent cx="6967855" cy="8794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879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-15875</wp:posOffset>
            </wp:positionV>
            <wp:extent cx="7033260" cy="211201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112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Winnebago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7"/>
                <w:vertAlign w:val="subscript"/>
              </w:rPr>
              <w:t>230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1,758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05/29/2020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54.4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2"/>
        <w:spacing w:after="0" w:line="239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Industries common stock upon the earliest of the following events: reporting person's termination of service as a director, death, disability or a "change in the effective control of the Company" as defined in the Plan pursuant to an election made by reporting person.</w:t>
      </w:r>
    </w:p>
    <w:p>
      <w:pPr>
        <w:spacing w:after="0" w:line="3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by reporting person on the transaction date.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Stacy Bogart, Vice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-11430</wp:posOffset>
            </wp:positionV>
            <wp:extent cx="93091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09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President, General Counsel &amp;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-15240</wp:posOffset>
            </wp:positionV>
            <wp:extent cx="12757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57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06/02/2020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-15240</wp:posOffset>
            </wp:positionV>
            <wp:extent cx="188341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34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-15240</wp:posOffset>
            </wp:positionV>
            <wp:extent cx="1322705" cy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-15240</wp:posOffset>
            </wp:positionV>
            <wp:extent cx="379730" cy="825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7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60" w:firstLine="2"/>
        <w:spacing w:after="0" w:line="335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21" Type="http://schemas.openxmlformats.org/officeDocument/2006/relationships/image" Target="media/image12.png"/><Relationship Id="rId13" Type="http://schemas.openxmlformats.org/officeDocument/2006/relationships/hyperlink" Target="http://www.sec.gov/cgi-bin/browse-edgar?action=getcompany&amp;CIK=0001169106" TargetMode="External"/><Relationship Id="rId14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2020-06-02T14:22:39Z</dcterms:created>
  <dcterms:modified xsi:type="dcterms:W3CDTF">2020-06-02T14:22:39Z</dcterms:modified>
</cp:coreProperties>
</file>