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224790</wp:posOffset>
            </wp:positionV>
            <wp:extent cx="137223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196215</wp:posOffset>
            </wp:positionV>
            <wp:extent cx="137223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60"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Date of report (Date of earliest event reported) October 6,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1078230</wp:posOffset>
            </wp:positionV>
            <wp:extent cx="13804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0490" cy="17145"/>
                    </a:xfrm>
                    <a:prstGeom prst="rect">
                      <a:avLst/>
                    </a:prstGeom>
                    <a:noFill/>
                  </pic:spPr>
                </pic:pic>
              </a:graphicData>
            </a:graphic>
          </wp:anchor>
        </w:drawing>
        <w:drawing>
          <wp:anchor simplePos="0" relativeHeight="251657728" behindDoc="1" locked="0" layoutInCell="0" allowOverlap="1">
            <wp:simplePos x="0" y="0"/>
            <wp:positionH relativeFrom="column">
              <wp:posOffset>2698115</wp:posOffset>
            </wp:positionH>
            <wp:positionV relativeFrom="paragraph">
              <wp:posOffset>-1270</wp:posOffset>
            </wp:positionV>
            <wp:extent cx="1895475" cy="823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95475" cy="8235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4"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Winnebago Industries, Inc.</w:t>
      </w:r>
    </w:p>
    <w:p>
      <w:pPr>
        <w:spacing w:after="0" w:line="10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379" w:lineRule="exact"/>
        <w:rPr>
          <w:sz w:val="24"/>
          <w:szCs w:val="24"/>
          <w:color w:val="auto"/>
        </w:rPr>
      </w:pPr>
    </w:p>
    <w:tbl>
      <w:tblPr>
        <w:tblLayout w:type="fixed"/>
        <w:tblInd w:w="1100" w:type="dxa"/>
        <w:tblCellMar>
          <w:top w:w="0" w:type="dxa"/>
          <w:left w:w="0" w:type="dxa"/>
          <w:bottom w:w="0" w:type="dxa"/>
          <w:right w:w="0" w:type="dxa"/>
        </w:tblCellMar>
      </w:tblPr>
      <w:tr>
        <w:trPr>
          <w:trHeight w:val="246"/>
        </w:trPr>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Iowa</w:t>
            </w:r>
          </w:p>
        </w:tc>
        <w:tc>
          <w:tcPr>
            <w:tcW w:w="274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001-06403</w:t>
            </w:r>
          </w:p>
        </w:tc>
        <w:tc>
          <w:tcPr>
            <w:tcW w:w="3160" w:type="dxa"/>
            <w:vAlign w:val="bottom"/>
            <w:tcBorders>
              <w:bottom w:val="single" w:sz="8" w:color="auto"/>
            </w:tcBorders>
          </w:tcPr>
          <w:p>
            <w:pPr>
              <w:jc w:val="right"/>
              <w:ind w:right="1010"/>
              <w:spacing w:after="0"/>
              <w:rPr>
                <w:sz w:val="20"/>
                <w:szCs w:val="20"/>
                <w:color w:val="auto"/>
              </w:rPr>
            </w:pPr>
            <w:r>
              <w:rPr>
                <w:rFonts w:ascii="Arial" w:cs="Arial" w:eastAsia="Arial" w:hAnsi="Arial"/>
                <w:sz w:val="18"/>
                <w:szCs w:val="18"/>
                <w:b w:val="1"/>
                <w:bCs w:val="1"/>
                <w:color w:val="auto"/>
              </w:rPr>
              <w:t>42-0802678</w:t>
            </w:r>
          </w:p>
        </w:tc>
      </w:tr>
      <w:tr>
        <w:trPr>
          <w:trHeight w:val="229"/>
        </w:trPr>
        <w:tc>
          <w:tcPr>
            <w:tcW w:w="3320" w:type="dxa"/>
            <w:vAlign w:val="bottom"/>
          </w:tcPr>
          <w:p>
            <w:pPr>
              <w:jc w:val="center"/>
              <w:spacing w:after="0"/>
              <w:rPr>
                <w:sz w:val="20"/>
                <w:szCs w:val="20"/>
                <w:color w:val="auto"/>
              </w:rPr>
            </w:pPr>
            <w:r>
              <w:rPr>
                <w:rFonts w:ascii="Arial" w:cs="Arial" w:eastAsia="Arial" w:hAnsi="Arial"/>
                <w:sz w:val="18"/>
                <w:szCs w:val="18"/>
                <w:color w:val="auto"/>
                <w:w w:val="99"/>
              </w:rPr>
              <w:t>(State or Other Jurisdiction</w:t>
            </w:r>
          </w:p>
        </w:tc>
        <w:tc>
          <w:tcPr>
            <w:tcW w:w="2740" w:type="dxa"/>
            <w:vAlign w:val="bottom"/>
          </w:tcPr>
          <w:p>
            <w:pPr>
              <w:jc w:val="center"/>
              <w:spacing w:after="0"/>
              <w:rPr>
                <w:sz w:val="20"/>
                <w:szCs w:val="20"/>
                <w:color w:val="auto"/>
              </w:rPr>
            </w:pPr>
            <w:r>
              <w:rPr>
                <w:rFonts w:ascii="Arial" w:cs="Arial" w:eastAsia="Arial" w:hAnsi="Arial"/>
                <w:sz w:val="18"/>
                <w:szCs w:val="18"/>
                <w:color w:val="auto"/>
                <w:w w:val="99"/>
              </w:rPr>
              <w:t>(Commission File Number)</w:t>
            </w:r>
          </w:p>
        </w:tc>
        <w:tc>
          <w:tcPr>
            <w:tcW w:w="3160" w:type="dxa"/>
            <w:vAlign w:val="bottom"/>
          </w:tcPr>
          <w:p>
            <w:pPr>
              <w:jc w:val="center"/>
              <w:spacing w:after="0"/>
              <w:rPr>
                <w:sz w:val="20"/>
                <w:szCs w:val="20"/>
                <w:color w:val="auto"/>
              </w:rPr>
            </w:pPr>
            <w:r>
              <w:rPr>
                <w:rFonts w:ascii="Arial" w:cs="Arial" w:eastAsia="Arial" w:hAnsi="Arial"/>
                <w:sz w:val="18"/>
                <w:szCs w:val="18"/>
                <w:color w:val="auto"/>
                <w:w w:val="99"/>
              </w:rPr>
              <w:t>(IRS Employer</w:t>
            </w:r>
          </w:p>
        </w:tc>
      </w:tr>
      <w:tr>
        <w:trPr>
          <w:trHeight w:val="217"/>
        </w:trPr>
        <w:tc>
          <w:tcPr>
            <w:tcW w:w="3320" w:type="dxa"/>
            <w:vAlign w:val="bottom"/>
          </w:tcPr>
          <w:p>
            <w:pPr>
              <w:jc w:val="center"/>
              <w:spacing w:after="0"/>
              <w:rPr>
                <w:sz w:val="20"/>
                <w:szCs w:val="20"/>
                <w:color w:val="auto"/>
              </w:rPr>
            </w:pPr>
            <w:r>
              <w:rPr>
                <w:rFonts w:ascii="Arial" w:cs="Arial" w:eastAsia="Arial" w:hAnsi="Arial"/>
                <w:sz w:val="18"/>
                <w:szCs w:val="18"/>
                <w:color w:val="auto"/>
              </w:rPr>
              <w:t>of Incorporation)</w:t>
            </w:r>
          </w:p>
        </w:tc>
        <w:tc>
          <w:tcPr>
            <w:tcW w:w="2740" w:type="dxa"/>
            <w:vAlign w:val="bottom"/>
          </w:tcPr>
          <w:p>
            <w:pPr>
              <w:spacing w:after="0"/>
              <w:rPr>
                <w:sz w:val="18"/>
                <w:szCs w:val="18"/>
                <w:color w:val="auto"/>
              </w:rPr>
            </w:pPr>
          </w:p>
        </w:tc>
        <w:tc>
          <w:tcPr>
            <w:tcW w:w="3160" w:type="dxa"/>
            <w:vAlign w:val="bottom"/>
          </w:tcPr>
          <w:p>
            <w:pPr>
              <w:jc w:val="center"/>
              <w:spacing w:after="0"/>
              <w:rPr>
                <w:sz w:val="20"/>
                <w:szCs w:val="20"/>
                <w:color w:val="auto"/>
              </w:rPr>
            </w:pPr>
            <w:r>
              <w:rPr>
                <w:rFonts w:ascii="Arial" w:cs="Arial" w:eastAsia="Arial" w:hAnsi="Arial"/>
                <w:sz w:val="18"/>
                <w:szCs w:val="18"/>
                <w:color w:val="auto"/>
                <w:w w:val="99"/>
              </w:rPr>
              <w:t>Identification No.)</w:t>
            </w:r>
          </w:p>
        </w:tc>
      </w:tr>
      <w:tr>
        <w:trPr>
          <w:trHeight w:val="520"/>
        </w:trPr>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P.O. Box 152, Forest City, Iowa</w:t>
            </w:r>
          </w:p>
        </w:tc>
        <w:tc>
          <w:tcPr>
            <w:tcW w:w="2740" w:type="dxa"/>
            <w:vAlign w:val="bottom"/>
          </w:tcPr>
          <w:p>
            <w:pPr>
              <w:spacing w:after="0"/>
              <w:rPr>
                <w:sz w:val="24"/>
                <w:szCs w:val="24"/>
                <w:color w:val="auto"/>
              </w:rPr>
            </w:pPr>
          </w:p>
        </w:tc>
        <w:tc>
          <w:tcPr>
            <w:tcW w:w="3160" w:type="dxa"/>
            <w:vAlign w:val="bottom"/>
            <w:tcBorders>
              <w:bottom w:val="single" w:sz="8" w:color="auto"/>
            </w:tcBorders>
          </w:tcPr>
          <w:p>
            <w:pPr>
              <w:jc w:val="right"/>
              <w:ind w:right="1250"/>
              <w:spacing w:after="0"/>
              <w:rPr>
                <w:sz w:val="20"/>
                <w:szCs w:val="20"/>
                <w:color w:val="auto"/>
              </w:rPr>
            </w:pPr>
            <w:r>
              <w:rPr>
                <w:rFonts w:ascii="Arial" w:cs="Arial" w:eastAsia="Arial" w:hAnsi="Arial"/>
                <w:sz w:val="18"/>
                <w:szCs w:val="18"/>
                <w:b w:val="1"/>
                <w:bCs w:val="1"/>
                <w:color w:val="auto"/>
              </w:rPr>
              <w:t>50436</w:t>
            </w:r>
          </w:p>
        </w:tc>
      </w:tr>
      <w:tr>
        <w:trPr>
          <w:trHeight w:val="243"/>
        </w:trPr>
        <w:tc>
          <w:tcPr>
            <w:tcW w:w="3320" w:type="dxa"/>
            <w:vAlign w:val="bottom"/>
          </w:tcPr>
          <w:p>
            <w:pPr>
              <w:jc w:val="center"/>
              <w:spacing w:after="0"/>
              <w:rPr>
                <w:sz w:val="20"/>
                <w:szCs w:val="20"/>
                <w:color w:val="auto"/>
              </w:rPr>
            </w:pPr>
            <w:r>
              <w:rPr>
                <w:rFonts w:ascii="Arial" w:cs="Arial" w:eastAsia="Arial" w:hAnsi="Arial"/>
                <w:sz w:val="18"/>
                <w:szCs w:val="18"/>
                <w:color w:val="auto"/>
                <w:w w:val="99"/>
              </w:rPr>
              <w:t>(Address of Principal Executive Offices)</w:t>
            </w:r>
          </w:p>
        </w:tc>
        <w:tc>
          <w:tcPr>
            <w:tcW w:w="2740" w:type="dxa"/>
            <w:vAlign w:val="bottom"/>
          </w:tcPr>
          <w:p>
            <w:pPr>
              <w:spacing w:after="0"/>
              <w:rPr>
                <w:sz w:val="21"/>
                <w:szCs w:val="21"/>
                <w:color w:val="auto"/>
              </w:rPr>
            </w:pPr>
          </w:p>
        </w:tc>
        <w:tc>
          <w:tcPr>
            <w:tcW w:w="3160" w:type="dxa"/>
            <w:vAlign w:val="bottom"/>
          </w:tcPr>
          <w:p>
            <w:pPr>
              <w:jc w:val="center"/>
              <w:spacing w:after="0"/>
              <w:rPr>
                <w:sz w:val="20"/>
                <w:szCs w:val="20"/>
                <w:color w:val="auto"/>
              </w:rPr>
            </w:pPr>
            <w:r>
              <w:rPr>
                <w:rFonts w:ascii="Arial" w:cs="Arial" w:eastAsia="Arial" w:hAnsi="Arial"/>
                <w:sz w:val="18"/>
                <w:szCs w:val="18"/>
                <w:color w:val="auto"/>
                <w:w w:val="98"/>
              </w:rPr>
              <w:t>(Zip Code)</w:t>
            </w:r>
          </w:p>
        </w:tc>
      </w:tr>
      <w:tr>
        <w:trPr>
          <w:trHeight w:val="486"/>
        </w:trPr>
        <w:tc>
          <w:tcPr>
            <w:tcW w:w="6060" w:type="dxa"/>
            <w:vAlign w:val="bottom"/>
            <w:gridSpan w:val="2"/>
          </w:tcPr>
          <w:p>
            <w:pPr>
              <w:ind w:left="1940"/>
              <w:spacing w:after="0"/>
              <w:rPr>
                <w:sz w:val="20"/>
                <w:szCs w:val="20"/>
                <w:color w:val="auto"/>
              </w:rPr>
            </w:pPr>
            <w:r>
              <w:rPr>
                <w:rFonts w:ascii="Arial" w:cs="Arial" w:eastAsia="Arial" w:hAnsi="Arial"/>
                <w:sz w:val="18"/>
                <w:szCs w:val="18"/>
                <w:color w:val="auto"/>
                <w:w w:val="99"/>
              </w:rPr>
              <w:t>Registrant's telephone number, including area code</w:t>
            </w:r>
          </w:p>
        </w:tc>
        <w:tc>
          <w:tcPr>
            <w:tcW w:w="3160" w:type="dxa"/>
            <w:vAlign w:val="bottom"/>
          </w:tcPr>
          <w:p>
            <w:pPr>
              <w:jc w:val="right"/>
              <w:ind w:right="1830"/>
              <w:spacing w:after="0"/>
              <w:rPr>
                <w:sz w:val="20"/>
                <w:szCs w:val="20"/>
                <w:color w:val="auto"/>
              </w:rPr>
            </w:pPr>
            <w:r>
              <w:rPr>
                <w:rFonts w:ascii="Arial" w:cs="Arial" w:eastAsia="Arial" w:hAnsi="Arial"/>
                <w:sz w:val="18"/>
                <w:szCs w:val="18"/>
                <w:b w:val="1"/>
                <w:bCs w:val="1"/>
                <w:color w:val="auto"/>
              </w:rPr>
              <w:t>641-585-3535</w:t>
            </w:r>
          </w:p>
        </w:tc>
      </w:tr>
    </w:tbl>
    <w:p>
      <w:pPr>
        <w:spacing w:after="0" w:line="256" w:lineRule="exact"/>
        <w:rPr>
          <w:sz w:val="24"/>
          <w:szCs w:val="24"/>
          <w:color w:val="auto"/>
        </w:rPr>
      </w:pPr>
    </w:p>
    <w:p>
      <w:pPr>
        <w:ind w:left="2220"/>
        <w:spacing w:after="0"/>
        <w:rPr>
          <w:sz w:val="20"/>
          <w:szCs w:val="20"/>
          <w:color w:val="auto"/>
        </w:rPr>
      </w:pPr>
      <w:r>
        <w:rPr>
          <w:rFonts w:ascii="Arial" w:cs="Arial" w:eastAsia="Arial" w:hAnsi="Arial"/>
          <w:sz w:val="18"/>
          <w:szCs w:val="18"/>
          <w:color w:val="auto"/>
        </w:rPr>
        <w:t>______________________________________________________________________</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255270</wp:posOffset>
            </wp:positionV>
            <wp:extent cx="136334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spacing w:after="0" w:line="26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6" w:lineRule="exact"/>
        <w:rPr>
          <w:sz w:val="24"/>
          <w:szCs w:val="24"/>
          <w:color w:val="auto"/>
        </w:rPr>
      </w:pPr>
    </w:p>
    <w:p>
      <w:pPr>
        <w:ind w:left="560" w:hanging="552"/>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560" w:hanging="552"/>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560" w:hanging="552"/>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560" w:hanging="552"/>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420"/>
          </w:cols>
          <w:pgMar w:left="240" w:top="676"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4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Winnebago Industries, Inc. (Winnebago Industries) is filing herewith a press release issued on October 6, 2011, as Exhibit 99.1 which is included herein. The press release was issued to report that on October 13, 2011, Winnebago Industries anticipates announcing its financial results for its fourth quarter and Fiscal 2011 ended August 27, 2011. In connection with the announcement, Winnebago Industries will host a conference call on August 27, 2011 at 9:00 a.m. Central time. Details regarding the conference call are contained in the press release included herein.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47" w:lineRule="exact"/>
        <w:rPr>
          <w:sz w:val="20"/>
          <w:szCs w:val="20"/>
          <w:color w:val="auto"/>
        </w:rPr>
      </w:pPr>
    </w:p>
    <w:p>
      <w:pPr>
        <w:ind w:left="420" w:hanging="412"/>
        <w:spacing w:after="0"/>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Exhibit</w:t>
      </w:r>
    </w:p>
    <w:p>
      <w:pPr>
        <w:spacing w:after="0" w:line="31" w:lineRule="exact"/>
        <w:rPr>
          <w:sz w:val="20"/>
          <w:szCs w:val="20"/>
          <w:color w:val="auto"/>
        </w:rPr>
      </w:pPr>
    </w:p>
    <w:p>
      <w:pPr>
        <w:ind w:left="660"/>
        <w:spacing w:after="0"/>
        <w:tabs>
          <w:tab w:leader="none" w:pos="1520" w:val="left"/>
        </w:tabs>
        <w:rPr>
          <w:sz w:val="20"/>
          <w:szCs w:val="20"/>
          <w:color w:val="auto"/>
        </w:rPr>
      </w:pPr>
      <w:r>
        <w:rPr>
          <w:rFonts w:ascii="Arial" w:cs="Arial" w:eastAsia="Arial" w:hAnsi="Arial"/>
          <w:sz w:val="18"/>
          <w:szCs w:val="18"/>
          <w:b w:val="1"/>
          <w:bCs w:val="1"/>
          <w:u w:val="single" w:color="auto"/>
          <w:color w:val="auto"/>
        </w:rPr>
        <w:t>Number</w:t>
      </w:r>
      <w:r>
        <w:rPr>
          <w:sz w:val="20"/>
          <w:szCs w:val="20"/>
          <w:color w:val="auto"/>
        </w:rPr>
        <w:tab/>
      </w:r>
      <w:r>
        <w:rPr>
          <w:rFonts w:ascii="Arial" w:cs="Arial" w:eastAsia="Arial" w:hAnsi="Arial"/>
          <w:sz w:val="17"/>
          <w:szCs w:val="17"/>
          <w:b w:val="1"/>
          <w:bCs w:val="1"/>
          <w:u w:val="single" w:color="auto"/>
          <w:color w:val="auto"/>
        </w:rPr>
        <w:t>Description</w:t>
      </w:r>
    </w:p>
    <w:p>
      <w:pPr>
        <w:spacing w:after="0" w:line="9" w:lineRule="exact"/>
        <w:rPr>
          <w:sz w:val="20"/>
          <w:szCs w:val="20"/>
          <w:color w:val="auto"/>
        </w:rPr>
      </w:pPr>
    </w:p>
    <w:p>
      <w:pPr>
        <w:ind w:left="660"/>
        <w:spacing w:after="0"/>
        <w:tabs>
          <w:tab w:leader="none" w:pos="13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8"/>
          <w:szCs w:val="18"/>
          <w:color w:val="auto"/>
        </w:rPr>
        <w:t>Press release of Winnebago Industries, Inc. dated October 6, 2011.</w:t>
      </w:r>
    </w:p>
    <w:p>
      <w:pPr>
        <w:sectPr>
          <w:pgSz w:w="11900" w:h="16838" w:orient="portrait"/>
          <w:cols w:equalWidth="0" w:num="1">
            <w:col w:w="11360"/>
          </w:cols>
          <w:pgMar w:left="240" w:top="792" w:right="29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22"/>
          <w:szCs w:val="22"/>
          <w:b w:val="1"/>
          <w:bCs w:val="1"/>
          <w:color w:val="auto"/>
        </w:rPr>
        <w:t>SIGNATURES</w:t>
      </w:r>
    </w:p>
    <w:p>
      <w:pPr>
        <w:spacing w:after="0" w:line="170"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72"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WINNEBAGO INDUSTRIES, INC.</w:t>
      </w:r>
    </w:p>
    <w:p>
      <w:pPr>
        <w:spacing w:after="0" w:line="63"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(Registrant)</w:t>
      </w:r>
    </w:p>
    <w:p>
      <w:pPr>
        <w:spacing w:after="0" w:line="347" w:lineRule="exact"/>
        <w:rPr>
          <w:sz w:val="20"/>
          <w:szCs w:val="20"/>
          <w:color w:val="auto"/>
        </w:rPr>
      </w:pPr>
    </w:p>
    <w:tbl>
      <w:tblPr>
        <w:tblLayout w:type="fixed"/>
        <w:tblInd w:w="40" w:type="dxa"/>
        <w:tblCellMar>
          <w:top w:w="0" w:type="dxa"/>
          <w:left w:w="0" w:type="dxa"/>
          <w:bottom w:w="0" w:type="dxa"/>
          <w:right w:w="0" w:type="dxa"/>
        </w:tblCellMar>
      </w:tblPr>
      <w:tr>
        <w:trPr>
          <w:trHeight w:val="224"/>
        </w:trPr>
        <w:tc>
          <w:tcPr>
            <w:tcW w:w="2680" w:type="dxa"/>
            <w:vAlign w:val="bottom"/>
          </w:tcPr>
          <w:p>
            <w:pPr>
              <w:spacing w:after="0"/>
              <w:rPr>
                <w:sz w:val="20"/>
                <w:szCs w:val="20"/>
                <w:color w:val="auto"/>
              </w:rPr>
            </w:pPr>
            <w:r>
              <w:rPr>
                <w:rFonts w:ascii="Arial" w:cs="Arial" w:eastAsia="Arial" w:hAnsi="Arial"/>
                <w:sz w:val="18"/>
                <w:szCs w:val="18"/>
                <w:color w:val="auto"/>
              </w:rPr>
              <w:t>Dated:  October 6, 2011</w:t>
            </w:r>
          </w:p>
        </w:tc>
        <w:tc>
          <w:tcPr>
            <w:tcW w:w="1400" w:type="dxa"/>
            <w:vAlign w:val="bottom"/>
          </w:tcPr>
          <w:p>
            <w:pPr>
              <w:ind w:left="700"/>
              <w:spacing w:after="0"/>
              <w:rPr>
                <w:sz w:val="20"/>
                <w:szCs w:val="20"/>
                <w:color w:val="auto"/>
              </w:rPr>
            </w:pPr>
            <w:r>
              <w:rPr>
                <w:rFonts w:ascii="Arial" w:cs="Arial" w:eastAsia="Arial" w:hAnsi="Arial"/>
                <w:sz w:val="18"/>
                <w:szCs w:val="18"/>
                <w:color w:val="auto"/>
              </w:rPr>
              <w:t>By:</w:t>
            </w:r>
          </w:p>
        </w:tc>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/s/Randy J. Potts</w:t>
            </w:r>
          </w:p>
        </w:tc>
      </w:tr>
      <w:tr>
        <w:trPr>
          <w:trHeight w:val="243"/>
        </w:trPr>
        <w:tc>
          <w:tcPr>
            <w:tcW w:w="2680" w:type="dxa"/>
            <w:vAlign w:val="bottom"/>
          </w:tcPr>
          <w:p>
            <w:pPr>
              <w:spacing w:after="0"/>
              <w:rPr>
                <w:sz w:val="21"/>
                <w:szCs w:val="21"/>
                <w:color w:val="auto"/>
              </w:rPr>
            </w:pPr>
          </w:p>
        </w:tc>
        <w:tc>
          <w:tcPr>
            <w:tcW w:w="1400" w:type="dxa"/>
            <w:vAlign w:val="bottom"/>
          </w:tcPr>
          <w:p>
            <w:pPr>
              <w:ind w:left="700"/>
              <w:spacing w:after="0"/>
              <w:rPr>
                <w:sz w:val="20"/>
                <w:szCs w:val="20"/>
                <w:color w:val="auto"/>
              </w:rPr>
            </w:pPr>
            <w:r>
              <w:rPr>
                <w:rFonts w:ascii="Arial" w:cs="Arial" w:eastAsia="Arial" w:hAnsi="Arial"/>
                <w:sz w:val="18"/>
                <w:szCs w:val="18"/>
                <w:color w:val="auto"/>
              </w:rPr>
              <w:t>Name:</w:t>
            </w:r>
          </w:p>
        </w:tc>
        <w:tc>
          <w:tcPr>
            <w:tcW w:w="5160" w:type="dxa"/>
            <w:vAlign w:val="bottom"/>
          </w:tcPr>
          <w:p>
            <w:pPr>
              <w:ind w:left="20"/>
              <w:spacing w:after="0"/>
              <w:rPr>
                <w:sz w:val="20"/>
                <w:szCs w:val="20"/>
                <w:color w:val="auto"/>
              </w:rPr>
            </w:pPr>
            <w:r>
              <w:rPr>
                <w:rFonts w:ascii="Arial" w:cs="Arial" w:eastAsia="Arial" w:hAnsi="Arial"/>
                <w:sz w:val="18"/>
                <w:szCs w:val="18"/>
                <w:color w:val="auto"/>
              </w:rPr>
              <w:t>Randy J. Potts</w:t>
            </w:r>
          </w:p>
        </w:tc>
      </w:tr>
      <w:tr>
        <w:trPr>
          <w:trHeight w:val="270"/>
        </w:trPr>
        <w:tc>
          <w:tcPr>
            <w:tcW w:w="2680" w:type="dxa"/>
            <w:vAlign w:val="bottom"/>
          </w:tcPr>
          <w:p>
            <w:pPr>
              <w:spacing w:after="0"/>
              <w:rPr>
                <w:sz w:val="23"/>
                <w:szCs w:val="23"/>
                <w:color w:val="auto"/>
              </w:rPr>
            </w:pPr>
          </w:p>
        </w:tc>
        <w:tc>
          <w:tcPr>
            <w:tcW w:w="1400" w:type="dxa"/>
            <w:vAlign w:val="bottom"/>
          </w:tcPr>
          <w:p>
            <w:pPr>
              <w:ind w:left="700"/>
              <w:spacing w:after="0"/>
              <w:rPr>
                <w:sz w:val="20"/>
                <w:szCs w:val="20"/>
                <w:color w:val="auto"/>
              </w:rPr>
            </w:pPr>
            <w:r>
              <w:rPr>
                <w:rFonts w:ascii="Arial" w:cs="Arial" w:eastAsia="Arial" w:hAnsi="Arial"/>
                <w:sz w:val="18"/>
                <w:szCs w:val="18"/>
                <w:color w:val="auto"/>
              </w:rPr>
              <w:t>Title:</w:t>
            </w:r>
          </w:p>
        </w:tc>
        <w:tc>
          <w:tcPr>
            <w:tcW w:w="5160" w:type="dxa"/>
            <w:vAlign w:val="bottom"/>
          </w:tcPr>
          <w:p>
            <w:pPr>
              <w:ind w:left="20"/>
              <w:spacing w:after="0"/>
              <w:rPr>
                <w:sz w:val="20"/>
                <w:szCs w:val="20"/>
                <w:color w:val="auto"/>
              </w:rPr>
            </w:pPr>
            <w:r>
              <w:rPr>
                <w:rFonts w:ascii="Arial" w:cs="Arial" w:eastAsia="Arial" w:hAnsi="Arial"/>
                <w:sz w:val="18"/>
                <w:szCs w:val="18"/>
                <w:color w:val="auto"/>
              </w:rPr>
              <w:t>Chief Executive Officer and President</w:t>
            </w:r>
          </w:p>
        </w:tc>
      </w:tr>
    </w:tbl>
    <w:p>
      <w:pPr>
        <w:sectPr>
          <w:pgSz w:w="11900" w:h="16838" w:orient="portrait"/>
          <w:cols w:equalWidth="0" w:num="1">
            <w:col w:w="11120"/>
          </w:cols>
          <w:pgMar w:left="240" w:top="580" w:right="539" w:bottom="1440" w:gutter="0" w:footer="0" w:header="0"/>
        </w:sectPr>
      </w:pPr>
    </w:p>
    <w:bookmarkStart w:id="3" w:name="page4"/>
    <w:bookmarkEnd w:id="3"/>
    <w:p>
      <w:pPr>
        <w:jc w:val="center"/>
        <w:ind w:right="-40"/>
        <w:spacing w:after="0"/>
        <w:rPr>
          <w:sz w:val="20"/>
          <w:szCs w:val="20"/>
          <w:color w:val="auto"/>
        </w:rPr>
      </w:pPr>
      <w:r>
        <w:rPr>
          <w:rFonts w:ascii="Arial" w:cs="Arial" w:eastAsia="Arial" w:hAnsi="Arial"/>
          <w:sz w:val="22"/>
          <w:szCs w:val="22"/>
          <w:b w:val="1"/>
          <w:bCs w:val="1"/>
          <w:color w:val="auto"/>
        </w:rPr>
        <w:t>EXHIBIT INDEX</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18"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306" w:lineRule="exact"/>
        <w:rPr>
          <w:sz w:val="20"/>
          <w:szCs w:val="20"/>
          <w:color w:val="auto"/>
        </w:rPr>
      </w:pPr>
    </w:p>
    <w:p>
      <w:pPr>
        <w:ind w:left="140"/>
        <w:spacing w:after="0"/>
        <w:tabs>
          <w:tab w:leader="none" w:pos="12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8"/>
          <w:szCs w:val="18"/>
          <w:color w:val="auto"/>
        </w:rPr>
        <w:t>Press release of Winnebago Industries, Inc. dated October 6, 2011.</w:t>
      </w:r>
    </w:p>
    <w:p>
      <w:pPr>
        <w:sectPr>
          <w:pgSz w:w="11900" w:h="16838" w:orient="portrait"/>
          <w:cols w:equalWidth="0" w:num="1">
            <w:col w:w="9039"/>
          </w:cols>
          <w:pgMar w:left="1420" w:top="580" w:right="1440" w:bottom="1440" w:gutter="0" w:footer="0" w:header="0"/>
        </w:sectPr>
      </w:pPr>
    </w:p>
    <w:bookmarkStart w:id="4" w:name="page5"/>
    <w:bookmarkEnd w:id="4"/>
    <w:p>
      <w:pPr>
        <w:spacing w:after="0"/>
        <w:tabs>
          <w:tab w:leader="none" w:pos="2060" w:val="left"/>
        </w:tabs>
        <w:rPr>
          <w:sz w:val="20"/>
          <w:szCs w:val="20"/>
          <w:color w:val="auto"/>
        </w:rPr>
      </w:pPr>
      <w:r>
        <w:rPr>
          <w:rFonts w:ascii="Arial" w:cs="Arial" w:eastAsia="Arial" w:hAnsi="Arial"/>
          <w:sz w:val="18"/>
          <w:szCs w:val="18"/>
          <w:color w:val="auto"/>
        </w:rPr>
        <w:t>For further information:</w:t>
        <w:tab/>
        <w:t>Sheila Davis, PR/IR Manager - 641-585-6803</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WINNEBAGO INDUSTRIES FOURTH QUARTER AND FISCAL 2011 FINANCIAL RESULTS ANNOUNCEMENT TO BE MADE ON</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OCTOBER 13, 2011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Conference Call Scheduled for 9:00 a.m. CT --</w:t>
      </w:r>
    </w:p>
    <w:p>
      <w:pPr>
        <w:spacing w:after="0" w:line="225"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FOREST CITY, IOWA, October 6, 2011 - Winnebago Industries, Inc. (NYSE: WGO), a leading United States (U.S.) recreation vehicle manufacturer, will issue an advisory release and host a conference call on Thursday, October 13, 2011. In compliance with the U.S. Securities and Exchange Commission's ("SEC") guidance regarding "notice-and-access" news releases</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the Company plans to discontinue issuance of full-text financial news releases via a wire service and will issue only advisory press releases notifying investors when new and material information is available on its website. Winnebago Industries plans to issue an advisory release before the market opens on October 13, 2011 notifying the public that a complete and full-text press release discussing the financial results for the Company's fourth quarter and Fiscal 2011 ended August 27, 2011 will be available no earlier than 6:00 a.m. Central Time (CT) in the “Investor Relations” section of the Company's website at: </w:t>
      </w:r>
      <w:r>
        <w:rPr>
          <w:rFonts w:ascii="Arial" w:cs="Arial" w:eastAsia="Arial" w:hAnsi="Arial"/>
          <w:sz w:val="18"/>
          <w:szCs w:val="18"/>
          <w:u w:val="single" w:color="auto"/>
          <w:color w:val="0000FF"/>
        </w:rPr>
        <w:t>www.winnebagoind.com/investor.html</w:t>
      </w:r>
      <w:r>
        <w:rPr>
          <w:rFonts w:ascii="Arial" w:cs="Arial" w:eastAsia="Arial" w:hAnsi="Arial"/>
          <w:sz w:val="18"/>
          <w:szCs w:val="18"/>
          <w:color w:val="auto"/>
        </w:rPr>
        <w:t>.</w:t>
      </w:r>
    </w:p>
    <w:p>
      <w:pPr>
        <w:spacing w:after="0" w:line="21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 xml:space="preserve">The Company will also host a conference call on October 13, 2011 at 9 a.m. Central Time (CT) to discuss the financial results for its fourth quarter and Fiscal 2011. Winnebago Industries' conference call may be heard live via the Company's website, </w:t>
      </w:r>
      <w:r>
        <w:rPr>
          <w:rFonts w:ascii="Arial" w:cs="Arial" w:eastAsia="Arial" w:hAnsi="Arial"/>
          <w:sz w:val="18"/>
          <w:szCs w:val="18"/>
          <w:u w:val="single" w:color="auto"/>
          <w:color w:val="0000FF"/>
        </w:rPr>
        <w:t>http://www.winnebagoind.com/investor.html</w:t>
      </w:r>
      <w:r>
        <w:rPr>
          <w:rFonts w:ascii="Arial" w:cs="Arial" w:eastAsia="Arial" w:hAnsi="Arial"/>
          <w:sz w:val="18"/>
          <w:szCs w:val="18"/>
          <w:color w:val="000000"/>
        </w:rPr>
        <w:t>. The event will be archived and available for replay for the next 90 days. To access the replay, click</w:t>
      </w:r>
      <w:r>
        <w:rPr>
          <w:rFonts w:ascii="Arial" w:cs="Arial" w:eastAsia="Arial" w:hAnsi="Arial"/>
          <w:sz w:val="18"/>
          <w:szCs w:val="18"/>
          <w:color w:val="0000FF"/>
        </w:rPr>
        <w:t xml:space="preserve"> </w:t>
      </w:r>
      <w:r>
        <w:rPr>
          <w:rFonts w:ascii="Arial" w:cs="Arial" w:eastAsia="Arial" w:hAnsi="Arial"/>
          <w:sz w:val="18"/>
          <w:szCs w:val="18"/>
          <w:color w:val="000000"/>
        </w:rPr>
        <w:t xml:space="preserve">on </w:t>
      </w:r>
      <w:r>
        <w:rPr>
          <w:rFonts w:ascii="Arial" w:cs="Arial" w:eastAsia="Arial" w:hAnsi="Arial"/>
          <w:sz w:val="18"/>
          <w:szCs w:val="18"/>
          <w:u w:val="single" w:color="auto"/>
          <w:color w:val="0000FF"/>
        </w:rPr>
        <w:t>http://www.winnebagoind.com/investor.html</w:t>
      </w:r>
      <w:r>
        <w:rPr>
          <w:rFonts w:ascii="Arial" w:cs="Arial" w:eastAsia="Arial" w:hAnsi="Arial"/>
          <w:sz w:val="18"/>
          <w:szCs w:val="18"/>
          <w:color w:val="000000"/>
        </w:rPr>
        <w: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Minimum requirements to listen to the webcast: either Windows Media Player or RealPlayer and at least a 28.8 Kbps connection to the Internet.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Windows Media Player software is downloadable free at: </w:t>
      </w:r>
      <w:r>
        <w:rPr>
          <w:rFonts w:ascii="Arial" w:cs="Arial" w:eastAsia="Arial" w:hAnsi="Arial"/>
          <w:sz w:val="18"/>
          <w:szCs w:val="18"/>
          <w:u w:val="single" w:color="auto"/>
          <w:color w:val="0000FF"/>
        </w:rPr>
        <w:t>www.microsoft.com/windows/windowsmedia/download/default.asp</w:t>
      </w:r>
      <w:r>
        <w:rPr>
          <w:rFonts w:ascii="Arial" w:cs="Arial" w:eastAsia="Arial" w:hAnsi="Arial"/>
          <w:sz w:val="18"/>
          <w:szCs w:val="18"/>
          <w:color w:val="auto"/>
        </w:rPr>
        <w:t>, and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RealPlayer software is downloadable free at: </w:t>
      </w:r>
      <w:r>
        <w:rPr>
          <w:rFonts w:ascii="Arial" w:cs="Arial" w:eastAsia="Arial" w:hAnsi="Arial"/>
          <w:sz w:val="18"/>
          <w:szCs w:val="18"/>
          <w:u w:val="single" w:color="auto"/>
          <w:color w:val="0000FF"/>
        </w:rPr>
        <w:t>www.real.com/products/player/index.html</w:t>
      </w:r>
      <w:r>
        <w:rPr>
          <w:rFonts w:ascii="Arial" w:cs="Arial" w:eastAsia="Arial" w:hAnsi="Arial"/>
          <w:sz w:val="18"/>
          <w:szCs w:val="18"/>
          <w:color w:val="auto"/>
        </w:rPr>
        <w: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Winnebago Industries</w:t>
      </w:r>
    </w:p>
    <w:p>
      <w:pPr>
        <w:spacing w:after="0" w:line="29" w:lineRule="exact"/>
        <w:rPr>
          <w:sz w:val="20"/>
          <w:szCs w:val="20"/>
          <w:color w:val="auto"/>
        </w:rPr>
      </w:pPr>
    </w:p>
    <w:p>
      <w:pPr>
        <w:ind w:right="60"/>
        <w:spacing w:after="0" w:line="245" w:lineRule="auto"/>
        <w:rPr>
          <w:sz w:val="20"/>
          <w:szCs w:val="20"/>
          <w:color w:val="auto"/>
        </w:rPr>
      </w:pPr>
      <w:r>
        <w:rPr>
          <w:rFonts w:ascii="Arial" w:cs="Arial" w:eastAsia="Arial" w:hAnsi="Arial"/>
          <w:sz w:val="18"/>
          <w:szCs w:val="18"/>
          <w:color w:val="auto"/>
        </w:rPr>
        <w:t>Winnebago Industries, Inc., The Most Recognized Name In Motor Homes</w:t>
      </w:r>
      <w:r>
        <w:rPr>
          <w:rFonts w:ascii="Arial" w:cs="Arial" w:eastAsia="Arial" w:hAnsi="Arial"/>
          <w:sz w:val="21"/>
          <w:szCs w:val="21"/>
          <w:color w:val="auto"/>
          <w:vertAlign w:val="superscript"/>
        </w:rPr>
        <w:t>®</w:t>
      </w:r>
      <w:r>
        <w:rPr>
          <w:rFonts w:ascii="Arial" w:cs="Arial" w:eastAsia="Arial" w:hAnsi="Arial"/>
          <w:sz w:val="18"/>
          <w:szCs w:val="18"/>
          <w:color w:val="auto"/>
        </w:rPr>
        <w:t>, is a leading U.S. manufacturer of recreation vehicles, which are used primarily in leisure travel and outdoor recreation activities. The Company builds quality motor homes, travel trailers and fifth wheel products under the Winnebago, Itasca, ERA and SunnyBrook brand names. Winnebago Industries has received the Quality Circle Award from the Recreation Vehicle Dealers Association every year since the award's inception in 1996. The Company's common stock is listed on the New York and Chicago Stock Exchanges and traded under the symbol WGO. Options for the Company's common stock are traded on the Chicago Board Options Exchange. For access to Winnebago Industries' investor relations material or to add your name to an automatic email list for Company news releases, visit,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http://www.winnebagoind.com/investor.html</w:t>
      </w:r>
      <w:r>
        <w:rPr>
          <w:rFonts w:ascii="Arial" w:cs="Arial" w:eastAsia="Arial" w:hAnsi="Arial"/>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(1) SEC Release Nos. 34-58288, IC-28351; File No. S7-23-08</w:t>
      </w:r>
    </w:p>
    <w:sectPr>
      <w:pgSz w:w="11900" w:h="16838" w:orient="portrait"/>
      <w:cols w:equalWidth="0" w:num="1">
        <w:col w:w="11420"/>
      </w:cols>
      <w:pgMar w:left="240" w:top="59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2019-12-10T03:23:22Z</dcterms:created>
  <dcterms:modified xsi:type="dcterms:W3CDTF">2019-12-10T03:23:22Z</dcterms:modified>
</cp:coreProperties>
</file>