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198755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15,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877570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191770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40" w:lineRule="exact"/>
        <w:rPr>
          <w:sz w:val="24"/>
          <w:szCs w:val="24"/>
          <w:color w:val="auto"/>
        </w:rPr>
      </w:pPr>
    </w:p>
    <w:tbl>
      <w:tblPr>
        <w:tblLayout w:type="fixed"/>
        <w:tblInd w:w="1120" w:type="dxa"/>
        <w:tblCellMar>
          <w:top w:w="0" w:type="dxa"/>
          <w:left w:w="0" w:type="dxa"/>
          <w:bottom w:w="0" w:type="dxa"/>
          <w:right w:w="0" w:type="dxa"/>
        </w:tblCellMar>
      </w:tblPr>
      <w:tr>
        <w:trPr>
          <w:trHeight w:val="254"/>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192"/>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219"/>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8"/>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2"/>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81"/>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51"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0"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Winnebago Industries, Inc. is filing herewith a press release issued on October 15, 2015, as Exhibit 99.1 which is incorporated by reference herein. The press release was issued to report earnings for the fourth quarter and Fiscal 2015 ended August 29, 2015.</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 8.01 Other Events.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Winnebago Industries, Inc. (Winnebago Industries) is filing herewith a press release issued on October 15, 2015, as Exhibit 99.1 which is included herein. The press release was issued to report that on October 14, 2015, the Board of Winnebago Industries, Inc. approved a quarterly cash dividend of $0.10 per share of common stock, payable on November 25, 2015 to shareholders of record at the close of business on November 11, 2015.</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02"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Exhibit</w:t>
      </w:r>
    </w:p>
    <w:p>
      <w:pPr>
        <w:spacing w:after="0" w:line="2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of Winnebago Industries, Inc. dated October 15, 2015.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SIGNATURES</w:t>
      </w:r>
    </w:p>
    <w:p>
      <w:pPr>
        <w:spacing w:after="0" w:line="16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7"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p>
      <w:pPr>
        <w:spacing w:after="0" w:line="88" w:lineRule="exact"/>
        <w:rPr>
          <w:sz w:val="20"/>
          <w:szCs w:val="20"/>
          <w:color w:val="auto"/>
        </w:rPr>
      </w:pPr>
    </w:p>
    <w:p>
      <w:pPr>
        <w:ind w:left="3460"/>
        <w:spacing w:after="0"/>
        <w:rPr>
          <w:sz w:val="20"/>
          <w:szCs w:val="20"/>
          <w:color w:val="auto"/>
        </w:rPr>
      </w:pPr>
      <w:r>
        <w:rPr>
          <w:rFonts w:ascii="Arial" w:cs="Arial" w:eastAsia="Arial" w:hAnsi="Arial"/>
          <w:sz w:val="16"/>
          <w:szCs w:val="16"/>
          <w:color w:val="auto"/>
        </w:rPr>
        <w:t>(Registrant)</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620" w:type="dxa"/>
            <w:vAlign w:val="bottom"/>
          </w:tcPr>
          <w:p>
            <w:pPr>
              <w:spacing w:after="0"/>
              <w:rPr>
                <w:sz w:val="20"/>
                <w:szCs w:val="20"/>
                <w:color w:val="auto"/>
              </w:rPr>
            </w:pPr>
            <w:r>
              <w:rPr>
                <w:rFonts w:ascii="Arial" w:cs="Arial" w:eastAsia="Arial" w:hAnsi="Arial"/>
                <w:sz w:val="16"/>
                <w:szCs w:val="16"/>
                <w:color w:val="auto"/>
              </w:rPr>
              <w:t>Date:   October 15, 2015</w:t>
            </w:r>
          </w:p>
        </w:tc>
        <w:tc>
          <w:tcPr>
            <w:tcW w:w="1440" w:type="dxa"/>
            <w:vAlign w:val="bottom"/>
          </w:tcPr>
          <w:p>
            <w:pPr>
              <w:ind w:left="800"/>
              <w:spacing w:after="0"/>
              <w:rPr>
                <w:sz w:val="20"/>
                <w:szCs w:val="20"/>
                <w:color w:val="auto"/>
              </w:rPr>
            </w:pPr>
            <w:r>
              <w:rPr>
                <w:rFonts w:ascii="Arial" w:cs="Arial" w:eastAsia="Arial" w:hAnsi="Arial"/>
                <w:sz w:val="16"/>
                <w:szCs w:val="16"/>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C. Folkers</w:t>
            </w:r>
          </w:p>
        </w:tc>
      </w:tr>
      <w:tr>
        <w:trPr>
          <w:trHeight w:val="241"/>
        </w:trPr>
        <w:tc>
          <w:tcPr>
            <w:tcW w:w="2620" w:type="dxa"/>
            <w:vAlign w:val="bottom"/>
          </w:tcPr>
          <w:p>
            <w:pPr>
              <w:spacing w:after="0"/>
              <w:rPr>
                <w:sz w:val="20"/>
                <w:szCs w:val="20"/>
                <w:color w:val="auto"/>
              </w:rPr>
            </w:pPr>
          </w:p>
        </w:tc>
        <w:tc>
          <w:tcPr>
            <w:tcW w:w="1440" w:type="dxa"/>
            <w:vAlign w:val="bottom"/>
          </w:tcPr>
          <w:p>
            <w:pPr>
              <w:ind w:left="800"/>
              <w:spacing w:after="0"/>
              <w:rPr>
                <w:sz w:val="20"/>
                <w:szCs w:val="20"/>
                <w:color w:val="auto"/>
              </w:rPr>
            </w:pPr>
            <w:r>
              <w:rPr>
                <w:rFonts w:ascii="Arial" w:cs="Arial" w:eastAsia="Arial" w:hAnsi="Arial"/>
                <w:sz w:val="16"/>
                <w:szCs w:val="16"/>
                <w:color w:val="auto"/>
              </w:rPr>
              <w:t>Name:</w:t>
            </w:r>
          </w:p>
        </w:tc>
        <w:tc>
          <w:tcPr>
            <w:tcW w:w="4920" w:type="dxa"/>
            <w:vAlign w:val="bottom"/>
          </w:tcPr>
          <w:p>
            <w:pPr>
              <w:ind w:left="20"/>
              <w:spacing w:after="0"/>
              <w:rPr>
                <w:sz w:val="20"/>
                <w:szCs w:val="20"/>
                <w:color w:val="auto"/>
              </w:rPr>
            </w:pPr>
            <w:r>
              <w:rPr>
                <w:rFonts w:ascii="Arial" w:cs="Arial" w:eastAsia="Arial" w:hAnsi="Arial"/>
                <w:sz w:val="16"/>
                <w:szCs w:val="16"/>
                <w:color w:val="auto"/>
              </w:rPr>
              <w:t>Scott C. Folkers</w:t>
            </w:r>
          </w:p>
        </w:tc>
      </w:tr>
      <w:tr>
        <w:trPr>
          <w:trHeight w:val="270"/>
        </w:trPr>
        <w:tc>
          <w:tcPr>
            <w:tcW w:w="2620" w:type="dxa"/>
            <w:vAlign w:val="bottom"/>
          </w:tcPr>
          <w:p>
            <w:pPr>
              <w:spacing w:after="0"/>
              <w:rPr>
                <w:sz w:val="23"/>
                <w:szCs w:val="23"/>
                <w:color w:val="auto"/>
              </w:rPr>
            </w:pPr>
          </w:p>
        </w:tc>
        <w:tc>
          <w:tcPr>
            <w:tcW w:w="1440" w:type="dxa"/>
            <w:vAlign w:val="bottom"/>
          </w:tcPr>
          <w:p>
            <w:pPr>
              <w:ind w:left="800"/>
              <w:spacing w:after="0"/>
              <w:rPr>
                <w:sz w:val="20"/>
                <w:szCs w:val="20"/>
                <w:color w:val="auto"/>
              </w:rPr>
            </w:pPr>
            <w:r>
              <w:rPr>
                <w:rFonts w:ascii="Arial" w:cs="Arial" w:eastAsia="Arial" w:hAnsi="Arial"/>
                <w:sz w:val="16"/>
                <w:szCs w:val="16"/>
                <w:color w:val="auto"/>
              </w:rPr>
              <w:t>Title:</w:t>
            </w:r>
          </w:p>
        </w:tc>
        <w:tc>
          <w:tcPr>
            <w:tcW w:w="4920" w:type="dxa"/>
            <w:vAlign w:val="bottom"/>
          </w:tcPr>
          <w:p>
            <w:pPr>
              <w:ind w:left="2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60"/>
          </w:cols>
          <w:pgMar w:left="240" w:top="567" w:right="29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-382905</wp:posOffset>
            </wp:positionV>
            <wp:extent cx="2306955"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06955" cy="33464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Public Relations Specialist - 641-585-6803 - sjefson@wgo.net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Contact: Samantha Dugan - 641-585-6160 - sdugan@wgo.net</w:t>
      </w:r>
    </w:p>
    <w:p>
      <w:pPr>
        <w:spacing w:after="0" w:line="354" w:lineRule="exact"/>
        <w:rPr>
          <w:sz w:val="20"/>
          <w:szCs w:val="20"/>
          <w:color w:val="auto"/>
        </w:rPr>
      </w:pPr>
    </w:p>
    <w:p>
      <w:pPr>
        <w:jc w:val="center"/>
        <w:ind w:left="260" w:right="2100"/>
        <w:spacing w:after="0" w:line="380" w:lineRule="auto"/>
        <w:rPr>
          <w:sz w:val="20"/>
          <w:szCs w:val="20"/>
          <w:color w:val="auto"/>
        </w:rPr>
      </w:pPr>
      <w:r>
        <w:rPr>
          <w:rFonts w:ascii="Arial" w:cs="Arial" w:eastAsia="Arial" w:hAnsi="Arial"/>
          <w:sz w:val="16"/>
          <w:szCs w:val="16"/>
          <w:b w:val="1"/>
          <w:bCs w:val="1"/>
          <w:color w:val="auto"/>
        </w:rPr>
        <w:t xml:space="preserve">WINNEBAGO INDUSTRIES ANNOUNCES FOURTH QUARTER AND FISCAL 2015 RESULTS </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b w:val="1"/>
          <w:bCs w:val="1"/>
          <w:color w:val="auto"/>
        </w:rPr>
        <w:t>Full Year Fiscal 2015 Operating Cash Flow Increased by 95% Versus Last Year --</w:t>
      </w:r>
      <w:r>
        <w:rPr>
          <w:rFonts w:ascii="Times New Roman" w:cs="Times New Roman" w:eastAsia="Times New Roman" w:hAnsi="Times New Roman"/>
          <w:sz w:val="16"/>
          <w:szCs w:val="16"/>
          <w:b w:val="1"/>
          <w:bCs w:val="1"/>
          <w:color w:val="auto"/>
        </w:rPr>
        <w:t xml:space="preserve"> </w:t>
      </w:r>
      <w:r>
        <w:rPr>
          <w:rFonts w:ascii="Arial" w:cs="Arial" w:eastAsia="Arial" w:hAnsi="Arial"/>
          <w:sz w:val="16"/>
          <w:szCs w:val="16"/>
          <w:b w:val="1"/>
          <w:bCs w:val="1"/>
          <w:color w:val="auto"/>
        </w:rPr>
        <w:t>-- Board of Directors Approved 11% Increase in Quarterly Cash Dividend to $0.10 Per Share --</w:t>
      </w:r>
    </w:p>
    <w:p>
      <w:pPr>
        <w:spacing w:after="0" w:line="206" w:lineRule="exact"/>
        <w:rPr>
          <w:sz w:val="20"/>
          <w:szCs w:val="20"/>
          <w:color w:val="auto"/>
        </w:rPr>
      </w:pPr>
    </w:p>
    <w:p>
      <w:pPr>
        <w:ind w:right="160"/>
        <w:spacing w:after="0" w:line="397" w:lineRule="auto"/>
        <w:rPr>
          <w:sz w:val="20"/>
          <w:szCs w:val="20"/>
          <w:color w:val="auto"/>
        </w:rPr>
      </w:pPr>
      <w:r>
        <w:rPr>
          <w:rFonts w:ascii="Arial" w:cs="Arial" w:eastAsia="Arial" w:hAnsi="Arial"/>
          <w:sz w:val="16"/>
          <w:szCs w:val="16"/>
          <w:color w:val="auto"/>
        </w:rPr>
        <w:t>FOREST CITY, IOWA, October 15, 2015 - Winnebago Industries, Inc. (NYSE:WGO), a leading United States recreation vehicle manufacturer, today reported financial results for the Company's fourth quarter and full year Fiscal 2015.</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Fourth Quarter Fiscal 2015 Results</w:t>
      </w:r>
    </w:p>
    <w:p>
      <w:pPr>
        <w:spacing w:after="0" w:line="86" w:lineRule="exact"/>
        <w:rPr>
          <w:sz w:val="20"/>
          <w:szCs w:val="20"/>
          <w:color w:val="auto"/>
        </w:rPr>
      </w:pPr>
    </w:p>
    <w:p>
      <w:pPr>
        <w:spacing w:after="0" w:line="374" w:lineRule="auto"/>
        <w:rPr>
          <w:sz w:val="20"/>
          <w:szCs w:val="20"/>
          <w:color w:val="auto"/>
        </w:rPr>
      </w:pPr>
      <w:r>
        <w:rPr>
          <w:rFonts w:ascii="Arial" w:cs="Arial" w:eastAsia="Arial" w:hAnsi="Arial"/>
          <w:sz w:val="16"/>
          <w:szCs w:val="16"/>
          <w:color w:val="auto"/>
        </w:rPr>
        <w:t>Revenues for the Fiscal 2015 fourth quarter ended August 29, 2015, were $251.0 million, an increase of 2.1%, versus $245.9 million for the Fiscal 2014 period. Operating income was $16.9 million for the current quarter compared to $18.3 million in the fourth quarter of last year. Fiscal 2015 fourth quarter net income was $11.7 million, or $0.43 per diluted share, versus $12.9 million, or $0.48 per diluted share, in the same period last year.</w:t>
      </w:r>
    </w:p>
    <w:p>
      <w:pPr>
        <w:spacing w:after="0" w:line="220" w:lineRule="exact"/>
        <w:rPr>
          <w:sz w:val="20"/>
          <w:szCs w:val="20"/>
          <w:color w:val="auto"/>
        </w:rPr>
      </w:pPr>
    </w:p>
    <w:p>
      <w:pPr>
        <w:ind w:right="120"/>
        <w:spacing w:after="0" w:line="363" w:lineRule="auto"/>
        <w:rPr>
          <w:sz w:val="20"/>
          <w:szCs w:val="20"/>
          <w:color w:val="auto"/>
        </w:rPr>
      </w:pPr>
      <w:r>
        <w:rPr>
          <w:rFonts w:ascii="Arial" w:cs="Arial" w:eastAsia="Arial" w:hAnsi="Arial"/>
          <w:sz w:val="16"/>
          <w:szCs w:val="16"/>
          <w:color w:val="auto"/>
        </w:rPr>
        <w:t>Fourth quarter gross margin improved sequentially from the third quarter due in part to improved manufacturing efficiencies within the motorized group. However, year-over-year fourth quarter gross margin declined due to unfavorable trends in warranty expense, the establishment of a warranty recall reserve and costs related to motorized manufacturing inefficiencies. These costs were partly offset by the reinstatement of tariff rebates on certain imported materials, lower commodity related expense, greater absorption of fixed costs and the realization of cost-saving benefits related to the Company’s strategic sourcing initiative.</w:t>
      </w:r>
    </w:p>
    <w:p>
      <w:pPr>
        <w:spacing w:after="0" w:line="229" w:lineRule="exact"/>
        <w:rPr>
          <w:sz w:val="20"/>
          <w:szCs w:val="20"/>
          <w:color w:val="auto"/>
        </w:rPr>
      </w:pPr>
    </w:p>
    <w:p>
      <w:pPr>
        <w:ind w:right="400"/>
        <w:spacing w:after="0" w:line="374" w:lineRule="auto"/>
        <w:rPr>
          <w:sz w:val="20"/>
          <w:szCs w:val="20"/>
          <w:color w:val="auto"/>
        </w:rPr>
      </w:pPr>
      <w:r>
        <w:rPr>
          <w:rFonts w:ascii="Arial" w:cs="Arial" w:eastAsia="Arial" w:hAnsi="Arial"/>
          <w:sz w:val="16"/>
          <w:szCs w:val="16"/>
          <w:color w:val="auto"/>
        </w:rPr>
        <w:t>Operating expenses increased in the Fiscal 2015 fourth quarter compared to last year due mainly to incremental general and administrative expenses associated with two previously disclosed strategic initiatives related to ERP implementation and strategic sourcing, as well as costs related to a retirement agreement with the Company’s former CEO.</w:t>
      </w:r>
    </w:p>
    <w:p>
      <w:pPr>
        <w:spacing w:after="0" w:line="220" w:lineRule="exact"/>
        <w:rPr>
          <w:sz w:val="20"/>
          <w:szCs w:val="20"/>
          <w:color w:val="auto"/>
        </w:rPr>
      </w:pPr>
    </w:p>
    <w:p>
      <w:pPr>
        <w:ind w:right="240"/>
        <w:spacing w:after="0" w:line="397" w:lineRule="auto"/>
        <w:rPr>
          <w:sz w:val="20"/>
          <w:szCs w:val="20"/>
          <w:color w:val="auto"/>
        </w:rPr>
      </w:pPr>
      <w:r>
        <w:rPr>
          <w:rFonts w:ascii="Arial" w:cs="Arial" w:eastAsia="Arial" w:hAnsi="Arial"/>
          <w:sz w:val="16"/>
          <w:szCs w:val="16"/>
          <w:color w:val="auto"/>
        </w:rPr>
        <w:t>Fourth quarter Fiscal 2015 revenue growth year over year was driven by improved towables revenues of 36.7%, as a result of a 26.3% average selling price (ASP) increase and unit growth of 7.5%. Compared to last year, fourth quarter Fiscal 2015 motorized unit shipment volumes were essentially flat.</w:t>
      </w:r>
    </w:p>
    <w:p>
      <w:pPr>
        <w:spacing w:after="0" w:line="202" w:lineRule="exact"/>
        <w:rPr>
          <w:sz w:val="20"/>
          <w:szCs w:val="20"/>
          <w:color w:val="auto"/>
        </w:rPr>
      </w:pPr>
    </w:p>
    <w:p>
      <w:pPr>
        <w:ind w:right="540"/>
        <w:spacing w:after="0" w:line="397" w:lineRule="auto"/>
        <w:rPr>
          <w:sz w:val="20"/>
          <w:szCs w:val="20"/>
          <w:color w:val="auto"/>
        </w:rPr>
      </w:pPr>
      <w:r>
        <w:rPr>
          <w:rFonts w:ascii="Arial" w:cs="Arial" w:eastAsia="Arial" w:hAnsi="Arial"/>
          <w:sz w:val="16"/>
          <w:szCs w:val="16"/>
          <w:color w:val="auto"/>
        </w:rPr>
        <w:t>Year over year, motorhome retail registrations increased 28% in the Fiscal 2015 fourth quarter and 16% on a rolling 12-month basis, while towable retail registrations increased 21% in the Fiscal 2015 fourth quarter and 14% on a rolling 12-month basis, based on internally reported retail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Full Year Fiscal 2015 Results</w:t>
      </w:r>
    </w:p>
    <w:p>
      <w:pPr>
        <w:spacing w:after="0" w:line="86" w:lineRule="exact"/>
        <w:rPr>
          <w:sz w:val="20"/>
          <w:szCs w:val="20"/>
          <w:color w:val="auto"/>
        </w:rPr>
      </w:pPr>
    </w:p>
    <w:p>
      <w:pPr>
        <w:ind w:right="220"/>
        <w:spacing w:after="0" w:line="367" w:lineRule="auto"/>
        <w:rPr>
          <w:sz w:val="20"/>
          <w:szCs w:val="20"/>
          <w:color w:val="auto"/>
        </w:rPr>
      </w:pPr>
      <w:r>
        <w:rPr>
          <w:rFonts w:ascii="Arial" w:cs="Arial" w:eastAsia="Arial" w:hAnsi="Arial"/>
          <w:sz w:val="16"/>
          <w:szCs w:val="16"/>
          <w:color w:val="auto"/>
        </w:rPr>
        <w:t>Fiscal 2015 revenues were $976.5 million, an increase of 3.3% from $945.2 million for Fiscal 2014. The sales growth was primarily comprised of motorhome unit growth of 3.9% and towables ASP and unit growth of 15.9% and 6.4%, respectively. Net income for Fiscal 2015 was $41.2 million, or $1.52 per diluted share, versus $45.1 million, or $1.64 per diluted share, last year. During Fiscal 2015, investments related to the new ERP system and strategic sourcing initiatives aggregated $7.0 million, of which $3.8 million was expensed.</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00"/>
          </w:cols>
          <w:pgMar w:left="240" w:top="789"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200"/>
        <w:spacing w:after="0" w:line="397" w:lineRule="auto"/>
        <w:rPr>
          <w:sz w:val="20"/>
          <w:szCs w:val="20"/>
          <w:color w:val="auto"/>
        </w:rPr>
      </w:pPr>
      <w:r>
        <w:rPr>
          <w:rFonts w:ascii="Arial" w:cs="Arial" w:eastAsia="Arial" w:hAnsi="Arial"/>
          <w:sz w:val="16"/>
          <w:szCs w:val="16"/>
          <w:color w:val="auto"/>
        </w:rPr>
        <w:t>On October 14, 2015, the Company’s board of directors approved an 11% increase to the quarterly cash dividend to $0.10 per share, payable on November 25, 2015 to common stockholders of record at the close of business on November 11, 2015.</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Management Comments</w:t>
      </w:r>
    </w:p>
    <w:p>
      <w:pPr>
        <w:spacing w:after="0" w:line="86" w:lineRule="exact"/>
        <w:rPr>
          <w:sz w:val="20"/>
          <w:szCs w:val="20"/>
          <w:color w:val="auto"/>
        </w:rPr>
      </w:pPr>
    </w:p>
    <w:p>
      <w:pPr>
        <w:spacing w:after="0" w:line="361" w:lineRule="auto"/>
        <w:rPr>
          <w:sz w:val="20"/>
          <w:szCs w:val="20"/>
          <w:color w:val="auto"/>
        </w:rPr>
      </w:pPr>
      <w:r>
        <w:rPr>
          <w:rFonts w:ascii="Arial" w:cs="Arial" w:eastAsia="Arial" w:hAnsi="Arial"/>
          <w:sz w:val="16"/>
          <w:szCs w:val="16"/>
          <w:color w:val="auto"/>
        </w:rPr>
        <w:t>Sarah Nielsen, Chief Financial Officer, commented, “Fiscal 2015 results were driven by strong performance in our class B and C motorized products as well as significantly improved results from the towables group, where both revenue and operating income grew. During the year we made considerable progress on both of our strategic initiatives and saw early benefits from our strategic sourcing project, which we anticipate will enhance gross margin by up to 50 basis points in Fiscal 2016. Additionally, we continued our efforts to improve labor capacity within motorized through the purchase of a facility in Waverly, Iowa. In Fiscal 2016, we will be exiting our bus and aluminum extrusion operations, which we believe will improve profitability and should add production capacity for our higher margin motorhome business.</w:t>
      </w:r>
    </w:p>
    <w:p>
      <w:pPr>
        <w:spacing w:after="0" w:line="230" w:lineRule="exact"/>
        <w:rPr>
          <w:sz w:val="20"/>
          <w:szCs w:val="20"/>
          <w:color w:val="auto"/>
        </w:rPr>
      </w:pPr>
    </w:p>
    <w:p>
      <w:pPr>
        <w:ind w:right="740"/>
        <w:spacing w:after="0" w:line="397" w:lineRule="auto"/>
        <w:rPr>
          <w:sz w:val="20"/>
          <w:szCs w:val="20"/>
          <w:color w:val="auto"/>
        </w:rPr>
      </w:pPr>
      <w:r>
        <w:rPr>
          <w:rFonts w:ascii="Arial" w:cs="Arial" w:eastAsia="Arial" w:hAnsi="Arial"/>
          <w:sz w:val="16"/>
          <w:szCs w:val="16"/>
          <w:color w:val="auto"/>
        </w:rPr>
        <w:t>Nielsen added, “Our operating cash flow doubled during the fourth quarter and is up by 95% for the full year of Fiscal 2015. We are pleased with this performance particularly during a period where we have made significant long-term investments aimed at benefiting the Company in the future.”</w:t>
      </w:r>
    </w:p>
    <w:p>
      <w:pPr>
        <w:spacing w:after="0" w:line="202" w:lineRule="exact"/>
        <w:rPr>
          <w:sz w:val="20"/>
          <w:szCs w:val="20"/>
          <w:color w:val="auto"/>
        </w:rPr>
      </w:pPr>
    </w:p>
    <w:p>
      <w:pPr>
        <w:jc w:val="both"/>
        <w:ind w:right="60"/>
        <w:spacing w:after="0" w:line="374" w:lineRule="auto"/>
        <w:rPr>
          <w:sz w:val="20"/>
          <w:szCs w:val="20"/>
          <w:color w:val="auto"/>
        </w:rPr>
      </w:pPr>
      <w:r>
        <w:rPr>
          <w:rFonts w:ascii="Arial" w:cs="Arial" w:eastAsia="Arial" w:hAnsi="Arial"/>
          <w:sz w:val="16"/>
          <w:szCs w:val="16"/>
          <w:color w:val="auto"/>
        </w:rPr>
        <w:t>Nielsen concluded, “We maintain a positive long-term outlook for the business and are encouraged with the continued consumer demand for our products, as well as with RVIA’s expectation for continued industry growth of approximately 3% in calendar 2016. With industry leading products, a solid balance sheet and several strategic actions underway, we are well positioned to generate long-term shareholder value.”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jc w:val="both"/>
        <w:ind w:right="260"/>
        <w:spacing w:after="0" w:line="374" w:lineRule="auto"/>
        <w:rPr>
          <w:sz w:val="20"/>
          <w:szCs w:val="20"/>
          <w:color w:val="auto"/>
        </w:rPr>
      </w:pPr>
      <w:r>
        <w:rPr>
          <w:rFonts w:ascii="Arial" w:cs="Arial" w:eastAsia="Arial" w:hAnsi="Arial"/>
          <w:sz w:val="16"/>
          <w:szCs w:val="16"/>
          <w:color w:val="auto"/>
        </w:rPr>
        <w:t xml:space="preserve">Winnebago Industries, Inc. will conduct a conference call to discuss fourth quarter and Fiscal 2015 results at 9:00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http://investor.wgo.net.</w:t>
      </w:r>
      <w:r>
        <w:rPr>
          <w:rFonts w:ascii="Arial" w:cs="Arial" w:eastAsia="Arial" w:hAnsi="Arial"/>
          <w:sz w:val="16"/>
          <w:szCs w:val="16"/>
          <w:color w:val="auto"/>
        </w:rPr>
        <w:t xml:space="preserve"> The event will be archived and available for replay for the next 90 days.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46" w:lineRule="exact"/>
        <w:rPr>
          <w:sz w:val="20"/>
          <w:szCs w:val="20"/>
          <w:color w:val="auto"/>
        </w:rPr>
      </w:pPr>
    </w:p>
    <w:p>
      <w:pPr>
        <w:ind w:right="60"/>
        <w:spacing w:after="0" w:line="349"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 homes, travel trailers, and fifth wheel products. Winnebago Industries has received the Quality Circle Award from the Recreation Vehicle Dealers Association every year since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http://investor.wgo.net.</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60"/>
          </w:cols>
          <w:pgMar w:left="240" w:top="891" w:right="299" w:bottom="1440" w:gutter="0" w:footer="0" w:header="0"/>
        </w:sectPr>
      </w:pPr>
    </w:p>
    <w:bookmarkStart w:id="4" w:name="page5"/>
    <w:bookmarkEnd w:id="4"/>
    <w:p>
      <w:pPr>
        <w:spacing w:after="0" w:line="352"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and strategic sourcing projects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 #</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621"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6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Quarter Ended</w:t>
            </w:r>
          </w:p>
        </w:tc>
        <w:tc>
          <w:tcPr>
            <w:tcW w:w="8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64"/>
        </w:trPr>
        <w:tc>
          <w:tcPr>
            <w:tcW w:w="4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w w:val="97"/>
              </w:rPr>
              <w:t>August 29, 2015</w:t>
            </w:r>
          </w:p>
        </w:tc>
        <w:tc>
          <w:tcPr>
            <w:tcW w:w="88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w w:val="99"/>
              </w:rPr>
              <w:t>August 30, 2014</w:t>
            </w:r>
          </w:p>
        </w:tc>
        <w:tc>
          <w:tcPr>
            <w:tcW w:w="880" w:type="dxa"/>
            <w:vAlign w:val="bottom"/>
            <w:tcBorders>
              <w:bottom w:val="single" w:sz="8" w:color="auto"/>
            </w:tcBorders>
          </w:tcPr>
          <w:p>
            <w:pPr>
              <w:spacing w:after="0"/>
              <w:rPr>
                <w:sz w:val="22"/>
                <w:szCs w:val="22"/>
                <w:color w:val="auto"/>
              </w:rPr>
            </w:pPr>
          </w:p>
        </w:tc>
      </w:tr>
      <w:tr>
        <w:trPr>
          <w:trHeight w:val="264"/>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251,049</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8"/>
              </w:rPr>
              <w:t>100.0%</w:t>
            </w:r>
          </w:p>
        </w:tc>
        <w:tc>
          <w:tcPr>
            <w:tcW w:w="4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245,935</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4"/>
              </w:rPr>
              <w:t>100.0%</w:t>
            </w:r>
          </w:p>
        </w:tc>
      </w:tr>
      <w:tr>
        <w:trPr>
          <w:trHeight w:val="265"/>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222,996</w:t>
            </w:r>
          </w:p>
        </w:tc>
        <w:tc>
          <w:tcPr>
            <w:tcW w:w="2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88.8%</w:t>
            </w:r>
          </w:p>
        </w:tc>
        <w:tc>
          <w:tcPr>
            <w:tcW w:w="4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217,226</w:t>
            </w:r>
          </w:p>
        </w:tc>
        <w:tc>
          <w:tcPr>
            <w:tcW w:w="22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88.3%</w:t>
            </w:r>
          </w:p>
        </w:tc>
      </w:tr>
      <w:tr>
        <w:trPr>
          <w:trHeight w:val="255"/>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28,053</w:t>
            </w:r>
          </w:p>
        </w:tc>
        <w:tc>
          <w:tcPr>
            <w:tcW w:w="2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11.2%</w:t>
            </w:r>
          </w:p>
        </w:tc>
        <w:tc>
          <w:tcPr>
            <w:tcW w:w="4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28,709</w:t>
            </w:r>
          </w:p>
        </w:tc>
        <w:tc>
          <w:tcPr>
            <w:tcW w:w="2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11.7%</w:t>
            </w:r>
          </w:p>
        </w:tc>
      </w:tr>
      <w:tr>
        <w:trPr>
          <w:trHeight w:val="259"/>
        </w:trPr>
        <w:tc>
          <w:tcPr>
            <w:tcW w:w="46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5"/>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4,458</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4,584</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r>
      <w:tr>
        <w:trPr>
          <w:trHeight w:val="265"/>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6,684</w:t>
            </w:r>
          </w:p>
        </w:tc>
        <w:tc>
          <w:tcPr>
            <w:tcW w:w="2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w:t>
            </w:r>
          </w:p>
        </w:tc>
        <w:tc>
          <w:tcPr>
            <w:tcW w:w="4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5,847</w:t>
            </w:r>
          </w:p>
        </w:tc>
        <w:tc>
          <w:tcPr>
            <w:tcW w:w="22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w:t>
            </w:r>
          </w:p>
        </w:tc>
      </w:tr>
      <w:tr>
        <w:trPr>
          <w:trHeight w:val="255"/>
        </w:trPr>
        <w:tc>
          <w:tcPr>
            <w:tcW w:w="4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11,142</w:t>
            </w:r>
          </w:p>
        </w:tc>
        <w:tc>
          <w:tcPr>
            <w:tcW w:w="2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10,431</w:t>
            </w:r>
          </w:p>
        </w:tc>
        <w:tc>
          <w:tcPr>
            <w:tcW w:w="22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4.2%</w:t>
            </w:r>
          </w:p>
        </w:tc>
      </w:tr>
      <w:tr>
        <w:trPr>
          <w:trHeight w:val="245"/>
        </w:trPr>
        <w:tc>
          <w:tcPr>
            <w:tcW w:w="4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16,911</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18,278</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7.4%</w:t>
            </w:r>
          </w:p>
        </w:tc>
      </w:tr>
      <w:tr>
        <w:trPr>
          <w:trHeight w:val="275"/>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45"/>
        </w:trPr>
        <w:tc>
          <w:tcPr>
            <w:tcW w:w="4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16,991</w:t>
            </w:r>
          </w:p>
        </w:tc>
        <w:tc>
          <w:tcPr>
            <w:tcW w:w="22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18,294</w:t>
            </w:r>
          </w:p>
        </w:tc>
        <w:tc>
          <w:tcPr>
            <w:tcW w:w="22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7.4%</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taxes</w:t>
            </w: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5,274</w:t>
            </w:r>
          </w:p>
        </w:tc>
        <w:tc>
          <w:tcPr>
            <w:tcW w:w="2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5,365</w:t>
            </w:r>
          </w:p>
        </w:tc>
        <w:tc>
          <w:tcPr>
            <w:tcW w:w="22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2.2%</w:t>
            </w:r>
          </w:p>
        </w:tc>
      </w:tr>
      <w:tr>
        <w:trPr>
          <w:trHeight w:val="295"/>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11,717</w:t>
            </w: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4.7%</w:t>
            </w:r>
          </w:p>
        </w:tc>
        <w:tc>
          <w:tcPr>
            <w:tcW w:w="4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12,929</w:t>
            </w:r>
          </w:p>
        </w:tc>
        <w:tc>
          <w:tcPr>
            <w:tcW w:w="22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5.3%</w:t>
            </w:r>
          </w:p>
        </w:tc>
      </w:tr>
      <w:tr>
        <w:trPr>
          <w:trHeight w:val="251"/>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per common share:</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65"/>
        </w:trPr>
        <w:tc>
          <w:tcPr>
            <w:tcW w:w="4660" w:type="dxa"/>
            <w:vAlign w:val="bottom"/>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5"/>
        </w:trPr>
        <w:tc>
          <w:tcPr>
            <w:tcW w:w="46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26,937</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27,064</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1"/>
        </w:trPr>
        <w:tc>
          <w:tcPr>
            <w:tcW w:w="4660" w:type="dxa"/>
            <w:vAlign w:val="bottom"/>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27,056</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27,181</w:t>
            </w: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6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8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August 29, 2015</w:t>
            </w:r>
          </w:p>
        </w:tc>
        <w:tc>
          <w:tcPr>
            <w:tcW w:w="80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August 30, 2014</w:t>
            </w:r>
          </w:p>
        </w:tc>
        <w:tc>
          <w:tcPr>
            <w:tcW w:w="0" w:type="dxa"/>
            <w:vAlign w:val="bottom"/>
          </w:tcPr>
          <w:p>
            <w:pPr>
              <w:spacing w:after="0"/>
              <w:rPr>
                <w:sz w:val="1"/>
                <w:szCs w:val="1"/>
                <w:color w:val="auto"/>
              </w:rPr>
            </w:pPr>
          </w:p>
        </w:tc>
      </w:tr>
      <w:tr>
        <w:trPr>
          <w:trHeight w:val="264"/>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976,505</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945,163</w:t>
            </w: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65"/>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871,625</w:t>
            </w:r>
          </w:p>
        </w:tc>
        <w:tc>
          <w:tcPr>
            <w:tcW w:w="2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89.3%</w:t>
            </w:r>
          </w:p>
        </w:tc>
        <w:tc>
          <w:tcPr>
            <w:tcW w:w="4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841,166</w:t>
            </w:r>
          </w:p>
        </w:tc>
        <w:tc>
          <w:tcPr>
            <w:tcW w:w="22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89.0 %</w:t>
            </w:r>
          </w:p>
        </w:tc>
        <w:tc>
          <w:tcPr>
            <w:tcW w:w="0" w:type="dxa"/>
            <w:vAlign w:val="bottom"/>
          </w:tcPr>
          <w:p>
            <w:pPr>
              <w:spacing w:after="0"/>
              <w:rPr>
                <w:sz w:val="1"/>
                <w:szCs w:val="1"/>
                <w:color w:val="auto"/>
              </w:rPr>
            </w:pPr>
          </w:p>
        </w:tc>
      </w:tr>
      <w:tr>
        <w:trPr>
          <w:trHeight w:val="255"/>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104,880</w:t>
            </w:r>
          </w:p>
        </w:tc>
        <w:tc>
          <w:tcPr>
            <w:tcW w:w="2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103,997</w:t>
            </w:r>
          </w:p>
        </w:tc>
        <w:tc>
          <w:tcPr>
            <w:tcW w:w="22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59"/>
        </w:trPr>
        <w:tc>
          <w:tcPr>
            <w:tcW w:w="46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19,161</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18,293</w:t>
            </w: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65"/>
        </w:trPr>
        <w:tc>
          <w:tcPr>
            <w:tcW w:w="46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25,838</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22,424</w:t>
            </w:r>
          </w:p>
        </w:tc>
        <w:tc>
          <w:tcPr>
            <w:tcW w:w="220" w:type="dxa"/>
            <w:vAlign w:val="bottom"/>
          </w:tcPr>
          <w:p>
            <w:pPr>
              <w:spacing w:after="0"/>
              <w:rPr>
                <w:sz w:val="23"/>
                <w:szCs w:val="23"/>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5"/>
        </w:trPr>
        <w:tc>
          <w:tcPr>
            <w:tcW w:w="468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Loss (gain) on fixed assets</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5"/>
        </w:trPr>
        <w:tc>
          <w:tcPr>
            <w:tcW w:w="4680" w:type="dxa"/>
            <w:vAlign w:val="bottom"/>
            <w:tcBorders>
              <w:bottom w:val="single" w:sz="8" w:color="CCEEFF"/>
            </w:tcBorders>
          </w:tcPr>
          <w:p>
            <w:pPr>
              <w:jc w:val="right"/>
              <w:ind w:right="217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45,461</w:t>
            </w:r>
          </w:p>
        </w:tc>
        <w:tc>
          <w:tcPr>
            <w:tcW w:w="22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4.7%</w:t>
            </w:r>
          </w:p>
        </w:tc>
        <w:tc>
          <w:tcPr>
            <w:tcW w:w="4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40,088</w:t>
            </w:r>
          </w:p>
        </w:tc>
        <w:tc>
          <w:tcPr>
            <w:tcW w:w="220" w:type="dxa"/>
            <w:vAlign w:val="bottom"/>
            <w:tcBorders>
              <w:bottom w:val="single" w:sz="8" w:color="CCEEFF"/>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55"/>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59,419</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63,909</w:t>
            </w: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65"/>
        </w:trPr>
        <w:tc>
          <w:tcPr>
            <w:tcW w:w="4680" w:type="dxa"/>
            <w:vAlign w:val="bottom"/>
          </w:tcPr>
          <w:p>
            <w:pPr>
              <w:ind w:left="40"/>
              <w:spacing w:after="0"/>
              <w:rPr>
                <w:sz w:val="20"/>
                <w:szCs w:val="20"/>
                <w:color w:val="auto"/>
              </w:rPr>
            </w:pPr>
            <w:r>
              <w:rPr>
                <w:rFonts w:ascii="Arial" w:cs="Arial" w:eastAsia="Arial" w:hAnsi="Arial"/>
                <w:sz w:val="18"/>
                <w:szCs w:val="18"/>
                <w:color w:val="auto"/>
              </w:rPr>
              <w:t>Non-operating income</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23"/>
                <w:szCs w:val="23"/>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55"/>
        </w:trPr>
        <w:tc>
          <w:tcPr>
            <w:tcW w:w="46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59,534</w:t>
            </w:r>
          </w:p>
        </w:tc>
        <w:tc>
          <w:tcPr>
            <w:tcW w:w="2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4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64,677</w:t>
            </w:r>
          </w:p>
        </w:tc>
        <w:tc>
          <w:tcPr>
            <w:tcW w:w="22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65"/>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taxes</w:t>
            </w: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18,324</w:t>
            </w:r>
          </w:p>
        </w:tc>
        <w:tc>
          <w:tcPr>
            <w:tcW w:w="2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19,624</w:t>
            </w:r>
          </w:p>
        </w:tc>
        <w:tc>
          <w:tcPr>
            <w:tcW w:w="22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55"/>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41,210</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4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45,053</w:t>
            </w:r>
          </w:p>
        </w:tc>
        <w:tc>
          <w:tcPr>
            <w:tcW w:w="2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40"/>
              <w:spacing w:after="0"/>
              <w:rPr>
                <w:sz w:val="20"/>
                <w:szCs w:val="20"/>
                <w:color w:val="auto"/>
              </w:rPr>
            </w:pPr>
            <w:r>
              <w:rPr>
                <w:rFonts w:ascii="Arial" w:cs="Arial" w:eastAsia="Arial" w:hAnsi="Arial"/>
                <w:sz w:val="18"/>
                <w:szCs w:val="18"/>
                <w:color w:val="auto"/>
              </w:rPr>
              <w:t>Income per common share:</w:t>
            </w: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68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680" w:type="dxa"/>
            <w:vAlign w:val="bottom"/>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680" w:type="dxa"/>
            <w:vAlign w:val="bottom"/>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26,941</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27,430</w:t>
            </w: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27,051</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27,545</w:t>
            </w: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4680" w:type="dxa"/>
            <w:vAlign w:val="bottom"/>
          </w:tcPr>
          <w:p>
            <w:pPr>
              <w:spacing w:after="0"/>
              <w:rPr>
                <w:sz w:val="20"/>
                <w:szCs w:val="20"/>
                <w:color w:val="auto"/>
              </w:rPr>
            </w:pPr>
            <w:r>
              <w:rPr>
                <w:rFonts w:ascii="Arial" w:cs="Arial" w:eastAsia="Arial" w:hAnsi="Arial"/>
                <w:sz w:val="16"/>
                <w:szCs w:val="16"/>
                <w:color w:val="auto"/>
              </w:rPr>
              <w:t>Percentages may not add due to rounding differences.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4" w:right="2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7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29,</w:t>
            </w:r>
          </w:p>
        </w:tc>
        <w:tc>
          <w:tcPr>
            <w:tcW w:w="220" w:type="dxa"/>
            <w:vAlign w:val="bottom"/>
          </w:tcPr>
          <w:p>
            <w:pPr>
              <w:spacing w:after="0"/>
              <w:rPr>
                <w:sz w:val="17"/>
                <w:szCs w:val="17"/>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August 30,</w:t>
            </w:r>
          </w:p>
        </w:tc>
        <w:tc>
          <w:tcPr>
            <w:tcW w:w="0" w:type="dxa"/>
            <w:vAlign w:val="bottom"/>
          </w:tcPr>
          <w:p>
            <w:pPr>
              <w:spacing w:after="0"/>
              <w:rPr>
                <w:sz w:val="1"/>
                <w:szCs w:val="1"/>
                <w:color w:val="auto"/>
              </w:rPr>
            </w:pPr>
          </w:p>
        </w:tc>
      </w:tr>
      <w:tr>
        <w:trPr>
          <w:trHeight w:val="254"/>
        </w:trPr>
        <w:tc>
          <w:tcPr>
            <w:tcW w:w="78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64"/>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78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70,239</w:t>
            </w: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57,804</w:t>
            </w:r>
          </w:p>
        </w:tc>
        <w:tc>
          <w:tcPr>
            <w:tcW w:w="0" w:type="dxa"/>
            <w:vAlign w:val="bottom"/>
          </w:tcPr>
          <w:p>
            <w:pPr>
              <w:spacing w:after="0"/>
              <w:rPr>
                <w:sz w:val="1"/>
                <w:szCs w:val="1"/>
                <w:color w:val="auto"/>
              </w:rPr>
            </w:pPr>
          </w:p>
        </w:tc>
      </w:tr>
      <w:tr>
        <w:trPr>
          <w:trHeight w:val="265"/>
        </w:trPr>
        <w:tc>
          <w:tcPr>
            <w:tcW w:w="786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66,936</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69,699</w:t>
            </w:r>
          </w:p>
        </w:tc>
        <w:tc>
          <w:tcPr>
            <w:tcW w:w="0" w:type="dxa"/>
            <w:vAlign w:val="bottom"/>
          </w:tcPr>
          <w:p>
            <w:pPr>
              <w:spacing w:after="0"/>
              <w:rPr>
                <w:sz w:val="1"/>
                <w:szCs w:val="1"/>
                <w:color w:val="auto"/>
              </w:rPr>
            </w:pPr>
          </w:p>
        </w:tc>
      </w:tr>
      <w:tr>
        <w:trPr>
          <w:trHeight w:val="275"/>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112,165</w:t>
            </w: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112,848</w:t>
            </w:r>
          </w:p>
        </w:tc>
        <w:tc>
          <w:tcPr>
            <w:tcW w:w="0" w:type="dxa"/>
            <w:vAlign w:val="bottom"/>
          </w:tcPr>
          <w:p>
            <w:pPr>
              <w:spacing w:after="0"/>
              <w:rPr>
                <w:sz w:val="1"/>
                <w:szCs w:val="1"/>
                <w:color w:val="auto"/>
              </w:rPr>
            </w:pPr>
          </w:p>
        </w:tc>
      </w:tr>
      <w:tr>
        <w:trPr>
          <w:trHeight w:val="265"/>
        </w:trPr>
        <w:tc>
          <w:tcPr>
            <w:tcW w:w="7860" w:type="dxa"/>
            <w:vAlign w:val="bottom"/>
          </w:tcPr>
          <w:p>
            <w:pPr>
              <w:ind w:left="280"/>
              <w:spacing w:after="0"/>
              <w:rPr>
                <w:sz w:val="20"/>
                <w:szCs w:val="20"/>
                <w:color w:val="auto"/>
              </w:rPr>
            </w:pPr>
            <w:r>
              <w:rPr>
                <w:rFonts w:ascii="Arial" w:cs="Arial" w:eastAsia="Arial" w:hAnsi="Arial"/>
                <w:sz w:val="18"/>
                <w:szCs w:val="18"/>
                <w:color w:val="auto"/>
              </w:rPr>
              <w:t>Investment in operating leases</w:t>
            </w:r>
          </w:p>
        </w:tc>
        <w:tc>
          <w:tcPr>
            <w:tcW w:w="240" w:type="dxa"/>
            <w:vAlign w:val="bottom"/>
          </w:tcPr>
          <w:p>
            <w:pPr>
              <w:spacing w:after="0"/>
              <w:rPr>
                <w:sz w:val="23"/>
                <w:szCs w:val="23"/>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15,978</w:t>
            </w:r>
          </w:p>
        </w:tc>
        <w:tc>
          <w:tcPr>
            <w:tcW w:w="0" w:type="dxa"/>
            <w:vAlign w:val="bottom"/>
          </w:tcPr>
          <w:p>
            <w:pPr>
              <w:spacing w:after="0"/>
              <w:rPr>
                <w:sz w:val="1"/>
                <w:szCs w:val="1"/>
                <w:color w:val="auto"/>
              </w:rPr>
            </w:pPr>
          </w:p>
        </w:tc>
      </w:tr>
      <w:tr>
        <w:trPr>
          <w:trHeight w:val="275"/>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6,882</w:t>
            </w: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65"/>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9,995</w:t>
            </w:r>
          </w:p>
        </w:tc>
        <w:tc>
          <w:tcPr>
            <w:tcW w:w="3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9,641</w:t>
            </w:r>
          </w:p>
        </w:tc>
        <w:tc>
          <w:tcPr>
            <w:tcW w:w="0" w:type="dxa"/>
            <w:vAlign w:val="bottom"/>
          </w:tcPr>
          <w:p>
            <w:pPr>
              <w:spacing w:after="0"/>
              <w:rPr>
                <w:sz w:val="1"/>
                <w:szCs w:val="1"/>
                <w:color w:val="auto"/>
              </w:rPr>
            </w:pPr>
          </w:p>
        </w:tc>
      </w:tr>
      <w:tr>
        <w:trPr>
          <w:trHeight w:val="255"/>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266,217</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271,693</w:t>
            </w:r>
          </w:p>
        </w:tc>
        <w:tc>
          <w:tcPr>
            <w:tcW w:w="0" w:type="dxa"/>
            <w:vAlign w:val="bottom"/>
          </w:tcPr>
          <w:p>
            <w:pPr>
              <w:spacing w:after="0"/>
              <w:rPr>
                <w:sz w:val="1"/>
                <w:szCs w:val="1"/>
                <w:color w:val="auto"/>
              </w:rPr>
            </w:pPr>
          </w:p>
        </w:tc>
      </w:tr>
      <w:tr>
        <w:trPr>
          <w:trHeight w:val="265"/>
        </w:trPr>
        <w:tc>
          <w:tcPr>
            <w:tcW w:w="786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37,250</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25,135</w:t>
            </w:r>
          </w:p>
        </w:tc>
        <w:tc>
          <w:tcPr>
            <w:tcW w:w="0" w:type="dxa"/>
            <w:vAlign w:val="bottom"/>
          </w:tcPr>
          <w:p>
            <w:pPr>
              <w:spacing w:after="0"/>
              <w:rPr>
                <w:sz w:val="1"/>
                <w:szCs w:val="1"/>
                <w:color w:val="auto"/>
              </w:rPr>
            </w:pPr>
          </w:p>
        </w:tc>
      </w:tr>
      <w:tr>
        <w:trPr>
          <w:trHeight w:val="275"/>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life insurance</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26,172</w:t>
            </w: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25,126</w:t>
            </w:r>
          </w:p>
        </w:tc>
        <w:tc>
          <w:tcPr>
            <w:tcW w:w="0" w:type="dxa"/>
            <w:vAlign w:val="bottom"/>
          </w:tcPr>
          <w:p>
            <w:pPr>
              <w:spacing w:after="0"/>
              <w:rPr>
                <w:sz w:val="1"/>
                <w:szCs w:val="1"/>
                <w:color w:val="auto"/>
              </w:rPr>
            </w:pPr>
          </w:p>
        </w:tc>
      </w:tr>
      <w:tr>
        <w:trPr>
          <w:trHeight w:val="265"/>
        </w:trPr>
        <w:tc>
          <w:tcPr>
            <w:tcW w:w="78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21,994</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24,029</w:t>
            </w:r>
          </w:p>
        </w:tc>
        <w:tc>
          <w:tcPr>
            <w:tcW w:w="0" w:type="dxa"/>
            <w:vAlign w:val="bottom"/>
          </w:tcPr>
          <w:p>
            <w:pPr>
              <w:spacing w:after="0"/>
              <w:rPr>
                <w:sz w:val="1"/>
                <w:szCs w:val="1"/>
                <w:color w:val="auto"/>
              </w:rPr>
            </w:pPr>
          </w:p>
        </w:tc>
      </w:tr>
      <w:tr>
        <w:trPr>
          <w:trHeight w:val="275"/>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65"/>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9,313</w:t>
            </w:r>
          </w:p>
        </w:tc>
        <w:tc>
          <w:tcPr>
            <w:tcW w:w="3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11,091</w:t>
            </w:r>
          </w:p>
        </w:tc>
        <w:tc>
          <w:tcPr>
            <w:tcW w:w="0" w:type="dxa"/>
            <w:vAlign w:val="bottom"/>
          </w:tcPr>
          <w:p>
            <w:pPr>
              <w:spacing w:after="0"/>
              <w:rPr>
                <w:sz w:val="1"/>
                <w:szCs w:val="1"/>
                <w:color w:val="auto"/>
              </w:rPr>
            </w:pPr>
          </w:p>
        </w:tc>
      </w:tr>
      <w:tr>
        <w:trPr>
          <w:trHeight w:val="255"/>
        </w:trPr>
        <w:tc>
          <w:tcPr>
            <w:tcW w:w="7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362,174</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358,302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8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33,158</w:t>
            </w: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33,111</w:t>
            </w:r>
          </w:p>
        </w:tc>
        <w:tc>
          <w:tcPr>
            <w:tcW w:w="0" w:type="dxa"/>
            <w:vAlign w:val="bottom"/>
          </w:tcPr>
          <w:p>
            <w:pPr>
              <w:spacing w:after="0"/>
              <w:rPr>
                <w:sz w:val="1"/>
                <w:szCs w:val="1"/>
                <w:color w:val="auto"/>
              </w:rPr>
            </w:pPr>
          </w:p>
        </w:tc>
      </w:tr>
      <w:tr>
        <w:trPr>
          <w:trHeight w:val="265"/>
        </w:trPr>
        <w:tc>
          <w:tcPr>
            <w:tcW w:w="7860" w:type="dxa"/>
            <w:vAlign w:val="bottom"/>
          </w:tcPr>
          <w:p>
            <w:pPr>
              <w:ind w:left="280"/>
              <w:spacing w:after="0"/>
              <w:rPr>
                <w:sz w:val="20"/>
                <w:szCs w:val="20"/>
                <w:color w:val="auto"/>
              </w:rPr>
            </w:pPr>
            <w:r>
              <w:rPr>
                <w:rFonts w:ascii="Arial" w:cs="Arial" w:eastAsia="Arial" w:hAnsi="Arial"/>
                <w:sz w:val="18"/>
                <w:szCs w:val="18"/>
                <w:color w:val="auto"/>
              </w:rPr>
              <w:t>Operating lease repurchase obligations</w:t>
            </w:r>
          </w:p>
        </w:tc>
        <w:tc>
          <w:tcPr>
            <w:tcW w:w="240" w:type="dxa"/>
            <w:vAlign w:val="bottom"/>
          </w:tcPr>
          <w:p>
            <w:pPr>
              <w:spacing w:after="0"/>
              <w:rPr>
                <w:sz w:val="23"/>
                <w:szCs w:val="23"/>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16,050</w:t>
            </w:r>
          </w:p>
        </w:tc>
        <w:tc>
          <w:tcPr>
            <w:tcW w:w="0" w:type="dxa"/>
            <w:vAlign w:val="bottom"/>
          </w:tcPr>
          <w:p>
            <w:pPr>
              <w:spacing w:after="0"/>
              <w:rPr>
                <w:sz w:val="1"/>
                <w:szCs w:val="1"/>
                <w:color w:val="auto"/>
              </w:rPr>
            </w:pPr>
          </w:p>
        </w:tc>
      </w:tr>
      <w:tr>
        <w:trPr>
          <w:trHeight w:val="275"/>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2,314</w:t>
            </w: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65"/>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46,138</w:t>
            </w:r>
          </w:p>
        </w:tc>
        <w:tc>
          <w:tcPr>
            <w:tcW w:w="3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47,631</w:t>
            </w:r>
          </w:p>
        </w:tc>
        <w:tc>
          <w:tcPr>
            <w:tcW w:w="0" w:type="dxa"/>
            <w:vAlign w:val="bottom"/>
          </w:tcPr>
          <w:p>
            <w:pPr>
              <w:spacing w:after="0"/>
              <w:rPr>
                <w:sz w:val="1"/>
                <w:szCs w:val="1"/>
                <w:color w:val="auto"/>
              </w:rPr>
            </w:pPr>
          </w:p>
        </w:tc>
      </w:tr>
      <w:tr>
        <w:trPr>
          <w:trHeight w:val="255"/>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81,610</w:t>
            </w:r>
          </w:p>
        </w:tc>
        <w:tc>
          <w:tcPr>
            <w:tcW w:w="3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99,719</w:t>
            </w:r>
          </w:p>
        </w:tc>
        <w:tc>
          <w:tcPr>
            <w:tcW w:w="0" w:type="dxa"/>
            <w:vAlign w:val="bottom"/>
          </w:tcPr>
          <w:p>
            <w:pPr>
              <w:spacing w:after="0"/>
              <w:rPr>
                <w:sz w:val="1"/>
                <w:szCs w:val="1"/>
                <w:color w:val="auto"/>
              </w:rPr>
            </w:pPr>
          </w:p>
        </w:tc>
      </w:tr>
      <w:tr>
        <w:trPr>
          <w:trHeight w:val="259"/>
        </w:trPr>
        <w:tc>
          <w:tcPr>
            <w:tcW w:w="786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Unrecognized tax benefits</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2,511</w:t>
            </w: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65"/>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57,090</w:t>
            </w:r>
          </w:p>
        </w:tc>
        <w:tc>
          <w:tcPr>
            <w:tcW w:w="3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62,811</w:t>
            </w:r>
          </w:p>
        </w:tc>
        <w:tc>
          <w:tcPr>
            <w:tcW w:w="0" w:type="dxa"/>
            <w:vAlign w:val="bottom"/>
          </w:tcPr>
          <w:p>
            <w:pPr>
              <w:spacing w:after="0"/>
              <w:rPr>
                <w:sz w:val="1"/>
                <w:szCs w:val="1"/>
                <w:color w:val="auto"/>
              </w:rPr>
            </w:pPr>
          </w:p>
        </w:tc>
      </w:tr>
      <w:tr>
        <w:trPr>
          <w:trHeight w:val="255"/>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59,601</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65,835</w:t>
            </w:r>
          </w:p>
        </w:tc>
        <w:tc>
          <w:tcPr>
            <w:tcW w:w="0" w:type="dxa"/>
            <w:vAlign w:val="bottom"/>
          </w:tcPr>
          <w:p>
            <w:pPr>
              <w:spacing w:after="0"/>
              <w:rPr>
                <w:sz w:val="1"/>
                <w:szCs w:val="1"/>
                <w:color w:val="auto"/>
              </w:rPr>
            </w:pPr>
          </w:p>
        </w:tc>
      </w:tr>
      <w:tr>
        <w:trPr>
          <w:trHeight w:val="265"/>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220,963</w:t>
            </w:r>
          </w:p>
        </w:tc>
        <w:tc>
          <w:tcPr>
            <w:tcW w:w="3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192,748</w:t>
            </w:r>
          </w:p>
        </w:tc>
        <w:tc>
          <w:tcPr>
            <w:tcW w:w="0" w:type="dxa"/>
            <w:vAlign w:val="bottom"/>
          </w:tcPr>
          <w:p>
            <w:pPr>
              <w:spacing w:after="0"/>
              <w:rPr>
                <w:sz w:val="1"/>
                <w:szCs w:val="1"/>
                <w:color w:val="auto"/>
              </w:rPr>
            </w:pPr>
          </w:p>
        </w:tc>
      </w:tr>
      <w:tr>
        <w:trPr>
          <w:trHeight w:val="255"/>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362,174</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358,302</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5680"/>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6"/>
                <w:szCs w:val="16"/>
                <w:b w:val="1"/>
                <w:bCs w:val="1"/>
                <w:color w:val="auto"/>
              </w:rPr>
              <w:t>Year Ended</w:t>
            </w:r>
          </w:p>
        </w:tc>
      </w:tr>
      <w:tr>
        <w:trPr>
          <w:trHeight w:val="193"/>
        </w:trPr>
        <w:tc>
          <w:tcPr>
            <w:tcW w:w="8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29,</w:t>
            </w:r>
          </w:p>
        </w:tc>
        <w:tc>
          <w:tcPr>
            <w:tcW w:w="300" w:type="dxa"/>
            <w:vAlign w:val="bottom"/>
          </w:tcPr>
          <w:p>
            <w:pPr>
              <w:spacing w:after="0"/>
              <w:rPr>
                <w:sz w:val="16"/>
                <w:szCs w:val="16"/>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30,</w:t>
            </w:r>
          </w:p>
        </w:tc>
      </w:tr>
      <w:tr>
        <w:trPr>
          <w:trHeight w:val="232"/>
        </w:trPr>
        <w:tc>
          <w:tcPr>
            <w:tcW w:w="8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r>
      <w:tr>
        <w:trPr>
          <w:trHeight w:val="267"/>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5"/>
        </w:trPr>
        <w:tc>
          <w:tcPr>
            <w:tcW w:w="82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41,210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45,053</w:t>
            </w:r>
          </w:p>
        </w:tc>
      </w:tr>
      <w:tr>
        <w:trPr>
          <w:trHeight w:val="278"/>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5"/>
        </w:trPr>
        <w:tc>
          <w:tcPr>
            <w:tcW w:w="82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4,513</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3,997</w:t>
            </w:r>
          </w:p>
        </w:tc>
      </w:tr>
      <w:tr>
        <w:trPr>
          <w:trHeight w:val="251"/>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1,244</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1,456</w:t>
            </w:r>
          </w:p>
        </w:tc>
      </w:tr>
      <w:tr>
        <w:trPr>
          <w:trHeight w:val="235"/>
        </w:trPr>
        <w:tc>
          <w:tcPr>
            <w:tcW w:w="826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(843)</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(979)</w:t>
            </w:r>
          </w:p>
        </w:tc>
      </w:tr>
      <w:tr>
        <w:trPr>
          <w:trHeight w:val="251"/>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3,097</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3,386</w:t>
            </w:r>
          </w:p>
        </w:tc>
      </w:tr>
      <w:tr>
        <w:trPr>
          <w:trHeight w:val="235"/>
        </w:trPr>
        <w:tc>
          <w:tcPr>
            <w:tcW w:w="826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462</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51"/>
        </w:trPr>
        <w:tc>
          <w:tcPr>
            <w:tcW w:w="8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Benefit for doubtful accounts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r>
      <w:tr>
        <w:trPr>
          <w:trHeight w:val="235"/>
        </w:trPr>
        <w:tc>
          <w:tcPr>
            <w:tcW w:w="8260" w:type="dxa"/>
            <w:vAlign w:val="bottom"/>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215</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(48)</w:t>
            </w:r>
          </w:p>
        </w:tc>
      </w:tr>
      <w:tr>
        <w:trPr>
          <w:trHeight w:val="251"/>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(726)</w:t>
            </w:r>
          </w:p>
        </w:tc>
      </w:tr>
      <w:tr>
        <w:trPr>
          <w:trHeight w:val="235"/>
        </w:trPr>
        <w:tc>
          <w:tcPr>
            <w:tcW w:w="8260" w:type="dxa"/>
            <w:vAlign w:val="bottom"/>
          </w:tcPr>
          <w:p>
            <w:pPr>
              <w:ind w:left="260"/>
              <w:spacing w:after="0"/>
              <w:rPr>
                <w:sz w:val="20"/>
                <w:szCs w:val="20"/>
                <w:color w:val="auto"/>
              </w:rPr>
            </w:pPr>
            <w:r>
              <w:rPr>
                <w:rFonts w:ascii="Arial" w:cs="Arial" w:eastAsia="Arial" w:hAnsi="Arial"/>
                <w:sz w:val="16"/>
                <w:szCs w:val="16"/>
                <w:color w:val="auto"/>
              </w:rPr>
              <w:t>Increase in cash surrender value of life insurance policies</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(883)</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(805)</w:t>
            </w:r>
          </w:p>
        </w:tc>
      </w:tr>
      <w:tr>
        <w:trPr>
          <w:trHeight w:val="251"/>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disposal of property</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(691)</w:t>
            </w:r>
          </w:p>
        </w:tc>
      </w:tr>
      <w:tr>
        <w:trPr>
          <w:trHeight w:val="262"/>
        </w:trPr>
        <w:tc>
          <w:tcPr>
            <w:tcW w:w="8260" w:type="dxa"/>
            <w:vAlign w:val="bottom"/>
          </w:tcPr>
          <w:p>
            <w:pPr>
              <w:ind w:left="4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1"/>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(1,763)</w:t>
            </w:r>
          </w:p>
        </w:tc>
      </w:tr>
      <w:tr>
        <w:trPr>
          <w:trHeight w:val="235"/>
        </w:trPr>
        <w:tc>
          <w:tcPr>
            <w:tcW w:w="8260" w:type="dxa"/>
            <w:vAlign w:val="bottom"/>
          </w:tcPr>
          <w:p>
            <w:pPr>
              <w:ind w:left="280"/>
              <w:spacing w:after="0"/>
              <w:rPr>
                <w:sz w:val="20"/>
                <w:szCs w:val="20"/>
                <w:color w:val="auto"/>
              </w:rPr>
            </w:pPr>
            <w:r>
              <w:rPr>
                <w:rFonts w:ascii="Arial" w:cs="Arial" w:eastAsia="Arial" w:hAnsi="Arial"/>
                <w:sz w:val="16"/>
                <w:szCs w:val="16"/>
                <w:color w:val="auto"/>
              </w:rPr>
              <w:t>Receivables, prepaid and other assets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2,458</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(38,233)</w:t>
            </w:r>
          </w:p>
        </w:tc>
      </w:tr>
      <w:tr>
        <w:trPr>
          <w:trHeight w:val="251"/>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 in operating leases, net of repurchase obligations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w:t>
            </w:r>
          </w:p>
        </w:tc>
      </w:tr>
      <w:tr>
        <w:trPr>
          <w:trHeight w:val="235"/>
        </w:trPr>
        <w:tc>
          <w:tcPr>
            <w:tcW w:w="8260" w:type="dxa"/>
            <w:vAlign w:val="bottom"/>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408</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5,625</w:t>
            </w:r>
          </w:p>
        </w:tc>
      </w:tr>
      <w:tr>
        <w:trPr>
          <w:trHeight w:val="251"/>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(1,880)</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10,919</w:t>
            </w:r>
          </w:p>
        </w:tc>
      </w:tr>
      <w:tr>
        <w:trPr>
          <w:trHeight w:val="237"/>
        </w:trPr>
        <w:tc>
          <w:tcPr>
            <w:tcW w:w="8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(4,159)</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(4,008)</w:t>
            </w:r>
          </w:p>
        </w:tc>
      </w:tr>
      <w:tr>
        <w:trPr>
          <w:trHeight w:val="237"/>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45,183</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23,236</w:t>
            </w:r>
          </w:p>
        </w:tc>
      </w:tr>
      <w:tr>
        <w:trPr>
          <w:trHeight w:val="284"/>
        </w:trPr>
        <w:tc>
          <w:tcPr>
            <w:tcW w:w="8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5"/>
        </w:trPr>
        <w:tc>
          <w:tcPr>
            <w:tcW w:w="8260" w:type="dxa"/>
            <w:vAlign w:val="bottom"/>
          </w:tcPr>
          <w:p>
            <w:pPr>
              <w:ind w:left="280"/>
              <w:spacing w:after="0"/>
              <w:rPr>
                <w:sz w:val="20"/>
                <w:szCs w:val="20"/>
                <w:color w:val="auto"/>
              </w:rPr>
            </w:pPr>
            <w:r>
              <w:rPr>
                <w:rFonts w:ascii="Arial" w:cs="Arial" w:eastAsia="Arial" w:hAnsi="Arial"/>
                <w:sz w:val="16"/>
                <w:szCs w:val="16"/>
                <w:color w:val="auto"/>
              </w:rPr>
              <w:t>Proceeds from the sale of investments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2,350</w:t>
            </w:r>
          </w:p>
        </w:tc>
      </w:tr>
      <w:tr>
        <w:trPr>
          <w:trHeight w:val="251"/>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1,737</w:t>
            </w:r>
          </w:p>
        </w:tc>
      </w:tr>
      <w:tr>
        <w:trPr>
          <w:trHeight w:val="235"/>
        </w:trPr>
        <w:tc>
          <w:tcPr>
            <w:tcW w:w="826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(16,573)</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(10,476)</w:t>
            </w:r>
          </w:p>
        </w:tc>
      </w:tr>
      <w:tr>
        <w:trPr>
          <w:trHeight w:val="251"/>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2,423</w:t>
            </w:r>
          </w:p>
        </w:tc>
      </w:tr>
      <w:tr>
        <w:trPr>
          <w:trHeight w:val="237"/>
        </w:trPr>
        <w:tc>
          <w:tcPr>
            <w:tcW w:w="8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(1,402)</w:t>
            </w:r>
          </w:p>
        </w:tc>
      </w:tr>
      <w:tr>
        <w:trPr>
          <w:trHeight w:val="237"/>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(16,517)</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(5,368)</w:t>
            </w:r>
          </w:p>
        </w:tc>
      </w:tr>
      <w:tr>
        <w:trPr>
          <w:trHeight w:val="284"/>
        </w:trPr>
        <w:tc>
          <w:tcPr>
            <w:tcW w:w="8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5"/>
        </w:trPr>
        <w:tc>
          <w:tcPr>
            <w:tcW w:w="8260" w:type="dxa"/>
            <w:vAlign w:val="bottom"/>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(6,519)</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(26,340)</w:t>
            </w:r>
          </w:p>
        </w:tc>
      </w:tr>
      <w:tr>
        <w:trPr>
          <w:trHeight w:val="251"/>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of cash dividends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(9,765)</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5"/>
        </w:trPr>
        <w:tc>
          <w:tcPr>
            <w:tcW w:w="826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2,080</w:t>
            </w:r>
          </w:p>
        </w:tc>
      </w:tr>
      <w:tr>
        <w:trPr>
          <w:trHeight w:val="251"/>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Borrowings on loans</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22,000</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r>
      <w:tr>
        <w:trPr>
          <w:trHeight w:val="235"/>
        </w:trPr>
        <w:tc>
          <w:tcPr>
            <w:tcW w:w="8260" w:type="dxa"/>
            <w:vAlign w:val="bottom"/>
          </w:tcPr>
          <w:p>
            <w:pPr>
              <w:ind w:left="280"/>
              <w:spacing w:after="0"/>
              <w:rPr>
                <w:sz w:val="20"/>
                <w:szCs w:val="20"/>
                <w:color w:val="auto"/>
              </w:rPr>
            </w:pPr>
            <w:r>
              <w:rPr>
                <w:rFonts w:ascii="Arial" w:cs="Arial" w:eastAsia="Arial" w:hAnsi="Arial"/>
                <w:sz w:val="16"/>
                <w:szCs w:val="16"/>
                <w:color w:val="auto"/>
              </w:rPr>
              <w:t>Repayments on loans</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(22,000)</w:t>
            </w:r>
          </w:p>
        </w:tc>
        <w:tc>
          <w:tcPr>
            <w:tcW w:w="300" w:type="dxa"/>
            <w:vAlign w:val="bottom"/>
          </w:tcPr>
          <w:p>
            <w:pPr>
              <w:spacing w:after="0"/>
              <w:rPr>
                <w:sz w:val="20"/>
                <w:szCs w:val="20"/>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44"/>
        </w:trPr>
        <w:tc>
          <w:tcPr>
            <w:tcW w:w="8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w:t>
            </w:r>
          </w:p>
        </w:tc>
      </w:tr>
      <w:tr>
        <w:trPr>
          <w:trHeight w:val="237"/>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(16,231)</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(24,341)</w:t>
            </w:r>
          </w:p>
        </w:tc>
      </w:tr>
      <w:tr>
        <w:trPr>
          <w:trHeight w:val="284"/>
        </w:trPr>
        <w:tc>
          <w:tcPr>
            <w:tcW w:w="8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5"/>
        </w:trPr>
        <w:tc>
          <w:tcPr>
            <w:tcW w:w="826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12,435</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(6,473)</w:t>
            </w:r>
          </w:p>
        </w:tc>
      </w:tr>
      <w:tr>
        <w:trPr>
          <w:trHeight w:val="244"/>
        </w:trPr>
        <w:tc>
          <w:tcPr>
            <w:tcW w:w="8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57,804</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64,277</w:t>
            </w:r>
          </w:p>
        </w:tc>
      </w:tr>
      <w:tr>
        <w:trPr>
          <w:trHeight w:val="282"/>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70,239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57,804</w:t>
            </w:r>
          </w:p>
        </w:tc>
      </w:tr>
      <w:tr>
        <w:trPr>
          <w:trHeight w:val="265"/>
        </w:trPr>
        <w:tc>
          <w:tcPr>
            <w:tcW w:w="8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2"/>
        </w:trPr>
        <w:tc>
          <w:tcPr>
            <w:tcW w:w="8260" w:type="dxa"/>
            <w:vAlign w:val="bottom"/>
          </w:tcPr>
          <w:p>
            <w:pPr>
              <w:ind w:left="40"/>
              <w:spacing w:after="0"/>
              <w:rPr>
                <w:sz w:val="20"/>
                <w:szCs w:val="20"/>
                <w:color w:val="auto"/>
              </w:rPr>
            </w:pPr>
            <w:r>
              <w:rPr>
                <w:rFonts w:ascii="Arial" w:cs="Arial" w:eastAsia="Arial" w:hAnsi="Arial"/>
                <w:sz w:val="16"/>
                <w:szCs w:val="16"/>
                <w:color w:val="auto"/>
              </w:rPr>
              <w:t>Supplemental cash flow disclosure:</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1"/>
        </w:trPr>
        <w:tc>
          <w:tcPr>
            <w:tcW w:w="8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17,658</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14,061</w:t>
            </w:r>
          </w:p>
        </w:tc>
      </w:tr>
      <w:tr>
        <w:trPr>
          <w:trHeight w:val="228"/>
        </w:trPr>
        <w:tc>
          <w:tcPr>
            <w:tcW w:w="8260" w:type="dxa"/>
            <w:vAlign w:val="bottom"/>
          </w:tcPr>
          <w:p>
            <w:pPr>
              <w:ind w:left="280"/>
              <w:spacing w:after="0"/>
              <w:rPr>
                <w:sz w:val="20"/>
                <w:szCs w:val="20"/>
                <w:color w:val="auto"/>
              </w:rPr>
            </w:pPr>
            <w:r>
              <w:rPr>
                <w:rFonts w:ascii="Arial" w:cs="Arial" w:eastAsia="Arial" w:hAnsi="Arial"/>
                <w:sz w:val="16"/>
                <w:szCs w:val="16"/>
                <w:color w:val="auto"/>
              </w:rPr>
              <w:t>Interest paid</w:t>
            </w:r>
          </w:p>
        </w:tc>
        <w:tc>
          <w:tcPr>
            <w:tcW w:w="2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9"/>
                <w:szCs w:val="19"/>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420"/>
          </w:cols>
          <w:pgMar w:left="240" w:top="574" w:right="23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574"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18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8"/>
                <w:szCs w:val="18"/>
                <w:b w:val="1"/>
                <w:bCs w:val="1"/>
                <w:color w:val="auto"/>
              </w:rPr>
              <w:t>Quarter Ended</w:t>
            </w:r>
          </w:p>
        </w:tc>
        <w:tc>
          <w:tcPr>
            <w:tcW w:w="1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1020" w:type="dxa"/>
            <w:vAlign w:val="bottom"/>
            <w:tcBorders>
              <w:bottom w:val="single" w:sz="8" w:color="auto"/>
            </w:tcBorders>
          </w:tcPr>
          <w:p>
            <w:pPr>
              <w:spacing w:after="0"/>
              <w:rPr>
                <w:sz w:val="22"/>
                <w:szCs w:val="22"/>
                <w:color w:val="auto"/>
              </w:rPr>
            </w:pPr>
          </w:p>
        </w:tc>
      </w:tr>
      <w:tr>
        <w:trPr>
          <w:trHeight w:val="190"/>
        </w:trPr>
        <w:tc>
          <w:tcPr>
            <w:tcW w:w="3180" w:type="dxa"/>
            <w:vAlign w:val="bottom"/>
          </w:tcPr>
          <w:p>
            <w:pPr>
              <w:spacing w:after="0"/>
              <w:rPr>
                <w:sz w:val="16"/>
                <w:szCs w:val="16"/>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b w:val="1"/>
                <w:bCs w:val="1"/>
                <w:color w:val="auto"/>
              </w:rPr>
              <w:t>August 29,</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30,</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740" w:type="dxa"/>
            <w:vAlign w:val="bottom"/>
          </w:tcPr>
          <w:p>
            <w:pPr>
              <w:spacing w:after="0"/>
              <w:rPr>
                <w:sz w:val="16"/>
                <w:szCs w:val="16"/>
                <w:color w:val="auto"/>
              </w:rPr>
            </w:pPr>
          </w:p>
        </w:tc>
        <w:tc>
          <w:tcPr>
            <w:tcW w:w="1020" w:type="dxa"/>
            <w:vAlign w:val="bottom"/>
          </w:tcPr>
          <w:p>
            <w:pPr>
              <w:jc w:val="center"/>
              <w:ind w:right="279"/>
              <w:spacing w:after="0"/>
              <w:rPr>
                <w:sz w:val="20"/>
                <w:szCs w:val="20"/>
                <w:color w:val="auto"/>
              </w:rPr>
            </w:pPr>
            <w:r>
              <w:rPr>
                <w:rFonts w:ascii="Arial" w:cs="Arial" w:eastAsia="Arial" w:hAnsi="Arial"/>
                <w:sz w:val="16"/>
                <w:szCs w:val="16"/>
                <w:b w:val="1"/>
                <w:bCs w:val="1"/>
                <w:color w:val="auto"/>
                <w:w w:val="98"/>
              </w:rPr>
              <w:t>%</w:t>
            </w:r>
          </w:p>
        </w:tc>
      </w:tr>
      <w:tr>
        <w:trPr>
          <w:trHeight w:val="236"/>
        </w:trPr>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2015</w:t>
            </w:r>
          </w:p>
        </w:tc>
        <w:tc>
          <w:tcPr>
            <w:tcW w:w="1400" w:type="dxa"/>
            <w:vAlign w:val="bottom"/>
            <w:gridSpan w:val="2"/>
          </w:tcPr>
          <w:p>
            <w:pPr>
              <w:ind w:left="260"/>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400" w:type="dxa"/>
            <w:vAlign w:val="bottom"/>
            <w:gridSpan w:val="2"/>
          </w:tcPr>
          <w:p>
            <w:pPr>
              <w:ind w:left="260"/>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740" w:type="dxa"/>
            <w:vAlign w:val="bottom"/>
          </w:tcPr>
          <w:p>
            <w:pPr>
              <w:jc w:val="right"/>
              <w:ind w:right="779"/>
              <w:spacing w:after="0"/>
              <w:rPr>
                <w:sz w:val="20"/>
                <w:szCs w:val="20"/>
                <w:color w:val="auto"/>
              </w:rPr>
            </w:pPr>
            <w:r>
              <w:rPr>
                <w:rFonts w:ascii="Arial" w:cs="Arial" w:eastAsia="Arial" w:hAnsi="Arial"/>
                <w:sz w:val="16"/>
                <w:szCs w:val="16"/>
                <w:b w:val="1"/>
                <w:bCs w:val="1"/>
                <w:color w:val="auto"/>
              </w:rPr>
              <w:t>Units</w:t>
            </w:r>
          </w:p>
        </w:tc>
        <w:tc>
          <w:tcPr>
            <w:tcW w:w="1020" w:type="dxa"/>
            <w:vAlign w:val="bottom"/>
          </w:tcPr>
          <w:p>
            <w:pPr>
              <w:jc w:val="center"/>
              <w:ind w:right="29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597</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25.2%</w:t>
            </w:r>
          </w:p>
        </w:tc>
        <w:tc>
          <w:tcPr>
            <w:tcW w:w="10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971</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41.1%</w:t>
            </w:r>
          </w:p>
        </w:tc>
        <w:tc>
          <w:tcPr>
            <w:tcW w:w="100" w:type="dxa"/>
            <w:vAlign w:val="bottom"/>
            <w:tcBorders>
              <w:top w:val="single" w:sz="8" w:color="CCEEFF"/>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(374)</w:t>
            </w:r>
          </w:p>
        </w:tc>
        <w:tc>
          <w:tcPr>
            <w:tcW w:w="10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(38.5)%</w:t>
            </w:r>
          </w:p>
        </w:tc>
      </w:tr>
      <w:tr>
        <w:trPr>
          <w:trHeight w:val="264"/>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222</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277</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(55)</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(19.9)%</w:t>
            </w:r>
          </w:p>
        </w:tc>
      </w:tr>
      <w:tr>
        <w:trPr>
          <w:trHeight w:val="257"/>
        </w:trPr>
        <w:tc>
          <w:tcPr>
            <w:tcW w:w="3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819</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1,248</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(429)</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(34.4)%</w:t>
            </w:r>
          </w:p>
        </w:tc>
      </w:tr>
      <w:tr>
        <w:trPr>
          <w:trHeight w:val="262"/>
        </w:trPr>
        <w:tc>
          <w:tcPr>
            <w:tcW w:w="3180" w:type="dxa"/>
            <w:vAlign w:val="bottom"/>
          </w:tcPr>
          <w:p>
            <w:pPr>
              <w:ind w:left="40"/>
              <w:spacing w:after="0"/>
              <w:rPr>
                <w:sz w:val="20"/>
                <w:szCs w:val="20"/>
                <w:color w:val="auto"/>
              </w:rPr>
            </w:pPr>
            <w:r>
              <w:rPr>
                <w:rFonts w:ascii="Arial" w:cs="Arial" w:eastAsia="Arial" w:hAnsi="Arial"/>
                <w:sz w:val="16"/>
                <w:szCs w:val="16"/>
                <w:color w:val="auto"/>
              </w:rPr>
              <w:t>Class B</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256</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227</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2"/>
                <w:szCs w:val="22"/>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color w:val="auto"/>
              </w:rPr>
              <w:t>29</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12.8 %</w:t>
            </w:r>
          </w:p>
        </w:tc>
      </w:tr>
      <w:tr>
        <w:trPr>
          <w:trHeight w:val="271"/>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1,291</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889</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402</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45.2 %</w:t>
            </w:r>
          </w:p>
        </w:tc>
      </w:tr>
      <w:tr>
        <w:trPr>
          <w:trHeight w:val="282"/>
        </w:trPr>
        <w:tc>
          <w:tcPr>
            <w:tcW w:w="31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motor homes</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2,366</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2,364</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0.1 %</w:t>
            </w:r>
          </w:p>
        </w:tc>
      </w:tr>
      <w:tr>
        <w:trPr>
          <w:trHeight w:val="144"/>
        </w:trPr>
        <w:tc>
          <w:tcPr>
            <w:tcW w:w="3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62"/>
        </w:trPr>
        <w:tc>
          <w:tcPr>
            <w:tcW w:w="318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615</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22"/>
                <w:szCs w:val="22"/>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color w:val="auto"/>
              </w:rPr>
              <w:t>584</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2"/>
                <w:szCs w:val="22"/>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color w:val="auto"/>
              </w:rPr>
              <w:t>31</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5.3 %</w:t>
            </w:r>
          </w:p>
        </w:tc>
      </w:tr>
      <w:tr>
        <w:trPr>
          <w:trHeight w:val="271"/>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162</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139</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23</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16.5 %</w:t>
            </w:r>
          </w:p>
        </w:tc>
      </w:tr>
      <w:tr>
        <w:trPr>
          <w:trHeight w:val="242"/>
        </w:trPr>
        <w:tc>
          <w:tcPr>
            <w:tcW w:w="3180" w:type="dxa"/>
            <w:vAlign w:val="bottom"/>
          </w:tcPr>
          <w:p>
            <w:pPr>
              <w:ind w:left="220"/>
              <w:spacing w:after="0"/>
              <w:rPr>
                <w:sz w:val="20"/>
                <w:szCs w:val="20"/>
                <w:color w:val="auto"/>
              </w:rPr>
            </w:pPr>
            <w:r>
              <w:rPr>
                <w:rFonts w:ascii="Arial" w:cs="Arial" w:eastAsia="Arial" w:hAnsi="Arial"/>
                <w:sz w:val="16"/>
                <w:szCs w:val="16"/>
                <w:color w:val="auto"/>
              </w:rPr>
              <w:t>Total towables</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777</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723</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7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54</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7.5 %</w:t>
            </w:r>
          </w:p>
        </w:tc>
      </w:tr>
      <w:tr>
        <w:trPr>
          <w:trHeight w:val="20"/>
        </w:trPr>
        <w:tc>
          <w:tcPr>
            <w:tcW w:w="3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0"/>
        </w:trPr>
        <w:tc>
          <w:tcPr>
            <w:tcW w:w="31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Year Ended</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193"/>
        </w:trPr>
        <w:tc>
          <w:tcPr>
            <w:tcW w:w="3180" w:type="dxa"/>
            <w:vAlign w:val="bottom"/>
          </w:tcPr>
          <w:p>
            <w:pPr>
              <w:spacing w:after="0"/>
              <w:rPr>
                <w:sz w:val="16"/>
                <w:szCs w:val="16"/>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b w:val="1"/>
                <w:bCs w:val="1"/>
                <w:color w:val="auto"/>
              </w:rPr>
              <w:t>August 29,</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30,</w:t>
            </w: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1740" w:type="dxa"/>
            <w:vAlign w:val="bottom"/>
          </w:tcPr>
          <w:p>
            <w:pPr>
              <w:spacing w:after="0"/>
              <w:rPr>
                <w:sz w:val="16"/>
                <w:szCs w:val="16"/>
                <w:color w:val="auto"/>
              </w:rPr>
            </w:pPr>
          </w:p>
        </w:tc>
        <w:tc>
          <w:tcPr>
            <w:tcW w:w="1020" w:type="dxa"/>
            <w:vAlign w:val="bottom"/>
          </w:tcPr>
          <w:p>
            <w:pPr>
              <w:jc w:val="center"/>
              <w:ind w:right="279"/>
              <w:spacing w:after="0"/>
              <w:rPr>
                <w:sz w:val="20"/>
                <w:szCs w:val="20"/>
                <w:color w:val="auto"/>
              </w:rPr>
            </w:pPr>
            <w:r>
              <w:rPr>
                <w:rFonts w:ascii="Arial" w:cs="Arial" w:eastAsia="Arial" w:hAnsi="Arial"/>
                <w:sz w:val="16"/>
                <w:szCs w:val="16"/>
                <w:b w:val="1"/>
                <w:bCs w:val="1"/>
                <w:color w:val="auto"/>
                <w:w w:val="98"/>
              </w:rPr>
              <w:t>%</w:t>
            </w:r>
          </w:p>
        </w:tc>
      </w:tr>
      <w:tr>
        <w:trPr>
          <w:trHeight w:val="236"/>
        </w:trPr>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2015</w:t>
            </w:r>
          </w:p>
        </w:tc>
        <w:tc>
          <w:tcPr>
            <w:tcW w:w="1400" w:type="dxa"/>
            <w:vAlign w:val="bottom"/>
            <w:gridSpan w:val="2"/>
          </w:tcPr>
          <w:p>
            <w:pPr>
              <w:ind w:left="260"/>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400" w:type="dxa"/>
            <w:vAlign w:val="bottom"/>
            <w:gridSpan w:val="2"/>
          </w:tcPr>
          <w:p>
            <w:pPr>
              <w:ind w:left="260"/>
              <w:spacing w:after="0" w:line="236"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740" w:type="dxa"/>
            <w:vAlign w:val="bottom"/>
          </w:tcPr>
          <w:p>
            <w:pPr>
              <w:jc w:val="right"/>
              <w:ind w:right="779"/>
              <w:spacing w:after="0"/>
              <w:rPr>
                <w:sz w:val="20"/>
                <w:szCs w:val="20"/>
                <w:color w:val="auto"/>
              </w:rPr>
            </w:pPr>
            <w:r>
              <w:rPr>
                <w:rFonts w:ascii="Arial" w:cs="Arial" w:eastAsia="Arial" w:hAnsi="Arial"/>
                <w:sz w:val="16"/>
                <w:szCs w:val="16"/>
                <w:b w:val="1"/>
                <w:bCs w:val="1"/>
                <w:color w:val="auto"/>
              </w:rPr>
              <w:t>Units</w:t>
            </w:r>
          </w:p>
        </w:tc>
        <w:tc>
          <w:tcPr>
            <w:tcW w:w="1020" w:type="dxa"/>
            <w:vAlign w:val="bottom"/>
          </w:tcPr>
          <w:p>
            <w:pPr>
              <w:jc w:val="center"/>
              <w:ind w:right="29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2,337</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25.7%</w:t>
            </w:r>
          </w:p>
        </w:tc>
        <w:tc>
          <w:tcPr>
            <w:tcW w:w="10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3,056</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34.9%</w:t>
            </w:r>
          </w:p>
        </w:tc>
        <w:tc>
          <w:tcPr>
            <w:tcW w:w="100" w:type="dxa"/>
            <w:vAlign w:val="bottom"/>
            <w:tcBorders>
              <w:top w:val="single" w:sz="8" w:color="CCEEFF"/>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(719)</w:t>
            </w:r>
          </w:p>
        </w:tc>
        <w:tc>
          <w:tcPr>
            <w:tcW w:w="10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(23.5)%</w:t>
            </w:r>
          </w:p>
        </w:tc>
      </w:tr>
      <w:tr>
        <w:trPr>
          <w:trHeight w:val="264"/>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1,105</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1,410</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(305)</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(21.6)%</w:t>
            </w:r>
          </w:p>
        </w:tc>
      </w:tr>
      <w:tr>
        <w:trPr>
          <w:trHeight w:val="257"/>
        </w:trPr>
        <w:tc>
          <w:tcPr>
            <w:tcW w:w="3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3,442</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4,466</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(1,024)</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(22.9)%</w:t>
            </w:r>
          </w:p>
        </w:tc>
      </w:tr>
      <w:tr>
        <w:trPr>
          <w:trHeight w:val="262"/>
        </w:trPr>
        <w:tc>
          <w:tcPr>
            <w:tcW w:w="3180" w:type="dxa"/>
            <w:vAlign w:val="bottom"/>
          </w:tcPr>
          <w:p>
            <w:pPr>
              <w:ind w:left="40"/>
              <w:spacing w:after="0"/>
              <w:rPr>
                <w:sz w:val="20"/>
                <w:szCs w:val="20"/>
                <w:color w:val="auto"/>
              </w:rPr>
            </w:pPr>
            <w:r>
              <w:rPr>
                <w:rFonts w:ascii="Arial" w:cs="Arial" w:eastAsia="Arial" w:hAnsi="Arial"/>
                <w:sz w:val="16"/>
                <w:szCs w:val="16"/>
                <w:color w:val="auto"/>
              </w:rPr>
              <w:t>Class B</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991</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751</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color w:val="auto"/>
              </w:rPr>
              <w:t>240</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32.0 %</w:t>
            </w:r>
          </w:p>
        </w:tc>
      </w:tr>
      <w:tr>
        <w:trPr>
          <w:trHeight w:val="271"/>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4,664</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3,538</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1,126</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31.8 %</w:t>
            </w:r>
          </w:p>
        </w:tc>
      </w:tr>
      <w:tr>
        <w:trPr>
          <w:trHeight w:val="283"/>
        </w:trPr>
        <w:tc>
          <w:tcPr>
            <w:tcW w:w="31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Total motor homes </w:t>
            </w:r>
            <w:r>
              <w:rPr>
                <w:rFonts w:ascii="Arial" w:cs="Arial" w:eastAsia="Arial" w:hAnsi="Arial"/>
                <w:sz w:val="21"/>
                <w:szCs w:val="21"/>
                <w:color w:val="auto"/>
                <w:vertAlign w:val="superscript"/>
              </w:rPr>
              <w:t>(2)</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9,097</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8,755</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342</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3.9 %</w:t>
            </w:r>
          </w:p>
        </w:tc>
      </w:tr>
      <w:tr>
        <w:trPr>
          <w:trHeight w:val="143"/>
        </w:trPr>
        <w:tc>
          <w:tcPr>
            <w:tcW w:w="3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62"/>
        </w:trPr>
        <w:tc>
          <w:tcPr>
            <w:tcW w:w="318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2,182</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2,052</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2"/>
                <w:szCs w:val="22"/>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color w:val="auto"/>
              </w:rPr>
              <w:t>130</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6.3 %</w:t>
            </w:r>
          </w:p>
        </w:tc>
      </w:tr>
      <w:tr>
        <w:trPr>
          <w:trHeight w:val="271"/>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488</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457</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31</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6.8 %</w:t>
            </w:r>
          </w:p>
        </w:tc>
      </w:tr>
      <w:tr>
        <w:trPr>
          <w:trHeight w:val="241"/>
        </w:trPr>
        <w:tc>
          <w:tcPr>
            <w:tcW w:w="3180" w:type="dxa"/>
            <w:vAlign w:val="bottom"/>
          </w:tcPr>
          <w:p>
            <w:pPr>
              <w:ind w:left="280"/>
              <w:spacing w:after="0"/>
              <w:rPr>
                <w:sz w:val="20"/>
                <w:szCs w:val="20"/>
                <w:color w:val="auto"/>
              </w:rPr>
            </w:pPr>
            <w:r>
              <w:rPr>
                <w:rFonts w:ascii="Arial" w:cs="Arial" w:eastAsia="Arial" w:hAnsi="Arial"/>
                <w:sz w:val="16"/>
                <w:szCs w:val="16"/>
                <w:color w:val="auto"/>
              </w:rPr>
              <w:t>Total towables</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2,670</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2,509</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color w:val="auto"/>
              </w:rPr>
              <w:t>161</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1270</wp:posOffset>
            </wp:positionV>
            <wp:extent cx="52311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31130" cy="26035"/>
                    </a:xfrm>
                    <a:prstGeom prst="rect">
                      <a:avLst/>
                    </a:prstGeom>
                    <a:noFill/>
                  </pic:spPr>
                </pic:pic>
              </a:graphicData>
            </a:graphic>
          </wp:anchor>
        </w:drawing>
      </w:r>
    </w:p>
    <w:p>
      <w:pPr>
        <w:spacing w:after="0" w:line="5"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Percentages may not add due to rounding differences.</w:t>
      </w:r>
    </w:p>
    <w:p>
      <w:pPr>
        <w:ind w:left="260" w:right="220" w:hanging="252"/>
        <w:spacing w:after="0" w:line="227" w:lineRule="auto"/>
        <w:tabs>
          <w:tab w:leader="none" w:pos="152"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An additional 343 motorhomes were delivered in Fiscal 2014 but not included in wholesale deliveries as presented in the tables above as the units were subject to repurchase option.</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139"/>
              <w:spacing w:after="0"/>
              <w:rPr>
                <w:sz w:val="20"/>
                <w:szCs w:val="20"/>
                <w:color w:val="auto"/>
              </w:rPr>
            </w:pPr>
            <w:r>
              <w:rPr>
                <w:rFonts w:ascii="Arial" w:cs="Arial" w:eastAsia="Arial" w:hAnsi="Arial"/>
                <w:sz w:val="16"/>
                <w:szCs w:val="16"/>
                <w:b w:val="1"/>
                <w:bCs w:val="1"/>
                <w:color w:val="auto"/>
              </w:rPr>
              <w:t>As Of</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0"/>
                <w:szCs w:val="20"/>
                <w:color w:val="auto"/>
              </w:rPr>
            </w:pPr>
          </w:p>
        </w:tc>
      </w:tr>
      <w:tr>
        <w:trPr>
          <w:trHeight w:val="264"/>
        </w:trPr>
        <w:tc>
          <w:tcPr>
            <w:tcW w:w="3240" w:type="dxa"/>
            <w:vAlign w:val="bottom"/>
          </w:tcPr>
          <w:p>
            <w:pPr>
              <w:spacing w:after="0"/>
              <w:rPr>
                <w:sz w:val="22"/>
                <w:szCs w:val="22"/>
                <w:color w:val="auto"/>
              </w:rPr>
            </w:pPr>
          </w:p>
        </w:tc>
        <w:tc>
          <w:tcPr>
            <w:tcW w:w="2380" w:type="dxa"/>
            <w:vAlign w:val="bottom"/>
            <w:gridSpan w:val="2"/>
          </w:tcPr>
          <w:p>
            <w:pPr>
              <w:jc w:val="right"/>
              <w:ind w:right="382"/>
              <w:spacing w:after="0"/>
              <w:rPr>
                <w:sz w:val="20"/>
                <w:szCs w:val="20"/>
                <w:color w:val="auto"/>
              </w:rPr>
            </w:pPr>
            <w:r>
              <w:rPr>
                <w:rFonts w:ascii="Arial" w:cs="Arial" w:eastAsia="Arial" w:hAnsi="Arial"/>
                <w:sz w:val="16"/>
                <w:szCs w:val="16"/>
                <w:b w:val="1"/>
                <w:bCs w:val="1"/>
                <w:color w:val="auto"/>
              </w:rPr>
              <w:t>August 29, 2015</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20" w:type="dxa"/>
            <w:vAlign w:val="bottom"/>
            <w:gridSpan w:val="3"/>
          </w:tcPr>
          <w:p>
            <w:pPr>
              <w:ind w:left="700"/>
              <w:spacing w:after="0"/>
              <w:rPr>
                <w:sz w:val="20"/>
                <w:szCs w:val="20"/>
                <w:color w:val="auto"/>
              </w:rPr>
            </w:pPr>
            <w:r>
              <w:rPr>
                <w:rFonts w:ascii="Arial" w:cs="Arial" w:eastAsia="Arial" w:hAnsi="Arial"/>
                <w:sz w:val="16"/>
                <w:szCs w:val="16"/>
                <w:b w:val="1"/>
                <w:bCs w:val="1"/>
                <w:color w:val="auto"/>
              </w:rPr>
              <w:t>August 30, 2014</w:t>
            </w:r>
          </w:p>
        </w:tc>
        <w:tc>
          <w:tcPr>
            <w:tcW w:w="1740" w:type="dxa"/>
            <w:vAlign w:val="bottom"/>
          </w:tcPr>
          <w:p>
            <w:pPr>
              <w:spacing w:after="0"/>
              <w:rPr>
                <w:sz w:val="22"/>
                <w:szCs w:val="22"/>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67"/>
        </w:trPr>
        <w:tc>
          <w:tcPr>
            <w:tcW w:w="3240" w:type="dxa"/>
            <w:vAlign w:val="bottom"/>
            <w:tcBorders>
              <w:bottom w:val="single" w:sz="8" w:color="auto"/>
            </w:tcBorders>
          </w:tcPr>
          <w:p>
            <w:pPr>
              <w:spacing w:after="0"/>
              <w:rPr>
                <w:sz w:val="23"/>
                <w:szCs w:val="23"/>
                <w:color w:val="auto"/>
              </w:rPr>
            </w:pPr>
          </w:p>
        </w:tc>
        <w:tc>
          <w:tcPr>
            <w:tcW w:w="13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Units</w:t>
            </w:r>
          </w:p>
        </w:tc>
        <w:tc>
          <w:tcPr>
            <w:tcW w:w="1000" w:type="dxa"/>
            <w:vAlign w:val="bottom"/>
            <w:tcBorders>
              <w:top w:val="single" w:sz="8" w:color="auto"/>
              <w:bottom w:val="single" w:sz="8" w:color="auto"/>
            </w:tcBorders>
          </w:tcPr>
          <w:p>
            <w:pPr>
              <w:jc w:val="right"/>
              <w:ind w:right="262"/>
              <w:spacing w:after="0" w:line="268"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20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CCEEFF"/>
            </w:tcBorders>
          </w:tcPr>
          <w:p>
            <w:pPr>
              <w:spacing w:after="0"/>
              <w:rPr>
                <w:sz w:val="23"/>
                <w:szCs w:val="23"/>
                <w:color w:val="auto"/>
              </w:rPr>
            </w:pPr>
          </w:p>
        </w:tc>
        <w:tc>
          <w:tcPr>
            <w:tcW w:w="14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Units</w:t>
            </w:r>
          </w:p>
        </w:tc>
        <w:tc>
          <w:tcPr>
            <w:tcW w:w="1200" w:type="dxa"/>
            <w:vAlign w:val="bottom"/>
            <w:tcBorders>
              <w:top w:val="single" w:sz="8" w:color="auto"/>
              <w:bottom w:val="single" w:sz="8" w:color="auto"/>
            </w:tcBorders>
          </w:tcPr>
          <w:p>
            <w:pPr>
              <w:jc w:val="right"/>
              <w:ind w:right="482"/>
              <w:spacing w:after="0" w:line="268"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(1)</w:t>
            </w:r>
          </w:p>
        </w:tc>
        <w:tc>
          <w:tcPr>
            <w:tcW w:w="120" w:type="dxa"/>
            <w:vAlign w:val="bottom"/>
            <w:tcBorders>
              <w:bottom w:val="single" w:sz="8" w:color="CCEEFF"/>
            </w:tcBorders>
          </w:tcPr>
          <w:p>
            <w:pPr>
              <w:spacing w:after="0"/>
              <w:rPr>
                <w:sz w:val="23"/>
                <w:szCs w:val="23"/>
                <w:color w:val="auto"/>
              </w:rPr>
            </w:pPr>
          </w:p>
        </w:tc>
        <w:tc>
          <w:tcPr>
            <w:tcW w:w="17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Units</w:t>
            </w: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400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720" w:type="dxa"/>
            <w:vAlign w:val="bottom"/>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338</w:t>
            </w:r>
          </w:p>
        </w:tc>
        <w:tc>
          <w:tcPr>
            <w:tcW w:w="12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62</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18.3 %</w:t>
            </w: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302</w:t>
            </w: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(159)</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(52.6)%</w:t>
            </w:r>
          </w:p>
        </w:tc>
      </w:tr>
      <w:tr>
        <w:trPr>
          <w:trHeight w:val="257"/>
        </w:trPr>
        <w:tc>
          <w:tcPr>
            <w:tcW w:w="3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543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720" w:type="dxa"/>
            <w:vAlign w:val="bottom"/>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640</w:t>
            </w:r>
          </w:p>
        </w:tc>
        <w:tc>
          <w:tcPr>
            <w:tcW w:w="12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(97)</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(15.2)%</w:t>
            </w:r>
          </w:p>
        </w:tc>
      </w:tr>
      <w:tr>
        <w:trPr>
          <w:trHeight w:val="262"/>
        </w:trPr>
        <w:tc>
          <w:tcPr>
            <w:tcW w:w="3240" w:type="dxa"/>
            <w:vAlign w:val="bottom"/>
          </w:tcPr>
          <w:p>
            <w:pPr>
              <w:ind w:left="40"/>
              <w:spacing w:after="0"/>
              <w:rPr>
                <w:sz w:val="20"/>
                <w:szCs w:val="20"/>
                <w:color w:val="auto"/>
              </w:rPr>
            </w:pPr>
            <w:r>
              <w:rPr>
                <w:rFonts w:ascii="Arial" w:cs="Arial" w:eastAsia="Arial" w:hAnsi="Arial"/>
                <w:sz w:val="16"/>
                <w:szCs w:val="16"/>
                <w:color w:val="auto"/>
              </w:rPr>
              <w:t>Class B</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291</w:t>
            </w:r>
          </w:p>
        </w:tc>
        <w:tc>
          <w:tcPr>
            <w:tcW w:w="1000" w:type="dxa"/>
            <w:vAlign w:val="bottom"/>
          </w:tcPr>
          <w:p>
            <w:pPr>
              <w:jc w:val="right"/>
              <w:spacing w:after="0"/>
              <w:rPr>
                <w:sz w:val="20"/>
                <w:szCs w:val="20"/>
                <w:color w:val="auto"/>
              </w:rPr>
            </w:pPr>
            <w:r>
              <w:rPr>
                <w:rFonts w:ascii="Arial" w:cs="Arial" w:eastAsia="Arial" w:hAnsi="Arial"/>
                <w:sz w:val="16"/>
                <w:szCs w:val="16"/>
                <w:color w:val="auto"/>
              </w:rPr>
              <w:t>16.6%</w:t>
            </w:r>
          </w:p>
        </w:tc>
        <w:tc>
          <w:tcPr>
            <w:tcW w:w="1720" w:type="dxa"/>
            <w:vAlign w:val="bottom"/>
            <w:gridSpan w:val="3"/>
          </w:tcPr>
          <w:p>
            <w:pPr>
              <w:jc w:val="right"/>
              <w:ind w:right="239"/>
              <w:spacing w:after="0"/>
              <w:rPr>
                <w:sz w:val="20"/>
                <w:szCs w:val="20"/>
                <w:color w:val="auto"/>
              </w:rPr>
            </w:pPr>
            <w:r>
              <w:rPr>
                <w:rFonts w:ascii="Arial" w:cs="Arial" w:eastAsia="Arial" w:hAnsi="Arial"/>
                <w:sz w:val="16"/>
                <w:szCs w:val="16"/>
                <w:color w:val="auto"/>
              </w:rPr>
              <w:t>323</w:t>
            </w:r>
          </w:p>
        </w:tc>
        <w:tc>
          <w:tcPr>
            <w:tcW w:w="1200" w:type="dxa"/>
            <w:vAlign w:val="bottom"/>
          </w:tcPr>
          <w:p>
            <w:pPr>
              <w:jc w:val="right"/>
              <w:ind w:right="202"/>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2"/>
                <w:szCs w:val="22"/>
                <w:color w:val="auto"/>
              </w:rPr>
            </w:pPr>
          </w:p>
        </w:tc>
        <w:tc>
          <w:tcPr>
            <w:tcW w:w="1740" w:type="dxa"/>
            <w:vAlign w:val="bottom"/>
          </w:tcPr>
          <w:p>
            <w:pPr>
              <w:jc w:val="right"/>
              <w:ind w:right="539"/>
              <w:spacing w:after="0"/>
              <w:rPr>
                <w:sz w:val="20"/>
                <w:szCs w:val="20"/>
                <w:color w:val="auto"/>
              </w:rPr>
            </w:pPr>
            <w:r>
              <w:rPr>
                <w:rFonts w:ascii="Arial" w:cs="Arial" w:eastAsia="Arial" w:hAnsi="Arial"/>
                <w:sz w:val="16"/>
                <w:szCs w:val="16"/>
                <w:color w:val="auto"/>
              </w:rPr>
              <w:t>(32)</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(9.9)%</w:t>
            </w:r>
          </w:p>
        </w:tc>
      </w:tr>
      <w:tr>
        <w:trPr>
          <w:trHeight w:val="271"/>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920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2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936</w:t>
            </w:r>
          </w:p>
        </w:tc>
        <w:tc>
          <w:tcPr>
            <w:tcW w:w="12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(16)</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r>
      <w:tr>
        <w:trPr>
          <w:trHeight w:val="283"/>
        </w:trPr>
        <w:tc>
          <w:tcPr>
            <w:tcW w:w="3240" w:type="dxa"/>
            <w:vAlign w:val="bottom"/>
          </w:tcPr>
          <w:p>
            <w:pPr>
              <w:ind w:left="760"/>
              <w:spacing w:after="0"/>
              <w:rPr>
                <w:sz w:val="20"/>
                <w:szCs w:val="20"/>
                <w:color w:val="auto"/>
              </w:rPr>
            </w:pPr>
            <w:r>
              <w:rPr>
                <w:rFonts w:ascii="Arial" w:cs="Arial" w:eastAsia="Arial" w:hAnsi="Arial"/>
                <w:sz w:val="16"/>
                <w:szCs w:val="16"/>
                <w:color w:val="auto"/>
              </w:rPr>
              <w:t>Total motor home backlog</w:t>
            </w:r>
            <w:r>
              <w:rPr>
                <w:rFonts w:ascii="Arial" w:cs="Arial" w:eastAsia="Arial" w:hAnsi="Arial"/>
                <w:sz w:val="21"/>
                <w:szCs w:val="21"/>
                <w:color w:val="auto"/>
                <w:vertAlign w:val="superscript"/>
              </w:rPr>
              <w:t>(2)</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1,754</w:t>
            </w:r>
          </w:p>
        </w:tc>
        <w:tc>
          <w:tcPr>
            <w:tcW w:w="1000" w:type="dxa"/>
            <w:vAlign w:val="bottom"/>
          </w:tcPr>
          <w:p>
            <w:pPr>
              <w:jc w:val="right"/>
              <w:spacing w:after="0"/>
              <w:rPr>
                <w:sz w:val="20"/>
                <w:szCs w:val="20"/>
                <w:color w:val="auto"/>
              </w:rPr>
            </w:pPr>
            <w:r>
              <w:rPr>
                <w:rFonts w:ascii="Arial" w:cs="Arial" w:eastAsia="Arial" w:hAnsi="Arial"/>
                <w:sz w:val="16"/>
                <w:szCs w:val="16"/>
                <w:color w:val="auto"/>
              </w:rPr>
              <w:t>100.0%</w:t>
            </w:r>
          </w:p>
        </w:tc>
        <w:tc>
          <w:tcPr>
            <w:tcW w:w="1720" w:type="dxa"/>
            <w:vAlign w:val="bottom"/>
            <w:gridSpan w:val="3"/>
          </w:tcPr>
          <w:p>
            <w:pPr>
              <w:jc w:val="right"/>
              <w:ind w:right="239"/>
              <w:spacing w:after="0"/>
              <w:rPr>
                <w:sz w:val="20"/>
                <w:szCs w:val="20"/>
                <w:color w:val="auto"/>
              </w:rPr>
            </w:pPr>
            <w:r>
              <w:rPr>
                <w:rFonts w:ascii="Arial" w:cs="Arial" w:eastAsia="Arial" w:hAnsi="Arial"/>
                <w:sz w:val="16"/>
                <w:szCs w:val="16"/>
                <w:color w:val="auto"/>
              </w:rPr>
              <w:t>1,899</w:t>
            </w:r>
          </w:p>
        </w:tc>
        <w:tc>
          <w:tcPr>
            <w:tcW w:w="1200" w:type="dxa"/>
            <w:vAlign w:val="bottom"/>
          </w:tcPr>
          <w:p>
            <w:pPr>
              <w:jc w:val="right"/>
              <w:ind w:right="202"/>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4"/>
                <w:szCs w:val="24"/>
                <w:color w:val="auto"/>
              </w:rPr>
            </w:pPr>
          </w:p>
        </w:tc>
        <w:tc>
          <w:tcPr>
            <w:tcW w:w="1740" w:type="dxa"/>
            <w:vAlign w:val="bottom"/>
          </w:tcPr>
          <w:p>
            <w:pPr>
              <w:jc w:val="right"/>
              <w:ind w:right="539"/>
              <w:spacing w:after="0"/>
              <w:rPr>
                <w:sz w:val="20"/>
                <w:szCs w:val="20"/>
                <w:color w:val="auto"/>
              </w:rPr>
            </w:pPr>
            <w:r>
              <w:rPr>
                <w:rFonts w:ascii="Arial" w:cs="Arial" w:eastAsia="Arial" w:hAnsi="Arial"/>
                <w:sz w:val="16"/>
                <w:szCs w:val="16"/>
                <w:color w:val="auto"/>
              </w:rPr>
              <w:t>(145)</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(7.6)%</w:t>
            </w:r>
          </w:p>
        </w:tc>
      </w:tr>
      <w:tr>
        <w:trPr>
          <w:trHeight w:val="170"/>
        </w:trPr>
        <w:tc>
          <w:tcPr>
            <w:tcW w:w="324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262"/>
        </w:trPr>
        <w:tc>
          <w:tcPr>
            <w:tcW w:w="324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236</w:t>
            </w:r>
          </w:p>
        </w:tc>
        <w:tc>
          <w:tcPr>
            <w:tcW w:w="1000" w:type="dxa"/>
            <w:vAlign w:val="bottom"/>
          </w:tcPr>
          <w:p>
            <w:pPr>
              <w:jc w:val="right"/>
              <w:spacing w:after="0"/>
              <w:rPr>
                <w:sz w:val="20"/>
                <w:szCs w:val="20"/>
                <w:color w:val="auto"/>
              </w:rPr>
            </w:pPr>
            <w:r>
              <w:rPr>
                <w:rFonts w:ascii="Arial" w:cs="Arial" w:eastAsia="Arial" w:hAnsi="Arial"/>
                <w:sz w:val="16"/>
                <w:szCs w:val="16"/>
                <w:color w:val="auto"/>
              </w:rPr>
              <w:t>95.2%</w:t>
            </w:r>
          </w:p>
        </w:tc>
        <w:tc>
          <w:tcPr>
            <w:tcW w:w="1720" w:type="dxa"/>
            <w:vAlign w:val="bottom"/>
            <w:gridSpan w:val="3"/>
          </w:tcPr>
          <w:p>
            <w:pPr>
              <w:jc w:val="right"/>
              <w:ind w:right="239"/>
              <w:spacing w:after="0"/>
              <w:rPr>
                <w:sz w:val="20"/>
                <w:szCs w:val="20"/>
                <w:color w:val="auto"/>
              </w:rPr>
            </w:pPr>
            <w:r>
              <w:rPr>
                <w:rFonts w:ascii="Arial" w:cs="Arial" w:eastAsia="Arial" w:hAnsi="Arial"/>
                <w:sz w:val="16"/>
                <w:szCs w:val="16"/>
                <w:color w:val="auto"/>
              </w:rPr>
              <w:t>134</w:t>
            </w:r>
          </w:p>
        </w:tc>
        <w:tc>
          <w:tcPr>
            <w:tcW w:w="1200" w:type="dxa"/>
            <w:vAlign w:val="bottom"/>
          </w:tcPr>
          <w:p>
            <w:pPr>
              <w:jc w:val="right"/>
              <w:ind w:right="202"/>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22"/>
                <w:szCs w:val="22"/>
                <w:color w:val="auto"/>
              </w:rPr>
            </w:pPr>
          </w:p>
        </w:tc>
        <w:tc>
          <w:tcPr>
            <w:tcW w:w="1740" w:type="dxa"/>
            <w:vAlign w:val="bottom"/>
          </w:tcPr>
          <w:p>
            <w:pPr>
              <w:jc w:val="right"/>
              <w:ind w:right="599"/>
              <w:spacing w:after="0"/>
              <w:rPr>
                <w:sz w:val="20"/>
                <w:szCs w:val="20"/>
                <w:color w:val="auto"/>
              </w:rPr>
            </w:pPr>
            <w:r>
              <w:rPr>
                <w:rFonts w:ascii="Arial" w:cs="Arial" w:eastAsia="Arial" w:hAnsi="Arial"/>
                <w:sz w:val="16"/>
                <w:szCs w:val="16"/>
                <w:color w:val="auto"/>
              </w:rPr>
              <w:t>102</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76.1 %</w:t>
            </w:r>
          </w:p>
        </w:tc>
      </w:tr>
      <w:tr>
        <w:trPr>
          <w:trHeight w:val="271"/>
        </w:trPr>
        <w:tc>
          <w:tcPr>
            <w:tcW w:w="3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29</w:t>
            </w:r>
          </w:p>
        </w:tc>
        <w:tc>
          <w:tcPr>
            <w:tcW w:w="12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(17)</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(58.6)%</w:t>
            </w:r>
          </w:p>
        </w:tc>
      </w:tr>
      <w:tr>
        <w:trPr>
          <w:trHeight w:val="283"/>
        </w:trPr>
        <w:tc>
          <w:tcPr>
            <w:tcW w:w="3240" w:type="dxa"/>
            <w:vAlign w:val="bottom"/>
          </w:tcPr>
          <w:p>
            <w:pPr>
              <w:ind w:left="22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248</w:t>
            </w:r>
          </w:p>
        </w:tc>
        <w:tc>
          <w:tcPr>
            <w:tcW w:w="1000" w:type="dxa"/>
            <w:vAlign w:val="bottom"/>
          </w:tcPr>
          <w:p>
            <w:pPr>
              <w:jc w:val="right"/>
              <w:spacing w:after="0"/>
              <w:rPr>
                <w:sz w:val="20"/>
                <w:szCs w:val="20"/>
                <w:color w:val="auto"/>
              </w:rPr>
            </w:pPr>
            <w:r>
              <w:rPr>
                <w:rFonts w:ascii="Arial" w:cs="Arial" w:eastAsia="Arial" w:hAnsi="Arial"/>
                <w:sz w:val="16"/>
                <w:szCs w:val="16"/>
                <w:color w:val="auto"/>
              </w:rPr>
              <w:t>100.0%</w:t>
            </w:r>
          </w:p>
        </w:tc>
        <w:tc>
          <w:tcPr>
            <w:tcW w:w="1720" w:type="dxa"/>
            <w:vAlign w:val="bottom"/>
            <w:gridSpan w:val="3"/>
          </w:tcPr>
          <w:p>
            <w:pPr>
              <w:jc w:val="right"/>
              <w:ind w:right="239"/>
              <w:spacing w:after="0"/>
              <w:rPr>
                <w:sz w:val="20"/>
                <w:szCs w:val="20"/>
                <w:color w:val="auto"/>
              </w:rPr>
            </w:pPr>
            <w:r>
              <w:rPr>
                <w:rFonts w:ascii="Arial" w:cs="Arial" w:eastAsia="Arial" w:hAnsi="Arial"/>
                <w:sz w:val="16"/>
                <w:szCs w:val="16"/>
                <w:color w:val="auto"/>
              </w:rPr>
              <w:t>163</w:t>
            </w:r>
          </w:p>
        </w:tc>
        <w:tc>
          <w:tcPr>
            <w:tcW w:w="1200" w:type="dxa"/>
            <w:vAlign w:val="bottom"/>
          </w:tcPr>
          <w:p>
            <w:pPr>
              <w:jc w:val="right"/>
              <w:ind w:right="202"/>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4"/>
                <w:szCs w:val="24"/>
                <w:color w:val="auto"/>
              </w:rPr>
            </w:pPr>
          </w:p>
        </w:tc>
        <w:tc>
          <w:tcPr>
            <w:tcW w:w="1740" w:type="dxa"/>
            <w:vAlign w:val="bottom"/>
          </w:tcPr>
          <w:p>
            <w:pPr>
              <w:jc w:val="right"/>
              <w:ind w:right="599"/>
              <w:spacing w:after="0"/>
              <w:rPr>
                <w:sz w:val="20"/>
                <w:szCs w:val="20"/>
                <w:color w:val="auto"/>
              </w:rPr>
            </w:pPr>
            <w:r>
              <w:rPr>
                <w:rFonts w:ascii="Arial" w:cs="Arial" w:eastAsia="Arial" w:hAnsi="Arial"/>
                <w:sz w:val="16"/>
                <w:szCs w:val="16"/>
                <w:color w:val="auto"/>
              </w:rPr>
              <w:t>85</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52.1 %</w:t>
            </w:r>
          </w:p>
        </w:tc>
      </w:tr>
      <w:tr>
        <w:trPr>
          <w:trHeight w:val="143"/>
        </w:trPr>
        <w:tc>
          <w:tcPr>
            <w:tcW w:w="324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r>
    </w:tbl>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approximate backlog revenue dollars (in 000's):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156,353</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172,575</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(16,222)</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w:t>
            </w:r>
          </w:p>
        </w:tc>
      </w:tr>
      <w:tr>
        <w:trPr>
          <w:trHeight w:val="255"/>
        </w:trPr>
        <w:tc>
          <w:tcPr>
            <w:tcW w:w="2080" w:type="dxa"/>
            <w:vAlign w:val="bottom"/>
          </w:tcPr>
          <w:p>
            <w:pPr>
              <w:ind w:left="40"/>
              <w:spacing w:after="0"/>
              <w:rPr>
                <w:sz w:val="20"/>
                <w:szCs w:val="20"/>
                <w:color w:val="auto"/>
              </w:rPr>
            </w:pPr>
            <w:r>
              <w:rPr>
                <w:rFonts w:ascii="Arial" w:cs="Arial" w:eastAsia="Arial" w:hAnsi="Arial"/>
                <w:sz w:val="16"/>
                <w:szCs w:val="16"/>
                <w:color w:val="auto"/>
              </w:rPr>
              <w:t>Towable</w:t>
            </w:r>
          </w:p>
        </w:tc>
        <w:tc>
          <w:tcPr>
            <w:tcW w:w="1460" w:type="dxa"/>
            <w:vAlign w:val="bottom"/>
          </w:tcPr>
          <w:p>
            <w:pPr>
              <w:spacing w:after="0"/>
              <w:rPr>
                <w:sz w:val="22"/>
                <w:szCs w:val="22"/>
                <w:color w:val="auto"/>
              </w:rPr>
            </w:pPr>
          </w:p>
        </w:tc>
        <w:tc>
          <w:tcPr>
            <w:tcW w:w="1600" w:type="dxa"/>
            <w:vAlign w:val="bottom"/>
          </w:tcPr>
          <w:p>
            <w:pPr>
              <w:jc w:val="right"/>
              <w:ind w:right="759"/>
              <w:spacing w:after="0"/>
              <w:rPr>
                <w:sz w:val="20"/>
                <w:szCs w:val="20"/>
                <w:color w:val="auto"/>
              </w:rPr>
            </w:pPr>
            <w:r>
              <w:rPr>
                <w:rFonts w:ascii="Arial" w:cs="Arial" w:eastAsia="Arial" w:hAnsi="Arial"/>
                <w:sz w:val="16"/>
                <w:szCs w:val="16"/>
                <w:color w:val="auto"/>
              </w:rPr>
              <w:t>6,171</w:t>
            </w:r>
          </w:p>
        </w:tc>
        <w:tc>
          <w:tcPr>
            <w:tcW w:w="1100" w:type="dxa"/>
            <w:vAlign w:val="bottom"/>
          </w:tcPr>
          <w:p>
            <w:pPr>
              <w:spacing w:after="0"/>
              <w:rPr>
                <w:sz w:val="22"/>
                <w:szCs w:val="22"/>
                <w:color w:val="auto"/>
              </w:rPr>
            </w:pPr>
          </w:p>
        </w:tc>
        <w:tc>
          <w:tcPr>
            <w:tcW w:w="1600" w:type="dxa"/>
            <w:vAlign w:val="bottom"/>
          </w:tcPr>
          <w:p>
            <w:pPr>
              <w:jc w:val="right"/>
              <w:ind w:right="739"/>
              <w:spacing w:after="0"/>
              <w:rPr>
                <w:sz w:val="20"/>
                <w:szCs w:val="20"/>
                <w:color w:val="auto"/>
              </w:rPr>
            </w:pPr>
            <w:r>
              <w:rPr>
                <w:rFonts w:ascii="Arial" w:cs="Arial" w:eastAsia="Arial" w:hAnsi="Arial"/>
                <w:sz w:val="16"/>
                <w:szCs w:val="16"/>
                <w:color w:val="auto"/>
              </w:rPr>
              <w:t>3,750</w:t>
            </w:r>
          </w:p>
        </w:tc>
        <w:tc>
          <w:tcPr>
            <w:tcW w:w="1120" w:type="dxa"/>
            <w:vAlign w:val="bottom"/>
          </w:tcPr>
          <w:p>
            <w:pPr>
              <w:spacing w:after="0"/>
              <w:rPr>
                <w:sz w:val="22"/>
                <w:szCs w:val="22"/>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color w:val="auto"/>
              </w:rPr>
              <w:t>2,421</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64.6 %</w:t>
            </w:r>
          </w:p>
        </w:tc>
      </w:tr>
    </w:tbl>
    <w:p>
      <w:pPr>
        <w:ind w:left="340" w:hanging="332"/>
        <w:spacing w:after="0" w:line="211"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ind w:left="340" w:right="640" w:hanging="332"/>
        <w:spacing w:after="0" w:line="220"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Our backlog includes all accepted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Dealer Inventory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900" w:type="dxa"/>
            <w:vAlign w:val="bottom"/>
          </w:tcPr>
          <w:p>
            <w:pPr>
              <w:spacing w:after="0"/>
              <w:rPr>
                <w:sz w:val="20"/>
                <w:szCs w:val="20"/>
                <w:color w:val="auto"/>
              </w:rPr>
            </w:pPr>
          </w:p>
        </w:tc>
        <w:tc>
          <w:tcPr>
            <w:tcW w:w="302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6"/>
                <w:szCs w:val="16"/>
                <w:b w:val="1"/>
                <w:bCs w:val="1"/>
                <w:color w:val="auto"/>
              </w:rPr>
              <w:t>Units As Of</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93"/>
        </w:trPr>
        <w:tc>
          <w:tcPr>
            <w:tcW w:w="5900" w:type="dxa"/>
            <w:vAlign w:val="bottom"/>
          </w:tcPr>
          <w:p>
            <w:pPr>
              <w:spacing w:after="0"/>
              <w:rPr>
                <w:sz w:val="16"/>
                <w:szCs w:val="16"/>
                <w:color w:val="auto"/>
              </w:rPr>
            </w:pPr>
          </w:p>
        </w:tc>
        <w:tc>
          <w:tcPr>
            <w:tcW w:w="1560" w:type="dxa"/>
            <w:vAlign w:val="bottom"/>
            <w:gridSpan w:val="2"/>
          </w:tcPr>
          <w:p>
            <w:pPr>
              <w:ind w:left="280"/>
              <w:spacing w:after="0"/>
              <w:rPr>
                <w:sz w:val="20"/>
                <w:szCs w:val="20"/>
                <w:color w:val="auto"/>
              </w:rPr>
            </w:pPr>
            <w:r>
              <w:rPr>
                <w:rFonts w:ascii="Arial" w:cs="Arial" w:eastAsia="Arial" w:hAnsi="Arial"/>
                <w:sz w:val="16"/>
                <w:szCs w:val="16"/>
                <w:b w:val="1"/>
                <w:bCs w:val="1"/>
                <w:color w:val="auto"/>
              </w:rPr>
              <w:t>August 29,</w:t>
            </w:r>
          </w:p>
        </w:tc>
        <w:tc>
          <w:tcPr>
            <w:tcW w:w="1560" w:type="dxa"/>
            <w:vAlign w:val="bottom"/>
            <w:gridSpan w:val="2"/>
          </w:tcPr>
          <w:p>
            <w:pPr>
              <w:ind w:left="300"/>
              <w:spacing w:after="0"/>
              <w:rPr>
                <w:sz w:val="20"/>
                <w:szCs w:val="20"/>
                <w:color w:val="auto"/>
              </w:rPr>
            </w:pPr>
            <w:r>
              <w:rPr>
                <w:rFonts w:ascii="Arial" w:cs="Arial" w:eastAsia="Arial" w:hAnsi="Arial"/>
                <w:sz w:val="16"/>
                <w:szCs w:val="16"/>
                <w:b w:val="1"/>
                <w:bCs w:val="1"/>
                <w:color w:val="auto"/>
              </w:rPr>
              <w:t>August 30,</w:t>
            </w:r>
          </w:p>
        </w:tc>
        <w:tc>
          <w:tcPr>
            <w:tcW w:w="16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2"/>
        </w:trPr>
        <w:tc>
          <w:tcPr>
            <w:tcW w:w="5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60" w:type="dxa"/>
            <w:vAlign w:val="bottom"/>
            <w:tcBorders>
              <w:bottom w:val="single" w:sz="8" w:color="auto"/>
            </w:tcBorders>
          </w:tcPr>
          <w:p>
            <w:pPr>
              <w:spacing w:after="0"/>
              <w:rPr>
                <w:sz w:val="20"/>
                <w:szCs w:val="20"/>
                <w:color w:val="auto"/>
              </w:rPr>
            </w:pPr>
          </w:p>
        </w:tc>
      </w:tr>
      <w:tr>
        <w:trPr>
          <w:trHeight w:val="254"/>
        </w:trPr>
        <w:tc>
          <w:tcPr>
            <w:tcW w:w="5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4,072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3,979</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93</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2.3 %</w:t>
            </w:r>
          </w:p>
        </w:tc>
      </w:tr>
      <w:tr>
        <w:trPr>
          <w:trHeight w:val="255"/>
        </w:trPr>
        <w:tc>
          <w:tcPr>
            <w:tcW w:w="5900" w:type="dxa"/>
            <w:vAlign w:val="bottom"/>
          </w:tcPr>
          <w:p>
            <w:pPr>
              <w:ind w:left="40"/>
              <w:spacing w:after="0"/>
              <w:rPr>
                <w:sz w:val="20"/>
                <w:szCs w:val="20"/>
                <w:color w:val="auto"/>
              </w:rPr>
            </w:pPr>
            <w:r>
              <w:rPr>
                <w:rFonts w:ascii="Arial" w:cs="Arial" w:eastAsia="Arial" w:hAnsi="Arial"/>
                <w:sz w:val="16"/>
                <w:szCs w:val="16"/>
                <w:color w:val="auto"/>
              </w:rPr>
              <w:t>Towables</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2"/>
                <w:szCs w:val="22"/>
                <w:color w:val="auto"/>
              </w:rPr>
            </w:pPr>
          </w:p>
        </w:tc>
        <w:tc>
          <w:tcPr>
            <w:tcW w:w="1640" w:type="dxa"/>
            <w:vAlign w:val="bottom"/>
          </w:tcPr>
          <w:p>
            <w:pPr>
              <w:jc w:val="right"/>
              <w:ind w:right="879"/>
              <w:spacing w:after="0"/>
              <w:rPr>
                <w:sz w:val="20"/>
                <w:szCs w:val="20"/>
                <w:color w:val="auto"/>
              </w:rPr>
            </w:pPr>
            <w:r>
              <w:rPr>
                <w:rFonts w:ascii="Arial" w:cs="Arial" w:eastAsia="Arial" w:hAnsi="Arial"/>
                <w:sz w:val="16"/>
                <w:szCs w:val="16"/>
                <w:color w:val="auto"/>
              </w:rPr>
              <w:t>(58)</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(3.4)%</w:t>
            </w:r>
          </w:p>
        </w:tc>
      </w:tr>
    </w:tbl>
    <w:p>
      <w:pPr>
        <w:spacing w:after="0" w:line="200" w:lineRule="exact"/>
        <w:rPr>
          <w:sz w:val="20"/>
          <w:szCs w:val="20"/>
          <w:color w:val="auto"/>
        </w:rPr>
      </w:pPr>
    </w:p>
    <w:p>
      <w:pPr>
        <w:sectPr>
          <w:pgSz w:w="11900" w:h="16838" w:orient="portrait"/>
          <w:cols w:equalWidth="0" w:num="1">
            <w:col w:w="11420"/>
          </w:cols>
          <w:pgMar w:left="240" w:top="574" w:right="239" w:bottom="90" w:gutter="0" w:footer="0" w:header="0"/>
        </w:sectPr>
      </w:pP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sectPr>
      <w:pgSz w:w="11900" w:h="16838" w:orient="portrait"/>
      <w:cols w:equalWidth="0" w:num="1">
        <w:col w:w="11420"/>
      </w:cols>
      <w:pgMar w:left="240" w:top="574" w:right="239" w:bottom="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2019-12-05T17:04:53Z</dcterms:created>
  <dcterms:modified xsi:type="dcterms:W3CDTF">2019-12-05T17:04:53Z</dcterms:modified>
</cp:coreProperties>
</file>