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spacing w:after="0" w:line="12"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GOSSETT ROBERT L</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WINNEBAGO INDUSTRIES, INC.</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P.O. BOX 152</w:t>
      </w:r>
    </w:p>
    <w:p>
      <w:pPr>
        <w:spacing w:after="0" w:line="290"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2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200" w:type="dxa"/>
            <w:vAlign w:val="bottom"/>
          </w:tcPr>
          <w:p>
            <w:pPr>
              <w:spacing w:after="0"/>
              <w:rPr>
                <w:sz w:val="20"/>
                <w:szCs w:val="20"/>
                <w:color w:val="auto"/>
              </w:rPr>
            </w:pPr>
            <w:r>
              <w:rPr>
                <w:rFonts w:ascii="Times New Roman" w:cs="Times New Roman" w:eastAsia="Times New Roman" w:hAnsi="Times New Roman"/>
                <w:sz w:val="18"/>
                <w:szCs w:val="18"/>
                <w:color w:val="0000FF"/>
              </w:rPr>
              <w:t>FOREST CITY</w:t>
            </w:r>
          </w:p>
        </w:tc>
        <w:tc>
          <w:tcPr>
            <w:tcW w:w="92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IA</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50436</w:t>
            </w:r>
          </w:p>
        </w:tc>
      </w:tr>
      <w:tr>
        <w:trPr>
          <w:trHeight w:val="158"/>
        </w:trPr>
        <w:tc>
          <w:tcPr>
            <w:tcW w:w="40" w:type="dxa"/>
            <w:vAlign w:val="bottom"/>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200" w:type="dxa"/>
            <w:vAlign w:val="bottom"/>
          </w:tcPr>
          <w:p>
            <w:pPr>
              <w:spacing w:after="0"/>
              <w:rPr>
                <w:sz w:val="20"/>
                <w:szCs w:val="20"/>
                <w:color w:val="auto"/>
              </w:rPr>
            </w:pPr>
            <w:r>
              <w:rPr>
                <w:rFonts w:ascii="Arial" w:cs="Arial" w:eastAsia="Arial" w:hAnsi="Arial"/>
                <w:sz w:val="14"/>
                <w:szCs w:val="14"/>
                <w:color w:val="auto"/>
              </w:rPr>
              <w:t>(City)</w:t>
            </w:r>
          </w:p>
        </w:tc>
        <w:tc>
          <w:tcPr>
            <w:tcW w:w="920" w:type="dxa"/>
            <w:vAlign w:val="bottom"/>
          </w:tcPr>
          <w:p>
            <w:pPr>
              <w:ind w:left="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3"/>
        </w:trPr>
        <w:tc>
          <w:tcPr>
            <w:tcW w:w="80" w:type="dxa"/>
            <w:vAlign w:val="bottom"/>
          </w:tcPr>
          <w:p>
            <w:pPr>
              <w:spacing w:after="0"/>
              <w:rPr>
                <w:sz w:val="19"/>
                <w:szCs w:val="19"/>
                <w:color w:val="auto"/>
              </w:rPr>
            </w:pPr>
          </w:p>
        </w:tc>
        <w:tc>
          <w:tcPr>
            <w:tcW w:w="3900" w:type="dxa"/>
            <w:vAlign w:val="bottom"/>
            <w:gridSpan w:val="3"/>
          </w:tcPr>
          <w:p>
            <w:pPr>
              <w:spacing w:after="0" w:line="216" w:lineRule="exact"/>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color w:val="0000EE"/>
                </w:rPr>
                <w:t xml:space="preserve">WINNEBAGO INDUSTRIES INC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WGO</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tc>
        <w:tc>
          <w:tcPr>
            <w:tcW w:w="1920" w:type="dxa"/>
            <w:vAlign w:val="bottom"/>
            <w:gridSpan w:val="3"/>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3"/>
        </w:trPr>
        <w:tc>
          <w:tcPr>
            <w:tcW w:w="80" w:type="dxa"/>
            <w:vAlign w:val="bottom"/>
          </w:tcPr>
          <w:p>
            <w:pPr>
              <w:spacing w:after="0"/>
              <w:rPr>
                <w:sz w:val="13"/>
                <w:szCs w:val="13"/>
                <w:color w:val="auto"/>
              </w:rPr>
            </w:pPr>
          </w:p>
        </w:tc>
        <w:tc>
          <w:tcPr>
            <w:tcW w:w="120" w:type="dxa"/>
            <w:vAlign w:val="bottom"/>
            <w:tcBorders>
              <w:top w:val="single" w:sz="8" w:color="0000EE"/>
            </w:tcBorders>
          </w:tcPr>
          <w:p>
            <w:pPr>
              <w:spacing w:after="0"/>
              <w:rPr>
                <w:sz w:val="13"/>
                <w:szCs w:val="13"/>
                <w:color w:val="auto"/>
              </w:rPr>
            </w:pPr>
          </w:p>
        </w:tc>
        <w:tc>
          <w:tcPr>
            <w:tcW w:w="2940" w:type="dxa"/>
            <w:vAlign w:val="bottom"/>
            <w:tcBorders>
              <w:top w:val="single" w:sz="8" w:color="0000EE"/>
            </w:tcBorders>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tcPr>
          <w:p>
            <w:pPr>
              <w:ind w:left="100"/>
              <w:spacing w:after="0" w:line="153"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53"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80" w:type="dxa"/>
            <w:vAlign w:val="bottom"/>
            <w:tcBorders>
              <w:bottom w:val="single" w:sz="8" w:color="808080"/>
            </w:tcBorders>
          </w:tcPr>
          <w:p>
            <w:pPr>
              <w:spacing w:after="0"/>
              <w:rPr>
                <w:sz w:val="16"/>
                <w:szCs w:val="16"/>
                <w:color w:val="auto"/>
              </w:rPr>
            </w:pPr>
          </w:p>
        </w:tc>
        <w:tc>
          <w:tcPr>
            <w:tcW w:w="120" w:type="dxa"/>
            <w:vAlign w:val="bottom"/>
            <w:tcBorders>
              <w:bottom w:val="single" w:sz="8" w:color="808080"/>
            </w:tcBorders>
          </w:tcPr>
          <w:p>
            <w:pPr>
              <w:spacing w:after="0"/>
              <w:rPr>
                <w:sz w:val="16"/>
                <w:szCs w:val="16"/>
                <w:color w:val="auto"/>
              </w:rPr>
            </w:pPr>
          </w:p>
        </w:tc>
        <w:tc>
          <w:tcPr>
            <w:tcW w:w="2940" w:type="dxa"/>
            <w:vAlign w:val="bottom"/>
            <w:tcBorders>
              <w:bottom w:val="single" w:sz="8" w:color="808080"/>
            </w:tcBorders>
          </w:tcPr>
          <w:p>
            <w:pPr>
              <w:spacing w:after="0"/>
              <w:rPr>
                <w:sz w:val="16"/>
                <w:szCs w:val="16"/>
                <w:color w:val="auto"/>
              </w:rPr>
            </w:pPr>
          </w:p>
        </w:tc>
        <w:tc>
          <w:tcPr>
            <w:tcW w:w="840" w:type="dxa"/>
            <w:vAlign w:val="bottom"/>
            <w:tcBorders>
              <w:bottom w:val="single" w:sz="8" w:color="808080"/>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line="154"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54" w:lineRule="exact"/>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73"/>
        </w:trPr>
        <w:tc>
          <w:tcPr>
            <w:tcW w:w="200" w:type="dxa"/>
            <w:vAlign w:val="bottom"/>
            <w:tcBorders>
              <w:top w:val="single" w:sz="8" w:color="2C2C2C"/>
            </w:tcBorders>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tcBorders>
              <w:top w:val="single" w:sz="8" w:color="2C2C2C"/>
            </w:tcBorders>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6"/>
                <w:szCs w:val="6"/>
                <w:color w:val="auto"/>
              </w:rPr>
            </w:pPr>
          </w:p>
        </w:tc>
        <w:tc>
          <w:tcPr>
            <w:tcW w:w="320" w:type="dxa"/>
            <w:vAlign w:val="bottom"/>
            <w:vMerge w:val="continue"/>
          </w:tcPr>
          <w:p>
            <w:pPr>
              <w:spacing w:after="0"/>
              <w:rPr>
                <w:sz w:val="6"/>
                <w:szCs w:val="6"/>
                <w:color w:val="auto"/>
              </w:rPr>
            </w:pPr>
          </w:p>
        </w:tc>
        <w:tc>
          <w:tcPr>
            <w:tcW w:w="1400" w:type="dxa"/>
            <w:vAlign w:val="bottom"/>
            <w:vMerge w:val="restart"/>
          </w:tcPr>
          <w:p>
            <w:pPr>
              <w:ind w:left="100"/>
              <w:spacing w:after="0" w:line="130"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30"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00" w:type="dxa"/>
            <w:vAlign w:val="bottom"/>
            <w:gridSpan w:val="2"/>
            <w:vMerge w:val="continue"/>
          </w:tcPr>
          <w:p>
            <w:pPr>
              <w:spacing w:after="0"/>
              <w:rPr>
                <w:sz w:val="5"/>
                <w:szCs w:val="5"/>
                <w:color w:val="auto"/>
              </w:rPr>
            </w:pPr>
          </w:p>
        </w:tc>
        <w:tc>
          <w:tcPr>
            <w:tcW w:w="378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0" w:type="dxa"/>
            <w:vAlign w:val="bottom"/>
            <w:gridSpan w:val="2"/>
            <w:vMerge w:val="continue"/>
          </w:tcPr>
          <w:p>
            <w:pPr>
              <w:spacing w:after="0"/>
              <w:rPr>
                <w:sz w:val="4"/>
                <w:szCs w:val="4"/>
                <w:color w:val="auto"/>
              </w:rPr>
            </w:pPr>
          </w:p>
        </w:tc>
        <w:tc>
          <w:tcPr>
            <w:tcW w:w="378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90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0000FF"/>
              </w:rPr>
              <w:t>VP-Administration</w:t>
            </w:r>
          </w:p>
        </w:tc>
        <w:tc>
          <w:tcPr>
            <w:tcW w:w="0" w:type="dxa"/>
            <w:vAlign w:val="bottom"/>
          </w:tcPr>
          <w:p>
            <w:pPr>
              <w:spacing w:after="0"/>
              <w:rPr>
                <w:sz w:val="1"/>
                <w:szCs w:val="1"/>
                <w:color w:val="auto"/>
              </w:rPr>
            </w:pPr>
          </w:p>
        </w:tc>
      </w:tr>
      <w:tr>
        <w:trPr>
          <w:trHeight w:val="228"/>
        </w:trPr>
        <w:tc>
          <w:tcPr>
            <w:tcW w:w="3140" w:type="dxa"/>
            <w:vAlign w:val="bottom"/>
            <w:gridSpan w:val="3"/>
          </w:tcPr>
          <w:p>
            <w:pPr>
              <w:ind w:left="80"/>
              <w:spacing w:after="0"/>
              <w:rPr>
                <w:sz w:val="20"/>
                <w:szCs w:val="20"/>
                <w:color w:val="auto"/>
              </w:rPr>
            </w:pPr>
            <w:r>
              <w:rPr>
                <w:rFonts w:ascii="Times New Roman" w:cs="Times New Roman" w:eastAsia="Times New Roman" w:hAnsi="Times New Roman"/>
                <w:sz w:val="18"/>
                <w:szCs w:val="18"/>
                <w:color w:val="0000FF"/>
              </w:rPr>
              <w:t>10/11/2010</w:t>
            </w: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3"/>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25" w:lineRule="auto"/>
        <w:tabs>
          <w:tab w:leader="none" w:pos="460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Person</w:t>
      </w:r>
    </w:p>
    <w:p>
      <w:pPr>
        <w:spacing w:after="0" w:line="399" w:lineRule="exact"/>
        <w:rPr>
          <w:sz w:val="24"/>
          <w:szCs w:val="24"/>
          <w:color w:val="auto"/>
        </w:rPr>
      </w:pPr>
    </w:p>
    <w:p>
      <w:pPr>
        <w:sectPr>
          <w:pgSz w:w="11900" w:h="16838" w:orient="portrait"/>
          <w:cols w:equalWidth="0" w:num="2">
            <w:col w:w="3920" w:space="80"/>
            <w:col w:w="742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00"/>
              <w:spacing w:after="0" w:line="131"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ind w:left="12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00" w:type="dxa"/>
            <w:vAlign w:val="bottom"/>
            <w:tcBorders>
              <w:bottom w:val="single" w:sz="8" w:color="2C2C2C"/>
            </w:tcBorders>
            <w:gridSpan w:val="3"/>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8"/>
                <w:szCs w:val="18"/>
                <w:color w:val="0000FF"/>
              </w:rPr>
              <w:t>Common Stock, $.50 par value</w:t>
            </w:r>
          </w:p>
        </w:tc>
        <w:tc>
          <w:tcPr>
            <w:tcW w:w="178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8"/>
                <w:szCs w:val="18"/>
                <w:color w:val="0000FF"/>
              </w:rPr>
              <w:t>10/11/2010</w:t>
            </w:r>
            <w:r>
              <w:rPr>
                <w:rFonts w:ascii="Times New Roman" w:cs="Times New Roman" w:eastAsia="Times New Roman" w:hAnsi="Times New Roman"/>
                <w:sz w:val="22"/>
                <w:szCs w:val="22"/>
                <w:color w:val="008000"/>
                <w:vertAlign w:val="superscript"/>
              </w:rPr>
              <w:t>(1)</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F</w:t>
            </w:r>
          </w:p>
        </w:tc>
        <w:tc>
          <w:tcPr>
            <w:tcW w:w="70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8"/>
                <w:szCs w:val="18"/>
                <w:color w:val="0000FF"/>
                <w:w w:val="90"/>
              </w:rPr>
              <w:t>596</w:t>
            </w:r>
            <w:r>
              <w:rPr>
                <w:rFonts w:ascii="Times New Roman" w:cs="Times New Roman" w:eastAsia="Times New Roman" w:hAnsi="Times New Roman"/>
                <w:sz w:val="22"/>
                <w:szCs w:val="22"/>
                <w:color w:val="008000"/>
                <w:w w:val="90"/>
                <w:vertAlign w:val="superscript"/>
              </w:rPr>
              <w:t>(1)</w:t>
            </w:r>
          </w:p>
        </w:tc>
        <w:tc>
          <w:tcPr>
            <w:tcW w:w="7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10.77</w:t>
            </w:r>
          </w:p>
        </w:tc>
        <w:tc>
          <w:tcPr>
            <w:tcW w:w="34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8"/>
                <w:szCs w:val="18"/>
                <w:color w:val="0000FF"/>
              </w:rPr>
              <w:t>13,598</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0"/>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tcPr>
          <w:p>
            <w:pPr>
              <w:ind w:left="14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7"/>
              </w:rPr>
              <w:t>Derivative</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340" w:type="dxa"/>
            <w:vAlign w:val="bottom"/>
          </w:tcPr>
          <w:p>
            <w:pPr>
              <w:spacing w:after="0"/>
              <w:rPr>
                <w:sz w:val="3"/>
                <w:szCs w:val="3"/>
                <w:color w:val="auto"/>
              </w:rPr>
            </w:pPr>
          </w:p>
        </w:tc>
        <w:tc>
          <w:tcPr>
            <w:tcW w:w="9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spacing w:after="0"/>
              <w:rPr>
                <w:sz w:val="20"/>
                <w:szCs w:val="20"/>
                <w:color w:val="auto"/>
              </w:rPr>
            </w:pPr>
            <w:r>
              <w:rPr>
                <w:rFonts w:ascii="Arial" w:cs="Arial" w:eastAsia="Arial" w:hAnsi="Arial"/>
                <w:sz w:val="12"/>
                <w:szCs w:val="12"/>
                <w:b w:val="1"/>
                <w:bCs w:val="1"/>
                <w:color w:val="auto"/>
              </w:rPr>
              <w:t>Expiration</w:t>
            </w:r>
          </w:p>
        </w:tc>
        <w:tc>
          <w:tcPr>
            <w:tcW w:w="110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8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jc w:val="both"/>
        <w:ind w:left="40" w:right="30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Upon the vesting of an incremental portion of restricted stock awards granted under the Winnebago Industries, Inc. 2004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reporting person's tax obligation incurred upon the vesting of such incremental portion of the restricted stock.</w:t>
      </w:r>
    </w:p>
    <w:p>
      <w:pPr>
        <w:sectPr>
          <w:pgSz w:w="11900" w:h="16838" w:orient="portrait"/>
          <w:cols w:equalWidth="0" w:num="1">
            <w:col w:w="11420"/>
          </w:cols>
          <w:pgMar w:left="240" w:top="220" w:right="239" w:bottom="1440" w:gutter="0" w:footer="0" w:header="0"/>
          <w:type w:val="continuous"/>
        </w:sectPr>
      </w:pPr>
    </w:p>
    <w:p>
      <w:pPr>
        <w:spacing w:after="0" w:line="54"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 Raymond M. Beebe,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10560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6005" cy="8890"/>
                    </a:xfrm>
                    <a:prstGeom prst="rect">
                      <a:avLst/>
                    </a:prstGeom>
                    <a:noFill/>
                  </pic:spPr>
                </pic:pic>
              </a:graphicData>
            </a:graphic>
          </wp:anchor>
        </w:drawing>
      </w:r>
    </w:p>
    <w:p>
      <w:pPr>
        <w:spacing w:after="0" w:line="1"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Secretary, Winnebago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9785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853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6"/>
          <w:szCs w:val="16"/>
          <w:color w:val="0000FF"/>
        </w:rPr>
        <w:t>Industries, Inc. under Power of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-3175</wp:posOffset>
            </wp:positionV>
            <wp:extent cx="13804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2"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962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28" w:lineRule="exact"/>
        <w:rPr>
          <w:sz w:val="24"/>
          <w:szCs w:val="24"/>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4"/>
          <w:szCs w:val="24"/>
          <w:color w:val="auto"/>
        </w:rPr>
      </w:pPr>
      <w:r>
        <w:rPr>
          <w:sz w:val="24"/>
          <w:szCs w:val="24"/>
          <w:color w:val="auto"/>
        </w:rPr>
        <w:br w:type="column"/>
      </w:r>
    </w:p>
    <w:p>
      <w:pPr>
        <w:spacing w:after="0" w:line="35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10/13/2010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508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88" w:lineRule="exact"/>
        <w:rPr>
          <w:sz w:val="24"/>
          <w:szCs w:val="24"/>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4"/>
          <w:szCs w:val="24"/>
          <w:color w:val="auto"/>
        </w:rPr>
      </w:pPr>
    </w:p>
    <w:p>
      <w:pPr>
        <w:sectPr>
          <w:pgSz w:w="11900" w:h="16838" w:orient="portrait"/>
          <w:cols w:equalWidth="0" w:num="2">
            <w:col w:w="9040" w:space="120"/>
            <w:col w:w="2260"/>
          </w:cols>
          <w:pgMar w:left="240" w:top="220"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226270" TargetMode="External"/><Relationship Id="rId13"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2019-12-16T08:25:06Z</dcterms:created>
  <dcterms:modified xsi:type="dcterms:W3CDTF">2019-12-16T08:25:06Z</dcterms:modified>
</cp:coreProperties>
</file>