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March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156210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390" w:lineRule="exact"/>
        <w:rPr>
          <w:sz w:val="24"/>
          <w:szCs w:val="24"/>
          <w:color w:val="auto"/>
        </w:rPr>
      </w:pPr>
    </w:p>
    <w:tbl>
      <w:tblPr>
        <w:tblLayout w:type="fixed"/>
        <w:tblInd w:w="40" w:type="dxa"/>
        <w:tblCellMar>
          <w:top w:w="0" w:type="dxa"/>
          <w:left w:w="0" w:type="dxa"/>
          <w:bottom w:w="0" w:type="dxa"/>
          <w:right w:w="0" w:type="dxa"/>
        </w:tblCellMar>
      </w:tblPr>
      <w:tr>
        <w:trPr>
          <w:trHeight w:val="218"/>
        </w:trPr>
        <w:tc>
          <w:tcPr>
            <w:tcW w:w="1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rPr>
              <w:t>Iowa</w:t>
            </w:r>
          </w:p>
        </w:tc>
        <w:tc>
          <w:tcPr>
            <w:tcW w:w="18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001-06403</w:t>
            </w:r>
          </w:p>
        </w:tc>
        <w:tc>
          <w:tcPr>
            <w:tcW w:w="4280" w:type="dxa"/>
            <w:vAlign w:val="bottom"/>
            <w:tcBorders>
              <w:bottom w:val="single" w:sz="8" w:color="auto"/>
            </w:tcBorders>
          </w:tcPr>
          <w:p>
            <w:pPr>
              <w:jc w:val="right"/>
              <w:ind w:right="1639"/>
              <w:spacing w:after="0"/>
              <w:rPr>
                <w:sz w:val="20"/>
                <w:szCs w:val="20"/>
                <w:color w:val="auto"/>
              </w:rPr>
            </w:pPr>
            <w:r>
              <w:rPr>
                <w:rFonts w:ascii="Arial" w:cs="Arial" w:eastAsia="Arial" w:hAnsi="Arial"/>
                <w:sz w:val="16"/>
                <w:szCs w:val="16"/>
                <w:b w:val="1"/>
                <w:bCs w:val="1"/>
                <w:color w:val="auto"/>
              </w:rPr>
              <w:t>42-0802678</w:t>
            </w:r>
          </w:p>
        </w:tc>
      </w:tr>
      <w:tr>
        <w:trPr>
          <w:trHeight w:val="206"/>
        </w:trPr>
        <w:tc>
          <w:tcPr>
            <w:tcW w:w="490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00" w:type="dxa"/>
            <w:vAlign w:val="bottom"/>
          </w:tcPr>
          <w:p>
            <w:pPr>
              <w:jc w:val="right"/>
              <w:spacing w:after="0"/>
              <w:rPr>
                <w:sz w:val="20"/>
                <w:szCs w:val="20"/>
                <w:color w:val="auto"/>
              </w:rPr>
            </w:pPr>
            <w:r>
              <w:rPr>
                <w:rFonts w:ascii="Arial" w:cs="Arial" w:eastAsia="Arial" w:hAnsi="Arial"/>
                <w:sz w:val="16"/>
                <w:szCs w:val="16"/>
                <w:color w:val="auto"/>
              </w:rPr>
              <w:t>(Commission File Number)</w:t>
            </w:r>
          </w:p>
        </w:tc>
        <w:tc>
          <w:tcPr>
            <w:tcW w:w="42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5"/>
        </w:trPr>
        <w:tc>
          <w:tcPr>
            <w:tcW w:w="16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P.O. Box 152</w:t>
            </w:r>
          </w:p>
        </w:tc>
        <w:tc>
          <w:tcPr>
            <w:tcW w:w="13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Forest City</w:t>
            </w:r>
          </w:p>
        </w:tc>
        <w:tc>
          <w:tcPr>
            <w:tcW w:w="188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Iowa</w:t>
            </w:r>
          </w:p>
        </w:tc>
        <w:tc>
          <w:tcPr>
            <w:tcW w:w="2000" w:type="dxa"/>
            <w:vAlign w:val="bottom"/>
          </w:tcPr>
          <w:p>
            <w:pPr>
              <w:spacing w:after="0"/>
              <w:rPr>
                <w:sz w:val="24"/>
                <w:szCs w:val="24"/>
                <w:color w:val="auto"/>
              </w:rPr>
            </w:pPr>
          </w:p>
        </w:tc>
        <w:tc>
          <w:tcPr>
            <w:tcW w:w="4280" w:type="dxa"/>
            <w:vAlign w:val="bottom"/>
            <w:tcBorders>
              <w:bottom w:val="single" w:sz="8" w:color="auto"/>
            </w:tcBorders>
          </w:tcPr>
          <w:p>
            <w:pPr>
              <w:jc w:val="right"/>
              <w:ind w:right="1839"/>
              <w:spacing w:after="0"/>
              <w:rPr>
                <w:sz w:val="20"/>
                <w:szCs w:val="20"/>
                <w:color w:val="auto"/>
              </w:rPr>
            </w:pPr>
            <w:r>
              <w:rPr>
                <w:rFonts w:ascii="Arial" w:cs="Arial" w:eastAsia="Arial" w:hAnsi="Arial"/>
                <w:sz w:val="16"/>
                <w:szCs w:val="16"/>
                <w:b w:val="1"/>
                <w:bCs w:val="1"/>
                <w:color w:val="auto"/>
              </w:rPr>
              <w:t>50436</w:t>
            </w:r>
          </w:p>
        </w:tc>
      </w:tr>
      <w:tr>
        <w:trPr>
          <w:trHeight w:val="207"/>
        </w:trPr>
        <w:tc>
          <w:tcPr>
            <w:tcW w:w="490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00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561"/>
        </w:trPr>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80" w:type="dxa"/>
            <w:vAlign w:val="bottom"/>
            <w:gridSpan w:val="2"/>
          </w:tcPr>
          <w:p>
            <w:pPr>
              <w:jc w:val="right"/>
              <w:spacing w:after="0"/>
              <w:rPr>
                <w:sz w:val="20"/>
                <w:szCs w:val="20"/>
                <w:color w:val="auto"/>
              </w:rPr>
            </w:pPr>
            <w:r>
              <w:rPr>
                <w:rFonts w:ascii="Arial" w:cs="Arial" w:eastAsia="Arial" w:hAnsi="Arial"/>
                <w:sz w:val="16"/>
                <w:szCs w:val="16"/>
                <w:color w:val="auto"/>
              </w:rPr>
              <w:t>Registrant's telephone number, including area code</w:t>
            </w:r>
          </w:p>
        </w:tc>
        <w:tc>
          <w:tcPr>
            <w:tcW w:w="4280" w:type="dxa"/>
            <w:vAlign w:val="bottom"/>
          </w:tcPr>
          <w:p>
            <w:pPr>
              <w:jc w:val="right"/>
              <w:ind w:right="3099"/>
              <w:spacing w:after="0"/>
              <w:rPr>
                <w:sz w:val="20"/>
                <w:szCs w:val="20"/>
                <w:color w:val="auto"/>
              </w:rPr>
            </w:pPr>
            <w:r>
              <w:rPr>
                <w:rFonts w:ascii="Arial" w:cs="Arial" w:eastAsia="Arial" w:hAnsi="Arial"/>
                <w:sz w:val="16"/>
                <w:szCs w:val="16"/>
                <w:b w:val="1"/>
                <w:bCs w:val="1"/>
                <w:color w:val="auto"/>
              </w:rPr>
              <w:t>641-585-3535</w:t>
            </w:r>
          </w:p>
        </w:tc>
      </w:tr>
      <w:tr>
        <w:trPr>
          <w:trHeight w:val="189"/>
        </w:trPr>
        <w:tc>
          <w:tcPr>
            <w:tcW w:w="1640" w:type="dxa"/>
            <w:vAlign w:val="bottom"/>
          </w:tcPr>
          <w:p>
            <w:pPr>
              <w:spacing w:after="0"/>
              <w:rPr>
                <w:sz w:val="16"/>
                <w:szCs w:val="16"/>
                <w:color w:val="auto"/>
              </w:rPr>
            </w:pPr>
          </w:p>
        </w:tc>
        <w:tc>
          <w:tcPr>
            <w:tcW w:w="9540" w:type="dxa"/>
            <w:vAlign w:val="bottom"/>
            <w:gridSpan w:val="4"/>
          </w:tcPr>
          <w:p>
            <w:pPr>
              <w:jc w:val="right"/>
              <w:ind w:right="2359"/>
              <w:spacing w:after="0"/>
              <w:rPr>
                <w:sz w:val="20"/>
                <w:szCs w:val="20"/>
                <w:color w:val="auto"/>
              </w:rPr>
            </w:pPr>
            <w:r>
              <w:rPr>
                <w:rFonts w:ascii="Arial" w:cs="Arial" w:eastAsia="Arial" w:hAnsi="Arial"/>
                <w:sz w:val="16"/>
                <w:szCs w:val="16"/>
                <w:color w:val="auto"/>
              </w:rPr>
              <w:t>______________________________________________________________________</w:t>
            </w:r>
          </w:p>
        </w:tc>
      </w:tr>
      <w:tr>
        <w:trPr>
          <w:trHeight w:val="195"/>
        </w:trPr>
        <w:tc>
          <w:tcPr>
            <w:tcW w:w="1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160" w:type="dxa"/>
            <w:vAlign w:val="bottom"/>
            <w:gridSpan w:val="3"/>
          </w:tcPr>
          <w:p>
            <w:pPr>
              <w:jc w:val="center"/>
              <w:ind w:right="2999"/>
              <w:spacing w:after="0"/>
              <w:rPr>
                <w:sz w:val="20"/>
                <w:szCs w:val="20"/>
                <w:color w:val="auto"/>
              </w:rPr>
            </w:pPr>
            <w:r>
              <w:rPr>
                <w:rFonts w:ascii="Arial" w:cs="Arial" w:eastAsia="Arial" w:hAnsi="Arial"/>
                <w:sz w:val="16"/>
                <w:szCs w:val="16"/>
                <w:color w:val="auto"/>
              </w:rPr>
              <w:t>(Former Name or Former Address, if Changed Since Last Report.)</w:t>
            </w:r>
          </w:p>
        </w:tc>
      </w:tr>
    </w:tbl>
    <w:p>
      <w:pPr>
        <w:spacing w:after="0" w:line="237"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21"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7"/>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53"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6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On March 24, 2021, Winnebago Industries, Inc. issued a press release to report financial results for the second quarter of Fiscal 2021 ended February 27, 2021. A copy of the press release is attached as Exhibit 99.1 and is incorporated by reference herein.</w:t>
      </w:r>
    </w:p>
    <w:p>
      <w:pPr>
        <w:spacing w:after="0" w:line="222"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second quarter of Fiscal 2021.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1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Exhibit</w:t>
            </w:r>
          </w:p>
        </w:tc>
        <w:tc>
          <w:tcPr>
            <w:tcW w:w="1002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Description</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Number</w:t>
            </w:r>
          </w:p>
        </w:tc>
        <w:tc>
          <w:tcPr>
            <w:tcW w:w="10020" w:type="dxa"/>
            <w:vAlign w:val="bottom"/>
            <w:tcBorders>
              <w:bottom w:val="single" w:sz="8" w:color="auto"/>
            </w:tcBorders>
            <w:gridSpan w:val="3"/>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00" w:type="dxa"/>
            <w:vAlign w:val="bottom"/>
            <w:gridSpan w:val="4"/>
          </w:tcPr>
          <w:p>
            <w:pPr>
              <w:ind w:left="420"/>
              <w:spacing w:after="0" w:line="170" w:lineRule="exact"/>
              <w:rPr>
                <w:rFonts w:ascii="Arial" w:cs="Arial" w:eastAsia="Arial" w:hAnsi="Arial"/>
                <w:sz w:val="16"/>
                <w:szCs w:val="16"/>
                <w:color w:val="0000FF"/>
              </w:rPr>
            </w:pPr>
            <w:hyperlink w:anchor="page4">
              <w:r>
                <w:rPr>
                  <w:rFonts w:ascii="Arial" w:cs="Arial" w:eastAsia="Arial" w:hAnsi="Arial"/>
                  <w:sz w:val="16"/>
                  <w:szCs w:val="16"/>
                  <w:color w:val="0000FF"/>
                </w:rPr>
                <w:t>99.</w:t>
              </w:r>
              <w:r>
                <w:rPr>
                  <w:rFonts w:ascii="Arial" w:cs="Arial" w:eastAsia="Arial" w:hAnsi="Arial"/>
                  <w:sz w:val="16"/>
                  <w:szCs w:val="16"/>
                  <w:u w:val="single" w:color="auto"/>
                  <w:color w:val="0000FF"/>
                </w:rPr>
                <w:t>1</w:t>
              </w:r>
            </w:hyperlink>
          </w:p>
        </w:tc>
        <w:tc>
          <w:tcPr>
            <w:tcW w:w="10040" w:type="dxa"/>
            <w:vAlign w:val="bottom"/>
            <w:gridSpan w:val="4"/>
          </w:tcPr>
          <w:p>
            <w:pPr>
              <w:ind w:left="180"/>
              <w:spacing w:after="0" w:line="170" w:lineRule="exact"/>
              <w:rPr>
                <w:rFonts w:ascii="Arial" w:cs="Arial" w:eastAsia="Arial" w:hAnsi="Arial"/>
                <w:sz w:val="16"/>
                <w:szCs w:val="16"/>
                <w:color w:val="0000FF"/>
              </w:rPr>
            </w:pPr>
            <w:hyperlink w:anchor="page4">
              <w:r>
                <w:rPr>
                  <w:rFonts w:ascii="Arial" w:cs="Arial" w:eastAsia="Arial" w:hAnsi="Arial"/>
                  <w:sz w:val="16"/>
                  <w:szCs w:val="16"/>
                  <w:color w:val="0000FF"/>
                </w:rPr>
                <w:t>Press Release of Winnebago Industries, Inc. dated March 24, 2021</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460" w:type="dxa"/>
            <w:vAlign w:val="bottom"/>
          </w:tcPr>
          <w:p>
            <w:pPr>
              <w:spacing w:after="0"/>
              <w:rPr>
                <w:sz w:val="20"/>
                <w:szCs w:val="20"/>
                <w:color w:val="auto"/>
              </w:rPr>
            </w:pPr>
          </w:p>
        </w:tc>
        <w:tc>
          <w:tcPr>
            <w:tcW w:w="10040" w:type="dxa"/>
            <w:vAlign w:val="bottom"/>
            <w:gridSpan w:val="4"/>
          </w:tcPr>
          <w:p>
            <w:pPr>
              <w:ind w:left="180"/>
              <w:spacing w:after="0"/>
              <w:rPr>
                <w:sz w:val="20"/>
                <w:szCs w:val="20"/>
                <w:color w:val="auto"/>
              </w:rPr>
            </w:pPr>
            <w:r>
              <w:rPr>
                <w:rFonts w:ascii="Arial" w:cs="Arial" w:eastAsia="Arial" w:hAnsi="Arial"/>
                <w:sz w:val="16"/>
                <w:szCs w:val="16"/>
                <w:color w:val="auto"/>
              </w:rPr>
              <w:t>Cover Page Interactive Data File (formatted as Inline XBRL)</w:t>
            </w:r>
          </w:p>
        </w:tc>
        <w:tc>
          <w:tcPr>
            <w:tcW w:w="0" w:type="dxa"/>
            <w:vAlign w:val="bottom"/>
          </w:tcPr>
          <w:p>
            <w:pPr>
              <w:spacing w:after="0"/>
              <w:rPr>
                <w:sz w:val="1"/>
                <w:szCs w:val="1"/>
                <w:color w:val="auto"/>
              </w:rPr>
            </w:pPr>
          </w:p>
        </w:tc>
      </w:tr>
      <w:tr>
        <w:trPr>
          <w:trHeight w:val="1241"/>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6620" w:type="dxa"/>
            <w:vAlign w:val="bottom"/>
            <w:gridSpan w:val="2"/>
          </w:tcPr>
          <w:p>
            <w:pPr>
              <w:ind w:left="11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33"/>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440" w:type="dxa"/>
            <w:vAlign w:val="bottom"/>
          </w:tcPr>
          <w:p>
            <w:pPr>
              <w:ind w:left="160"/>
              <w:spacing w:after="0"/>
              <w:rPr>
                <w:sz w:val="20"/>
                <w:szCs w:val="20"/>
                <w:color w:val="auto"/>
              </w:rPr>
            </w:pPr>
            <w:r>
              <w:rPr>
                <w:rFonts w:ascii="Arial" w:cs="Arial" w:eastAsia="Arial" w:hAnsi="Arial"/>
                <w:sz w:val="16"/>
                <w:szCs w:val="16"/>
                <w:color w:val="auto"/>
              </w:rPr>
              <w:t>March 24, 2021</w:t>
            </w:r>
          </w:p>
        </w:tc>
        <w:tc>
          <w:tcPr>
            <w:tcW w:w="1960" w:type="dxa"/>
            <w:vAlign w:val="bottom"/>
          </w:tcPr>
          <w:p>
            <w:pPr>
              <w:ind w:left="116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07"/>
        </w:trPr>
        <w:tc>
          <w:tcPr>
            <w:tcW w:w="5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960" w:type="dxa"/>
            <w:vAlign w:val="bottom"/>
          </w:tcPr>
          <w:p>
            <w:pPr>
              <w:ind w:left="116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16"/>
        </w:trPr>
        <w:tc>
          <w:tcPr>
            <w:tcW w:w="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60" w:type="dxa"/>
            <w:vAlign w:val="bottom"/>
          </w:tcPr>
          <w:p>
            <w:pPr>
              <w:ind w:left="116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Senior Vice President, Chief Financial Officer</w:t>
            </w:r>
          </w:p>
        </w:tc>
      </w:tr>
    </w:tbl>
    <w:p>
      <w:pPr>
        <w:sectPr>
          <w:pgSz w:w="11900" w:h="16838" w:orient="portrait"/>
          <w:cols w:equalWidth="0" w:num="1">
            <w:col w:w="11220"/>
          </w:cols>
          <w:pgMar w:left="320" w:top="881" w:right="359" w:bottom="1440" w:gutter="0" w:footer="0" w:header="0"/>
        </w:sectPr>
      </w:pPr>
    </w:p>
    <w:bookmarkStart w:id="3" w:name="page4"/>
    <w:bookmarkEnd w:id="3"/>
    <w:p>
      <w:pPr>
        <w:spacing w:after="0" w:line="1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749300</wp:posOffset>
            </wp:positionV>
            <wp:extent cx="2957195" cy="814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ind w:left="702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WINNEBAGO INDUSTRIES ANNOUNCES STRONG SECOND QUARTER FISCAL 2021 RESULTS</w:t>
      </w:r>
    </w:p>
    <w:p>
      <w:pPr>
        <w:spacing w:after="0" w:line="198" w:lineRule="exact"/>
        <w:rPr>
          <w:sz w:val="20"/>
          <w:szCs w:val="20"/>
          <w:color w:val="auto"/>
        </w:rPr>
      </w:pPr>
    </w:p>
    <w:p>
      <w:pPr>
        <w:jc w:val="center"/>
        <w:ind w:left="360" w:right="1080"/>
        <w:spacing w:after="0" w:line="475" w:lineRule="auto"/>
        <w:rPr>
          <w:sz w:val="20"/>
          <w:szCs w:val="20"/>
          <w:color w:val="auto"/>
        </w:rPr>
      </w:pPr>
      <w:r>
        <w:rPr>
          <w:rFonts w:ascii="Arial" w:cs="Arial" w:eastAsia="Arial" w:hAnsi="Arial"/>
          <w:sz w:val="16"/>
          <w:szCs w:val="16"/>
          <w:b w:val="1"/>
          <w:bCs w:val="1"/>
          <w:color w:val="auto"/>
        </w:rPr>
        <w:t>-- Record Quarterly Revenues of $839.9 million Up 34.0% Year-Over-Year, Driven by Robust End Consumer Demand -- -- Organic RV Market Share Gains Continue, Rising to 11.5% (+90 Basis Points) on a Trailing Twelve Month Basis -- -- Second Quarter Gross Margin Expansion of 590 Basis Points to 18.6% --</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Record Reported Diluted EPS of $2.04 Up 300.0%; Record Adjusted EPS of $2.12 Up 216.4% Over Prior Year --</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Interest in the Outdoors Remains High as Evidenced by Elevated Order Backlogs and Retail Sales Growth --</w:t>
      </w:r>
    </w:p>
    <w:p>
      <w:pPr>
        <w:spacing w:after="0" w:line="200" w:lineRule="exact"/>
        <w:rPr>
          <w:sz w:val="20"/>
          <w:szCs w:val="20"/>
          <w:color w:val="auto"/>
        </w:rPr>
      </w:pPr>
    </w:p>
    <w:p>
      <w:pPr>
        <w:spacing w:after="0" w:line="271" w:lineRule="exact"/>
        <w:rPr>
          <w:sz w:val="20"/>
          <w:szCs w:val="20"/>
          <w:color w:val="auto"/>
        </w:rPr>
      </w:pPr>
    </w:p>
    <w:p>
      <w:pPr>
        <w:spacing w:after="0" w:line="401" w:lineRule="auto"/>
        <w:rPr>
          <w:sz w:val="20"/>
          <w:szCs w:val="20"/>
          <w:color w:val="auto"/>
        </w:rPr>
      </w:pPr>
      <w:r>
        <w:rPr>
          <w:rFonts w:ascii="Arial" w:cs="Arial" w:eastAsia="Arial" w:hAnsi="Arial"/>
          <w:sz w:val="16"/>
          <w:szCs w:val="16"/>
          <w:color w:val="auto"/>
        </w:rPr>
        <w:t>EDEN PRAIRIE, MINNESOTA, March 24, 2021 - Winnebago Industries, Inc. (NYSE: WGO), a leading outdoor lifestyle product manufacturer, today reported financial results for the Company's second quarter of Fiscal 2021.</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Second Quarter Fiscal 2021 Results</w:t>
      </w:r>
    </w:p>
    <w:p>
      <w:pPr>
        <w:spacing w:after="0" w:line="86"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Revenues for the Fiscal 2021 second quarter ended February 27, 2021, were $839.9 million, an increase of 34.0% compared to $626.8 million for the Fiscal 2020 period. Gross profit was $156.6 million, an increase of 96.3% compared to $79.8 million for the Fiscal 2020 period. Gross profit margin increased 590 basis points in the quarter, driven by pricing, including lower discounts and allowances, operating leverage, motorhome segment productivity initiatives and favorable segment mix. Operating income was $100.0 million for the quarter, an increase of 237.3% compared to $29.6 million for the second quarter last year. Fiscal 2021 second quarter net income was $69.1 million, an increase of 300.0% compared to $17.3 million in the prior year quarter. Reported earnings per diluted share were $2.04 compared to reported earnings per diluted share of $0.51 in the same period last year. Consolidated adjusted earnings per diluted share increased 216.4% to $2.12 for the second quarter compared to adjusted earnings per diluted share of $0.67 in the same period last year. Consolidated Adjusted EBITDA was $108.0 million for the quarter, compared to $45.4 million last year, an increase of 137.7%.</w:t>
      </w:r>
    </w:p>
    <w:p>
      <w:pPr>
        <w:spacing w:after="0" w:line="232" w:lineRule="exact"/>
        <w:rPr>
          <w:sz w:val="20"/>
          <w:szCs w:val="20"/>
          <w:color w:val="auto"/>
        </w:rPr>
      </w:pPr>
    </w:p>
    <w:p>
      <w:pPr>
        <w:ind w:right="80"/>
        <w:spacing w:after="0" w:line="354" w:lineRule="auto"/>
        <w:rPr>
          <w:sz w:val="20"/>
          <w:szCs w:val="20"/>
          <w:color w:val="auto"/>
        </w:rPr>
      </w:pPr>
      <w:r>
        <w:rPr>
          <w:rFonts w:ascii="Arial" w:cs="Arial" w:eastAsia="Arial" w:hAnsi="Arial"/>
          <w:sz w:val="16"/>
          <w:szCs w:val="16"/>
          <w:color w:val="auto"/>
        </w:rPr>
        <w:t>President and Chief Executive Officer Michael Happe commented, “We are pleased with the outstanding market and financial results from our second quarter of fiscal 2021, as they reflect the sustained strength of our leading brand portfolio and our world-class team’s commitment to safely deliver high-quality products to our valued dealer network. Winnebago Industries’ golden threads of quality, innovation, and service consistently resonate with end consumers who continue to flock to the great outdoors in search of extraordinary experiences with family and friends and aspire to choose a premium OEM partner. We are seeing strong retail momentum heading into the prime spring season. I am especially excited and extremely grateful for our team’s ability to deliver strong profitability in the midst of a very dynamic environment – this is a testament to their resiliency, the appeal of our innovative product lines, and sustained continuous improvement efforts operationally. Looking forward, our relentless focus on building a premier outdoor lifestyle company to maximize value for our employees, consumers, dealers, and shareholders remains steadfast.”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20"/>
          </w:cols>
          <w:pgMar w:left="320" w:top="1440" w:right="35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ind w:right="40"/>
        <w:spacing w:after="0" w:line="355" w:lineRule="auto"/>
        <w:rPr>
          <w:sz w:val="20"/>
          <w:szCs w:val="20"/>
          <w:color w:val="auto"/>
        </w:rPr>
      </w:pPr>
      <w:r>
        <w:rPr>
          <w:rFonts w:ascii="Arial" w:cs="Arial" w:eastAsia="Arial" w:hAnsi="Arial"/>
          <w:sz w:val="16"/>
          <w:szCs w:val="16"/>
          <w:color w:val="auto"/>
        </w:rPr>
        <w:t>Revenues for the Towable segment were $439.3 million for the second quarter, up 55.0% over the prior year, driven by elevated consumer demand for Grand Design and Winnebago branded products. Segment Adjusted EBITDA was $62.4 million, up 79.5% over the prior year period. Adjusted EBITDA margin of 14.2% increased 190 basis points, primarily due to pricing and operating leverage. Backlog increased to 39,855 units, an increase of 307.1% over the prior year period, as dealer inventories continue to experience a significant reduction amidst heightened levels of consumer retail demand since the summer of 2020.</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w:t>
      </w:r>
    </w:p>
    <w:p>
      <w:pPr>
        <w:spacing w:after="0" w:line="86" w:lineRule="exact"/>
        <w:rPr>
          <w:sz w:val="20"/>
          <w:szCs w:val="20"/>
          <w:color w:val="auto"/>
        </w:rPr>
      </w:pPr>
    </w:p>
    <w:p>
      <w:pPr>
        <w:ind w:right="60"/>
        <w:spacing w:after="0" w:line="355" w:lineRule="auto"/>
        <w:rPr>
          <w:sz w:val="20"/>
          <w:szCs w:val="20"/>
          <w:color w:val="auto"/>
        </w:rPr>
      </w:pPr>
      <w:r>
        <w:rPr>
          <w:rFonts w:ascii="Arial" w:cs="Arial" w:eastAsia="Arial" w:hAnsi="Arial"/>
          <w:sz w:val="16"/>
          <w:szCs w:val="16"/>
          <w:color w:val="auto"/>
        </w:rPr>
        <w:t>Revenues for the Motorhome segment were $382.6 million for the second quarter, up 17.5% from the prior year, driven by continued strong demand for motorhomes, particularly Winnebago branded Class B products. Segment Adjusted EBITDA was $51.0 million, up 241.0% from the prior year. Adjusted EBITDA margin increased 870 basis points to 13.3% over the prior year, driven by pricing, operating leverage and productivity initiatives. Backlog increased to 14,974 units, an increase of 424.3% over the prior year period, as dealers have experienced sizable reductions to their inventory due to encountering extremely high levels of consumer demand since the summer of 2020.</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ind w:right="100"/>
        <w:spacing w:after="0" w:line="356" w:lineRule="auto"/>
        <w:rPr>
          <w:sz w:val="20"/>
          <w:szCs w:val="20"/>
          <w:color w:val="auto"/>
        </w:rPr>
      </w:pPr>
      <w:r>
        <w:rPr>
          <w:rFonts w:ascii="Arial" w:cs="Arial" w:eastAsia="Arial" w:hAnsi="Arial"/>
          <w:sz w:val="16"/>
          <w:szCs w:val="16"/>
          <w:color w:val="auto"/>
        </w:rPr>
        <w:t>As of February 27, 2021, the Company had total outstanding debt of $520.3 million ($600.0 million of debt, net of convertible note discount of $67.5 million, and net of debt issuance costs of $12.2 million) and working capital of $544.0 million. Cash flow from operations was $66.9 million for the first six months of Fiscal 2021, a decrease of $52.2 million from the same period in Fiscal 2020, due to year-over-year changes in working capital that have been required to support increased production and the rapid growth in sales.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640"/>
        <w:spacing w:after="0" w:line="366" w:lineRule="auto"/>
        <w:rPr>
          <w:sz w:val="20"/>
          <w:szCs w:val="20"/>
          <w:color w:val="auto"/>
        </w:rPr>
      </w:pPr>
      <w:r>
        <w:rPr>
          <w:rFonts w:ascii="Arial" w:cs="Arial" w:eastAsia="Arial" w:hAnsi="Arial"/>
          <w:sz w:val="16"/>
          <w:szCs w:val="16"/>
          <w:color w:val="auto"/>
        </w:rPr>
        <w:t>On March 17, 2021, the Company’s board of directors approved a quarterly cash dividend of $0.12 per share payable on April 28, 2021, to common stockholders of record at the close of business on April 14, 2021.</w:t>
      </w:r>
    </w:p>
    <w:p>
      <w:pPr>
        <w:spacing w:after="0" w:line="222"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Mr. Happe continued, “While we are pleased with the exceptional financial and operating results delivered for the second quarter, we are also optimistic about the positive retail and wholesale conditions for the rest of our fiscal year. Our Winnebago Industries teams are working diligently with supplier partners to deliver higher volume levels of product to the market for the foreseeable future. Strong retail demand, low field inventory, and record committed dealer orders set the table for continued robust performance, but it should be especially noted we also believe there is secular and ongoing growth in outdoor lifestyle products as consumer priorities have changed due to the pandemic. We are making well-considered capital investments across our premium brand portfolio to increase capacity to meet this elevated demand and will remain disciplined in managing future production to match healthy market behavior and economic conditions. Winnebago Industries is encouraged by the ramp-up of vaccinations in North America and continues to encourage all our stakeholders to keep their families and themselves healthy as they enjoy the outdoors. Lastly, our company is committed to building a more diverse, equitable, and inclusive culture and working to create more equitable outdoor experiences in our communities. Recent exciting announcements on new Board of Director appointments and a renewed enterprise partnership with the National Park Foundation are proof points of positive progress on this critical journey with much more work ahead to do.”</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280"/>
        <w:spacing w:after="0" w:line="366" w:lineRule="auto"/>
        <w:rPr>
          <w:sz w:val="20"/>
          <w:szCs w:val="20"/>
          <w:color w:val="auto"/>
        </w:rPr>
      </w:pPr>
      <w:r>
        <w:rPr>
          <w:rFonts w:ascii="Arial" w:cs="Arial" w:eastAsia="Arial" w:hAnsi="Arial"/>
          <w:sz w:val="16"/>
          <w:szCs w:val="16"/>
          <w:color w:val="auto"/>
        </w:rPr>
        <w:t>Winnebago Industries, Inc. will discuss Fiscal 2021 second quarter earnings results during a conference call scheduled for 9:00 a.m. Central Time today. Members of the news media, investors and the general public are invited to access a live broadcast of</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1437" w:right="379" w:bottom="1440" w:gutter="0" w:footer="0" w:header="0"/>
        </w:sectPr>
      </w:pPr>
    </w:p>
    <w:bookmarkStart w:id="5" w:name="page6"/>
    <w:bookmarkEnd w:id="5"/>
    <w:p>
      <w:pPr>
        <w:ind w:right="180"/>
        <w:spacing w:after="0" w:line="366" w:lineRule="auto"/>
        <w:rPr>
          <w:sz w:val="20"/>
          <w:szCs w:val="20"/>
          <w:color w:val="auto"/>
        </w:rPr>
      </w:pPr>
      <w:r>
        <w:rPr>
          <w:rFonts w:ascii="Arial" w:cs="Arial" w:eastAsia="Arial" w:hAnsi="Arial"/>
          <w:sz w:val="16"/>
          <w:szCs w:val="16"/>
          <w:color w:val="auto"/>
        </w:rPr>
        <w:t xml:space="preserve">the conference call via the Investor Relations page of the Company's website at </w:t>
      </w:r>
      <w:r>
        <w:rPr>
          <w:rFonts w:ascii="Arial" w:cs="Arial" w:eastAsia="Arial" w:hAnsi="Arial"/>
          <w:sz w:val="16"/>
          <w:szCs w:val="16"/>
          <w:color w:val="0000FF"/>
        </w:rPr>
        <w:t>http://investor.wgo.net</w:t>
      </w:r>
      <w:r>
        <w:rPr>
          <w:rFonts w:ascii="Arial" w:cs="Arial" w:eastAsia="Arial" w:hAnsi="Arial"/>
          <w:sz w:val="16"/>
          <w:szCs w:val="16"/>
          <w:color w:val="auto"/>
        </w:rPr>
        <w:t>. The event will be archived and available for replay for the next 90 days.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ind w:right="2080"/>
        <w:spacing w:after="0" w:line="352"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and Newmar brands, which are used primarily in leisure travel and outdoor recreation activities. The</w:t>
      </w:r>
    </w:p>
    <w:p>
      <w:pPr>
        <w:spacing w:after="0"/>
        <w:rPr>
          <w:sz w:val="20"/>
          <w:szCs w:val="20"/>
          <w:color w:val="auto"/>
        </w:rPr>
      </w:pPr>
      <w:r>
        <w:rPr>
          <w:rFonts w:ascii="Arial" w:cs="Arial" w:eastAsia="Arial" w:hAnsi="Arial"/>
          <w:sz w:val="16"/>
          <w:szCs w:val="16"/>
          <w:color w:val="auto"/>
        </w:rPr>
        <w:t>Company builds quality motorhomes, travel trailers, fifth wheel products and boats. Winnebago Industries has multiple facilities in Iowa, Indiana, Minnesota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and Florida. The Company's common stock is listed on the New York Stock Exchange and traded under the symbol WGO. For access to Winnebago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Industries' investor relations material or to add your name to an automatic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list for Company news releases, visit </w:t>
      </w:r>
      <w:r>
        <w:rPr>
          <w:rFonts w:ascii="Arial" w:cs="Arial" w:eastAsia="Arial" w:hAnsi="Arial"/>
          <w:sz w:val="16"/>
          <w:szCs w:val="16"/>
          <w:color w:val="0000FF"/>
        </w:rPr>
        <w:t>http://investor.wgo.net</w:t>
      </w:r>
      <w:r>
        <w:rPr>
          <w:rFonts w:ascii="Arial" w:cs="Arial" w:eastAsia="Arial" w:hAnsi="Arial"/>
          <w:sz w:val="16"/>
          <w:szCs w:val="16"/>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86"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00"/>
          </w:cols>
          <w:pgMar w:left="320" w:top="951" w:right="37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2"/>
        </w:trPr>
        <w:tc>
          <w:tcPr>
            <w:tcW w:w="45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February 27, 2021</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February 29, 2020</w:t>
            </w:r>
          </w:p>
        </w:tc>
        <w:tc>
          <w:tcPr>
            <w:tcW w:w="78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839,886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626,810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683,304</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81.4 %</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547,028</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87.3 %</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156,582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79,782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53,016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42,164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7,974</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56,607</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50,138</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8.0 %</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99,975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10,052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8,651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90,234</w:t>
            </w: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21,263</w:t>
            </w: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21,166</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2"/>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69,068</w:t>
            </w: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17,268</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Income per common share:</w:t>
            </w: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13"/>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33,614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0"/>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33,910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33,918</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2"/>
        </w:trPr>
        <w:tc>
          <w:tcPr>
            <w:tcW w:w="4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February 27, 2021</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February 29, 2020</w:t>
            </w:r>
          </w:p>
        </w:tc>
        <w:tc>
          <w:tcPr>
            <w:tcW w:w="78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1,633,017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1,215,268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1,339,431</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82.0 %</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1,056,873</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87.0 %</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293,586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158,395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101,415</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93,269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7,181</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11,588</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0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108,596</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104,857</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8.6 %</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184,990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19,993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14,700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165,214</w:t>
            </w: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39,224</w:t>
            </w: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taxes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38,723</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7,888</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126,491</w:t>
            </w: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31,336</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Income per common share:</w:t>
            </w: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13"/>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0"/>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33,821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33,143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320" w:top="886" w:right="39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20" w:type="dxa"/>
            <w:vAlign w:val="bottom"/>
          </w:tcPr>
          <w:p>
            <w:pPr>
              <w:spacing w:after="0"/>
              <w:rPr>
                <w:sz w:val="18"/>
                <w:szCs w:val="18"/>
                <w:color w:val="auto"/>
              </w:rPr>
            </w:pP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February 27, 2021</w:t>
            </w:r>
          </w:p>
        </w:tc>
        <w:tc>
          <w:tcPr>
            <w:tcW w:w="1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auto"/>
              </w:rPr>
              <w:t>August 29, 2020</w:t>
            </w:r>
          </w:p>
        </w:tc>
      </w:tr>
      <w:tr>
        <w:trPr>
          <w:trHeight w:val="212"/>
        </w:trPr>
        <w:tc>
          <w:tcPr>
            <w:tcW w:w="8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292,575</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Receivables, net</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232,349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220,798</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182,941</w:t>
            </w:r>
          </w:p>
        </w:tc>
      </w:tr>
      <w:tr>
        <w:trPr>
          <w:trHeight w:val="21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assets</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17,296</w:t>
            </w:r>
          </w:p>
        </w:tc>
      </w:tr>
      <w:tr>
        <w:trPr>
          <w:trHeight w:val="212"/>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864,978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713,610</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Total property, plant, and equipment, net</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173,609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174,945</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Goodwill</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348,058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348,058</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404,768</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Investment in life insurance</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27,838</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assets</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29,463</w:t>
            </w:r>
          </w:p>
        </w:tc>
      </w:tr>
      <w:tr>
        <w:trPr>
          <w:trHeight w:val="21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15,018</w:t>
            </w: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1,855,795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1,713,700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132,490</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4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8,840</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176,399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159,060</w:t>
            </w:r>
          </w:p>
        </w:tc>
      </w:tr>
      <w:tr>
        <w:trPr>
          <w:trHeight w:val="210"/>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321,003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300,390</w:t>
            </w:r>
          </w:p>
        </w:tc>
      </w:tr>
      <w:tr>
        <w:trPr>
          <w:trHeight w:val="19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Long-term debt, less current maturities</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520,284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512,630</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15,608</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6,511</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27,048</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11,130</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12,917</w:t>
            </w:r>
          </w:p>
        </w:tc>
      </w:tr>
      <w:tr>
        <w:trPr>
          <w:trHeight w:val="209"/>
        </w:trPr>
        <w:tc>
          <w:tcPr>
            <w:tcW w:w="8020" w:type="dxa"/>
            <w:vAlign w:val="bottom"/>
          </w:tcPr>
          <w:p>
            <w:pPr>
              <w:ind w:left="220"/>
              <w:spacing w:after="0"/>
              <w:rPr>
                <w:sz w:val="20"/>
                <w:szCs w:val="20"/>
                <w:color w:val="auto"/>
              </w:rPr>
            </w:pPr>
            <w:r>
              <w:rPr>
                <w:rFonts w:ascii="Arial" w:cs="Arial" w:eastAsia="Arial" w:hAnsi="Arial"/>
                <w:sz w:val="16"/>
                <w:szCs w:val="16"/>
                <w:color w:val="auto"/>
              </w:rPr>
              <w:t>Total non-current liabilities</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592,428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585,844</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942,364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827,466</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1,855,795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1,713,700</w:t>
            </w:r>
          </w:p>
        </w:tc>
      </w:tr>
      <w:tr>
        <w:trPr>
          <w:trHeight w:val="20"/>
        </w:trPr>
        <w:tc>
          <w:tcPr>
            <w:tcW w:w="8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00"/>
          </w:cols>
          <w:pgMar w:left="320" w:top="886" w:right="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880" w:type="dxa"/>
            <w:vAlign w:val="bottom"/>
            <w:tcBorders>
              <w:bottom w:val="single" w:sz="8" w:color="auto"/>
            </w:tcBorders>
          </w:tcPr>
          <w:p>
            <w:pPr>
              <w:spacing w:after="0"/>
              <w:rPr>
                <w:sz w:val="18"/>
                <w:szCs w:val="18"/>
                <w:color w:val="auto"/>
              </w:rPr>
            </w:pPr>
          </w:p>
        </w:tc>
      </w:tr>
      <w:tr>
        <w:trPr>
          <w:trHeight w:val="215"/>
        </w:trPr>
        <w:tc>
          <w:tcPr>
            <w:tcW w:w="80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February 27,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29, 2020</w:t>
            </w:r>
          </w:p>
        </w:tc>
      </w:t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126,491</w:t>
            </w:r>
          </w:p>
        </w:tc>
        <w:tc>
          <w:tcPr>
            <w:tcW w:w="10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31,336</w:t>
            </w:r>
          </w:p>
        </w:tc>
      </w:tr>
      <w:tr>
        <w:trPr>
          <w:trHeight w:val="219"/>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8,559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7,720</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11,588</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Non-cash interest expense, net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6,769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4,182</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debt issuance costs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Last in, first-out expense</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664</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13"/>
        </w:trPr>
        <w:tc>
          <w:tcPr>
            <w:tcW w:w="8000" w:type="dxa"/>
            <w:vAlign w:val="bottom"/>
          </w:tcPr>
          <w:p>
            <w:pPr>
              <w:spacing w:after="0"/>
              <w:rPr>
                <w:sz w:val="20"/>
                <w:szCs w:val="20"/>
                <w:color w:val="auto"/>
              </w:rPr>
            </w:pPr>
            <w:r>
              <w:rPr>
                <w:rFonts w:ascii="Arial" w:cs="Arial" w:eastAsia="Arial" w:hAnsi="Arial"/>
                <w:sz w:val="16"/>
                <w:szCs w:val="16"/>
                <w:color w:val="auto"/>
              </w:rPr>
              <w:t>Change in assets and liabilities: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Receivables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11,734</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(96,079)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45,275</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12,487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4,688</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 and unrecognized tax benefits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r>
      <w:tr>
        <w:trPr>
          <w:trHeight w:val="213"/>
        </w:trPr>
        <w:tc>
          <w:tcPr>
            <w:tcW w:w="80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15,222</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66,922</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119,164</w:t>
            </w:r>
          </w:p>
        </w:tc>
      </w:tr>
      <w:tr>
        <w:trPr>
          <w:trHeight w:val="239"/>
        </w:trPr>
        <w:tc>
          <w:tcPr>
            <w:tcW w:w="8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Purchases of property and equipment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(14,920)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(19,057)</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 of business, net of cash acquired</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(264,280)</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Proceeds from sale of property</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7,778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10"/>
        </w:trPr>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(7,365)</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(283,158)</w:t>
            </w:r>
          </w:p>
        </w:tc>
      </w:tr>
      <w:tr>
        <w:trPr>
          <w:trHeight w:val="240"/>
        </w:trPr>
        <w:tc>
          <w:tcPr>
            <w:tcW w:w="8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5"/>
        </w:trPr>
        <w:tc>
          <w:tcPr>
            <w:tcW w:w="80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Borrowings on long-term debt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1,647,764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1,412,294</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Repayments on long-term debt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(1,647,764)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(1,115,044)</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convertible bond hedge</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Proceeds from issuance of warrants</w:t>
            </w:r>
          </w:p>
        </w:tc>
        <w:tc>
          <w:tcPr>
            <w:tcW w:w="3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42,210</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cash dividends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(7,174)</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Payments for repurchases of common stock</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(12,109)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debt issuance costs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(10,761)</w:t>
            </w:r>
          </w:p>
        </w:tc>
      </w:tr>
      <w:tr>
        <w:trPr>
          <w:trHeight w:val="213"/>
        </w:trPr>
        <w:tc>
          <w:tcPr>
            <w:tcW w:w="80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(19,117)</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249,502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710628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ectPr>
          <w:pgSz w:w="11900" w:h="16838" w:orient="portrait"/>
          <w:cols w:equalWidth="0" w:num="1">
            <w:col w:w="11180"/>
          </w:cols>
          <w:pgMar w:left="360" w:top="846" w:right="359" w:bottom="144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Net increase in cash and cash equivalents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710628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40,440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85,508</w:t>
            </w:r>
          </w:p>
        </w:tc>
      </w:tr>
      <w:tr>
        <w:trPr>
          <w:trHeight w:val="219"/>
        </w:trPr>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292,575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37,431</w:t>
            </w:r>
          </w:p>
        </w:tc>
      </w:tr>
      <w:tr>
        <w:trPr>
          <w:trHeight w:val="210"/>
        </w:trPr>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333,015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122,939</w:t>
            </w:r>
          </w:p>
        </w:tc>
      </w:tr>
      <w:tr>
        <w:trPr>
          <w:trHeight w:val="23"/>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280" w:space="720"/>
            <w:col w:w="3180"/>
          </w:cols>
          <w:pgMar w:left="360" w:top="84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180"/>
          </w:cols>
          <w:pgMar w:left="360" w:top="846" w:right="3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8"/>
        </w:trPr>
        <w:tc>
          <w:tcPr>
            <w:tcW w:w="6420" w:type="dxa"/>
            <w:vAlign w:val="bottom"/>
          </w:tcPr>
          <w:p>
            <w:pPr>
              <w:spacing w:after="0"/>
              <w:rPr>
                <w:sz w:val="20"/>
                <w:szCs w:val="20"/>
                <w:color w:val="auto"/>
              </w:rPr>
            </w:pPr>
            <w:r>
              <w:rPr>
                <w:rFonts w:ascii="Arial" w:cs="Arial" w:eastAsia="Arial" w:hAnsi="Arial"/>
                <w:sz w:val="16"/>
                <w:szCs w:val="16"/>
                <w:b w:val="1"/>
                <w:bCs w:val="1"/>
                <w:color w:val="auto"/>
              </w:rPr>
              <w:t>Supplement cash flow disclosure:</w:t>
            </w:r>
          </w:p>
        </w:tc>
        <w:tc>
          <w:tcPr>
            <w:tcW w:w="2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 paid, net</w:t>
            </w:r>
          </w:p>
        </w:tc>
        <w:tc>
          <w:tcPr>
            <w:tcW w:w="21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47,804</w:t>
            </w:r>
          </w:p>
        </w:tc>
        <w:tc>
          <w:tcPr>
            <w:tcW w:w="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7,652</w:t>
            </w:r>
          </w:p>
        </w:tc>
      </w:tr>
      <w:tr>
        <w:trPr>
          <w:trHeight w:val="213"/>
        </w:trPr>
        <w:tc>
          <w:tcPr>
            <w:tcW w:w="6420" w:type="dxa"/>
            <w:vAlign w:val="bottom"/>
          </w:tcPr>
          <w:p>
            <w:pPr>
              <w:ind w:left="120"/>
              <w:spacing w:after="0"/>
              <w:rPr>
                <w:sz w:val="20"/>
                <w:szCs w:val="20"/>
                <w:color w:val="auto"/>
              </w:rPr>
            </w:pPr>
            <w:r>
              <w:rPr>
                <w:rFonts w:ascii="Arial" w:cs="Arial" w:eastAsia="Arial" w:hAnsi="Arial"/>
                <w:sz w:val="16"/>
                <w:szCs w:val="16"/>
                <w:color w:val="auto"/>
              </w:rPr>
              <w:t>Interest paid</w:t>
            </w:r>
          </w:p>
        </w:tc>
        <w:tc>
          <w:tcPr>
            <w:tcW w:w="21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12,244</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9,938</w:t>
            </w:r>
          </w:p>
        </w:tc>
      </w:tr>
      <w:tr>
        <w:trPr>
          <w:trHeight w:val="260"/>
        </w:trPr>
        <w:tc>
          <w:tcPr>
            <w:tcW w:w="642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15"/>
        </w:trPr>
        <w:tc>
          <w:tcPr>
            <w:tcW w:w="6420" w:type="dxa"/>
            <w:vAlign w:val="bottom"/>
          </w:tcPr>
          <w:p>
            <w:pPr>
              <w:spacing w:after="0"/>
              <w:rPr>
                <w:sz w:val="20"/>
                <w:szCs w:val="20"/>
                <w:color w:val="auto"/>
              </w:rPr>
            </w:pPr>
            <w:r>
              <w:rPr>
                <w:rFonts w:ascii="Arial" w:cs="Arial" w:eastAsia="Arial" w:hAnsi="Arial"/>
                <w:sz w:val="16"/>
                <w:szCs w:val="16"/>
                <w:b w:val="1"/>
                <w:bCs w:val="1"/>
                <w:color w:val="auto"/>
              </w:rPr>
              <w:t>Non-cash transactions:</w:t>
            </w:r>
          </w:p>
        </w:tc>
        <w:tc>
          <w:tcPr>
            <w:tcW w:w="2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Winnebago common stock for acquisition of business</w:t>
            </w:r>
          </w:p>
        </w:tc>
        <w:tc>
          <w:tcPr>
            <w:tcW w:w="21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92,572</w:t>
            </w:r>
          </w:p>
        </w:tc>
      </w:tr>
      <w:tr>
        <w:trPr>
          <w:trHeight w:val="210"/>
        </w:trPr>
        <w:tc>
          <w:tcPr>
            <w:tcW w:w="6420" w:type="dxa"/>
            <w:vAlign w:val="bottom"/>
          </w:tcPr>
          <w:p>
            <w:pPr>
              <w:ind w:left="120"/>
              <w:spacing w:after="0"/>
              <w:rPr>
                <w:sz w:val="20"/>
                <w:szCs w:val="20"/>
                <w:color w:val="auto"/>
              </w:rPr>
            </w:pPr>
            <w:r>
              <w:rPr>
                <w:rFonts w:ascii="Arial" w:cs="Arial" w:eastAsia="Arial" w:hAnsi="Arial"/>
                <w:sz w:val="16"/>
                <w:szCs w:val="16"/>
                <w:color w:val="auto"/>
              </w:rPr>
              <w:t>Capital expenditures in accounts payable</w:t>
            </w:r>
          </w:p>
        </w:tc>
        <w:tc>
          <w:tcPr>
            <w:tcW w:w="21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80"/>
          </w:cols>
          <w:pgMar w:left="360" w:top="891" w:right="359" w:bottom="1440" w:gutter="0" w:footer="0" w:header="0"/>
        </w:sectPr>
      </w:pPr>
    </w:p>
    <w:bookmarkStart w:id="10" w:name="page11"/>
    <w:bookmarkEnd w:id="10"/>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Supplemental Information by Reportable Segment (Unaudited) - Towable</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unit data)</w:t>
      </w:r>
    </w:p>
    <w:p>
      <w:pPr>
        <w:spacing w:after="0" w:line="275" w:lineRule="exact"/>
        <w:rPr>
          <w:sz w:val="20"/>
          <w:szCs w:val="20"/>
          <w:color w:val="auto"/>
        </w:rPr>
      </w:pPr>
    </w:p>
    <w:tbl>
      <w:tblPr>
        <w:tblLayout w:type="fixed"/>
        <w:tblInd w:w="12"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439,284</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283,463</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155,821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55.0 %</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62,366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14.2 %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34,746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27,620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79.5 %</w:t>
            </w:r>
          </w:p>
        </w:tc>
      </w:tr>
      <w:tr>
        <w:trPr>
          <w:trHeight w:val="634"/>
        </w:trPr>
        <w:tc>
          <w:tcPr>
            <w:tcW w:w="30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65.7 %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63.0 %</w:t>
            </w:r>
          </w:p>
        </w:tc>
      </w:tr>
      <w:tr>
        <w:trPr>
          <w:trHeight w:val="21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4,632</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40.9 %</w:t>
            </w:r>
          </w:p>
        </w:tc>
      </w:tr>
      <w:tr>
        <w:trPr>
          <w:trHeight w:val="233"/>
        </w:trPr>
        <w:tc>
          <w:tcPr>
            <w:tcW w:w="3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13,508</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4,775</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54.7 %</w:t>
            </w:r>
          </w:p>
        </w:tc>
      </w:tr>
      <w:tr>
        <w:trPr>
          <w:trHeight w:val="20"/>
        </w:trPr>
        <w:tc>
          <w:tcPr>
            <w:tcW w:w="3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76"/>
        </w:trPr>
        <w:tc>
          <w:tcPr>
            <w:tcW w:w="30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894,185</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624,713</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269,472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43.1 %</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125,509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14.0 %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70,531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54,978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77.9 %</w:t>
            </w:r>
          </w:p>
        </w:tc>
      </w:tr>
      <w:tr>
        <w:trPr>
          <w:trHeight w:val="648"/>
        </w:trPr>
        <w:tc>
          <w:tcPr>
            <w:tcW w:w="30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6"/>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65.1 %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53.1 %</w:t>
            </w:r>
          </w:p>
        </w:tc>
      </w:tr>
      <w:tr>
        <w:trPr>
          <w:trHeight w:val="21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9,686</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28.3 %</w:t>
            </w:r>
          </w:p>
        </w:tc>
      </w:tr>
      <w:tr>
        <w:trPr>
          <w:trHeight w:val="233"/>
        </w:trPr>
        <w:tc>
          <w:tcPr>
            <w:tcW w:w="3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27,722</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19,332</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43.4 %</w:t>
            </w:r>
          </w:p>
        </w:tc>
      </w:tr>
      <w:tr>
        <w:trPr>
          <w:trHeight w:val="20"/>
        </w:trPr>
        <w:tc>
          <w:tcPr>
            <w:tcW w:w="30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78"/>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3020" w:type="dxa"/>
            <w:vAlign w:val="bottom"/>
            <w:tcBorders>
              <w:top w:val="single" w:sz="8" w:color="auto"/>
            </w:tcBorders>
          </w:tcPr>
          <w:p>
            <w:pPr>
              <w:ind w:left="20"/>
              <w:spacing w:after="0" w:line="213"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1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39,855</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307.1 %</w:t>
            </w:r>
          </w:p>
        </w:tc>
      </w:tr>
      <w:tr>
        <w:trPr>
          <w:trHeight w:val="213"/>
        </w:trPr>
        <w:tc>
          <w:tcPr>
            <w:tcW w:w="3020" w:type="dxa"/>
            <w:vAlign w:val="bottom"/>
          </w:tcPr>
          <w:p>
            <w:pPr>
              <w:ind w:left="380"/>
              <w:spacing w:after="0"/>
              <w:rPr>
                <w:sz w:val="20"/>
                <w:szCs w:val="20"/>
                <w:color w:val="auto"/>
              </w:rPr>
            </w:pPr>
            <w:r>
              <w:rPr>
                <w:rFonts w:ascii="Arial" w:cs="Arial" w:eastAsia="Arial" w:hAnsi="Arial"/>
                <w:sz w:val="16"/>
                <w:szCs w:val="16"/>
                <w:color w:val="auto"/>
              </w:rPr>
              <w:t>Dollars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1,206,695</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330,738</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875,957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264.8 %</w:t>
            </w: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Dealer Inventory</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0"/>
        </w:trPr>
        <w:tc>
          <w:tcPr>
            <w:tcW w:w="3020" w:type="dxa"/>
            <w:vAlign w:val="bottom"/>
          </w:tcPr>
          <w:p>
            <w:pPr>
              <w:ind w:left="140"/>
              <w:spacing w:after="0"/>
              <w:rPr>
                <w:sz w:val="20"/>
                <w:szCs w:val="20"/>
                <w:color w:val="auto"/>
              </w:rPr>
            </w:pPr>
            <w:r>
              <w:rPr>
                <w:rFonts w:ascii="Arial" w:cs="Arial" w:eastAsia="Arial" w:hAnsi="Arial"/>
                <w:sz w:val="16"/>
                <w:szCs w:val="16"/>
                <w:color w:val="auto"/>
              </w:rPr>
              <w:t>Units</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15,952</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19,731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(3,779)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w:t>
            </w:r>
          </w:p>
        </w:tc>
      </w:tr>
    </w:tbl>
    <w:p>
      <w:pPr>
        <w:spacing w:after="0" w:line="119" w:lineRule="exact"/>
        <w:rPr>
          <w:sz w:val="20"/>
          <w:szCs w:val="20"/>
          <w:color w:val="auto"/>
        </w:rPr>
      </w:pPr>
    </w:p>
    <w:p>
      <w:pPr>
        <w:ind w:left="332" w:hanging="332"/>
        <w:spacing w:after="0"/>
        <w:tabs>
          <w:tab w:leader="none" w:pos="332" w:val="left"/>
        </w:tabs>
        <w:numPr>
          <w:ilvl w:val="0"/>
          <w:numId w:val="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52" w:right="440" w:hanging="252"/>
        <w:spacing w:after="0" w:line="258" w:lineRule="auto"/>
        <w:tabs>
          <w:tab w:leader="none" w:pos="345"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which generally have been requested to be shipped within the next six months. Orders in backlog can be cancelled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355"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12"/>
          </w:cols>
          <w:pgMar w:left="328" w:top="886" w:right="35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Supplemental Information by Reportable Segment (Unaudited) - Motorhome</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unit data)</w:t>
      </w:r>
    </w:p>
    <w:p>
      <w:pPr>
        <w:spacing w:after="0" w:line="275" w:lineRule="exact"/>
        <w:rPr>
          <w:sz w:val="20"/>
          <w:szCs w:val="20"/>
          <w:color w:val="auto"/>
        </w:rPr>
      </w:pPr>
    </w:p>
    <w:tbl>
      <w:tblPr>
        <w:tblLayout w:type="fixed"/>
        <w:tblInd w:w="12"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382,575</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325,542</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57,033</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17.5 %</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50,969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14,946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36,023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241.0 %</w:t>
            </w:r>
          </w:p>
        </w:tc>
      </w:tr>
      <w:tr>
        <w:trPr>
          <w:trHeight w:val="634"/>
        </w:trPr>
        <w:tc>
          <w:tcPr>
            <w:tcW w:w="30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24.4 %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Class B</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49.2 %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81.0 %</w:t>
            </w: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26.4 %</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24.5 %</w:t>
            </w:r>
          </w:p>
        </w:tc>
      </w:tr>
      <w:tr>
        <w:trPr>
          <w:trHeight w:val="213"/>
        </w:trPr>
        <w:tc>
          <w:tcPr>
            <w:tcW w:w="302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28.9 %</w:t>
            </w:r>
          </w:p>
        </w:tc>
      </w:tr>
      <w:tr>
        <w:trPr>
          <w:trHeight w:val="21"/>
        </w:trPr>
        <w:tc>
          <w:tcPr>
            <w:tcW w:w="3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95"/>
        </w:trPr>
        <w:tc>
          <w:tcPr>
            <w:tcW w:w="30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704,964</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551,433</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153,531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27.8 %</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81,312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24,277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57,035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234.9 %</w:t>
            </w:r>
          </w:p>
        </w:tc>
      </w:tr>
      <w:tr>
        <w:trPr>
          <w:trHeight w:val="634"/>
        </w:trPr>
        <w:tc>
          <w:tcPr>
            <w:tcW w:w="30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Class B</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48.3 %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38.7 %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58.0 %</w:t>
            </w: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26.7 %</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212"/>
        </w:trPr>
        <w:tc>
          <w:tcPr>
            <w:tcW w:w="302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5,215</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4,121</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26.5 %</w:t>
            </w:r>
          </w:p>
        </w:tc>
      </w:tr>
      <w:tr>
        <w:trPr>
          <w:trHeight w:val="21"/>
        </w:trPr>
        <w:tc>
          <w:tcPr>
            <w:tcW w:w="30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11"/>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302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3"/>
        </w:trPr>
        <w:tc>
          <w:tcPr>
            <w:tcW w:w="3020" w:type="dxa"/>
            <w:vAlign w:val="bottom"/>
          </w:tcPr>
          <w:p>
            <w:pPr>
              <w:ind w:left="140"/>
              <w:spacing w:after="0"/>
              <w:rPr>
                <w:sz w:val="20"/>
                <w:szCs w:val="20"/>
                <w:color w:val="auto"/>
              </w:rPr>
            </w:pPr>
            <w:r>
              <w:rPr>
                <w:rFonts w:ascii="Arial" w:cs="Arial" w:eastAsia="Arial" w:hAnsi="Arial"/>
                <w:sz w:val="16"/>
                <w:szCs w:val="16"/>
                <w:color w:val="auto"/>
              </w:rPr>
              <w:t>Units</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14,974</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12,118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424.3 %</w:t>
            </w:r>
          </w:p>
        </w:tc>
      </w:tr>
      <w:tr>
        <w:trPr>
          <w:trHeight w:val="219"/>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Dollars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1,816,503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394,570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1,421,933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360.4 %</w:t>
            </w:r>
          </w:p>
        </w:tc>
      </w:tr>
      <w:tr>
        <w:trPr>
          <w:trHeight w:val="215"/>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r>
    </w:tbl>
    <w:p>
      <w:pPr>
        <w:spacing w:after="0" w:line="113" w:lineRule="exact"/>
        <w:rPr>
          <w:sz w:val="20"/>
          <w:szCs w:val="20"/>
          <w:color w:val="auto"/>
        </w:rPr>
      </w:pPr>
    </w:p>
    <w:p>
      <w:pPr>
        <w:ind w:left="332" w:hanging="332"/>
        <w:spacing w:after="0"/>
        <w:tabs>
          <w:tab w:leader="none" w:pos="332"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52" w:right="440" w:hanging="252"/>
        <w:spacing w:after="0" w:line="258" w:lineRule="auto"/>
        <w:tabs>
          <w:tab w:leader="none" w:pos="345"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which generally have been requested to be shipped within the next six months. Orders in backlog can be cancelled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12"/>
          </w:cols>
          <w:pgMar w:left="328" w:top="886"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Reconciliation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68"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income per share to Adjusted diluted income per share: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23"/>
        </w:trPr>
        <w:tc>
          <w:tcPr>
            <w:tcW w:w="3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27, 2021</w:t>
            </w:r>
          </w:p>
        </w:tc>
        <w:tc>
          <w:tcPr>
            <w:tcW w:w="160" w:type="dxa"/>
            <w:vAlign w:val="bottom"/>
          </w:tcPr>
          <w:p>
            <w:pPr>
              <w:spacing w:after="0"/>
              <w:rPr>
                <w:sz w:val="19"/>
                <w:szCs w:val="19"/>
                <w:color w:val="auto"/>
              </w:rPr>
            </w:pPr>
          </w:p>
        </w:tc>
        <w:tc>
          <w:tcPr>
            <w:tcW w:w="172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29, 2020</w:t>
            </w:r>
          </w:p>
        </w:tc>
        <w:tc>
          <w:tcPr>
            <w:tcW w:w="160" w:type="dxa"/>
            <w:vAlign w:val="bottom"/>
          </w:tcPr>
          <w:p>
            <w:pPr>
              <w:spacing w:after="0"/>
              <w:rPr>
                <w:sz w:val="19"/>
                <w:szCs w:val="19"/>
                <w:color w:val="auto"/>
              </w:rPr>
            </w:pPr>
          </w:p>
        </w:tc>
        <w:tc>
          <w:tcPr>
            <w:tcW w:w="172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27, 2021</w:t>
            </w:r>
          </w:p>
        </w:tc>
        <w:tc>
          <w:tcPr>
            <w:tcW w:w="160" w:type="dxa"/>
            <w:vAlign w:val="bottom"/>
          </w:tcPr>
          <w:p>
            <w:pPr>
              <w:spacing w:after="0"/>
              <w:rPr>
                <w:sz w:val="19"/>
                <w:szCs w:val="19"/>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29, 2020</w:t>
            </w:r>
          </w:p>
        </w:tc>
      </w:tr>
      <w:tr>
        <w:trPr>
          <w:trHeight w:val="212"/>
        </w:trPr>
        <w:tc>
          <w:tcPr>
            <w:tcW w:w="378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Diluted income per share</w:t>
            </w:r>
            <w:r>
              <w:rPr>
                <w:rFonts w:ascii="Arial" w:cs="Arial" w:eastAsia="Arial" w:hAnsi="Arial"/>
                <w:sz w:val="21"/>
                <w:szCs w:val="21"/>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0.95</w:t>
            </w:r>
          </w:p>
        </w:tc>
      </w:tr>
      <w:tr>
        <w:trPr>
          <w:trHeight w:val="216"/>
        </w:trPr>
        <w:tc>
          <w:tcPr>
            <w:tcW w:w="3780" w:type="dxa"/>
            <w:vAlign w:val="bottom"/>
          </w:tcPr>
          <w:p>
            <w:pPr>
              <w:ind w:left="20"/>
              <w:spacing w:after="0" w:line="216" w:lineRule="exact"/>
              <w:rPr>
                <w:sz w:val="20"/>
                <w:szCs w:val="20"/>
                <w:color w:val="auto"/>
              </w:rPr>
            </w:pPr>
            <w:r>
              <w:rPr>
                <w:rFonts w:ascii="Arial" w:cs="Arial" w:eastAsia="Arial" w:hAnsi="Arial"/>
                <w:sz w:val="16"/>
                <w:szCs w:val="16"/>
                <w:color w:val="auto"/>
              </w:rPr>
              <w:t>Pretax acquisition-related costs</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0.30</w:t>
            </w:r>
          </w:p>
        </w:tc>
      </w:tr>
      <w:tr>
        <w:trPr>
          <w:trHeight w:val="177"/>
        </w:trPr>
        <w:tc>
          <w:tcPr>
            <w:tcW w:w="37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Pretax acquisition-related fair-value inventory step-</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01"/>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w:t>
            </w:r>
          </w:p>
        </w:tc>
        <w:tc>
          <w:tcPr>
            <w:tcW w:w="1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216"/>
        </w:trPr>
        <w:tc>
          <w:tcPr>
            <w:tcW w:w="3780" w:type="dxa"/>
            <w:vAlign w:val="bottom"/>
          </w:tcPr>
          <w:p>
            <w:pPr>
              <w:ind w:left="20"/>
              <w:spacing w:after="0" w:line="216" w:lineRule="exact"/>
              <w:rPr>
                <w:sz w:val="20"/>
                <w:szCs w:val="20"/>
                <w:color w:val="auto"/>
              </w:rPr>
            </w:pPr>
            <w:r>
              <w:rPr>
                <w:rFonts w:ascii="Arial" w:cs="Arial" w:eastAsia="Arial" w:hAnsi="Arial"/>
                <w:sz w:val="16"/>
                <w:szCs w:val="16"/>
                <w:color w:val="auto"/>
              </w:rPr>
              <w:t>Pretax non-cash interest expense</w:t>
            </w:r>
            <w:r>
              <w:rPr>
                <w:rFonts w:ascii="Arial" w:cs="Arial" w:eastAsia="Arial" w:hAnsi="Arial"/>
                <w:sz w:val="21"/>
                <w:szCs w:val="21"/>
                <w:color w:val="auto"/>
                <w:vertAlign w:val="superscript"/>
              </w:rPr>
              <w:t>(3)</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property and equipment</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780" w:type="dxa"/>
            <w:vAlign w:val="bottom"/>
          </w:tcPr>
          <w:p>
            <w:pPr>
              <w:ind w:left="20"/>
              <w:spacing w:after="0" w:line="216" w:lineRule="exact"/>
              <w:rPr>
                <w:sz w:val="20"/>
                <w:szCs w:val="20"/>
                <w:color w:val="auto"/>
              </w:rPr>
            </w:pPr>
            <w:r>
              <w:rPr>
                <w:rFonts w:ascii="Arial" w:cs="Arial" w:eastAsia="Arial" w:hAnsi="Arial"/>
                <w:sz w:val="16"/>
                <w:szCs w:val="16"/>
                <w:color w:val="auto"/>
              </w:rPr>
              <w:t>Impact of convertible share dilution</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(5)</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09"/>
        </w:trPr>
        <w:tc>
          <w:tcPr>
            <w:tcW w:w="3780" w:type="dxa"/>
            <w:vAlign w:val="bottom"/>
          </w:tcPr>
          <w:p>
            <w:pPr>
              <w:ind w:left="20"/>
              <w:spacing w:after="0"/>
              <w:rPr>
                <w:sz w:val="20"/>
                <w:szCs w:val="20"/>
                <w:color w:val="auto"/>
              </w:rPr>
            </w:pPr>
            <w:r>
              <w:rPr>
                <w:rFonts w:ascii="Arial" w:cs="Arial" w:eastAsia="Arial" w:hAnsi="Arial"/>
                <w:sz w:val="16"/>
                <w:szCs w:val="16"/>
                <w:color w:val="auto"/>
              </w:rPr>
              <w:t>Adjusted diluted income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1"/>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Per share numbers may not foot due to rounding.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transaction-closing costs.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Non-cash interest expense associated with the Convertible Notes issued related to our acquisition of Newmar.</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dilution of convertible notes (the average market price became higher than the strike price in the second quarter of FY21).</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Income tax charge calculated using the statutory tax rate for the U.S. of 21.0% for both periods presented.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52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27, 2021</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27, 2021</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29, 2020</w:t>
            </w:r>
          </w:p>
        </w:tc>
      </w:tr>
      <w:tr>
        <w:trPr>
          <w:trHeight w:val="210"/>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69,068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31,336</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10,052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8,651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19,993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14,700</w:t>
            </w: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7,888</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4,399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8,559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7,720</w:t>
            </w: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11,588</w:t>
            </w:r>
          </w:p>
        </w:tc>
      </w:tr>
      <w:tr>
        <w:trPr>
          <w:trHeight w:val="210"/>
        </w:trPr>
        <w:tc>
          <w:tcPr>
            <w:tcW w:w="3780" w:type="dxa"/>
            <w:vAlign w:val="bottom"/>
          </w:tcPr>
          <w:p>
            <w:pPr>
              <w:ind w:left="140"/>
              <w:spacing w:after="0"/>
              <w:rPr>
                <w:sz w:val="20"/>
                <w:szCs w:val="20"/>
                <w:color w:val="auto"/>
              </w:rPr>
            </w:pPr>
            <w:r>
              <w:rPr>
                <w:rFonts w:ascii="Arial" w:cs="Arial" w:eastAsia="Arial" w:hAnsi="Arial"/>
                <w:sz w:val="16"/>
                <w:szCs w:val="16"/>
                <w:color w:val="auto"/>
              </w:rPr>
              <w:t>EBITDA</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108,276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200,947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73,232</w:t>
            </w: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Acquisition-related costs</w:t>
            </w: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9,950</w:t>
            </w: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Gain on sale of property and equipment</w:t>
            </w: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12"/>
        </w:trPr>
        <w:tc>
          <w:tcPr>
            <w:tcW w:w="378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107,965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45,429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197,258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87,477</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We have provided non-GAAP performance measures of Adjusted diluted income per share, EBITDA, and Adjusted EBITDA as comparable measures to illustrate the effect of non-recurring transactions occurring during the reported periods and improve comparability of our results from period to period. Adjusted diluted income per share is defined as income per share adjusted for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86" w:right="339" w:bottom="1440" w:gutter="0" w:footer="0" w:header="0"/>
        </w:sectPr>
      </w:pPr>
    </w:p>
    <w:bookmarkStart w:id="13" w:name="page14"/>
    <w:bookmarkEnd w:id="13"/>
    <w:p>
      <w:pPr>
        <w:ind w:right="140"/>
        <w:spacing w:after="0" w:line="284" w:lineRule="auto"/>
        <w:rPr>
          <w:sz w:val="20"/>
          <w:szCs w:val="20"/>
          <w:color w:val="auto"/>
        </w:rPr>
      </w:pPr>
      <w:r>
        <w:rPr>
          <w:rFonts w:ascii="Arial" w:cs="Arial" w:eastAsia="Arial" w:hAnsi="Arial"/>
          <w:sz w:val="16"/>
          <w:szCs w:val="16"/>
          <w:color w:val="auto"/>
        </w:rPr>
        <w:t>order to present comparable results from period to period. We believe Adjusted diluted income per share and Adjusted EBITDA provide meaningful supplemental information about our operating performance because these measures exclude amounts that we do not consider part of our core operating results when assessing our performance. Examples of items excluded from Adjusted income per share include acquisition-related costs, acquisition-related fair-value inventory step-up, non-cash interest expense, and the tax impact of the adjustments. Examples of items excluded from Adjusted EBITDA include acquisition-related fair-value inventory step-up, acquisition-related costs, restructuring expenses, gain or loss on the sale of property and equipment, and non-operating income.</w:t>
      </w:r>
    </w:p>
    <w:p>
      <w:pPr>
        <w:spacing w:after="0" w:line="23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restricted activities under the terms of our ABL credit facility and outstanding notes.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sectPr>
      <w:pgSz w:w="11900" w:h="16838" w:orient="portrait"/>
      <w:cols w:equalWidth="0" w:num="1">
        <w:col w:w="11240"/>
      </w:cols>
      <w:pgMar w:left="320" w:top="9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2021-03-25T18:15:41Z</dcterms:created>
  <dcterms:modified xsi:type="dcterms:W3CDTF">2021-03-25T18:15:41Z</dcterms:modified>
</cp:coreProperties>
</file>