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t>UNITED STATES</w:t>
      </w:r>
    </w:p>
    <w:p>
      <w:pPr>
        <w:spacing w:after="0" w:line="42"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5"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2946400</wp:posOffset>
            </wp:positionH>
            <wp:positionV relativeFrom="paragraph">
              <wp:posOffset>233680</wp:posOffset>
            </wp:positionV>
            <wp:extent cx="1372235"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2235" cy="17145"/>
                    </a:xfrm>
                    <a:prstGeom prst="rect">
                      <a:avLst/>
                    </a:prstGeom>
                    <a:noFill/>
                  </pic:spPr>
                </pic:pic>
              </a:graphicData>
            </a:graphic>
          </wp:anchor>
        </w:drawing>
      </w:r>
    </w:p>
    <w:p>
      <w:pPr>
        <w:spacing w:after="0" w:line="200" w:lineRule="exact"/>
        <w:rPr>
          <w:sz w:val="24"/>
          <w:szCs w:val="24"/>
          <w:color w:val="auto"/>
        </w:rPr>
      </w:pPr>
    </w:p>
    <w:p>
      <w:pPr>
        <w:spacing w:after="0" w:line="384" w:lineRule="exact"/>
        <w:rPr>
          <w:sz w:val="24"/>
          <w:szCs w:val="24"/>
          <w:color w:val="auto"/>
        </w:rPr>
      </w:pPr>
    </w:p>
    <w:p>
      <w:pPr>
        <w:jc w:val="center"/>
        <w:ind w:right="-19"/>
        <w:spacing w:after="0"/>
        <w:rPr>
          <w:sz w:val="20"/>
          <w:szCs w:val="20"/>
          <w:color w:val="auto"/>
        </w:rPr>
      </w:pPr>
      <w:r>
        <w:rPr>
          <w:rFonts w:ascii="Arial" w:cs="Arial" w:eastAsia="Arial" w:hAnsi="Arial"/>
          <w:sz w:val="36"/>
          <w:szCs w:val="36"/>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2946400</wp:posOffset>
            </wp:positionH>
            <wp:positionV relativeFrom="paragraph">
              <wp:posOffset>196215</wp:posOffset>
            </wp:positionV>
            <wp:extent cx="1372235"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2235" cy="17145"/>
                    </a:xfrm>
                    <a:prstGeom prst="rect">
                      <a:avLst/>
                    </a:prstGeom>
                    <a:noFill/>
                  </pic:spPr>
                </pic:pic>
              </a:graphicData>
            </a:graphic>
          </wp:anchor>
        </w:drawing>
      </w:r>
    </w:p>
    <w:p>
      <w:pPr>
        <w:spacing w:after="0" w:line="200" w:lineRule="exact"/>
        <w:rPr>
          <w:sz w:val="24"/>
          <w:szCs w:val="24"/>
          <w:color w:val="auto"/>
        </w:rPr>
      </w:pPr>
    </w:p>
    <w:p>
      <w:pPr>
        <w:spacing w:after="0" w:line="35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CURRENT REPORT</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52"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report (Date of earliest event reported) October 13, 2011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2938145</wp:posOffset>
            </wp:positionH>
            <wp:positionV relativeFrom="paragraph">
              <wp:posOffset>1181100</wp:posOffset>
            </wp:positionV>
            <wp:extent cx="138049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80490" cy="17145"/>
                    </a:xfrm>
                    <a:prstGeom prst="rect">
                      <a:avLst/>
                    </a:prstGeom>
                    <a:noFill/>
                  </pic:spPr>
                </pic:pic>
              </a:graphicData>
            </a:graphic>
          </wp:anchor>
        </w:drawing>
        <w:drawing>
          <wp:anchor simplePos="0" relativeHeight="251657728" behindDoc="1" locked="0" layoutInCell="0" allowOverlap="1">
            <wp:simplePos x="0" y="0"/>
            <wp:positionH relativeFrom="column">
              <wp:posOffset>2578100</wp:posOffset>
            </wp:positionH>
            <wp:positionV relativeFrom="paragraph">
              <wp:posOffset>14605</wp:posOffset>
            </wp:positionV>
            <wp:extent cx="2066925" cy="9093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066925" cy="90932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6" w:lineRule="exact"/>
        <w:rPr>
          <w:sz w:val="24"/>
          <w:szCs w:val="24"/>
          <w:color w:val="auto"/>
        </w:rPr>
      </w:pPr>
    </w:p>
    <w:p>
      <w:pPr>
        <w:jc w:val="center"/>
        <w:ind w:right="-19"/>
        <w:spacing w:after="0"/>
        <w:rPr>
          <w:sz w:val="20"/>
          <w:szCs w:val="20"/>
          <w:color w:val="auto"/>
        </w:rPr>
      </w:pPr>
      <w:r>
        <w:rPr>
          <w:rFonts w:ascii="Arial" w:cs="Arial" w:eastAsia="Arial" w:hAnsi="Arial"/>
          <w:sz w:val="36"/>
          <w:szCs w:val="36"/>
          <w:b w:val="1"/>
          <w:bCs w:val="1"/>
          <w:color w:val="auto"/>
        </w:rPr>
        <w:t>Winnebago Industries, Inc.</w:t>
      </w:r>
    </w:p>
    <w:p>
      <w:pPr>
        <w:spacing w:after="0" w:line="106"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200" w:lineRule="exact"/>
        <w:rPr>
          <w:sz w:val="24"/>
          <w:szCs w:val="24"/>
          <w:color w:val="auto"/>
        </w:rPr>
      </w:pPr>
    </w:p>
    <w:p>
      <w:pPr>
        <w:spacing w:after="0" w:line="219" w:lineRule="exact"/>
        <w:rPr>
          <w:sz w:val="24"/>
          <w:szCs w:val="24"/>
          <w:color w:val="auto"/>
        </w:rPr>
      </w:pPr>
    </w:p>
    <w:tbl>
      <w:tblPr>
        <w:tblLayout w:type="fixed"/>
        <w:tblInd w:w="1120" w:type="dxa"/>
        <w:tblCellMar>
          <w:top w:w="0" w:type="dxa"/>
          <w:left w:w="0" w:type="dxa"/>
          <w:bottom w:w="0" w:type="dxa"/>
          <w:right w:w="0" w:type="dxa"/>
        </w:tblCellMar>
      </w:tblPr>
      <w:tr>
        <w:trPr>
          <w:trHeight w:val="246"/>
        </w:trPr>
        <w:tc>
          <w:tcPr>
            <w:tcW w:w="33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Iowa</w:t>
            </w:r>
          </w:p>
        </w:tc>
        <w:tc>
          <w:tcPr>
            <w:tcW w:w="2500" w:type="dxa"/>
            <w:vAlign w:val="bottom"/>
            <w:tcBorders>
              <w:bottom w:val="single" w:sz="8" w:color="auto"/>
            </w:tcBorders>
          </w:tcPr>
          <w:p>
            <w:pPr>
              <w:jc w:val="right"/>
              <w:ind w:right="730"/>
              <w:spacing w:after="0"/>
              <w:rPr>
                <w:sz w:val="20"/>
                <w:szCs w:val="20"/>
                <w:color w:val="auto"/>
              </w:rPr>
            </w:pPr>
            <w:r>
              <w:rPr>
                <w:rFonts w:ascii="Arial" w:cs="Arial" w:eastAsia="Arial" w:hAnsi="Arial"/>
                <w:sz w:val="18"/>
                <w:szCs w:val="18"/>
                <w:b w:val="1"/>
                <w:bCs w:val="1"/>
                <w:color w:val="auto"/>
              </w:rPr>
              <w:t>001-06403</w:t>
            </w:r>
          </w:p>
        </w:tc>
        <w:tc>
          <w:tcPr>
            <w:tcW w:w="240" w:type="dxa"/>
            <w:vAlign w:val="bottom"/>
            <w:tcBorders>
              <w:bottom w:val="single" w:sz="8" w:color="auto"/>
            </w:tcBorders>
          </w:tcPr>
          <w:p>
            <w:pPr>
              <w:spacing w:after="0"/>
              <w:rPr>
                <w:sz w:val="21"/>
                <w:szCs w:val="21"/>
                <w:color w:val="auto"/>
              </w:rPr>
            </w:pPr>
          </w:p>
        </w:tc>
        <w:tc>
          <w:tcPr>
            <w:tcW w:w="3120" w:type="dxa"/>
            <w:vAlign w:val="bottom"/>
            <w:tcBorders>
              <w:bottom w:val="single" w:sz="8" w:color="auto"/>
            </w:tcBorders>
          </w:tcPr>
          <w:p>
            <w:pPr>
              <w:jc w:val="right"/>
              <w:ind w:right="1110"/>
              <w:spacing w:after="0"/>
              <w:rPr>
                <w:sz w:val="20"/>
                <w:szCs w:val="20"/>
                <w:color w:val="auto"/>
              </w:rPr>
            </w:pPr>
            <w:r>
              <w:rPr>
                <w:rFonts w:ascii="Arial" w:cs="Arial" w:eastAsia="Arial" w:hAnsi="Arial"/>
                <w:sz w:val="18"/>
                <w:szCs w:val="18"/>
                <w:b w:val="1"/>
                <w:bCs w:val="1"/>
                <w:color w:val="auto"/>
              </w:rPr>
              <w:t>42-0802678</w:t>
            </w:r>
          </w:p>
        </w:tc>
      </w:tr>
      <w:tr>
        <w:trPr>
          <w:trHeight w:val="229"/>
        </w:trPr>
        <w:tc>
          <w:tcPr>
            <w:tcW w:w="3340" w:type="dxa"/>
            <w:vAlign w:val="bottom"/>
          </w:tcPr>
          <w:p>
            <w:pPr>
              <w:jc w:val="center"/>
              <w:spacing w:after="0"/>
              <w:rPr>
                <w:sz w:val="20"/>
                <w:szCs w:val="20"/>
                <w:color w:val="auto"/>
              </w:rPr>
            </w:pPr>
            <w:r>
              <w:rPr>
                <w:rFonts w:ascii="Arial" w:cs="Arial" w:eastAsia="Arial" w:hAnsi="Arial"/>
                <w:sz w:val="18"/>
                <w:szCs w:val="18"/>
                <w:color w:val="auto"/>
                <w:w w:val="99"/>
              </w:rPr>
              <w:t>(State or Other Jurisdiction</w:t>
            </w:r>
          </w:p>
        </w:tc>
        <w:tc>
          <w:tcPr>
            <w:tcW w:w="2740" w:type="dxa"/>
            <w:vAlign w:val="bottom"/>
            <w:gridSpan w:val="2"/>
          </w:tcPr>
          <w:p>
            <w:pPr>
              <w:jc w:val="center"/>
              <w:ind w:right="240"/>
              <w:spacing w:after="0"/>
              <w:rPr>
                <w:sz w:val="20"/>
                <w:szCs w:val="20"/>
                <w:color w:val="auto"/>
              </w:rPr>
            </w:pPr>
            <w:r>
              <w:rPr>
                <w:rFonts w:ascii="Arial" w:cs="Arial" w:eastAsia="Arial" w:hAnsi="Arial"/>
                <w:sz w:val="18"/>
                <w:szCs w:val="18"/>
                <w:color w:val="auto"/>
                <w:w w:val="99"/>
              </w:rPr>
              <w:t>(Commission File Number)</w:t>
            </w:r>
          </w:p>
        </w:tc>
        <w:tc>
          <w:tcPr>
            <w:tcW w:w="3120" w:type="dxa"/>
            <w:vAlign w:val="bottom"/>
          </w:tcPr>
          <w:p>
            <w:pPr>
              <w:jc w:val="center"/>
              <w:ind w:right="150"/>
              <w:spacing w:after="0"/>
              <w:rPr>
                <w:sz w:val="20"/>
                <w:szCs w:val="20"/>
                <w:color w:val="auto"/>
              </w:rPr>
            </w:pPr>
            <w:r>
              <w:rPr>
                <w:rFonts w:ascii="Arial" w:cs="Arial" w:eastAsia="Arial" w:hAnsi="Arial"/>
                <w:sz w:val="18"/>
                <w:szCs w:val="18"/>
                <w:color w:val="auto"/>
                <w:w w:val="99"/>
              </w:rPr>
              <w:t>(IRS Employer</w:t>
            </w:r>
          </w:p>
        </w:tc>
      </w:tr>
      <w:tr>
        <w:trPr>
          <w:trHeight w:val="217"/>
        </w:trPr>
        <w:tc>
          <w:tcPr>
            <w:tcW w:w="3340" w:type="dxa"/>
            <w:vAlign w:val="bottom"/>
          </w:tcPr>
          <w:p>
            <w:pPr>
              <w:jc w:val="center"/>
              <w:spacing w:after="0"/>
              <w:rPr>
                <w:sz w:val="20"/>
                <w:szCs w:val="20"/>
                <w:color w:val="auto"/>
              </w:rPr>
            </w:pPr>
            <w:r>
              <w:rPr>
                <w:rFonts w:ascii="Arial" w:cs="Arial" w:eastAsia="Arial" w:hAnsi="Arial"/>
                <w:sz w:val="18"/>
                <w:szCs w:val="18"/>
                <w:color w:val="auto"/>
              </w:rPr>
              <w:t>of Incorporation)</w:t>
            </w:r>
          </w:p>
        </w:tc>
        <w:tc>
          <w:tcPr>
            <w:tcW w:w="2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120" w:type="dxa"/>
            <w:vAlign w:val="bottom"/>
          </w:tcPr>
          <w:p>
            <w:pPr>
              <w:jc w:val="center"/>
              <w:ind w:right="150"/>
              <w:spacing w:after="0"/>
              <w:rPr>
                <w:sz w:val="20"/>
                <w:szCs w:val="20"/>
                <w:color w:val="auto"/>
              </w:rPr>
            </w:pPr>
            <w:r>
              <w:rPr>
                <w:rFonts w:ascii="Arial" w:cs="Arial" w:eastAsia="Arial" w:hAnsi="Arial"/>
                <w:sz w:val="18"/>
                <w:szCs w:val="18"/>
                <w:color w:val="auto"/>
                <w:w w:val="99"/>
              </w:rPr>
              <w:t>Identification No.)</w:t>
            </w:r>
          </w:p>
        </w:tc>
      </w:tr>
      <w:tr>
        <w:trPr>
          <w:trHeight w:val="520"/>
        </w:trPr>
        <w:tc>
          <w:tcPr>
            <w:tcW w:w="33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8"/>
              </w:rPr>
              <w:t>P.O. Box 152, Forest City, Iowa</w:t>
            </w:r>
          </w:p>
        </w:tc>
        <w:tc>
          <w:tcPr>
            <w:tcW w:w="25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120" w:type="dxa"/>
            <w:vAlign w:val="bottom"/>
            <w:tcBorders>
              <w:bottom w:val="single" w:sz="8" w:color="auto"/>
            </w:tcBorders>
          </w:tcPr>
          <w:p>
            <w:pPr>
              <w:jc w:val="right"/>
              <w:ind w:right="1350"/>
              <w:spacing w:after="0"/>
              <w:rPr>
                <w:sz w:val="20"/>
                <w:szCs w:val="20"/>
                <w:color w:val="auto"/>
              </w:rPr>
            </w:pPr>
            <w:r>
              <w:rPr>
                <w:rFonts w:ascii="Arial" w:cs="Arial" w:eastAsia="Arial" w:hAnsi="Arial"/>
                <w:sz w:val="18"/>
                <w:szCs w:val="18"/>
                <w:b w:val="1"/>
                <w:bCs w:val="1"/>
                <w:color w:val="auto"/>
              </w:rPr>
              <w:t>50436</w:t>
            </w:r>
          </w:p>
        </w:tc>
      </w:tr>
      <w:tr>
        <w:trPr>
          <w:trHeight w:val="243"/>
        </w:trPr>
        <w:tc>
          <w:tcPr>
            <w:tcW w:w="3340" w:type="dxa"/>
            <w:vAlign w:val="bottom"/>
          </w:tcPr>
          <w:p>
            <w:pPr>
              <w:jc w:val="center"/>
              <w:spacing w:after="0"/>
              <w:rPr>
                <w:sz w:val="20"/>
                <w:szCs w:val="20"/>
                <w:color w:val="auto"/>
              </w:rPr>
            </w:pPr>
            <w:r>
              <w:rPr>
                <w:rFonts w:ascii="Arial" w:cs="Arial" w:eastAsia="Arial" w:hAnsi="Arial"/>
                <w:sz w:val="18"/>
                <w:szCs w:val="18"/>
                <w:color w:val="auto"/>
                <w:w w:val="99"/>
              </w:rPr>
              <w:t>(Address of Principal Executive Offices)</w:t>
            </w:r>
          </w:p>
        </w:tc>
        <w:tc>
          <w:tcPr>
            <w:tcW w:w="25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120" w:type="dxa"/>
            <w:vAlign w:val="bottom"/>
          </w:tcPr>
          <w:p>
            <w:pPr>
              <w:jc w:val="center"/>
              <w:ind w:right="150"/>
              <w:spacing w:after="0"/>
              <w:rPr>
                <w:sz w:val="20"/>
                <w:szCs w:val="20"/>
                <w:color w:val="auto"/>
              </w:rPr>
            </w:pPr>
            <w:r>
              <w:rPr>
                <w:rFonts w:ascii="Arial" w:cs="Arial" w:eastAsia="Arial" w:hAnsi="Arial"/>
                <w:sz w:val="18"/>
                <w:szCs w:val="18"/>
                <w:color w:val="auto"/>
                <w:w w:val="98"/>
              </w:rPr>
              <w:t>(Zip Code)</w:t>
            </w:r>
          </w:p>
        </w:tc>
      </w:tr>
      <w:tr>
        <w:trPr>
          <w:trHeight w:val="486"/>
        </w:trPr>
        <w:tc>
          <w:tcPr>
            <w:tcW w:w="6080" w:type="dxa"/>
            <w:vAlign w:val="bottom"/>
            <w:gridSpan w:val="3"/>
          </w:tcPr>
          <w:p>
            <w:pPr>
              <w:ind w:left="1920"/>
              <w:spacing w:after="0"/>
              <w:rPr>
                <w:sz w:val="20"/>
                <w:szCs w:val="20"/>
                <w:color w:val="auto"/>
              </w:rPr>
            </w:pPr>
            <w:r>
              <w:rPr>
                <w:rFonts w:ascii="Arial" w:cs="Arial" w:eastAsia="Arial" w:hAnsi="Arial"/>
                <w:sz w:val="18"/>
                <w:szCs w:val="18"/>
                <w:color w:val="auto"/>
              </w:rPr>
              <w:t>Registrant's telephone number, including area code</w:t>
            </w:r>
          </w:p>
        </w:tc>
        <w:tc>
          <w:tcPr>
            <w:tcW w:w="3120" w:type="dxa"/>
            <w:vAlign w:val="bottom"/>
          </w:tcPr>
          <w:p>
            <w:pPr>
              <w:jc w:val="right"/>
              <w:ind w:right="1830"/>
              <w:spacing w:after="0"/>
              <w:rPr>
                <w:sz w:val="20"/>
                <w:szCs w:val="20"/>
                <w:color w:val="auto"/>
              </w:rPr>
            </w:pPr>
            <w:r>
              <w:rPr>
                <w:rFonts w:ascii="Arial" w:cs="Arial" w:eastAsia="Arial" w:hAnsi="Arial"/>
                <w:sz w:val="18"/>
                <w:szCs w:val="18"/>
                <w:b w:val="1"/>
                <w:bCs w:val="1"/>
                <w:color w:val="auto"/>
              </w:rPr>
              <w:t>641-585-3535</w:t>
            </w:r>
          </w:p>
        </w:tc>
      </w:tr>
    </w:tbl>
    <w:p>
      <w:pPr>
        <w:spacing w:after="0" w:line="215" w:lineRule="exact"/>
        <w:rPr>
          <w:sz w:val="24"/>
          <w:szCs w:val="24"/>
          <w:color w:val="auto"/>
        </w:rPr>
      </w:pPr>
    </w:p>
    <w:p>
      <w:pPr>
        <w:ind w:left="2220"/>
        <w:spacing w:after="0"/>
        <w:rPr>
          <w:sz w:val="20"/>
          <w:szCs w:val="20"/>
          <w:color w:val="auto"/>
        </w:rPr>
      </w:pPr>
      <w:r>
        <w:rPr>
          <w:rFonts w:ascii="Arial" w:cs="Arial" w:eastAsia="Arial" w:hAnsi="Arial"/>
          <w:sz w:val="18"/>
          <w:szCs w:val="18"/>
          <w:color w:val="auto"/>
        </w:rPr>
        <w:t>______________________________________________________________________</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2946400</wp:posOffset>
            </wp:positionH>
            <wp:positionV relativeFrom="paragraph">
              <wp:posOffset>229235</wp:posOffset>
            </wp:positionV>
            <wp:extent cx="136334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363345"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spacing w:after="0" w:line="260" w:lineRule="auto"/>
        <w:rPr>
          <w:sz w:val="20"/>
          <w:szCs w:val="20"/>
          <w:color w:val="auto"/>
        </w:rPr>
      </w:pPr>
      <w:r>
        <w:rPr>
          <w:rFonts w:ascii="Arial" w:cs="Arial" w:eastAsia="Arial" w:hAnsi="Arial"/>
          <w:sz w:val="16"/>
          <w:szCs w:val="16"/>
          <w:color w:val="auto"/>
        </w:rPr>
        <w:t>Check the appropriate box below if the Form 8-K filing is intended to simultaneously satisfy the filing obligation of the registrant under any of the following provisions (see General Instruction A.2. below):</w:t>
      </w:r>
    </w:p>
    <w:p>
      <w:pPr>
        <w:spacing w:after="0" w:line="169" w:lineRule="exact"/>
        <w:rPr>
          <w:sz w:val="24"/>
          <w:szCs w:val="24"/>
          <w:color w:val="auto"/>
        </w:rPr>
      </w:pPr>
    </w:p>
    <w:p>
      <w:pPr>
        <w:ind w:left="500" w:hanging="492"/>
        <w:spacing w:after="0"/>
        <w:tabs>
          <w:tab w:leader="none" w:pos="500" w:val="left"/>
        </w:tabs>
        <w:numPr>
          <w:ilvl w:val="0"/>
          <w:numId w:val="1"/>
        </w:numPr>
        <w:rPr>
          <w:rFonts w:ascii="Arial" w:cs="Arial" w:eastAsia="Arial" w:hAnsi="Arial"/>
          <w:sz w:val="16"/>
          <w:szCs w:val="16"/>
          <w:color w:val="auto"/>
        </w:rPr>
      </w:pPr>
      <w:r>
        <w:rPr>
          <w:rFonts w:ascii="Arial" w:cs="Arial" w:eastAsia="Arial" w:hAnsi="Arial"/>
          <w:sz w:val="16"/>
          <w:szCs w:val="16"/>
          <w:color w:val="auto"/>
        </w:rPr>
        <w:t>Written communications pursuant to Rule 425 under the Securities Act (17 CFR 230.425)</w:t>
      </w:r>
    </w:p>
    <w:p>
      <w:pPr>
        <w:spacing w:after="0" w:line="194" w:lineRule="exact"/>
        <w:rPr>
          <w:rFonts w:ascii="Arial" w:cs="Arial" w:eastAsia="Arial" w:hAnsi="Arial"/>
          <w:sz w:val="16"/>
          <w:szCs w:val="16"/>
          <w:color w:val="auto"/>
        </w:rPr>
      </w:pPr>
    </w:p>
    <w:p>
      <w:pPr>
        <w:ind w:left="500" w:hanging="492"/>
        <w:spacing w:after="0"/>
        <w:tabs>
          <w:tab w:leader="none" w:pos="500" w:val="left"/>
        </w:tabs>
        <w:numPr>
          <w:ilvl w:val="0"/>
          <w:numId w:val="1"/>
        </w:numPr>
        <w:rPr>
          <w:rFonts w:ascii="Arial" w:cs="Arial" w:eastAsia="Arial" w:hAnsi="Arial"/>
          <w:sz w:val="16"/>
          <w:szCs w:val="16"/>
          <w:color w:val="auto"/>
        </w:rPr>
      </w:pPr>
      <w:r>
        <w:rPr>
          <w:rFonts w:ascii="Arial" w:cs="Arial" w:eastAsia="Arial" w:hAnsi="Arial"/>
          <w:sz w:val="16"/>
          <w:szCs w:val="16"/>
          <w:color w:val="auto"/>
        </w:rPr>
        <w:t>Soliciting material pursuant to Rule 14a-12 under the Exchange Act (17 CFR 240.14a-12)</w:t>
      </w:r>
    </w:p>
    <w:p>
      <w:pPr>
        <w:spacing w:after="0" w:line="194" w:lineRule="exact"/>
        <w:rPr>
          <w:rFonts w:ascii="Arial" w:cs="Arial" w:eastAsia="Arial" w:hAnsi="Arial"/>
          <w:sz w:val="16"/>
          <w:szCs w:val="16"/>
          <w:color w:val="auto"/>
        </w:rPr>
      </w:pPr>
    </w:p>
    <w:p>
      <w:pPr>
        <w:ind w:left="500" w:hanging="492"/>
        <w:spacing w:after="0"/>
        <w:tabs>
          <w:tab w:leader="none" w:pos="500" w:val="left"/>
        </w:tabs>
        <w:numPr>
          <w:ilvl w:val="0"/>
          <w:numId w:val="1"/>
        </w:numPr>
        <w:rPr>
          <w:rFonts w:ascii="Arial" w:cs="Arial" w:eastAsia="Arial" w:hAnsi="Arial"/>
          <w:sz w:val="16"/>
          <w:szCs w:val="16"/>
          <w:color w:val="auto"/>
        </w:rPr>
      </w:pPr>
      <w:r>
        <w:rPr>
          <w:rFonts w:ascii="Arial" w:cs="Arial" w:eastAsia="Arial" w:hAnsi="Arial"/>
          <w:sz w:val="16"/>
          <w:szCs w:val="16"/>
          <w:color w:val="auto"/>
        </w:rPr>
        <w:t>Pre-commencement communications pursuant to Rule 14d-2(b) under the Exchange Act (17 CFR 240.14d-2(b))</w:t>
      </w:r>
    </w:p>
    <w:p>
      <w:pPr>
        <w:spacing w:after="0" w:line="194" w:lineRule="exact"/>
        <w:rPr>
          <w:rFonts w:ascii="Arial" w:cs="Arial" w:eastAsia="Arial" w:hAnsi="Arial"/>
          <w:sz w:val="16"/>
          <w:szCs w:val="16"/>
          <w:color w:val="auto"/>
        </w:rPr>
      </w:pPr>
    </w:p>
    <w:p>
      <w:pPr>
        <w:ind w:left="500" w:hanging="492"/>
        <w:spacing w:after="0"/>
        <w:tabs>
          <w:tab w:leader="none" w:pos="500" w:val="left"/>
        </w:tabs>
        <w:numPr>
          <w:ilvl w:val="0"/>
          <w:numId w:val="1"/>
        </w:numPr>
        <w:rPr>
          <w:rFonts w:ascii="Arial" w:cs="Arial" w:eastAsia="Arial" w:hAnsi="Arial"/>
          <w:sz w:val="16"/>
          <w:szCs w:val="16"/>
          <w:color w:val="auto"/>
        </w:rPr>
      </w:pPr>
      <w:r>
        <w:rPr>
          <w:rFonts w:ascii="Arial" w:cs="Arial" w:eastAsia="Arial" w:hAnsi="Arial"/>
          <w:sz w:val="16"/>
          <w:szCs w:val="16"/>
          <w:color w:val="auto"/>
        </w:rPr>
        <w:t>Pre-commencement communications pursuant to Rule 13e-4(c) under the Exchange Act (17 CFR 240.13e-4(c))</w:t>
      </w:r>
    </w:p>
    <w:p>
      <w:pPr>
        <w:sectPr>
          <w:pgSz w:w="11900" w:h="16838" w:orient="portrait"/>
          <w:cols w:equalWidth="0" w:num="1">
            <w:col w:w="11420"/>
          </w:cols>
          <w:pgMar w:left="240" w:top="676" w:right="2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247"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Winnebago Industries, Inc. is filing herewith a press release issued on October 13, 2011, as Exhibit 99.1 which is included herein. The press release was issued to report earnings for the fourth quarter and Fiscal 2011 ended August 27, 2011.</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47" w:lineRule="exact"/>
        <w:rPr>
          <w:sz w:val="20"/>
          <w:szCs w:val="20"/>
          <w:color w:val="auto"/>
        </w:rPr>
      </w:pPr>
    </w:p>
    <w:p>
      <w:pPr>
        <w:ind w:left="420" w:hanging="412"/>
        <w:spacing w:after="0"/>
        <w:tabs>
          <w:tab w:leader="none" w:pos="42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20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Exhibit</w:t>
      </w:r>
    </w:p>
    <w:p>
      <w:pPr>
        <w:spacing w:after="0" w:line="31" w:lineRule="exact"/>
        <w:rPr>
          <w:sz w:val="20"/>
          <w:szCs w:val="20"/>
          <w:color w:val="auto"/>
        </w:rPr>
      </w:pPr>
    </w:p>
    <w:p>
      <w:pPr>
        <w:ind w:left="660"/>
        <w:spacing w:after="0"/>
        <w:tabs>
          <w:tab w:leader="none" w:pos="1520" w:val="left"/>
        </w:tabs>
        <w:rPr>
          <w:sz w:val="20"/>
          <w:szCs w:val="20"/>
          <w:color w:val="auto"/>
        </w:rPr>
      </w:pPr>
      <w:r>
        <w:rPr>
          <w:rFonts w:ascii="Arial" w:cs="Arial" w:eastAsia="Arial" w:hAnsi="Arial"/>
          <w:sz w:val="18"/>
          <w:szCs w:val="18"/>
          <w:b w:val="1"/>
          <w:bCs w:val="1"/>
          <w:u w:val="single" w:color="auto"/>
          <w:color w:val="auto"/>
        </w:rPr>
        <w:t>Number</w:t>
      </w:r>
      <w:r>
        <w:rPr>
          <w:sz w:val="20"/>
          <w:szCs w:val="20"/>
          <w:color w:val="auto"/>
        </w:rPr>
        <w:tab/>
      </w:r>
      <w:r>
        <w:rPr>
          <w:rFonts w:ascii="Arial" w:cs="Arial" w:eastAsia="Arial" w:hAnsi="Arial"/>
          <w:sz w:val="17"/>
          <w:szCs w:val="17"/>
          <w:b w:val="1"/>
          <w:bCs w:val="1"/>
          <w:u w:val="single" w:color="auto"/>
          <w:color w:val="auto"/>
        </w:rPr>
        <w:t>Description</w:t>
      </w:r>
    </w:p>
    <w:p>
      <w:pPr>
        <w:spacing w:after="0" w:line="9" w:lineRule="exact"/>
        <w:rPr>
          <w:sz w:val="20"/>
          <w:szCs w:val="20"/>
          <w:color w:val="auto"/>
        </w:rPr>
      </w:pPr>
    </w:p>
    <w:p>
      <w:pPr>
        <w:ind w:left="660"/>
        <w:spacing w:after="0"/>
        <w:tabs>
          <w:tab w:leader="none" w:pos="138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8"/>
          <w:szCs w:val="18"/>
          <w:color w:val="auto"/>
        </w:rPr>
        <w:t>Press release of Winnebago Industries, Inc. dated October 13, 2011.</w:t>
      </w:r>
    </w:p>
    <w:p>
      <w:pPr>
        <w:sectPr>
          <w:pgSz w:w="11900" w:h="16838" w:orient="portrait"/>
          <w:cols w:equalWidth="0" w:num="1">
            <w:col w:w="11160"/>
          </w:cols>
          <w:pgMar w:left="240" w:top="576" w:right="499" w:bottom="1440" w:gutter="0" w:footer="0" w:header="0"/>
        </w:sectPr>
      </w:pPr>
    </w:p>
    <w:bookmarkStart w:id="2" w:name="page3"/>
    <w:bookmarkEnd w:id="2"/>
    <w:p>
      <w:pPr>
        <w:jc w:val="center"/>
        <w:ind w:right="-299"/>
        <w:spacing w:after="0"/>
        <w:rPr>
          <w:sz w:val="20"/>
          <w:szCs w:val="20"/>
          <w:color w:val="auto"/>
        </w:rPr>
      </w:pPr>
      <w:r>
        <w:rPr>
          <w:rFonts w:ascii="Arial" w:cs="Arial" w:eastAsia="Arial" w:hAnsi="Arial"/>
          <w:sz w:val="18"/>
          <w:szCs w:val="18"/>
          <w:b w:val="1"/>
          <w:bCs w:val="1"/>
          <w:color w:val="auto"/>
        </w:rPr>
        <w:t>SIGNATURES</w:t>
      </w:r>
    </w:p>
    <w:p>
      <w:pPr>
        <w:spacing w:after="0" w:line="180"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72" w:lineRule="exact"/>
        <w:rPr>
          <w:sz w:val="20"/>
          <w:szCs w:val="20"/>
          <w:color w:val="auto"/>
        </w:rPr>
      </w:pPr>
    </w:p>
    <w:p>
      <w:pPr>
        <w:ind w:left="3460"/>
        <w:spacing w:after="0"/>
        <w:rPr>
          <w:sz w:val="20"/>
          <w:szCs w:val="20"/>
          <w:color w:val="auto"/>
        </w:rPr>
      </w:pPr>
      <w:r>
        <w:rPr>
          <w:rFonts w:ascii="Arial" w:cs="Arial" w:eastAsia="Arial" w:hAnsi="Arial"/>
          <w:sz w:val="18"/>
          <w:szCs w:val="18"/>
          <w:color w:val="auto"/>
        </w:rPr>
        <w:t>WINNEBAGO INDUSTRIES, INC.</w:t>
      </w:r>
    </w:p>
    <w:p>
      <w:pPr>
        <w:spacing w:after="0" w:line="63" w:lineRule="exact"/>
        <w:rPr>
          <w:sz w:val="20"/>
          <w:szCs w:val="20"/>
          <w:color w:val="auto"/>
        </w:rPr>
      </w:pPr>
    </w:p>
    <w:p>
      <w:pPr>
        <w:ind w:left="3460"/>
        <w:spacing w:after="0"/>
        <w:rPr>
          <w:sz w:val="20"/>
          <w:szCs w:val="20"/>
          <w:color w:val="auto"/>
        </w:rPr>
      </w:pPr>
      <w:r>
        <w:rPr>
          <w:rFonts w:ascii="Arial" w:cs="Arial" w:eastAsia="Arial" w:hAnsi="Arial"/>
          <w:sz w:val="18"/>
          <w:szCs w:val="18"/>
          <w:color w:val="auto"/>
        </w:rPr>
        <w:t>(Registrant)</w:t>
      </w:r>
    </w:p>
    <w:p>
      <w:pPr>
        <w:spacing w:after="0" w:line="360" w:lineRule="exact"/>
        <w:rPr>
          <w:sz w:val="20"/>
          <w:szCs w:val="20"/>
          <w:color w:val="auto"/>
        </w:rPr>
      </w:pPr>
    </w:p>
    <w:p>
      <w:pPr>
        <w:ind w:left="40"/>
        <w:spacing w:after="0"/>
        <w:tabs>
          <w:tab w:leader="none" w:pos="600" w:val="left"/>
          <w:tab w:leader="none" w:pos="3440" w:val="left"/>
          <w:tab w:leader="none" w:pos="4100" w:val="left"/>
        </w:tabs>
        <w:rPr>
          <w:sz w:val="20"/>
          <w:szCs w:val="20"/>
          <w:color w:val="auto"/>
        </w:rPr>
      </w:pPr>
      <w:r>
        <w:rPr>
          <w:rFonts w:ascii="Arial" w:cs="Arial" w:eastAsia="Arial" w:hAnsi="Arial"/>
          <w:sz w:val="18"/>
          <w:szCs w:val="18"/>
          <w:color w:val="auto"/>
        </w:rPr>
        <w:t>Date:</w:t>
        <w:tab/>
        <w:t>October 13, 2011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Randy J. Potts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2603500</wp:posOffset>
            </wp:positionH>
            <wp:positionV relativeFrom="paragraph">
              <wp:posOffset>14605</wp:posOffset>
            </wp:positionV>
            <wp:extent cx="31299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129915" cy="8890"/>
                    </a:xfrm>
                    <a:prstGeom prst="rect">
                      <a:avLst/>
                    </a:prstGeom>
                    <a:noFill/>
                  </pic:spPr>
                </pic:pic>
              </a:graphicData>
            </a:graphic>
          </wp:anchor>
        </w:drawing>
      </w:r>
    </w:p>
    <w:p>
      <w:pPr>
        <w:spacing w:after="0" w:line="43" w:lineRule="exact"/>
        <w:rPr>
          <w:sz w:val="20"/>
          <w:szCs w:val="20"/>
          <w:color w:val="auto"/>
        </w:rPr>
      </w:pPr>
    </w:p>
    <w:p>
      <w:pPr>
        <w:ind w:left="3460"/>
        <w:spacing w:after="0"/>
        <w:rPr>
          <w:sz w:val="20"/>
          <w:szCs w:val="20"/>
          <w:color w:val="auto"/>
        </w:rPr>
      </w:pPr>
      <w:r>
        <w:rPr>
          <w:rFonts w:ascii="Arial" w:cs="Arial" w:eastAsia="Arial" w:hAnsi="Arial"/>
          <w:sz w:val="18"/>
          <w:szCs w:val="18"/>
          <w:color w:val="auto"/>
        </w:rPr>
        <w:t>Name:  Randy J. Potts</w:t>
      </w:r>
    </w:p>
    <w:p>
      <w:pPr>
        <w:spacing w:after="0" w:line="63" w:lineRule="exact"/>
        <w:rPr>
          <w:sz w:val="20"/>
          <w:szCs w:val="20"/>
          <w:color w:val="auto"/>
        </w:rPr>
      </w:pPr>
    </w:p>
    <w:p>
      <w:pPr>
        <w:ind w:left="3460"/>
        <w:spacing w:after="0"/>
        <w:tabs>
          <w:tab w:leader="none" w:pos="4100" w:val="left"/>
        </w:tabs>
        <w:rPr>
          <w:sz w:val="20"/>
          <w:szCs w:val="20"/>
          <w:color w:val="auto"/>
        </w:rPr>
      </w:pPr>
      <w:r>
        <w:rPr>
          <w:rFonts w:ascii="Arial" w:cs="Arial" w:eastAsia="Arial" w:hAnsi="Arial"/>
          <w:sz w:val="18"/>
          <w:szCs w:val="18"/>
          <w:color w:val="auto"/>
        </w:rPr>
        <w:t>Title:</w:t>
        <w:tab/>
        <w:t>Chief Executive Officer and President</w:t>
      </w:r>
    </w:p>
    <w:p>
      <w:pPr>
        <w:sectPr>
          <w:pgSz w:w="11900" w:h="16838" w:orient="portrait"/>
          <w:cols w:equalWidth="0" w:num="1">
            <w:col w:w="11120"/>
          </w:cols>
          <w:pgMar w:left="240" w:top="576" w:right="539" w:bottom="1440" w:gutter="0" w:footer="0" w:header="0"/>
        </w:sectPr>
      </w:pPr>
    </w:p>
    <w:bookmarkStart w:id="3" w:name="page4"/>
    <w:bookmarkEnd w:id="3"/>
    <w:p>
      <w:pPr>
        <w:ind w:left="4300"/>
        <w:spacing w:after="0"/>
        <w:rPr>
          <w:sz w:val="20"/>
          <w:szCs w:val="20"/>
          <w:color w:val="auto"/>
        </w:rPr>
      </w:pPr>
      <w:r>
        <w:rPr>
          <w:rFonts w:ascii="Arial" w:cs="Arial" w:eastAsia="Arial" w:hAnsi="Arial"/>
          <w:sz w:val="22"/>
          <w:szCs w:val="22"/>
          <w:b w:val="1"/>
          <w:bCs w:val="1"/>
          <w:color w:val="auto"/>
        </w:rPr>
        <w:t>EXHIBIT INDEX</w:t>
      </w: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w:t>
      </w:r>
    </w:p>
    <w:p>
      <w:pPr>
        <w:spacing w:after="0" w:line="18" w:lineRule="exact"/>
        <w:rPr>
          <w:sz w:val="20"/>
          <w:szCs w:val="20"/>
          <w:color w:val="auto"/>
        </w:rPr>
      </w:pPr>
    </w:p>
    <w:p>
      <w:pPr>
        <w:spacing w:after="0"/>
        <w:tabs>
          <w:tab w:leader="none" w:pos="1240" w:val="left"/>
        </w:tabs>
        <w:rPr>
          <w:sz w:val="20"/>
          <w:szCs w:val="20"/>
          <w:color w:val="auto"/>
        </w:rPr>
      </w:pPr>
      <w:r>
        <w:rPr>
          <w:rFonts w:ascii="Arial" w:cs="Arial" w:eastAsia="Arial" w:hAnsi="Arial"/>
          <w:sz w:val="18"/>
          <w:szCs w:val="18"/>
          <w:b w:val="1"/>
          <w:bCs w:val="1"/>
          <w:color w:val="auto"/>
        </w:rPr>
        <w:t>Number</w:t>
      </w:r>
      <w:r>
        <w:rPr>
          <w:sz w:val="20"/>
          <w:szCs w:val="20"/>
          <w:color w:val="auto"/>
        </w:rPr>
        <w:tab/>
      </w:r>
      <w:r>
        <w:rPr>
          <w:rFonts w:ascii="Arial" w:cs="Arial" w:eastAsia="Arial" w:hAnsi="Arial"/>
          <w:sz w:val="18"/>
          <w:szCs w:val="18"/>
          <w:b w:val="1"/>
          <w:bCs w:val="1"/>
          <w:color w:val="auto"/>
        </w:rPr>
        <w:t>Description</w:t>
      </w:r>
    </w:p>
    <w:p>
      <w:pPr>
        <w:spacing w:after="0" w:line="306" w:lineRule="exact"/>
        <w:rPr>
          <w:sz w:val="20"/>
          <w:szCs w:val="20"/>
          <w:color w:val="auto"/>
        </w:rPr>
      </w:pPr>
    </w:p>
    <w:p>
      <w:pPr>
        <w:ind w:left="200"/>
        <w:spacing w:after="0"/>
        <w:tabs>
          <w:tab w:leader="none" w:pos="124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8"/>
          <w:szCs w:val="18"/>
          <w:color w:val="auto"/>
        </w:rPr>
        <w:t>Press release of Winnebago Industries, Inc. dated October 13, 2011.</w:t>
      </w:r>
    </w:p>
    <w:p>
      <w:pPr>
        <w:sectPr>
          <w:pgSz w:w="11900" w:h="16838" w:orient="portrait"/>
          <w:cols w:equalWidth="0" w:num="1">
            <w:col w:w="9599"/>
          </w:cols>
          <w:pgMar w:left="860" w:top="580" w:right="1440" w:bottom="1440" w:gutter="0" w:footer="0" w:header="0"/>
        </w:sectPr>
      </w:pPr>
    </w:p>
    <w:bookmarkStart w:id="4" w:name="page5"/>
    <w:bookmarkEnd w:id="4"/>
    <w:p>
      <w:pPr>
        <w:spacing w:after="0"/>
        <w:rPr>
          <w:sz w:val="20"/>
          <w:szCs w:val="20"/>
          <w:color w:val="auto"/>
        </w:rPr>
      </w:pPr>
      <w:r>
        <w:rPr>
          <w:rFonts w:ascii="Arial" w:cs="Arial" w:eastAsia="Arial" w:hAnsi="Arial"/>
          <w:sz w:val="16"/>
          <w:szCs w:val="16"/>
          <w:color w:val="auto"/>
        </w:rPr>
        <w:t>Contact: Sheila Davis - PR/IR Mgr. - 641-585-6803 - sdavis@winnebagoind.com</w:t>
      </w:r>
    </w:p>
    <w:p>
      <w:pPr>
        <w:spacing w:after="0" w:line="174"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WINNEBAGO INDUSTRIES REPORTS RESULTS FOR</w:t>
      </w:r>
    </w:p>
    <w:p>
      <w:pPr>
        <w:spacing w:after="0" w:line="25"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FOURTH QUARTER AND FISCAL 2011</w:t>
      </w:r>
    </w:p>
    <w:p>
      <w:pPr>
        <w:spacing w:after="0" w:line="5"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 Revenues and Earnings Growth in Fiscal 2011 --</w:t>
      </w:r>
    </w:p>
    <w:p>
      <w:pPr>
        <w:spacing w:after="0" w:line="383" w:lineRule="exact"/>
        <w:rPr>
          <w:sz w:val="20"/>
          <w:szCs w:val="20"/>
          <w:color w:val="auto"/>
        </w:rPr>
      </w:pPr>
    </w:p>
    <w:p>
      <w:pPr>
        <w:ind w:right="340"/>
        <w:spacing w:after="0" w:line="260" w:lineRule="auto"/>
        <w:rPr>
          <w:sz w:val="20"/>
          <w:szCs w:val="20"/>
          <w:color w:val="auto"/>
        </w:rPr>
      </w:pPr>
      <w:r>
        <w:rPr>
          <w:rFonts w:ascii="Arial" w:cs="Arial" w:eastAsia="Arial" w:hAnsi="Arial"/>
          <w:sz w:val="16"/>
          <w:szCs w:val="16"/>
          <w:color w:val="auto"/>
        </w:rPr>
        <w:t>FOREST CITY, IOWA, October 13, 2011 - Winnebago Industries, Inc. (NYSE:WGO), a leading United States (U.S.) recreation vehicle manufacturer, today reported financial results for the Company's fourth quarter and fiscal year 2011.</w:t>
      </w:r>
    </w:p>
    <w:p>
      <w:pPr>
        <w:spacing w:after="0" w:line="169" w:lineRule="exact"/>
        <w:rPr>
          <w:sz w:val="20"/>
          <w:szCs w:val="20"/>
          <w:color w:val="auto"/>
        </w:rPr>
      </w:pPr>
    </w:p>
    <w:p>
      <w:pPr>
        <w:ind w:right="160"/>
        <w:spacing w:after="0" w:line="250" w:lineRule="auto"/>
        <w:rPr>
          <w:sz w:val="20"/>
          <w:szCs w:val="20"/>
          <w:color w:val="auto"/>
        </w:rPr>
      </w:pPr>
      <w:r>
        <w:rPr>
          <w:rFonts w:ascii="Arial" w:cs="Arial" w:eastAsia="Arial" w:hAnsi="Arial"/>
          <w:sz w:val="16"/>
          <w:szCs w:val="16"/>
          <w:color w:val="auto"/>
        </w:rPr>
        <w:t>Revenues for the fourth quarter ended August 27, 2011 were $130.5 million, an increase of 6.0%, versus $123.1 million for the fourth quarter of Fiscal 2010. Included within consolidated revenues was $7.8 million associated with towable products. The Company reported an operating profit of $ 1.8 million for the quarter, versus $5.0 million for the fourth quarter of Fiscal 2010. Net income for the fourth quarter was $3.5 million versus $4.9 million for the fourth quarter of Fiscal 2010. On a diluted per share basis, the Company had net income of $0.12 for the fourth quarter of Fiscal 2011 versus $0.17 for the fourth quarter of Fiscal 2010.</w:t>
      </w:r>
    </w:p>
    <w:p>
      <w:pPr>
        <w:spacing w:after="0" w:line="176" w:lineRule="exact"/>
        <w:rPr>
          <w:sz w:val="20"/>
          <w:szCs w:val="20"/>
          <w:color w:val="auto"/>
        </w:rPr>
      </w:pPr>
    </w:p>
    <w:p>
      <w:pPr>
        <w:ind w:right="160"/>
        <w:spacing w:after="0" w:line="251" w:lineRule="auto"/>
        <w:rPr>
          <w:sz w:val="20"/>
          <w:szCs w:val="20"/>
          <w:color w:val="auto"/>
        </w:rPr>
      </w:pPr>
      <w:r>
        <w:rPr>
          <w:rFonts w:ascii="Arial" w:cs="Arial" w:eastAsia="Arial" w:hAnsi="Arial"/>
          <w:sz w:val="16"/>
          <w:szCs w:val="16"/>
          <w:color w:val="auto"/>
        </w:rPr>
        <w:t>The fourth quarter of Fiscal 2011 as compared to the fourth quarter of Fiscal 2010 was negatively impacted by last-in, first-out (LIFO) inventory expense as opposed to LIFO income in the prior year period and commodity inflation. These negative items were partially offset by a tax benefit recorded in the fourth quarter of Fiscal 2011, primarily due to the taxable earnings achieved in Fiscal 2011 which increased the likelihood of realizing a portion of gross deferred tax assets in the future.</w:t>
      </w:r>
    </w:p>
    <w:p>
      <w:pPr>
        <w:spacing w:after="0" w:line="176" w:lineRule="exact"/>
        <w:rPr>
          <w:sz w:val="20"/>
          <w:szCs w:val="20"/>
          <w:color w:val="auto"/>
        </w:rPr>
      </w:pPr>
    </w:p>
    <w:p>
      <w:pPr>
        <w:ind w:right="60"/>
        <w:spacing w:after="0" w:line="250" w:lineRule="auto"/>
        <w:rPr>
          <w:sz w:val="20"/>
          <w:szCs w:val="20"/>
          <w:color w:val="auto"/>
        </w:rPr>
      </w:pPr>
      <w:r>
        <w:rPr>
          <w:rFonts w:ascii="Arial" w:cs="Arial" w:eastAsia="Arial" w:hAnsi="Arial"/>
          <w:sz w:val="16"/>
          <w:szCs w:val="16"/>
          <w:color w:val="auto"/>
        </w:rPr>
        <w:t>Revenues for Fiscal 2011 were $496.4 million, an increase of 10.4%, versus revenues of $449.5 million for Fiscal 2010. Included within consolidated revenues was $16.7 million associated with towable products. The Company reported operating income of $11.3 million for Fiscal 2011, versus $0.5 million for Fiscal 2010. Net income for Fiscal 2011 was $11.8 million, or $0.41 per diluted share, versus $10.2 million, or $0.35 per diluted share for Fiscal 2010. Contributing to net income in Fiscal 2010 was $9.5 million of tax benefits recorded primarily related to $5.8 million of tax benefit associated with the carryback of Fiscal 2009 net operating losses permitted by tax law changes and tax benefits associated with various tax planning initiatives and tax settlements.</w:t>
      </w:r>
    </w:p>
    <w:p>
      <w:pPr>
        <w:spacing w:after="0" w:line="176" w:lineRule="exact"/>
        <w:rPr>
          <w:sz w:val="20"/>
          <w:szCs w:val="20"/>
          <w:color w:val="auto"/>
        </w:rPr>
      </w:pPr>
    </w:p>
    <w:p>
      <w:pPr>
        <w:ind w:right="20"/>
        <w:spacing w:after="0" w:line="250" w:lineRule="auto"/>
        <w:rPr>
          <w:sz w:val="20"/>
          <w:szCs w:val="20"/>
          <w:color w:val="auto"/>
        </w:rPr>
      </w:pPr>
      <w:r>
        <w:rPr>
          <w:rFonts w:ascii="Arial" w:cs="Arial" w:eastAsia="Arial" w:hAnsi="Arial"/>
          <w:sz w:val="16"/>
          <w:szCs w:val="16"/>
          <w:color w:val="auto"/>
        </w:rPr>
        <w:t>“Results for the fourth quarter followed the same pattern as the third, showing the impact from an economy that had slowed in the second half of our fiscal year,” said Winnebago Industries' CEO and President Randy Potts. "While we experienced improved market conditions in the first half of Fiscal 2011, we were disappointed to see the negative effects caused by falling consumer confidence throughout the remainder of the year. The trend of rising average selling prices for our vehicles, however, was positive for us and we were pleased to complete the year with growth in revenues, operating income and net income year over year."</w:t>
      </w:r>
    </w:p>
    <w:p>
      <w:pPr>
        <w:spacing w:after="0" w:line="176" w:lineRule="exact"/>
        <w:rPr>
          <w:sz w:val="20"/>
          <w:szCs w:val="20"/>
          <w:color w:val="auto"/>
        </w:rPr>
      </w:pPr>
    </w:p>
    <w:p>
      <w:pPr>
        <w:ind w:right="20"/>
        <w:spacing w:after="0" w:line="250" w:lineRule="auto"/>
        <w:rPr>
          <w:sz w:val="20"/>
          <w:szCs w:val="20"/>
          <w:color w:val="auto"/>
        </w:rPr>
      </w:pPr>
      <w:r>
        <w:rPr>
          <w:rFonts w:ascii="Arial" w:cs="Arial" w:eastAsia="Arial" w:hAnsi="Arial"/>
          <w:sz w:val="16"/>
          <w:szCs w:val="16"/>
          <w:color w:val="auto"/>
        </w:rPr>
        <w:t>Revenues in Fiscal 2011 included towable products as a result of the acquisition of SunnyBrook Manufacturing. However, the new subsidiary was not yet profitable during the first eight months of ownership. "Fiscal 2011 was a year of investment in the Towables subsidiary," said Potts. "As anticipated, we incurred operational losses in Towables during the year in part related to the integration of systems, expansion of the distribution network, the updating of existing SunnyBrook product and the development of a new Winnebago branded towable product line. We are very excited about the future growth potential this new market holds for us."</w:t>
      </w:r>
    </w:p>
    <w:p>
      <w:pPr>
        <w:spacing w:after="0" w:line="176" w:lineRule="exact"/>
        <w:rPr>
          <w:sz w:val="20"/>
          <w:szCs w:val="20"/>
          <w:color w:val="auto"/>
        </w:rPr>
      </w:pPr>
    </w:p>
    <w:p>
      <w:pPr>
        <w:spacing w:after="0" w:line="249" w:lineRule="auto"/>
        <w:rPr>
          <w:sz w:val="20"/>
          <w:szCs w:val="20"/>
          <w:color w:val="auto"/>
        </w:rPr>
      </w:pPr>
      <w:r>
        <w:rPr>
          <w:rFonts w:ascii="Arial" w:cs="Arial" w:eastAsia="Arial" w:hAnsi="Arial"/>
          <w:sz w:val="16"/>
          <w:szCs w:val="16"/>
          <w:color w:val="auto"/>
        </w:rPr>
        <w:t>"During the fourth quarter, we launched 2012 model year products and our dealers have expressed excitement about the new products, particularly the new Winnebago Tour and Itasca Ellipse 42QD floorplan, which was the hit of the recent September 2011 Pennsylvania RV and Camping Show in Hershey, PA," said Potts. "We participated for the first time in a dealer open house event in Elkhart, Indiana during September. This was also the first time we displayed our motorized and towable products together in one display and we were were pleased with the response from our dealers to our new 2012 model year products. It was a great opportunity for them to touch and feel these new products, many of which they were seeing for the first time, particularly the newly introduced Winnebago brand towables."</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color w:val="auto"/>
        </w:rPr>
        <w:t>Conference Call</w:t>
      </w:r>
    </w:p>
    <w:p>
      <w:pPr>
        <w:spacing w:after="0" w:line="5" w:lineRule="exact"/>
        <w:rPr>
          <w:sz w:val="20"/>
          <w:szCs w:val="20"/>
          <w:color w:val="auto"/>
        </w:rPr>
      </w:pPr>
    </w:p>
    <w:p>
      <w:pPr>
        <w:ind w:right="140"/>
        <w:spacing w:after="0" w:line="253" w:lineRule="auto"/>
        <w:rPr>
          <w:sz w:val="20"/>
          <w:szCs w:val="20"/>
          <w:color w:val="auto"/>
        </w:rPr>
      </w:pPr>
      <w:r>
        <w:rPr>
          <w:rFonts w:ascii="Arial" w:cs="Arial" w:eastAsia="Arial" w:hAnsi="Arial"/>
          <w:sz w:val="16"/>
          <w:szCs w:val="16"/>
          <w:color w:val="auto"/>
        </w:rPr>
        <w:t xml:space="preserve">Winnebago Industries, Inc. will conduct a conference call in conjunction with this release at 9 a.m. Central Time today, Thursday, October 13, 2011. Members of the news media, investors and the general public are invited to access a live broadcast of the conference call via the Investor Relations page of the Company's website at </w:t>
      </w:r>
      <w:r>
        <w:rPr>
          <w:rFonts w:ascii="Arial" w:cs="Arial" w:eastAsia="Arial" w:hAnsi="Arial"/>
          <w:sz w:val="16"/>
          <w:szCs w:val="16"/>
          <w:u w:val="single" w:color="auto"/>
          <w:color w:val="auto"/>
        </w:rPr>
        <w:t>http://www.winnebagoind.com/investor.html</w:t>
      </w:r>
      <w:r>
        <w:rPr>
          <w:rFonts w:ascii="Arial" w:cs="Arial" w:eastAsia="Arial" w:hAnsi="Arial"/>
          <w:sz w:val="16"/>
          <w:szCs w:val="16"/>
          <w:color w:val="auto"/>
        </w:rPr>
        <w:t>. The event will be archived and available for replay for the next 90 days.</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color w:val="auto"/>
        </w:rPr>
        <w:t>About Winnebago Industries</w:t>
      </w:r>
    </w:p>
    <w:p>
      <w:pPr>
        <w:ind w:right="120"/>
        <w:spacing w:after="0" w:line="234" w:lineRule="auto"/>
        <w:rPr>
          <w:sz w:val="20"/>
          <w:szCs w:val="20"/>
          <w:color w:val="auto"/>
        </w:rPr>
      </w:pPr>
      <w:r>
        <w:rPr>
          <w:rFonts w:ascii="Arial" w:cs="Arial" w:eastAsia="Arial" w:hAnsi="Arial"/>
          <w:sz w:val="16"/>
          <w:szCs w:val="16"/>
          <w:color w:val="auto"/>
        </w:rPr>
        <w:t>Winnebago Industries, Inc., "The Most Recognized Name in Motor Homes</w:t>
      </w:r>
      <w:r>
        <w:rPr>
          <w:rFonts w:ascii="Arial" w:cs="Arial" w:eastAsia="Arial" w:hAnsi="Arial"/>
          <w:sz w:val="21"/>
          <w:szCs w:val="21"/>
          <w:color w:val="auto"/>
          <w:vertAlign w:val="superscript"/>
        </w:rPr>
        <w:t>®</w:t>
      </w:r>
      <w:r>
        <w:rPr>
          <w:rFonts w:ascii="Arial" w:cs="Arial" w:eastAsia="Arial" w:hAnsi="Arial"/>
          <w:sz w:val="16"/>
          <w:szCs w:val="16"/>
          <w:color w:val="auto"/>
        </w:rPr>
        <w:t>, is a leading U.S. manufacturer of recreation vehicles, which are used primarily in leisure travel and outdoor recreation activities. The Company builds quality motor homes, travel trailers and fifth wheel products under the Winnebago, Itasca, Era and SunnyBrook brand names. Winnebago Industries has received the Quality Circle Award from the Recreation Vehicle Dealers Association every year since the award's inception in 1996. The Company's common stock is listed on the New York and Chicago Stock Exchanges and traded under the symbol WGO. Options for the Company's common stock are traded on the Chicago Board Options Exchange. For access to Winnebago</w:t>
      </w:r>
    </w:p>
    <w:p>
      <w:pPr>
        <w:sectPr>
          <w:pgSz w:w="11900" w:h="16838" w:orient="portrait"/>
          <w:cols w:equalWidth="0" w:num="1">
            <w:col w:w="11400"/>
          </w:cols>
          <w:pgMar w:left="240" w:top="601" w:right="259" w:bottom="1440" w:gutter="0" w:footer="0" w:header="0"/>
        </w:sectPr>
      </w:pPr>
    </w:p>
    <w:bookmarkStart w:id="5" w:name="page6"/>
    <w:bookmarkEnd w:id="5"/>
    <w:p>
      <w:pPr>
        <w:ind w:right="2900"/>
        <w:spacing w:after="0" w:line="260" w:lineRule="auto"/>
        <w:rPr>
          <w:sz w:val="20"/>
          <w:szCs w:val="20"/>
          <w:color w:val="auto"/>
        </w:rPr>
      </w:pPr>
      <w:r>
        <w:rPr>
          <w:rFonts w:ascii="Arial" w:cs="Arial" w:eastAsia="Arial" w:hAnsi="Arial"/>
          <w:sz w:val="16"/>
          <w:szCs w:val="16"/>
          <w:color w:val="auto"/>
        </w:rPr>
        <w:t xml:space="preserve">Industries' investor relations material or to add your name to an automatic email list for Company news releases, visit, </w:t>
      </w:r>
      <w:r>
        <w:rPr>
          <w:rFonts w:ascii="Arial" w:cs="Arial" w:eastAsia="Arial" w:hAnsi="Arial"/>
          <w:sz w:val="16"/>
          <w:szCs w:val="16"/>
          <w:u w:val="single" w:color="auto"/>
          <w:color w:val="auto"/>
        </w:rPr>
        <w:t>http://www.winnebagoind.com/investor.html</w:t>
      </w:r>
      <w:r>
        <w:rPr>
          <w:rFonts w:ascii="Arial" w:cs="Arial" w:eastAsia="Arial" w:hAnsi="Arial"/>
          <w:sz w:val="16"/>
          <w:szCs w:val="16"/>
          <w:color w:val="auto"/>
        </w:rPr>
        <w:t>.</w:t>
      </w:r>
    </w:p>
    <w:p>
      <w:pPr>
        <w:spacing w:after="0" w:line="169" w:lineRule="exact"/>
        <w:rPr>
          <w:sz w:val="20"/>
          <w:szCs w:val="20"/>
          <w:color w:val="auto"/>
        </w:rPr>
      </w:pPr>
    </w:p>
    <w:p>
      <w:pPr>
        <w:spacing w:after="0" w:line="247" w:lineRule="auto"/>
        <w:rPr>
          <w:sz w:val="20"/>
          <w:szCs w:val="20"/>
          <w:color w:val="auto"/>
        </w:rPr>
      </w:pPr>
      <w:r>
        <w:rPr>
          <w:rFonts w:ascii="Arial" w:cs="Arial" w:eastAsia="Arial" w:hAnsi="Arial"/>
          <w:sz w:val="16"/>
          <w:szCs w:val="16"/>
          <w:color w:val="auto"/>
        </w:rPr>
        <w:t>This press release may contain forward-looking statements within the meaning of the Private Securities Litigation Reform Act of 1995. Investors are cautioned that forward-looking statements are inherently uncertain. A number of factors could cause actual results to differ materially from these statements, including, but not limited to increases in interest rates, availability of credit, low consumer confidence, significant increase in repurchase obligations, inadequate liquidity or capital resources, availability and price of fuel, a further or continued slowdown in the economy, availability of chassis and other key component parts, sales order cancellations, slower than anticipated sales of new or existing products, new product introductions by competitors, the effect of global tensions, integration of operations relating to mergers and acquisitions activities and other factors. Additional information concerning certain risks and uncertainties that could cause actual results to differ materially from that projected or suggested is contained in the Company's filings with the Securities and Exchange Commission (SEC) over the last 12 months, copies of which are available from the SEC or from the Company upon request. The Company disclaims any obligation or undertaking to disseminate any updates or revisions to any forward looking statements contained in this release or to reflect any changes in the Company's expectations after the date of this release or any change in events, conditions or circumstances on which any statement is based, except as required by law.</w:t>
      </w:r>
    </w:p>
    <w:p>
      <w:pPr>
        <w:spacing w:after="0" w:line="186"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 # #</w:t>
      </w:r>
    </w:p>
    <w:p>
      <w:pPr>
        <w:sectPr>
          <w:pgSz w:w="11900" w:h="16838" w:orient="portrait"/>
          <w:cols w:equalWidth="0" w:num="1">
            <w:col w:w="11320"/>
          </w:cols>
          <w:pgMar w:left="240" w:top="601"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Winnebago Industries, Inc.</w:t>
      </w:r>
    </w:p>
    <w:p>
      <w:pPr>
        <w:spacing w:after="0" w:line="31" w:lineRule="exact"/>
        <w:rPr>
          <w:sz w:val="20"/>
          <w:szCs w:val="20"/>
          <w:color w:val="auto"/>
        </w:rPr>
      </w:pPr>
    </w:p>
    <w:p>
      <w:pPr>
        <w:ind w:left="3560"/>
        <w:spacing w:after="0"/>
        <w:rPr>
          <w:sz w:val="20"/>
          <w:szCs w:val="20"/>
          <w:color w:val="auto"/>
        </w:rPr>
      </w:pPr>
      <w:r>
        <w:rPr>
          <w:rFonts w:ascii="Arial" w:cs="Arial" w:eastAsia="Arial" w:hAnsi="Arial"/>
          <w:sz w:val="18"/>
          <w:szCs w:val="18"/>
          <w:b w:val="1"/>
          <w:bCs w:val="1"/>
          <w:color w:val="auto"/>
        </w:rPr>
        <w:t>Unaudited Consolidated Statements of Operations</w:t>
      </w:r>
    </w:p>
    <w:p>
      <w:pPr>
        <w:spacing w:after="0" w:line="9" w:lineRule="exact"/>
        <w:rPr>
          <w:sz w:val="20"/>
          <w:szCs w:val="20"/>
          <w:color w:val="auto"/>
        </w:rPr>
      </w:pPr>
    </w:p>
    <w:p>
      <w:pPr>
        <w:ind w:left="3580"/>
        <w:spacing w:after="0"/>
        <w:rPr>
          <w:sz w:val="20"/>
          <w:szCs w:val="20"/>
          <w:color w:val="auto"/>
        </w:rPr>
      </w:pPr>
      <w:r>
        <w:rPr>
          <w:rFonts w:ascii="Arial" w:cs="Arial" w:eastAsia="Arial" w:hAnsi="Arial"/>
          <w:sz w:val="18"/>
          <w:szCs w:val="18"/>
          <w:b w:val="1"/>
          <w:bCs w:val="1"/>
          <w:color w:val="auto"/>
        </w:rPr>
        <w:t>(In thousands, except percent and per share data)</w:t>
      </w: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426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spacing w:after="0"/>
              <w:rPr>
                <w:sz w:val="21"/>
                <w:szCs w:val="21"/>
                <w:color w:val="auto"/>
              </w:rPr>
            </w:pPr>
          </w:p>
        </w:tc>
        <w:tc>
          <w:tcPr>
            <w:tcW w:w="18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Quarter Ended</w:t>
            </w:r>
          </w:p>
        </w:tc>
        <w:tc>
          <w:tcPr>
            <w:tcW w:w="94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spacing w:after="0"/>
              <w:rPr>
                <w:sz w:val="21"/>
                <w:szCs w:val="21"/>
                <w:color w:val="auto"/>
              </w:rPr>
            </w:pPr>
          </w:p>
        </w:tc>
      </w:tr>
      <w:tr>
        <w:trPr>
          <w:trHeight w:val="264"/>
        </w:trPr>
        <w:tc>
          <w:tcPr>
            <w:tcW w:w="426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2060" w:type="dxa"/>
            <w:vAlign w:val="bottom"/>
            <w:tcBorders>
              <w:bottom w:val="single" w:sz="8" w:color="auto"/>
            </w:tcBorders>
            <w:gridSpan w:val="3"/>
          </w:tcPr>
          <w:p>
            <w:pPr>
              <w:ind w:left="680"/>
              <w:spacing w:after="0"/>
              <w:rPr>
                <w:sz w:val="20"/>
                <w:szCs w:val="20"/>
                <w:color w:val="auto"/>
              </w:rPr>
            </w:pPr>
            <w:r>
              <w:rPr>
                <w:rFonts w:ascii="Arial" w:cs="Arial" w:eastAsia="Arial" w:hAnsi="Arial"/>
                <w:sz w:val="18"/>
                <w:szCs w:val="18"/>
                <w:b w:val="1"/>
                <w:bCs w:val="1"/>
                <w:color w:val="auto"/>
                <w:w w:val="99"/>
              </w:rPr>
              <w:t>August 27, 2011</w:t>
            </w:r>
          </w:p>
        </w:tc>
        <w:tc>
          <w:tcPr>
            <w:tcW w:w="980" w:type="dxa"/>
            <w:vAlign w:val="bottom"/>
            <w:tcBorders>
              <w:bottom w:val="single" w:sz="8" w:color="auto"/>
            </w:tcBorders>
          </w:tcPr>
          <w:p>
            <w:pPr>
              <w:spacing w:after="0"/>
              <w:rPr>
                <w:sz w:val="22"/>
                <w:szCs w:val="22"/>
                <w:color w:val="auto"/>
              </w:rPr>
            </w:pPr>
          </w:p>
        </w:tc>
        <w:tc>
          <w:tcPr>
            <w:tcW w:w="400" w:type="dxa"/>
            <w:vAlign w:val="bottom"/>
            <w:tcBorders>
              <w:bottom w:val="single" w:sz="8" w:color="CCEEFF"/>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1920" w:type="dxa"/>
            <w:vAlign w:val="bottom"/>
            <w:tcBorders>
              <w:bottom w:val="single" w:sz="8" w:color="auto"/>
            </w:tcBorders>
            <w:gridSpan w:val="3"/>
          </w:tcPr>
          <w:p>
            <w:pPr>
              <w:ind w:left="520"/>
              <w:spacing w:after="0"/>
              <w:rPr>
                <w:sz w:val="20"/>
                <w:szCs w:val="20"/>
                <w:color w:val="auto"/>
              </w:rPr>
            </w:pPr>
            <w:r>
              <w:rPr>
                <w:rFonts w:ascii="Arial" w:cs="Arial" w:eastAsia="Arial" w:hAnsi="Arial"/>
                <w:sz w:val="18"/>
                <w:szCs w:val="18"/>
                <w:b w:val="1"/>
                <w:bCs w:val="1"/>
                <w:color w:val="auto"/>
              </w:rPr>
              <w:t>August 28, 2010</w:t>
            </w:r>
          </w:p>
        </w:tc>
        <w:tc>
          <w:tcPr>
            <w:tcW w:w="960" w:type="dxa"/>
            <w:vAlign w:val="bottom"/>
            <w:tcBorders>
              <w:bottom w:val="single" w:sz="8" w:color="auto"/>
            </w:tcBorders>
          </w:tcPr>
          <w:p>
            <w:pPr>
              <w:spacing w:after="0"/>
              <w:rPr>
                <w:sz w:val="22"/>
                <w:szCs w:val="22"/>
                <w:color w:val="auto"/>
              </w:rPr>
            </w:pPr>
          </w:p>
        </w:tc>
      </w:tr>
      <w:tr>
        <w:trPr>
          <w:trHeight w:val="270"/>
        </w:trPr>
        <w:tc>
          <w:tcPr>
            <w:tcW w:w="426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revenues</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130,546</w:t>
            </w:r>
          </w:p>
        </w:tc>
        <w:tc>
          <w:tcPr>
            <w:tcW w:w="30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100.0 %</w:t>
            </w:r>
          </w:p>
        </w:tc>
        <w:tc>
          <w:tcPr>
            <w:tcW w:w="400" w:type="dxa"/>
            <w:vAlign w:val="bottom"/>
            <w:shd w:val="clear" w:color="auto" w:fill="CCEEFF"/>
          </w:tcPr>
          <w:p>
            <w:pPr>
              <w:spacing w:after="0"/>
              <w:rPr>
                <w:sz w:val="23"/>
                <w:szCs w:val="23"/>
                <w:color w:val="auto"/>
              </w:rPr>
            </w:pPr>
          </w:p>
        </w:tc>
        <w:tc>
          <w:tcPr>
            <w:tcW w:w="50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123,125</w:t>
            </w:r>
          </w:p>
        </w:tc>
        <w:tc>
          <w:tcPr>
            <w:tcW w:w="30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100.0 %</w:t>
            </w:r>
          </w:p>
        </w:tc>
      </w:tr>
      <w:tr>
        <w:trPr>
          <w:trHeight w:val="264"/>
        </w:trPr>
        <w:tc>
          <w:tcPr>
            <w:tcW w:w="42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Cost of goods sold</w:t>
            </w:r>
          </w:p>
        </w:tc>
        <w:tc>
          <w:tcPr>
            <w:tcW w:w="3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122,018</w:t>
            </w:r>
          </w:p>
        </w:tc>
        <w:tc>
          <w:tcPr>
            <w:tcW w:w="300" w:type="dxa"/>
            <w:vAlign w:val="bottom"/>
            <w:tcBorders>
              <w:bottom w:val="single" w:sz="8" w:color="CCEEFF"/>
            </w:tcBorders>
          </w:tcPr>
          <w:p>
            <w:pPr>
              <w:spacing w:after="0"/>
              <w:rPr>
                <w:sz w:val="22"/>
                <w:szCs w:val="22"/>
                <w:color w:val="auto"/>
              </w:rPr>
            </w:pPr>
          </w:p>
        </w:tc>
        <w:tc>
          <w:tcPr>
            <w:tcW w:w="6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93.5 %</w:t>
            </w:r>
          </w:p>
        </w:tc>
        <w:tc>
          <w:tcPr>
            <w:tcW w:w="400" w:type="dxa"/>
            <w:vAlign w:val="bottom"/>
            <w:tcBorders>
              <w:bottom w:val="single" w:sz="8" w:color="CCEEFF"/>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111,921</w:t>
            </w:r>
          </w:p>
        </w:tc>
        <w:tc>
          <w:tcPr>
            <w:tcW w:w="300" w:type="dxa"/>
            <w:vAlign w:val="bottom"/>
            <w:tcBorders>
              <w:bottom w:val="single" w:sz="8" w:color="CCEEFF"/>
            </w:tcBorders>
          </w:tcPr>
          <w:p>
            <w:pPr>
              <w:spacing w:after="0"/>
              <w:rPr>
                <w:sz w:val="22"/>
                <w:szCs w:val="22"/>
                <w:color w:val="auto"/>
              </w:rPr>
            </w:pPr>
          </w:p>
        </w:tc>
        <w:tc>
          <w:tcPr>
            <w:tcW w:w="6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90.9 %</w:t>
            </w:r>
          </w:p>
        </w:tc>
      </w:tr>
      <w:tr>
        <w:trPr>
          <w:trHeight w:val="257"/>
        </w:trPr>
        <w:tc>
          <w:tcPr>
            <w:tcW w:w="42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Gross profit</w:t>
            </w:r>
          </w:p>
        </w:tc>
        <w:tc>
          <w:tcPr>
            <w:tcW w:w="34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8,528</w:t>
            </w:r>
          </w:p>
        </w:tc>
        <w:tc>
          <w:tcPr>
            <w:tcW w:w="300" w:type="dxa"/>
            <w:vAlign w:val="bottom"/>
            <w:shd w:val="clear" w:color="auto" w:fill="CCEEFF"/>
          </w:tcPr>
          <w:p>
            <w:pPr>
              <w:spacing w:after="0"/>
              <w:rPr>
                <w:sz w:val="22"/>
                <w:szCs w:val="22"/>
                <w:color w:val="auto"/>
              </w:rPr>
            </w:pPr>
          </w:p>
        </w:tc>
        <w:tc>
          <w:tcPr>
            <w:tcW w:w="66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6.5 %</w:t>
            </w:r>
          </w:p>
        </w:tc>
        <w:tc>
          <w:tcPr>
            <w:tcW w:w="400" w:type="dxa"/>
            <w:vAlign w:val="bottom"/>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11,204</w:t>
            </w:r>
          </w:p>
        </w:tc>
        <w:tc>
          <w:tcPr>
            <w:tcW w:w="300" w:type="dxa"/>
            <w:vAlign w:val="bottom"/>
            <w:shd w:val="clear" w:color="auto" w:fill="CCEEFF"/>
          </w:tcPr>
          <w:p>
            <w:pPr>
              <w:spacing w:after="0"/>
              <w:rPr>
                <w:sz w:val="22"/>
                <w:szCs w:val="22"/>
                <w:color w:val="auto"/>
              </w:rPr>
            </w:pPr>
          </w:p>
        </w:tc>
        <w:tc>
          <w:tcPr>
            <w:tcW w:w="68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9.1 %</w:t>
            </w:r>
          </w:p>
        </w:tc>
      </w:tr>
      <w:tr>
        <w:trPr>
          <w:trHeight w:val="257"/>
        </w:trPr>
        <w:tc>
          <w:tcPr>
            <w:tcW w:w="4260" w:type="dxa"/>
            <w:vAlign w:val="bottom"/>
          </w:tcPr>
          <w:p>
            <w:pPr>
              <w:ind w:left="40"/>
              <w:spacing w:after="0"/>
              <w:rPr>
                <w:sz w:val="20"/>
                <w:szCs w:val="20"/>
                <w:color w:val="auto"/>
              </w:rPr>
            </w:pPr>
            <w:r>
              <w:rPr>
                <w:rFonts w:ascii="Arial" w:cs="Arial" w:eastAsia="Arial" w:hAnsi="Arial"/>
                <w:sz w:val="18"/>
                <w:szCs w:val="18"/>
                <w:color w:val="auto"/>
              </w:rPr>
              <w:t>Operating expenses:</w:t>
            </w:r>
          </w:p>
        </w:tc>
        <w:tc>
          <w:tcPr>
            <w:tcW w:w="3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960" w:type="dxa"/>
            <w:vAlign w:val="bottom"/>
          </w:tcPr>
          <w:p>
            <w:pPr>
              <w:spacing w:after="0"/>
              <w:rPr>
                <w:sz w:val="22"/>
                <w:szCs w:val="22"/>
                <w:color w:val="auto"/>
              </w:rPr>
            </w:pPr>
          </w:p>
        </w:tc>
      </w:tr>
      <w:tr>
        <w:trPr>
          <w:trHeight w:val="277"/>
        </w:trPr>
        <w:tc>
          <w:tcPr>
            <w:tcW w:w="42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Selling</w:t>
            </w:r>
          </w:p>
        </w:tc>
        <w:tc>
          <w:tcPr>
            <w:tcW w:w="34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4,122</w:t>
            </w:r>
          </w:p>
        </w:tc>
        <w:tc>
          <w:tcPr>
            <w:tcW w:w="30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3.2 %</w:t>
            </w:r>
          </w:p>
        </w:tc>
        <w:tc>
          <w:tcPr>
            <w:tcW w:w="40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3,286</w:t>
            </w:r>
          </w:p>
        </w:tc>
        <w:tc>
          <w:tcPr>
            <w:tcW w:w="30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2.7 %</w:t>
            </w:r>
          </w:p>
        </w:tc>
      </w:tr>
      <w:tr>
        <w:trPr>
          <w:trHeight w:val="264"/>
        </w:trPr>
        <w:tc>
          <w:tcPr>
            <w:tcW w:w="426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General and administrative</w:t>
            </w:r>
          </w:p>
        </w:tc>
        <w:tc>
          <w:tcPr>
            <w:tcW w:w="3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2,640</w:t>
            </w:r>
          </w:p>
        </w:tc>
        <w:tc>
          <w:tcPr>
            <w:tcW w:w="300" w:type="dxa"/>
            <w:vAlign w:val="bottom"/>
            <w:tcBorders>
              <w:bottom w:val="single" w:sz="8" w:color="CCEEFF"/>
            </w:tcBorders>
          </w:tcPr>
          <w:p>
            <w:pPr>
              <w:spacing w:after="0"/>
              <w:rPr>
                <w:sz w:val="22"/>
                <w:szCs w:val="22"/>
                <w:color w:val="auto"/>
              </w:rPr>
            </w:pPr>
          </w:p>
        </w:tc>
        <w:tc>
          <w:tcPr>
            <w:tcW w:w="6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2.0 %</w:t>
            </w:r>
          </w:p>
        </w:tc>
        <w:tc>
          <w:tcPr>
            <w:tcW w:w="400" w:type="dxa"/>
            <w:vAlign w:val="bottom"/>
            <w:tcBorders>
              <w:bottom w:val="single" w:sz="8" w:color="CCEEFF"/>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2,967</w:t>
            </w:r>
          </w:p>
        </w:tc>
        <w:tc>
          <w:tcPr>
            <w:tcW w:w="300" w:type="dxa"/>
            <w:vAlign w:val="bottom"/>
            <w:tcBorders>
              <w:bottom w:val="single" w:sz="8" w:color="CCEEFF"/>
            </w:tcBorders>
          </w:tcPr>
          <w:p>
            <w:pPr>
              <w:spacing w:after="0"/>
              <w:rPr>
                <w:sz w:val="22"/>
                <w:szCs w:val="22"/>
                <w:color w:val="auto"/>
              </w:rPr>
            </w:pPr>
          </w:p>
        </w:tc>
        <w:tc>
          <w:tcPr>
            <w:tcW w:w="6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2.4 %</w:t>
            </w:r>
          </w:p>
        </w:tc>
      </w:tr>
      <w:tr>
        <w:trPr>
          <w:trHeight w:val="250"/>
        </w:trPr>
        <w:tc>
          <w:tcPr>
            <w:tcW w:w="4260" w:type="dxa"/>
            <w:vAlign w:val="bottom"/>
            <w:shd w:val="clear" w:color="auto" w:fill="CCEEFF"/>
          </w:tcPr>
          <w:p>
            <w:pPr>
              <w:ind w:left="500"/>
              <w:spacing w:after="0"/>
              <w:rPr>
                <w:sz w:val="20"/>
                <w:szCs w:val="20"/>
                <w:color w:val="auto"/>
              </w:rPr>
            </w:pPr>
            <w:r>
              <w:rPr>
                <w:rFonts w:ascii="Arial" w:cs="Arial" w:eastAsia="Arial" w:hAnsi="Arial"/>
                <w:sz w:val="18"/>
                <w:szCs w:val="18"/>
                <w:color w:val="auto"/>
              </w:rPr>
              <w:t>Total operating expenses</w:t>
            </w:r>
          </w:p>
        </w:tc>
        <w:tc>
          <w:tcPr>
            <w:tcW w:w="3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6,762</w:t>
            </w:r>
          </w:p>
        </w:tc>
        <w:tc>
          <w:tcPr>
            <w:tcW w:w="300" w:type="dxa"/>
            <w:vAlign w:val="bottom"/>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5.2 %</w:t>
            </w:r>
          </w:p>
        </w:tc>
        <w:tc>
          <w:tcPr>
            <w:tcW w:w="400" w:type="dxa"/>
            <w:vAlign w:val="bottom"/>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6,253</w:t>
            </w:r>
          </w:p>
        </w:tc>
        <w:tc>
          <w:tcPr>
            <w:tcW w:w="300" w:type="dxa"/>
            <w:vAlign w:val="bottom"/>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5.1 %</w:t>
            </w:r>
          </w:p>
        </w:tc>
      </w:tr>
      <w:tr>
        <w:trPr>
          <w:trHeight w:val="250"/>
        </w:trPr>
        <w:tc>
          <w:tcPr>
            <w:tcW w:w="4260" w:type="dxa"/>
            <w:vAlign w:val="bottom"/>
          </w:tcPr>
          <w:p>
            <w:pPr>
              <w:ind w:left="40"/>
              <w:spacing w:after="0"/>
              <w:rPr>
                <w:sz w:val="20"/>
                <w:szCs w:val="20"/>
                <w:color w:val="auto"/>
              </w:rPr>
            </w:pPr>
            <w:r>
              <w:rPr>
                <w:rFonts w:ascii="Arial" w:cs="Arial" w:eastAsia="Arial" w:hAnsi="Arial"/>
                <w:sz w:val="18"/>
                <w:szCs w:val="18"/>
                <w:color w:val="auto"/>
              </w:rPr>
              <w:t>Operating income</w:t>
            </w:r>
          </w:p>
        </w:tc>
        <w:tc>
          <w:tcPr>
            <w:tcW w:w="340" w:type="dxa"/>
            <w:vAlign w:val="bottom"/>
          </w:tcPr>
          <w:p>
            <w:pPr>
              <w:spacing w:after="0"/>
              <w:rPr>
                <w:sz w:val="21"/>
                <w:szCs w:val="21"/>
                <w:color w:val="auto"/>
              </w:rPr>
            </w:pPr>
          </w:p>
        </w:tc>
        <w:tc>
          <w:tcPr>
            <w:tcW w:w="1100" w:type="dxa"/>
            <w:vAlign w:val="bottom"/>
          </w:tcPr>
          <w:p>
            <w:pPr>
              <w:jc w:val="right"/>
              <w:ind w:right="150"/>
              <w:spacing w:after="0"/>
              <w:rPr>
                <w:sz w:val="20"/>
                <w:szCs w:val="20"/>
                <w:color w:val="auto"/>
              </w:rPr>
            </w:pPr>
            <w:r>
              <w:rPr>
                <w:rFonts w:ascii="Arial" w:cs="Arial" w:eastAsia="Arial" w:hAnsi="Arial"/>
                <w:sz w:val="18"/>
                <w:szCs w:val="18"/>
                <w:color w:val="auto"/>
              </w:rPr>
              <w:t>1,766</w:t>
            </w:r>
          </w:p>
        </w:tc>
        <w:tc>
          <w:tcPr>
            <w:tcW w:w="3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980" w:type="dxa"/>
            <w:vAlign w:val="bottom"/>
          </w:tcPr>
          <w:p>
            <w:pPr>
              <w:jc w:val="right"/>
              <w:ind w:right="210"/>
              <w:spacing w:after="0"/>
              <w:rPr>
                <w:sz w:val="20"/>
                <w:szCs w:val="20"/>
                <w:color w:val="auto"/>
              </w:rPr>
            </w:pPr>
            <w:r>
              <w:rPr>
                <w:rFonts w:ascii="Arial" w:cs="Arial" w:eastAsia="Arial" w:hAnsi="Arial"/>
                <w:sz w:val="18"/>
                <w:szCs w:val="18"/>
                <w:color w:val="auto"/>
              </w:rPr>
              <w:t>1.4 %</w:t>
            </w:r>
          </w:p>
        </w:tc>
        <w:tc>
          <w:tcPr>
            <w:tcW w:w="4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40" w:type="dxa"/>
            <w:vAlign w:val="bottom"/>
          </w:tcPr>
          <w:p>
            <w:pPr>
              <w:jc w:val="right"/>
              <w:ind w:right="150"/>
              <w:spacing w:after="0"/>
              <w:rPr>
                <w:sz w:val="20"/>
                <w:szCs w:val="20"/>
                <w:color w:val="auto"/>
              </w:rPr>
            </w:pPr>
            <w:r>
              <w:rPr>
                <w:rFonts w:ascii="Arial" w:cs="Arial" w:eastAsia="Arial" w:hAnsi="Arial"/>
                <w:sz w:val="18"/>
                <w:szCs w:val="18"/>
                <w:color w:val="auto"/>
              </w:rPr>
              <w:t>4,951</w:t>
            </w:r>
          </w:p>
        </w:tc>
        <w:tc>
          <w:tcPr>
            <w:tcW w:w="3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960" w:type="dxa"/>
            <w:vAlign w:val="bottom"/>
          </w:tcPr>
          <w:p>
            <w:pPr>
              <w:jc w:val="right"/>
              <w:ind w:right="190"/>
              <w:spacing w:after="0"/>
              <w:rPr>
                <w:sz w:val="20"/>
                <w:szCs w:val="20"/>
                <w:color w:val="auto"/>
              </w:rPr>
            </w:pPr>
            <w:r>
              <w:rPr>
                <w:rFonts w:ascii="Arial" w:cs="Arial" w:eastAsia="Arial" w:hAnsi="Arial"/>
                <w:sz w:val="18"/>
                <w:szCs w:val="18"/>
                <w:color w:val="auto"/>
              </w:rPr>
              <w:t>4.0 %</w:t>
            </w:r>
          </w:p>
        </w:tc>
      </w:tr>
      <w:tr>
        <w:trPr>
          <w:trHeight w:val="270"/>
        </w:trPr>
        <w:tc>
          <w:tcPr>
            <w:tcW w:w="4260" w:type="dxa"/>
            <w:vAlign w:val="bottom"/>
            <w:shd w:val="clear" w:color="auto" w:fill="CCEEFF"/>
          </w:tcPr>
          <w:p>
            <w:pPr>
              <w:ind w:left="40"/>
              <w:spacing w:after="0"/>
              <w:rPr>
                <w:sz w:val="20"/>
                <w:szCs w:val="20"/>
                <w:color w:val="auto"/>
              </w:rPr>
            </w:pPr>
            <w:r>
              <w:rPr>
                <w:rFonts w:ascii="Arial" w:cs="Arial" w:eastAsia="Arial" w:hAnsi="Arial"/>
                <w:sz w:val="18"/>
                <w:szCs w:val="18"/>
                <w:color w:val="auto"/>
              </w:rPr>
              <w:t>Non-operating income (expense)</w:t>
            </w:r>
          </w:p>
        </w:tc>
        <w:tc>
          <w:tcPr>
            <w:tcW w:w="34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108</w:t>
            </w:r>
          </w:p>
        </w:tc>
        <w:tc>
          <w:tcPr>
            <w:tcW w:w="300" w:type="dxa"/>
            <w:vAlign w:val="bottom"/>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0.1 %</w:t>
            </w:r>
          </w:p>
        </w:tc>
        <w:tc>
          <w:tcPr>
            <w:tcW w:w="400" w:type="dxa"/>
            <w:vAlign w:val="bottom"/>
            <w:shd w:val="clear" w:color="auto" w:fill="CCEEFF"/>
          </w:tcPr>
          <w:p>
            <w:pPr>
              <w:spacing w:after="0"/>
              <w:rPr>
                <w:sz w:val="23"/>
                <w:szCs w:val="23"/>
                <w:color w:val="auto"/>
              </w:rPr>
            </w:pPr>
          </w:p>
        </w:tc>
        <w:tc>
          <w:tcPr>
            <w:tcW w:w="50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(67)</w:t>
            </w:r>
          </w:p>
        </w:tc>
        <w:tc>
          <w:tcPr>
            <w:tcW w:w="300" w:type="dxa"/>
            <w:vAlign w:val="bottom"/>
            <w:shd w:val="clear" w:color="auto" w:fill="CCEEFF"/>
          </w:tcPr>
          <w:p>
            <w:pPr>
              <w:spacing w:after="0"/>
              <w:rPr>
                <w:sz w:val="23"/>
                <w:szCs w:val="23"/>
                <w:color w:val="auto"/>
              </w:rPr>
            </w:pPr>
          </w:p>
        </w:tc>
        <w:tc>
          <w:tcPr>
            <w:tcW w:w="68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(0.1)%</w:t>
            </w:r>
          </w:p>
        </w:tc>
      </w:tr>
      <w:tr>
        <w:trPr>
          <w:trHeight w:val="250"/>
        </w:trPr>
        <w:tc>
          <w:tcPr>
            <w:tcW w:w="4260" w:type="dxa"/>
            <w:vAlign w:val="bottom"/>
          </w:tcPr>
          <w:p>
            <w:pPr>
              <w:ind w:left="40"/>
              <w:spacing w:after="0"/>
              <w:rPr>
                <w:sz w:val="20"/>
                <w:szCs w:val="20"/>
                <w:color w:val="auto"/>
              </w:rPr>
            </w:pPr>
            <w:r>
              <w:rPr>
                <w:rFonts w:ascii="Arial" w:cs="Arial" w:eastAsia="Arial" w:hAnsi="Arial"/>
                <w:sz w:val="18"/>
                <w:szCs w:val="18"/>
                <w:color w:val="auto"/>
              </w:rPr>
              <w:t>Income before income taxes</w:t>
            </w:r>
          </w:p>
        </w:tc>
        <w:tc>
          <w:tcPr>
            <w:tcW w:w="340" w:type="dxa"/>
            <w:vAlign w:val="bottom"/>
          </w:tcPr>
          <w:p>
            <w:pPr>
              <w:spacing w:after="0"/>
              <w:rPr>
                <w:sz w:val="21"/>
                <w:szCs w:val="21"/>
                <w:color w:val="auto"/>
              </w:rPr>
            </w:pPr>
          </w:p>
        </w:tc>
        <w:tc>
          <w:tcPr>
            <w:tcW w:w="1100" w:type="dxa"/>
            <w:vAlign w:val="bottom"/>
          </w:tcPr>
          <w:p>
            <w:pPr>
              <w:jc w:val="right"/>
              <w:ind w:right="150"/>
              <w:spacing w:after="0"/>
              <w:rPr>
                <w:sz w:val="20"/>
                <w:szCs w:val="20"/>
                <w:color w:val="auto"/>
              </w:rPr>
            </w:pPr>
            <w:r>
              <w:rPr>
                <w:rFonts w:ascii="Arial" w:cs="Arial" w:eastAsia="Arial" w:hAnsi="Arial"/>
                <w:sz w:val="18"/>
                <w:szCs w:val="18"/>
                <w:color w:val="auto"/>
              </w:rPr>
              <w:t>1,874</w:t>
            </w:r>
          </w:p>
        </w:tc>
        <w:tc>
          <w:tcPr>
            <w:tcW w:w="3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980" w:type="dxa"/>
            <w:vAlign w:val="bottom"/>
          </w:tcPr>
          <w:p>
            <w:pPr>
              <w:jc w:val="right"/>
              <w:ind w:right="210"/>
              <w:spacing w:after="0"/>
              <w:rPr>
                <w:sz w:val="20"/>
                <w:szCs w:val="20"/>
                <w:color w:val="auto"/>
              </w:rPr>
            </w:pPr>
            <w:r>
              <w:rPr>
                <w:rFonts w:ascii="Arial" w:cs="Arial" w:eastAsia="Arial" w:hAnsi="Arial"/>
                <w:sz w:val="18"/>
                <w:szCs w:val="18"/>
                <w:color w:val="auto"/>
              </w:rPr>
              <w:t>1.4 %</w:t>
            </w:r>
          </w:p>
        </w:tc>
        <w:tc>
          <w:tcPr>
            <w:tcW w:w="4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40" w:type="dxa"/>
            <w:vAlign w:val="bottom"/>
          </w:tcPr>
          <w:p>
            <w:pPr>
              <w:jc w:val="right"/>
              <w:ind w:right="150"/>
              <w:spacing w:after="0"/>
              <w:rPr>
                <w:sz w:val="20"/>
                <w:szCs w:val="20"/>
                <w:color w:val="auto"/>
              </w:rPr>
            </w:pPr>
            <w:r>
              <w:rPr>
                <w:rFonts w:ascii="Arial" w:cs="Arial" w:eastAsia="Arial" w:hAnsi="Arial"/>
                <w:sz w:val="18"/>
                <w:szCs w:val="18"/>
                <w:color w:val="auto"/>
              </w:rPr>
              <w:t>4,884</w:t>
            </w:r>
          </w:p>
        </w:tc>
        <w:tc>
          <w:tcPr>
            <w:tcW w:w="3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960" w:type="dxa"/>
            <w:vAlign w:val="bottom"/>
          </w:tcPr>
          <w:p>
            <w:pPr>
              <w:jc w:val="right"/>
              <w:ind w:right="190"/>
              <w:spacing w:after="0"/>
              <w:rPr>
                <w:sz w:val="20"/>
                <w:szCs w:val="20"/>
                <w:color w:val="auto"/>
              </w:rPr>
            </w:pPr>
            <w:r>
              <w:rPr>
                <w:rFonts w:ascii="Arial" w:cs="Arial" w:eastAsia="Arial" w:hAnsi="Arial"/>
                <w:sz w:val="18"/>
                <w:szCs w:val="18"/>
                <w:color w:val="auto"/>
              </w:rPr>
              <w:t>4.0 %</w:t>
            </w:r>
          </w:p>
        </w:tc>
      </w:tr>
      <w:tr>
        <w:trPr>
          <w:trHeight w:val="270"/>
        </w:trPr>
        <w:tc>
          <w:tcPr>
            <w:tcW w:w="4260" w:type="dxa"/>
            <w:vAlign w:val="bottom"/>
            <w:shd w:val="clear" w:color="auto" w:fill="CCEEFF"/>
          </w:tcPr>
          <w:p>
            <w:pPr>
              <w:ind w:left="40"/>
              <w:spacing w:after="0"/>
              <w:rPr>
                <w:sz w:val="20"/>
                <w:szCs w:val="20"/>
                <w:color w:val="auto"/>
              </w:rPr>
            </w:pPr>
            <w:r>
              <w:rPr>
                <w:rFonts w:ascii="Arial" w:cs="Arial" w:eastAsia="Arial" w:hAnsi="Arial"/>
                <w:sz w:val="18"/>
                <w:szCs w:val="18"/>
                <w:color w:val="auto"/>
              </w:rPr>
              <w:t>Benefit for taxes</w:t>
            </w:r>
          </w:p>
        </w:tc>
        <w:tc>
          <w:tcPr>
            <w:tcW w:w="34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(1,673)</w:t>
            </w:r>
          </w:p>
        </w:tc>
        <w:tc>
          <w:tcPr>
            <w:tcW w:w="300" w:type="dxa"/>
            <w:vAlign w:val="bottom"/>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(1.3)%</w:t>
            </w:r>
          </w:p>
        </w:tc>
        <w:tc>
          <w:tcPr>
            <w:tcW w:w="400" w:type="dxa"/>
            <w:vAlign w:val="bottom"/>
            <w:shd w:val="clear" w:color="auto" w:fill="CCEEFF"/>
          </w:tcPr>
          <w:p>
            <w:pPr>
              <w:spacing w:after="0"/>
              <w:rPr>
                <w:sz w:val="23"/>
                <w:szCs w:val="23"/>
                <w:color w:val="auto"/>
              </w:rPr>
            </w:pPr>
          </w:p>
        </w:tc>
        <w:tc>
          <w:tcPr>
            <w:tcW w:w="50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(9)</w:t>
            </w:r>
          </w:p>
        </w:tc>
        <w:tc>
          <w:tcPr>
            <w:tcW w:w="300" w:type="dxa"/>
            <w:vAlign w:val="bottom"/>
            <w:shd w:val="clear" w:color="auto" w:fill="CCEEFF"/>
          </w:tcPr>
          <w:p>
            <w:pPr>
              <w:spacing w:after="0"/>
              <w:rPr>
                <w:sz w:val="23"/>
                <w:szCs w:val="23"/>
                <w:color w:val="auto"/>
              </w:rPr>
            </w:pPr>
          </w:p>
        </w:tc>
        <w:tc>
          <w:tcPr>
            <w:tcW w:w="68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 %</w:t>
            </w:r>
          </w:p>
        </w:tc>
      </w:tr>
      <w:tr>
        <w:trPr>
          <w:trHeight w:val="297"/>
        </w:trPr>
        <w:tc>
          <w:tcPr>
            <w:tcW w:w="42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Net income</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3,547</w:t>
            </w:r>
          </w:p>
        </w:tc>
        <w:tc>
          <w:tcPr>
            <w:tcW w:w="300" w:type="dxa"/>
            <w:vAlign w:val="bottom"/>
            <w:tcBorders>
              <w:bottom w:val="single" w:sz="8" w:color="CCEEFF"/>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2.7 %</w:t>
            </w:r>
          </w:p>
        </w:tc>
        <w:tc>
          <w:tcPr>
            <w:tcW w:w="400" w:type="dxa"/>
            <w:vAlign w:val="bottom"/>
            <w:tcBorders>
              <w:bottom w:val="single" w:sz="8" w:color="CCEEFF"/>
            </w:tcBorders>
          </w:tcPr>
          <w:p>
            <w:pPr>
              <w:spacing w:after="0"/>
              <w:rPr>
                <w:sz w:val="24"/>
                <w:szCs w:val="24"/>
                <w:color w:val="auto"/>
              </w:rPr>
            </w:pPr>
          </w:p>
        </w:tc>
        <w:tc>
          <w:tcPr>
            <w:tcW w:w="5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4,893</w:t>
            </w:r>
          </w:p>
        </w:tc>
        <w:tc>
          <w:tcPr>
            <w:tcW w:w="300" w:type="dxa"/>
            <w:vAlign w:val="bottom"/>
            <w:tcBorders>
              <w:bottom w:val="single" w:sz="8" w:color="CCEEFF"/>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4.0 %</w:t>
            </w:r>
          </w:p>
        </w:tc>
      </w:tr>
      <w:tr>
        <w:trPr>
          <w:trHeight w:val="251"/>
        </w:trPr>
        <w:tc>
          <w:tcPr>
            <w:tcW w:w="426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Income per common share:</w:t>
            </w: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r>
      <w:tr>
        <w:trPr>
          <w:trHeight w:val="263"/>
        </w:trPr>
        <w:tc>
          <w:tcPr>
            <w:tcW w:w="4260" w:type="dxa"/>
            <w:vAlign w:val="bottom"/>
          </w:tcPr>
          <w:p>
            <w:pPr>
              <w:ind w:left="240"/>
              <w:spacing w:after="0"/>
              <w:rPr>
                <w:sz w:val="20"/>
                <w:szCs w:val="20"/>
                <w:color w:val="auto"/>
              </w:rPr>
            </w:pPr>
            <w:r>
              <w:rPr>
                <w:rFonts w:ascii="Arial" w:cs="Arial" w:eastAsia="Arial" w:hAnsi="Arial"/>
                <w:sz w:val="18"/>
                <w:szCs w:val="18"/>
                <w:color w:val="auto"/>
              </w:rPr>
              <w:t>Basic</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50"/>
              <w:spacing w:after="0"/>
              <w:rPr>
                <w:sz w:val="20"/>
                <w:szCs w:val="20"/>
                <w:color w:val="auto"/>
              </w:rPr>
            </w:pPr>
            <w:r>
              <w:rPr>
                <w:rFonts w:ascii="Arial" w:cs="Arial" w:eastAsia="Arial" w:hAnsi="Arial"/>
                <w:sz w:val="18"/>
                <w:szCs w:val="18"/>
                <w:color w:val="auto"/>
              </w:rPr>
              <w:t>0.12</w:t>
            </w:r>
          </w:p>
        </w:tc>
        <w:tc>
          <w:tcPr>
            <w:tcW w:w="3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50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50"/>
              <w:spacing w:after="0"/>
              <w:rPr>
                <w:sz w:val="20"/>
                <w:szCs w:val="20"/>
                <w:color w:val="auto"/>
              </w:rPr>
            </w:pPr>
            <w:r>
              <w:rPr>
                <w:rFonts w:ascii="Arial" w:cs="Arial" w:eastAsia="Arial" w:hAnsi="Arial"/>
                <w:sz w:val="18"/>
                <w:szCs w:val="18"/>
                <w:color w:val="auto"/>
              </w:rPr>
              <w:t>0.17</w:t>
            </w:r>
          </w:p>
        </w:tc>
        <w:tc>
          <w:tcPr>
            <w:tcW w:w="3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960" w:type="dxa"/>
            <w:vAlign w:val="bottom"/>
          </w:tcPr>
          <w:p>
            <w:pPr>
              <w:spacing w:after="0"/>
              <w:rPr>
                <w:sz w:val="22"/>
                <w:szCs w:val="22"/>
                <w:color w:val="auto"/>
              </w:rPr>
            </w:pPr>
          </w:p>
        </w:tc>
      </w:tr>
      <w:tr>
        <w:trPr>
          <w:trHeight w:val="277"/>
        </w:trPr>
        <w:tc>
          <w:tcPr>
            <w:tcW w:w="42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Diluted</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0.12</w:t>
            </w:r>
          </w:p>
        </w:tc>
        <w:tc>
          <w:tcPr>
            <w:tcW w:w="30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50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0.17</w:t>
            </w:r>
          </w:p>
        </w:tc>
        <w:tc>
          <w:tcPr>
            <w:tcW w:w="30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r>
      <w:tr>
        <w:trPr>
          <w:trHeight w:val="263"/>
        </w:trPr>
        <w:tc>
          <w:tcPr>
            <w:tcW w:w="4260" w:type="dxa"/>
            <w:vAlign w:val="bottom"/>
          </w:tcPr>
          <w:p>
            <w:pPr>
              <w:ind w:left="40"/>
              <w:spacing w:after="0"/>
              <w:rPr>
                <w:sz w:val="20"/>
                <w:szCs w:val="20"/>
                <w:color w:val="auto"/>
              </w:rPr>
            </w:pPr>
            <w:r>
              <w:rPr>
                <w:rFonts w:ascii="Arial" w:cs="Arial" w:eastAsia="Arial" w:hAnsi="Arial"/>
                <w:sz w:val="18"/>
                <w:szCs w:val="18"/>
                <w:color w:val="auto"/>
              </w:rPr>
              <w:t>Weighted average common shares outstanding:</w:t>
            </w:r>
          </w:p>
        </w:tc>
        <w:tc>
          <w:tcPr>
            <w:tcW w:w="3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960" w:type="dxa"/>
            <w:vAlign w:val="bottom"/>
          </w:tcPr>
          <w:p>
            <w:pPr>
              <w:spacing w:after="0"/>
              <w:rPr>
                <w:sz w:val="22"/>
                <w:szCs w:val="22"/>
                <w:color w:val="auto"/>
              </w:rPr>
            </w:pPr>
          </w:p>
        </w:tc>
      </w:tr>
      <w:tr>
        <w:trPr>
          <w:trHeight w:val="277"/>
        </w:trPr>
        <w:tc>
          <w:tcPr>
            <w:tcW w:w="42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Basic</w:t>
            </w:r>
          </w:p>
        </w:tc>
        <w:tc>
          <w:tcPr>
            <w:tcW w:w="34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29,130</w:t>
            </w:r>
          </w:p>
        </w:tc>
        <w:tc>
          <w:tcPr>
            <w:tcW w:w="30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29,112</w:t>
            </w:r>
          </w:p>
        </w:tc>
        <w:tc>
          <w:tcPr>
            <w:tcW w:w="30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r>
      <w:tr>
        <w:trPr>
          <w:trHeight w:val="257"/>
        </w:trPr>
        <w:tc>
          <w:tcPr>
            <w:tcW w:w="4260" w:type="dxa"/>
            <w:vAlign w:val="bottom"/>
          </w:tcPr>
          <w:p>
            <w:pPr>
              <w:ind w:left="240"/>
              <w:spacing w:after="0"/>
              <w:rPr>
                <w:sz w:val="20"/>
                <w:szCs w:val="20"/>
                <w:color w:val="auto"/>
              </w:rPr>
            </w:pPr>
            <w:r>
              <w:rPr>
                <w:rFonts w:ascii="Arial" w:cs="Arial" w:eastAsia="Arial" w:hAnsi="Arial"/>
                <w:sz w:val="18"/>
                <w:szCs w:val="18"/>
                <w:color w:val="auto"/>
              </w:rPr>
              <w:t>Diluted</w:t>
            </w:r>
          </w:p>
        </w:tc>
        <w:tc>
          <w:tcPr>
            <w:tcW w:w="340" w:type="dxa"/>
            <w:vAlign w:val="bottom"/>
          </w:tcPr>
          <w:p>
            <w:pPr>
              <w:spacing w:after="0"/>
              <w:rPr>
                <w:sz w:val="22"/>
                <w:szCs w:val="22"/>
                <w:color w:val="auto"/>
              </w:rPr>
            </w:pPr>
          </w:p>
        </w:tc>
        <w:tc>
          <w:tcPr>
            <w:tcW w:w="1100" w:type="dxa"/>
            <w:vAlign w:val="bottom"/>
          </w:tcPr>
          <w:p>
            <w:pPr>
              <w:jc w:val="right"/>
              <w:ind w:right="150"/>
              <w:spacing w:after="0"/>
              <w:rPr>
                <w:sz w:val="20"/>
                <w:szCs w:val="20"/>
                <w:color w:val="auto"/>
              </w:rPr>
            </w:pPr>
            <w:r>
              <w:rPr>
                <w:rFonts w:ascii="Arial" w:cs="Arial" w:eastAsia="Arial" w:hAnsi="Arial"/>
                <w:sz w:val="18"/>
                <w:szCs w:val="18"/>
                <w:color w:val="auto"/>
              </w:rPr>
              <w:t>29,199</w:t>
            </w:r>
          </w:p>
        </w:tc>
        <w:tc>
          <w:tcPr>
            <w:tcW w:w="3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940" w:type="dxa"/>
            <w:vAlign w:val="bottom"/>
          </w:tcPr>
          <w:p>
            <w:pPr>
              <w:jc w:val="right"/>
              <w:ind w:right="150"/>
              <w:spacing w:after="0"/>
              <w:rPr>
                <w:sz w:val="20"/>
                <w:szCs w:val="20"/>
                <w:color w:val="auto"/>
              </w:rPr>
            </w:pPr>
            <w:r>
              <w:rPr>
                <w:rFonts w:ascii="Arial" w:cs="Arial" w:eastAsia="Arial" w:hAnsi="Arial"/>
                <w:sz w:val="18"/>
                <w:szCs w:val="18"/>
                <w:color w:val="auto"/>
              </w:rPr>
              <w:t>29,115</w:t>
            </w:r>
          </w:p>
        </w:tc>
        <w:tc>
          <w:tcPr>
            <w:tcW w:w="3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960" w:type="dxa"/>
            <w:vAlign w:val="bottom"/>
          </w:tcPr>
          <w:p>
            <w:pPr>
              <w:spacing w:after="0"/>
              <w:rPr>
                <w:sz w:val="22"/>
                <w:szCs w:val="22"/>
                <w:color w:val="auto"/>
              </w:rPr>
            </w:pPr>
          </w:p>
        </w:tc>
      </w:tr>
    </w:tbl>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466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spacing w:after="0"/>
              <w:rPr>
                <w:sz w:val="21"/>
                <w:szCs w:val="21"/>
                <w:color w:val="auto"/>
              </w:rPr>
            </w:pPr>
          </w:p>
        </w:tc>
        <w:tc>
          <w:tcPr>
            <w:tcW w:w="172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8"/>
                <w:szCs w:val="18"/>
                <w:b w:val="1"/>
                <w:bCs w:val="1"/>
                <w:color w:val="auto"/>
              </w:rPr>
              <w:t>Year Ended</w:t>
            </w:r>
          </w:p>
        </w:tc>
        <w:tc>
          <w:tcPr>
            <w:tcW w:w="88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68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466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920" w:type="dxa"/>
            <w:vAlign w:val="bottom"/>
            <w:tcBorders>
              <w:bottom w:val="single" w:sz="8" w:color="auto"/>
            </w:tcBorders>
            <w:gridSpan w:val="3"/>
          </w:tcPr>
          <w:p>
            <w:pPr>
              <w:ind w:left="540"/>
              <w:spacing w:after="0"/>
              <w:rPr>
                <w:sz w:val="20"/>
                <w:szCs w:val="20"/>
                <w:color w:val="auto"/>
              </w:rPr>
            </w:pPr>
            <w:r>
              <w:rPr>
                <w:rFonts w:ascii="Arial" w:cs="Arial" w:eastAsia="Arial" w:hAnsi="Arial"/>
                <w:sz w:val="18"/>
                <w:szCs w:val="18"/>
                <w:b w:val="1"/>
                <w:bCs w:val="1"/>
                <w:color w:val="auto"/>
                <w:w w:val="99"/>
              </w:rPr>
              <w:t>August 27, 2011</w:t>
            </w:r>
          </w:p>
        </w:tc>
        <w:tc>
          <w:tcPr>
            <w:tcW w:w="840" w:type="dxa"/>
            <w:vAlign w:val="bottom"/>
            <w:tcBorders>
              <w:bottom w:val="single" w:sz="8" w:color="auto"/>
            </w:tcBorders>
          </w:tcPr>
          <w:p>
            <w:pPr>
              <w:spacing w:after="0"/>
              <w:rPr>
                <w:sz w:val="22"/>
                <w:szCs w:val="22"/>
                <w:color w:val="auto"/>
              </w:rPr>
            </w:pPr>
          </w:p>
        </w:tc>
        <w:tc>
          <w:tcPr>
            <w:tcW w:w="42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2780" w:type="dxa"/>
            <w:vAlign w:val="bottom"/>
            <w:tcBorders>
              <w:bottom w:val="single" w:sz="8" w:color="auto"/>
            </w:tcBorders>
            <w:gridSpan w:val="3"/>
          </w:tcPr>
          <w:p>
            <w:pPr>
              <w:jc w:val="right"/>
              <w:ind w:right="830"/>
              <w:spacing w:after="0"/>
              <w:rPr>
                <w:sz w:val="20"/>
                <w:szCs w:val="20"/>
                <w:color w:val="auto"/>
              </w:rPr>
            </w:pPr>
            <w:r>
              <w:rPr>
                <w:rFonts w:ascii="Arial" w:cs="Arial" w:eastAsia="Arial" w:hAnsi="Arial"/>
                <w:sz w:val="18"/>
                <w:szCs w:val="18"/>
                <w:b w:val="1"/>
                <w:bCs w:val="1"/>
                <w:color w:val="auto"/>
              </w:rPr>
              <w:t>August 28, 2010</w:t>
            </w:r>
          </w:p>
        </w:tc>
        <w:tc>
          <w:tcPr>
            <w:tcW w:w="0" w:type="dxa"/>
            <w:vAlign w:val="bottom"/>
          </w:tcPr>
          <w:p>
            <w:pPr>
              <w:spacing w:after="0"/>
              <w:rPr>
                <w:sz w:val="1"/>
                <w:szCs w:val="1"/>
                <w:color w:val="auto"/>
              </w:rPr>
            </w:pPr>
          </w:p>
        </w:tc>
      </w:tr>
      <w:tr>
        <w:trPr>
          <w:trHeight w:val="270"/>
        </w:trPr>
        <w:tc>
          <w:tcPr>
            <w:tcW w:w="466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revenues</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496,418</w:t>
            </w:r>
          </w:p>
        </w:tc>
        <w:tc>
          <w:tcPr>
            <w:tcW w:w="20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100.0 %</w:t>
            </w:r>
          </w:p>
        </w:tc>
        <w:tc>
          <w:tcPr>
            <w:tcW w:w="420" w:type="dxa"/>
            <w:vAlign w:val="bottom"/>
            <w:shd w:val="clear" w:color="auto" w:fill="CCEEFF"/>
          </w:tcPr>
          <w:p>
            <w:pPr>
              <w:spacing w:after="0"/>
              <w:rPr>
                <w:sz w:val="23"/>
                <w:szCs w:val="23"/>
                <w:color w:val="auto"/>
              </w:rPr>
            </w:pP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449,484</w:t>
            </w:r>
          </w:p>
        </w:tc>
        <w:tc>
          <w:tcPr>
            <w:tcW w:w="220" w:type="dxa"/>
            <w:vAlign w:val="bottom"/>
            <w:shd w:val="clear" w:color="auto" w:fill="CCEEFF"/>
          </w:tcPr>
          <w:p>
            <w:pPr>
              <w:spacing w:after="0"/>
              <w:rPr>
                <w:sz w:val="23"/>
                <w:szCs w:val="23"/>
                <w:color w:val="auto"/>
              </w:rPr>
            </w:pPr>
          </w:p>
        </w:tc>
        <w:tc>
          <w:tcPr>
            <w:tcW w:w="16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100.0 %</w:t>
            </w:r>
          </w:p>
        </w:tc>
        <w:tc>
          <w:tcPr>
            <w:tcW w:w="0" w:type="dxa"/>
            <w:vAlign w:val="bottom"/>
          </w:tcPr>
          <w:p>
            <w:pPr>
              <w:spacing w:after="0"/>
              <w:rPr>
                <w:sz w:val="1"/>
                <w:szCs w:val="1"/>
                <w:color w:val="auto"/>
              </w:rPr>
            </w:pPr>
          </w:p>
        </w:tc>
      </w:tr>
      <w:tr>
        <w:trPr>
          <w:trHeight w:val="264"/>
        </w:trPr>
        <w:tc>
          <w:tcPr>
            <w:tcW w:w="46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Cost of goods sold</w:t>
            </w:r>
          </w:p>
        </w:tc>
        <w:tc>
          <w:tcPr>
            <w:tcW w:w="3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456,664</w:t>
            </w:r>
          </w:p>
        </w:tc>
        <w:tc>
          <w:tcPr>
            <w:tcW w:w="200" w:type="dxa"/>
            <w:vAlign w:val="bottom"/>
            <w:tcBorders>
              <w:bottom w:val="single" w:sz="8" w:color="CCEEFF"/>
            </w:tcBorders>
          </w:tcPr>
          <w:p>
            <w:pPr>
              <w:spacing w:after="0"/>
              <w:rPr>
                <w:sz w:val="22"/>
                <w:szCs w:val="22"/>
                <w:color w:val="auto"/>
              </w:rPr>
            </w:pPr>
          </w:p>
        </w:tc>
        <w:tc>
          <w:tcPr>
            <w:tcW w:w="7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92.0 %</w:t>
            </w:r>
          </w:p>
        </w:tc>
        <w:tc>
          <w:tcPr>
            <w:tcW w:w="42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423,217</w:t>
            </w:r>
          </w:p>
        </w:tc>
        <w:tc>
          <w:tcPr>
            <w:tcW w:w="220" w:type="dxa"/>
            <w:vAlign w:val="bottom"/>
            <w:tcBorders>
              <w:bottom w:val="single" w:sz="8" w:color="CCEEFF"/>
            </w:tcBorders>
          </w:tcPr>
          <w:p>
            <w:pPr>
              <w:spacing w:after="0"/>
              <w:rPr>
                <w:sz w:val="22"/>
                <w:szCs w:val="22"/>
                <w:color w:val="auto"/>
              </w:rPr>
            </w:pPr>
          </w:p>
        </w:tc>
        <w:tc>
          <w:tcPr>
            <w:tcW w:w="16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94.2 %</w:t>
            </w:r>
          </w:p>
        </w:tc>
        <w:tc>
          <w:tcPr>
            <w:tcW w:w="0" w:type="dxa"/>
            <w:vAlign w:val="bottom"/>
          </w:tcPr>
          <w:p>
            <w:pPr>
              <w:spacing w:after="0"/>
              <w:rPr>
                <w:sz w:val="1"/>
                <w:szCs w:val="1"/>
                <w:color w:val="auto"/>
              </w:rPr>
            </w:pPr>
          </w:p>
        </w:tc>
      </w:tr>
      <w:tr>
        <w:trPr>
          <w:trHeight w:val="257"/>
        </w:trPr>
        <w:tc>
          <w:tcPr>
            <w:tcW w:w="4660" w:type="dxa"/>
            <w:vAlign w:val="bottom"/>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340" w:type="dxa"/>
            <w:vAlign w:val="bottom"/>
            <w:tcBorders>
              <w:bottom w:val="single" w:sz="8" w:color="auto"/>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39,754</w:t>
            </w:r>
          </w:p>
        </w:tc>
        <w:tc>
          <w:tcPr>
            <w:tcW w:w="200" w:type="dxa"/>
            <w:vAlign w:val="bottom"/>
            <w:shd w:val="clear" w:color="auto" w:fill="CCEEFF"/>
          </w:tcPr>
          <w:p>
            <w:pPr>
              <w:spacing w:after="0"/>
              <w:rPr>
                <w:sz w:val="22"/>
                <w:szCs w:val="22"/>
                <w:color w:val="auto"/>
              </w:rPr>
            </w:pPr>
          </w:p>
        </w:tc>
        <w:tc>
          <w:tcPr>
            <w:tcW w:w="720" w:type="dxa"/>
            <w:vAlign w:val="bottom"/>
            <w:tcBorders>
              <w:bottom w:val="single" w:sz="8" w:color="auto"/>
            </w:tcBorders>
            <w:shd w:val="clear" w:color="auto" w:fill="CCEEFF"/>
          </w:tcPr>
          <w:p>
            <w:pPr>
              <w:spacing w:after="0"/>
              <w:rPr>
                <w:sz w:val="22"/>
                <w:szCs w:val="22"/>
                <w:color w:val="auto"/>
              </w:rPr>
            </w:pPr>
          </w:p>
        </w:tc>
        <w:tc>
          <w:tcPr>
            <w:tcW w:w="8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8.0 %</w:t>
            </w:r>
          </w:p>
        </w:tc>
        <w:tc>
          <w:tcPr>
            <w:tcW w:w="420" w:type="dxa"/>
            <w:vAlign w:val="bottom"/>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26,267</w:t>
            </w:r>
          </w:p>
        </w:tc>
        <w:tc>
          <w:tcPr>
            <w:tcW w:w="220" w:type="dxa"/>
            <w:vAlign w:val="bottom"/>
            <w:shd w:val="clear" w:color="auto" w:fill="CCEEFF"/>
          </w:tcPr>
          <w:p>
            <w:pPr>
              <w:spacing w:after="0"/>
              <w:rPr>
                <w:sz w:val="22"/>
                <w:szCs w:val="22"/>
                <w:color w:val="auto"/>
              </w:rPr>
            </w:pPr>
          </w:p>
        </w:tc>
        <w:tc>
          <w:tcPr>
            <w:tcW w:w="16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5.8 %</w:t>
            </w:r>
          </w:p>
        </w:tc>
        <w:tc>
          <w:tcPr>
            <w:tcW w:w="0" w:type="dxa"/>
            <w:vAlign w:val="bottom"/>
          </w:tcPr>
          <w:p>
            <w:pPr>
              <w:spacing w:after="0"/>
              <w:rPr>
                <w:sz w:val="1"/>
                <w:szCs w:val="1"/>
                <w:color w:val="auto"/>
              </w:rPr>
            </w:pPr>
          </w:p>
        </w:tc>
      </w:tr>
      <w:tr>
        <w:trPr>
          <w:trHeight w:val="257"/>
        </w:trPr>
        <w:tc>
          <w:tcPr>
            <w:tcW w:w="4660" w:type="dxa"/>
            <w:vAlign w:val="bottom"/>
          </w:tcPr>
          <w:p>
            <w:pPr>
              <w:ind w:left="40"/>
              <w:spacing w:after="0"/>
              <w:rPr>
                <w:sz w:val="20"/>
                <w:szCs w:val="20"/>
                <w:color w:val="auto"/>
              </w:rPr>
            </w:pPr>
            <w:r>
              <w:rPr>
                <w:rFonts w:ascii="Arial" w:cs="Arial" w:eastAsia="Arial" w:hAnsi="Arial"/>
                <w:sz w:val="18"/>
                <w:szCs w:val="18"/>
                <w:color w:val="auto"/>
              </w:rPr>
              <w:t>Operating expenses:</w:t>
            </w:r>
          </w:p>
        </w:tc>
        <w:tc>
          <w:tcPr>
            <w:tcW w:w="3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6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46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Selling</w:t>
            </w:r>
          </w:p>
        </w:tc>
        <w:tc>
          <w:tcPr>
            <w:tcW w:w="34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14,251</w:t>
            </w:r>
          </w:p>
        </w:tc>
        <w:tc>
          <w:tcPr>
            <w:tcW w:w="20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2.9 %</w:t>
            </w:r>
          </w:p>
        </w:tc>
        <w:tc>
          <w:tcPr>
            <w:tcW w:w="42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12,724</w:t>
            </w:r>
          </w:p>
        </w:tc>
        <w:tc>
          <w:tcPr>
            <w:tcW w:w="220" w:type="dxa"/>
            <w:vAlign w:val="bottom"/>
            <w:shd w:val="clear" w:color="auto" w:fill="CCEEFF"/>
          </w:tcPr>
          <w:p>
            <w:pPr>
              <w:spacing w:after="0"/>
              <w:rPr>
                <w:sz w:val="24"/>
                <w:szCs w:val="24"/>
                <w:color w:val="auto"/>
              </w:rPr>
            </w:pPr>
          </w:p>
        </w:tc>
        <w:tc>
          <w:tcPr>
            <w:tcW w:w="16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2.8 %</w:t>
            </w:r>
          </w:p>
        </w:tc>
        <w:tc>
          <w:tcPr>
            <w:tcW w:w="0" w:type="dxa"/>
            <w:vAlign w:val="bottom"/>
          </w:tcPr>
          <w:p>
            <w:pPr>
              <w:spacing w:after="0"/>
              <w:rPr>
                <w:sz w:val="1"/>
                <w:szCs w:val="1"/>
                <w:color w:val="auto"/>
              </w:rPr>
            </w:pPr>
          </w:p>
        </w:tc>
      </w:tr>
      <w:tr>
        <w:trPr>
          <w:trHeight w:val="263"/>
        </w:trPr>
        <w:tc>
          <w:tcPr>
            <w:tcW w:w="4660" w:type="dxa"/>
            <w:vAlign w:val="bottom"/>
          </w:tcPr>
          <w:p>
            <w:pPr>
              <w:ind w:left="240"/>
              <w:spacing w:after="0"/>
              <w:rPr>
                <w:sz w:val="20"/>
                <w:szCs w:val="20"/>
                <w:color w:val="auto"/>
              </w:rPr>
            </w:pPr>
            <w:r>
              <w:rPr>
                <w:rFonts w:ascii="Arial" w:cs="Arial" w:eastAsia="Arial" w:hAnsi="Arial"/>
                <w:sz w:val="18"/>
                <w:szCs w:val="18"/>
                <w:color w:val="auto"/>
              </w:rPr>
              <w:t>General and administrative</w:t>
            </w:r>
          </w:p>
        </w:tc>
        <w:tc>
          <w:tcPr>
            <w:tcW w:w="340" w:type="dxa"/>
            <w:vAlign w:val="bottom"/>
          </w:tcPr>
          <w:p>
            <w:pPr>
              <w:spacing w:after="0"/>
              <w:rPr>
                <w:sz w:val="22"/>
                <w:szCs w:val="22"/>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14,263</w:t>
            </w:r>
          </w:p>
        </w:tc>
        <w:tc>
          <w:tcPr>
            <w:tcW w:w="2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40" w:type="dxa"/>
            <w:vAlign w:val="bottom"/>
          </w:tcPr>
          <w:p>
            <w:pPr>
              <w:jc w:val="right"/>
              <w:ind w:right="70"/>
              <w:spacing w:after="0"/>
              <w:rPr>
                <w:sz w:val="20"/>
                <w:szCs w:val="20"/>
                <w:color w:val="auto"/>
              </w:rPr>
            </w:pPr>
            <w:r>
              <w:rPr>
                <w:rFonts w:ascii="Arial" w:cs="Arial" w:eastAsia="Arial" w:hAnsi="Arial"/>
                <w:sz w:val="18"/>
                <w:szCs w:val="18"/>
                <w:color w:val="auto"/>
              </w:rPr>
              <w:t>2.9 %</w:t>
            </w:r>
          </w:p>
        </w:tc>
        <w:tc>
          <w:tcPr>
            <w:tcW w:w="4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13,023</w:t>
            </w:r>
          </w:p>
        </w:tc>
        <w:tc>
          <w:tcPr>
            <w:tcW w:w="220" w:type="dxa"/>
            <w:vAlign w:val="bottom"/>
          </w:tcPr>
          <w:p>
            <w:pPr>
              <w:spacing w:after="0"/>
              <w:rPr>
                <w:sz w:val="22"/>
                <w:szCs w:val="22"/>
                <w:color w:val="auto"/>
              </w:rPr>
            </w:pPr>
          </w:p>
        </w:tc>
        <w:tc>
          <w:tcPr>
            <w:tcW w:w="1680" w:type="dxa"/>
            <w:vAlign w:val="bottom"/>
          </w:tcPr>
          <w:p>
            <w:pPr>
              <w:jc w:val="right"/>
              <w:ind w:right="190"/>
              <w:spacing w:after="0"/>
              <w:rPr>
                <w:sz w:val="20"/>
                <w:szCs w:val="20"/>
                <w:color w:val="auto"/>
              </w:rPr>
            </w:pPr>
            <w:r>
              <w:rPr>
                <w:rFonts w:ascii="Arial" w:cs="Arial" w:eastAsia="Arial" w:hAnsi="Arial"/>
                <w:sz w:val="18"/>
                <w:szCs w:val="18"/>
                <w:color w:val="auto"/>
              </w:rPr>
              <w:t>2.9 %</w:t>
            </w:r>
          </w:p>
        </w:tc>
        <w:tc>
          <w:tcPr>
            <w:tcW w:w="0" w:type="dxa"/>
            <w:vAlign w:val="bottom"/>
          </w:tcPr>
          <w:p>
            <w:pPr>
              <w:spacing w:after="0"/>
              <w:rPr>
                <w:sz w:val="1"/>
                <w:szCs w:val="1"/>
                <w:color w:val="auto"/>
              </w:rPr>
            </w:pPr>
          </w:p>
        </w:tc>
      </w:tr>
      <w:tr>
        <w:trPr>
          <w:trHeight w:val="270"/>
        </w:trPr>
        <w:tc>
          <w:tcPr>
            <w:tcW w:w="46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Assets held for sale impairment and gain, (net)</w:t>
            </w:r>
          </w:p>
        </w:tc>
        <w:tc>
          <w:tcPr>
            <w:tcW w:w="34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20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12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 %</w:t>
            </w:r>
          </w:p>
        </w:tc>
        <w:tc>
          <w:tcPr>
            <w:tcW w:w="46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6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50"/>
        </w:trPr>
        <w:tc>
          <w:tcPr>
            <w:tcW w:w="4660" w:type="dxa"/>
            <w:vAlign w:val="bottom"/>
            <w:tcBorders>
              <w:bottom w:val="single" w:sz="8" w:color="CCEEFF"/>
            </w:tcBorders>
          </w:tcPr>
          <w:p>
            <w:pPr>
              <w:ind w:left="420"/>
              <w:spacing w:after="0"/>
              <w:rPr>
                <w:sz w:val="20"/>
                <w:szCs w:val="20"/>
                <w:color w:val="auto"/>
              </w:rPr>
            </w:pPr>
            <w:r>
              <w:rPr>
                <w:rFonts w:ascii="Arial" w:cs="Arial" w:eastAsia="Arial" w:hAnsi="Arial"/>
                <w:sz w:val="18"/>
                <w:szCs w:val="18"/>
                <w:color w:val="auto"/>
              </w:rPr>
              <w:t>Total operating expenses</w:t>
            </w:r>
          </w:p>
        </w:tc>
        <w:tc>
          <w:tcPr>
            <w:tcW w:w="340" w:type="dxa"/>
            <w:vAlign w:val="bottom"/>
            <w:tcBorders>
              <w:top w:val="single" w:sz="8" w:color="auto"/>
              <w:bottom w:val="single" w:sz="8" w:color="auto"/>
            </w:tcBorders>
          </w:tcPr>
          <w:p>
            <w:pPr>
              <w:spacing w:after="0"/>
              <w:rPr>
                <w:sz w:val="21"/>
                <w:szCs w:val="21"/>
                <w:color w:val="auto"/>
              </w:rPr>
            </w:pPr>
          </w:p>
        </w:tc>
        <w:tc>
          <w:tcPr>
            <w:tcW w:w="10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28,475</w:t>
            </w:r>
          </w:p>
        </w:tc>
        <w:tc>
          <w:tcPr>
            <w:tcW w:w="200" w:type="dxa"/>
            <w:vAlign w:val="bottom"/>
            <w:tcBorders>
              <w:bottom w:val="single" w:sz="8" w:color="CCEEFF"/>
            </w:tcBorders>
          </w:tcPr>
          <w:p>
            <w:pPr>
              <w:spacing w:after="0"/>
              <w:rPr>
                <w:sz w:val="21"/>
                <w:szCs w:val="21"/>
                <w:color w:val="auto"/>
              </w:rPr>
            </w:pPr>
          </w:p>
        </w:tc>
        <w:tc>
          <w:tcPr>
            <w:tcW w:w="720" w:type="dxa"/>
            <w:vAlign w:val="bottom"/>
            <w:tcBorders>
              <w:top w:val="single" w:sz="8" w:color="auto"/>
              <w:bottom w:val="single" w:sz="8" w:color="auto"/>
            </w:tcBorders>
          </w:tcPr>
          <w:p>
            <w:pPr>
              <w:spacing w:after="0"/>
              <w:rPr>
                <w:sz w:val="21"/>
                <w:szCs w:val="21"/>
                <w:color w:val="auto"/>
              </w:rPr>
            </w:pPr>
          </w:p>
        </w:tc>
        <w:tc>
          <w:tcPr>
            <w:tcW w:w="84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5.7 %</w:t>
            </w:r>
          </w:p>
        </w:tc>
        <w:tc>
          <w:tcPr>
            <w:tcW w:w="420" w:type="dxa"/>
            <w:vAlign w:val="bottom"/>
            <w:tcBorders>
              <w:bottom w:val="single" w:sz="8" w:color="CCEEFF"/>
            </w:tcBorders>
          </w:tcPr>
          <w:p>
            <w:pPr>
              <w:spacing w:after="0"/>
              <w:rPr>
                <w:sz w:val="21"/>
                <w:szCs w:val="21"/>
                <w:color w:val="auto"/>
              </w:rPr>
            </w:pPr>
          </w:p>
        </w:tc>
        <w:tc>
          <w:tcPr>
            <w:tcW w:w="46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25,747</w:t>
            </w:r>
          </w:p>
        </w:tc>
        <w:tc>
          <w:tcPr>
            <w:tcW w:w="220" w:type="dxa"/>
            <w:vAlign w:val="bottom"/>
            <w:tcBorders>
              <w:bottom w:val="single" w:sz="8" w:color="CCEEFF"/>
            </w:tcBorders>
          </w:tcPr>
          <w:p>
            <w:pPr>
              <w:spacing w:after="0"/>
              <w:rPr>
                <w:sz w:val="21"/>
                <w:szCs w:val="21"/>
                <w:color w:val="auto"/>
              </w:rPr>
            </w:pPr>
          </w:p>
        </w:tc>
        <w:tc>
          <w:tcPr>
            <w:tcW w:w="16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rPr>
              <w:t>5.7 %</w:t>
            </w:r>
          </w:p>
        </w:tc>
        <w:tc>
          <w:tcPr>
            <w:tcW w:w="0" w:type="dxa"/>
            <w:vAlign w:val="bottom"/>
          </w:tcPr>
          <w:p>
            <w:pPr>
              <w:spacing w:after="0"/>
              <w:rPr>
                <w:sz w:val="1"/>
                <w:szCs w:val="1"/>
                <w:color w:val="auto"/>
              </w:rPr>
            </w:pPr>
          </w:p>
        </w:tc>
      </w:tr>
      <w:tr>
        <w:trPr>
          <w:trHeight w:val="257"/>
        </w:trPr>
        <w:tc>
          <w:tcPr>
            <w:tcW w:w="4660" w:type="dxa"/>
            <w:vAlign w:val="bottom"/>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340" w:type="dxa"/>
            <w:vAlign w:val="bottom"/>
            <w:shd w:val="clear" w:color="auto" w:fill="CCEEFF"/>
          </w:tcPr>
          <w:p>
            <w:pPr>
              <w:spacing w:after="0"/>
              <w:rPr>
                <w:sz w:val="22"/>
                <w:szCs w:val="22"/>
                <w:color w:val="auto"/>
              </w:rPr>
            </w:pP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11,279</w:t>
            </w:r>
          </w:p>
        </w:tc>
        <w:tc>
          <w:tcPr>
            <w:tcW w:w="20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c>
          <w:tcPr>
            <w:tcW w:w="8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2.3 %</w:t>
            </w:r>
          </w:p>
        </w:tc>
        <w:tc>
          <w:tcPr>
            <w:tcW w:w="42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8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520</w:t>
            </w:r>
          </w:p>
        </w:tc>
        <w:tc>
          <w:tcPr>
            <w:tcW w:w="220" w:type="dxa"/>
            <w:vAlign w:val="bottom"/>
            <w:shd w:val="clear" w:color="auto" w:fill="CCEEFF"/>
          </w:tcPr>
          <w:p>
            <w:pPr>
              <w:spacing w:after="0"/>
              <w:rPr>
                <w:sz w:val="22"/>
                <w:szCs w:val="22"/>
                <w:color w:val="auto"/>
              </w:rPr>
            </w:pPr>
          </w:p>
        </w:tc>
        <w:tc>
          <w:tcPr>
            <w:tcW w:w="16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0.1 %</w:t>
            </w:r>
          </w:p>
        </w:tc>
        <w:tc>
          <w:tcPr>
            <w:tcW w:w="0" w:type="dxa"/>
            <w:vAlign w:val="bottom"/>
          </w:tcPr>
          <w:p>
            <w:pPr>
              <w:spacing w:after="0"/>
              <w:rPr>
                <w:sz w:val="1"/>
                <w:szCs w:val="1"/>
                <w:color w:val="auto"/>
              </w:rPr>
            </w:pPr>
          </w:p>
        </w:tc>
      </w:tr>
      <w:tr>
        <w:trPr>
          <w:trHeight w:val="264"/>
        </w:trPr>
        <w:tc>
          <w:tcPr>
            <w:tcW w:w="46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Non-operating income</w:t>
            </w:r>
          </w:p>
        </w:tc>
        <w:tc>
          <w:tcPr>
            <w:tcW w:w="3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658</w:t>
            </w:r>
          </w:p>
        </w:tc>
        <w:tc>
          <w:tcPr>
            <w:tcW w:w="200" w:type="dxa"/>
            <w:vAlign w:val="bottom"/>
            <w:tcBorders>
              <w:bottom w:val="single" w:sz="8" w:color="CCEEFF"/>
            </w:tcBorders>
          </w:tcPr>
          <w:p>
            <w:pPr>
              <w:spacing w:after="0"/>
              <w:rPr>
                <w:sz w:val="22"/>
                <w:szCs w:val="22"/>
                <w:color w:val="auto"/>
              </w:rPr>
            </w:pPr>
          </w:p>
        </w:tc>
        <w:tc>
          <w:tcPr>
            <w:tcW w:w="7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0.1 %</w:t>
            </w:r>
          </w:p>
        </w:tc>
        <w:tc>
          <w:tcPr>
            <w:tcW w:w="42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222</w:t>
            </w:r>
          </w:p>
        </w:tc>
        <w:tc>
          <w:tcPr>
            <w:tcW w:w="220" w:type="dxa"/>
            <w:vAlign w:val="bottom"/>
            <w:tcBorders>
              <w:bottom w:val="single" w:sz="8" w:color="CCEEFF"/>
            </w:tcBorders>
          </w:tcPr>
          <w:p>
            <w:pPr>
              <w:spacing w:after="0"/>
              <w:rPr>
                <w:sz w:val="22"/>
                <w:szCs w:val="22"/>
                <w:color w:val="auto"/>
              </w:rPr>
            </w:pPr>
          </w:p>
        </w:tc>
        <w:tc>
          <w:tcPr>
            <w:tcW w:w="16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57"/>
        </w:trPr>
        <w:tc>
          <w:tcPr>
            <w:tcW w:w="466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Income before income taxes</w:t>
            </w:r>
          </w:p>
        </w:tc>
        <w:tc>
          <w:tcPr>
            <w:tcW w:w="340" w:type="dxa"/>
            <w:vAlign w:val="bottom"/>
            <w:shd w:val="clear" w:color="auto" w:fill="CCEEFF"/>
          </w:tcPr>
          <w:p>
            <w:pPr>
              <w:spacing w:after="0"/>
              <w:rPr>
                <w:sz w:val="22"/>
                <w:szCs w:val="22"/>
                <w:color w:val="auto"/>
              </w:rPr>
            </w:pP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11,937</w:t>
            </w:r>
          </w:p>
        </w:tc>
        <w:tc>
          <w:tcPr>
            <w:tcW w:w="20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c>
          <w:tcPr>
            <w:tcW w:w="8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2.4 %</w:t>
            </w:r>
          </w:p>
        </w:tc>
        <w:tc>
          <w:tcPr>
            <w:tcW w:w="42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8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742</w:t>
            </w:r>
          </w:p>
        </w:tc>
        <w:tc>
          <w:tcPr>
            <w:tcW w:w="220" w:type="dxa"/>
            <w:vAlign w:val="bottom"/>
            <w:shd w:val="clear" w:color="auto" w:fill="CCEEFF"/>
          </w:tcPr>
          <w:p>
            <w:pPr>
              <w:spacing w:after="0"/>
              <w:rPr>
                <w:sz w:val="22"/>
                <w:szCs w:val="22"/>
                <w:color w:val="auto"/>
              </w:rPr>
            </w:pPr>
          </w:p>
        </w:tc>
        <w:tc>
          <w:tcPr>
            <w:tcW w:w="16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0.2 %</w:t>
            </w:r>
          </w:p>
        </w:tc>
        <w:tc>
          <w:tcPr>
            <w:tcW w:w="0" w:type="dxa"/>
            <w:vAlign w:val="bottom"/>
          </w:tcPr>
          <w:p>
            <w:pPr>
              <w:spacing w:after="0"/>
              <w:rPr>
                <w:sz w:val="1"/>
                <w:szCs w:val="1"/>
                <w:color w:val="auto"/>
              </w:rPr>
            </w:pPr>
          </w:p>
        </w:tc>
      </w:tr>
      <w:tr>
        <w:trPr>
          <w:trHeight w:val="264"/>
        </w:trPr>
        <w:tc>
          <w:tcPr>
            <w:tcW w:w="4660" w:type="dxa"/>
            <w:vAlign w:val="bottom"/>
          </w:tcPr>
          <w:p>
            <w:pPr>
              <w:ind w:left="80"/>
              <w:spacing w:after="0"/>
              <w:rPr>
                <w:sz w:val="20"/>
                <w:szCs w:val="20"/>
                <w:color w:val="auto"/>
              </w:rPr>
            </w:pPr>
            <w:r>
              <w:rPr>
                <w:rFonts w:ascii="Arial" w:cs="Arial" w:eastAsia="Arial" w:hAnsi="Arial"/>
                <w:sz w:val="18"/>
                <w:szCs w:val="18"/>
                <w:color w:val="auto"/>
              </w:rPr>
              <w:t>Provision (benefit) for taxes</w:t>
            </w:r>
          </w:p>
        </w:tc>
        <w:tc>
          <w:tcPr>
            <w:tcW w:w="340" w:type="dxa"/>
            <w:vAlign w:val="bottom"/>
          </w:tcPr>
          <w:p>
            <w:pPr>
              <w:spacing w:after="0"/>
              <w:rPr>
                <w:sz w:val="22"/>
                <w:szCs w:val="22"/>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94</w:t>
            </w:r>
          </w:p>
        </w:tc>
        <w:tc>
          <w:tcPr>
            <w:tcW w:w="2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260" w:type="dxa"/>
            <w:vAlign w:val="bottom"/>
            <w:gridSpan w:val="2"/>
          </w:tcPr>
          <w:p>
            <w:pPr>
              <w:jc w:val="right"/>
              <w:ind w:right="580"/>
              <w:spacing w:after="0"/>
              <w:rPr>
                <w:sz w:val="20"/>
                <w:szCs w:val="20"/>
                <w:color w:val="auto"/>
              </w:rPr>
            </w:pPr>
            <w:r>
              <w:rPr>
                <w:rFonts w:ascii="Arial" w:cs="Arial" w:eastAsia="Arial" w:hAnsi="Arial"/>
                <w:sz w:val="18"/>
                <w:szCs w:val="18"/>
                <w:color w:val="auto"/>
              </w:rPr>
              <w:t>— %</w:t>
            </w:r>
          </w:p>
        </w:tc>
        <w:tc>
          <w:tcPr>
            <w:tcW w:w="46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(9,505)</w:t>
            </w:r>
          </w:p>
        </w:tc>
        <w:tc>
          <w:tcPr>
            <w:tcW w:w="220" w:type="dxa"/>
            <w:vAlign w:val="bottom"/>
          </w:tcPr>
          <w:p>
            <w:pPr>
              <w:spacing w:after="0"/>
              <w:rPr>
                <w:sz w:val="22"/>
                <w:szCs w:val="22"/>
                <w:color w:val="auto"/>
              </w:rPr>
            </w:pPr>
          </w:p>
        </w:tc>
        <w:tc>
          <w:tcPr>
            <w:tcW w:w="1680" w:type="dxa"/>
            <w:vAlign w:val="bottom"/>
          </w:tcPr>
          <w:p>
            <w:pPr>
              <w:jc w:val="right"/>
              <w:ind w:right="19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57"/>
        </w:trPr>
        <w:tc>
          <w:tcPr>
            <w:tcW w:w="46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11,843</w:t>
            </w:r>
          </w:p>
        </w:tc>
        <w:tc>
          <w:tcPr>
            <w:tcW w:w="200" w:type="dxa"/>
            <w:vAlign w:val="bottom"/>
            <w:tcBorders>
              <w:top w:val="single" w:sz="8" w:color="CCEEFF"/>
              <w:bottom w:val="single" w:sz="8" w:color="CCEEFF"/>
            </w:tcBorders>
            <w:shd w:val="clear" w:color="auto" w:fill="CCEEFF"/>
          </w:tcPr>
          <w:p>
            <w:pPr>
              <w:spacing w:after="0"/>
              <w:rPr>
                <w:sz w:val="22"/>
                <w:szCs w:val="22"/>
                <w:color w:val="auto"/>
              </w:rPr>
            </w:pPr>
          </w:p>
        </w:tc>
        <w:tc>
          <w:tcPr>
            <w:tcW w:w="720" w:type="dxa"/>
            <w:vAlign w:val="bottom"/>
            <w:tcBorders>
              <w:top w:val="single" w:sz="8" w:color="auto"/>
              <w:bottom w:val="single" w:sz="8" w:color="auto"/>
            </w:tcBorders>
            <w:shd w:val="clear" w:color="auto" w:fill="CCEEFF"/>
          </w:tcPr>
          <w:p>
            <w:pPr>
              <w:spacing w:after="0"/>
              <w:rPr>
                <w:sz w:val="22"/>
                <w:szCs w:val="22"/>
                <w:color w:val="auto"/>
              </w:rPr>
            </w:pPr>
          </w:p>
        </w:tc>
        <w:tc>
          <w:tcPr>
            <w:tcW w:w="84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2.4 %</w:t>
            </w:r>
          </w:p>
        </w:tc>
        <w:tc>
          <w:tcPr>
            <w:tcW w:w="420" w:type="dxa"/>
            <w:vAlign w:val="bottom"/>
            <w:tcBorders>
              <w:top w:val="single" w:sz="8" w:color="CCEEFF"/>
              <w:bottom w:val="single" w:sz="8" w:color="CCEEFF"/>
            </w:tcBorders>
            <w:shd w:val="clear" w:color="auto" w:fill="CCEEFF"/>
          </w:tcPr>
          <w:p>
            <w:pPr>
              <w:spacing w:after="0"/>
              <w:rPr>
                <w:sz w:val="22"/>
                <w:szCs w:val="22"/>
                <w:color w:val="auto"/>
              </w:rPr>
            </w:pPr>
          </w:p>
        </w:tc>
        <w:tc>
          <w:tcPr>
            <w:tcW w:w="460" w:type="dxa"/>
            <w:vAlign w:val="bottom"/>
            <w:tcBorders>
              <w:top w:val="single" w:sz="8" w:color="auto"/>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10,247</w:t>
            </w:r>
          </w:p>
        </w:tc>
        <w:tc>
          <w:tcPr>
            <w:tcW w:w="220" w:type="dxa"/>
            <w:vAlign w:val="bottom"/>
            <w:tcBorders>
              <w:top w:val="single" w:sz="8" w:color="CCEEFF"/>
              <w:bottom w:val="single" w:sz="8" w:color="CCEEFF"/>
            </w:tcBorders>
            <w:shd w:val="clear" w:color="auto" w:fill="CCEEFF"/>
          </w:tcPr>
          <w:p>
            <w:pPr>
              <w:spacing w:after="0"/>
              <w:rPr>
                <w:sz w:val="22"/>
                <w:szCs w:val="22"/>
                <w:color w:val="auto"/>
              </w:rPr>
            </w:pPr>
          </w:p>
        </w:tc>
        <w:tc>
          <w:tcPr>
            <w:tcW w:w="168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2.3 %</w:t>
            </w:r>
          </w:p>
        </w:tc>
        <w:tc>
          <w:tcPr>
            <w:tcW w:w="0" w:type="dxa"/>
            <w:vAlign w:val="bottom"/>
          </w:tcPr>
          <w:p>
            <w:pPr>
              <w:spacing w:after="0"/>
              <w:rPr>
                <w:sz w:val="1"/>
                <w:szCs w:val="1"/>
                <w:color w:val="auto"/>
              </w:rPr>
            </w:pPr>
          </w:p>
        </w:tc>
      </w:tr>
      <w:tr>
        <w:trPr>
          <w:trHeight w:val="20"/>
        </w:trPr>
        <w:tc>
          <w:tcPr>
            <w:tcW w:w="4660" w:type="dxa"/>
            <w:vAlign w:val="bottom"/>
            <w:vMerge w:val="restart"/>
          </w:tcPr>
          <w:p>
            <w:pPr>
              <w:ind w:left="40"/>
              <w:spacing w:after="0"/>
              <w:rPr>
                <w:sz w:val="20"/>
                <w:szCs w:val="20"/>
                <w:color w:val="auto"/>
              </w:rPr>
            </w:pPr>
            <w:r>
              <w:rPr>
                <w:rFonts w:ascii="Arial" w:cs="Arial" w:eastAsia="Arial" w:hAnsi="Arial"/>
                <w:sz w:val="18"/>
                <w:szCs w:val="18"/>
                <w:color w:val="auto"/>
              </w:rPr>
              <w:t>Income per common share:</w:t>
            </w:r>
          </w:p>
        </w:tc>
        <w:tc>
          <w:tcPr>
            <w:tcW w:w="3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4660" w:type="dxa"/>
            <w:vAlign w:val="bottom"/>
            <w:vMerge w:val="continue"/>
          </w:tcPr>
          <w:p>
            <w:pPr>
              <w:spacing w:after="0"/>
              <w:rPr>
                <w:sz w:val="21"/>
                <w:szCs w:val="21"/>
                <w:color w:val="auto"/>
              </w:rPr>
            </w:pPr>
          </w:p>
        </w:tc>
        <w:tc>
          <w:tcPr>
            <w:tcW w:w="3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7"/>
        </w:trPr>
        <w:tc>
          <w:tcPr>
            <w:tcW w:w="46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Basic</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0.41</w:t>
            </w:r>
          </w:p>
        </w:tc>
        <w:tc>
          <w:tcPr>
            <w:tcW w:w="20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0.35</w:t>
            </w:r>
          </w:p>
        </w:tc>
        <w:tc>
          <w:tcPr>
            <w:tcW w:w="220" w:type="dxa"/>
            <w:vAlign w:val="bottom"/>
            <w:shd w:val="clear" w:color="auto" w:fill="CCEEFF"/>
          </w:tcPr>
          <w:p>
            <w:pPr>
              <w:spacing w:after="0"/>
              <w:rPr>
                <w:sz w:val="24"/>
                <w:szCs w:val="24"/>
                <w:color w:val="auto"/>
              </w:rPr>
            </w:pPr>
          </w:p>
        </w:tc>
        <w:tc>
          <w:tcPr>
            <w:tcW w:w="16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4660" w:type="dxa"/>
            <w:vAlign w:val="bottom"/>
          </w:tcPr>
          <w:p>
            <w:pPr>
              <w:ind w:left="240"/>
              <w:spacing w:after="0"/>
              <w:rPr>
                <w:sz w:val="20"/>
                <w:szCs w:val="20"/>
                <w:color w:val="auto"/>
              </w:rPr>
            </w:pPr>
            <w:r>
              <w:rPr>
                <w:rFonts w:ascii="Arial" w:cs="Arial" w:eastAsia="Arial" w:hAnsi="Arial"/>
                <w:sz w:val="18"/>
                <w:szCs w:val="18"/>
                <w:color w:val="auto"/>
              </w:rPr>
              <w:t>Diluted</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0.41</w:t>
            </w:r>
          </w:p>
        </w:tc>
        <w:tc>
          <w:tcPr>
            <w:tcW w:w="2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0.35</w:t>
            </w:r>
          </w:p>
        </w:tc>
        <w:tc>
          <w:tcPr>
            <w:tcW w:w="220" w:type="dxa"/>
            <w:vAlign w:val="bottom"/>
          </w:tcPr>
          <w:p>
            <w:pPr>
              <w:spacing w:after="0"/>
              <w:rPr>
                <w:sz w:val="22"/>
                <w:szCs w:val="22"/>
                <w:color w:val="auto"/>
              </w:rPr>
            </w:pPr>
          </w:p>
        </w:tc>
        <w:tc>
          <w:tcPr>
            <w:tcW w:w="16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4660" w:type="dxa"/>
            <w:vAlign w:val="bottom"/>
            <w:shd w:val="clear" w:color="auto" w:fill="CCEEFF"/>
          </w:tcPr>
          <w:p>
            <w:pPr>
              <w:ind w:left="40"/>
              <w:spacing w:after="0"/>
              <w:rPr>
                <w:sz w:val="20"/>
                <w:szCs w:val="20"/>
                <w:color w:val="auto"/>
              </w:rPr>
            </w:pPr>
            <w:r>
              <w:rPr>
                <w:rFonts w:ascii="Arial" w:cs="Arial" w:eastAsia="Arial" w:hAnsi="Arial"/>
                <w:sz w:val="18"/>
                <w:szCs w:val="18"/>
                <w:color w:val="auto"/>
              </w:rPr>
              <w:t>Weighted average common shares outstanding:</w:t>
            </w:r>
          </w:p>
        </w:tc>
        <w:tc>
          <w:tcPr>
            <w:tcW w:w="34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6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4660" w:type="dxa"/>
            <w:vAlign w:val="bottom"/>
          </w:tcPr>
          <w:p>
            <w:pPr>
              <w:ind w:left="240"/>
              <w:spacing w:after="0"/>
              <w:rPr>
                <w:sz w:val="20"/>
                <w:szCs w:val="20"/>
                <w:color w:val="auto"/>
              </w:rPr>
            </w:pPr>
            <w:r>
              <w:rPr>
                <w:rFonts w:ascii="Arial" w:cs="Arial" w:eastAsia="Arial" w:hAnsi="Arial"/>
                <w:sz w:val="18"/>
                <w:szCs w:val="18"/>
                <w:color w:val="auto"/>
              </w:rPr>
              <w:t>Basic</w:t>
            </w:r>
          </w:p>
        </w:tc>
        <w:tc>
          <w:tcPr>
            <w:tcW w:w="340" w:type="dxa"/>
            <w:vAlign w:val="bottom"/>
          </w:tcPr>
          <w:p>
            <w:pPr>
              <w:spacing w:after="0"/>
              <w:rPr>
                <w:sz w:val="22"/>
                <w:szCs w:val="22"/>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29,121</w:t>
            </w:r>
          </w:p>
        </w:tc>
        <w:tc>
          <w:tcPr>
            <w:tcW w:w="2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29,091</w:t>
            </w:r>
          </w:p>
        </w:tc>
        <w:tc>
          <w:tcPr>
            <w:tcW w:w="220" w:type="dxa"/>
            <w:vAlign w:val="bottom"/>
          </w:tcPr>
          <w:p>
            <w:pPr>
              <w:spacing w:after="0"/>
              <w:rPr>
                <w:sz w:val="22"/>
                <w:szCs w:val="22"/>
                <w:color w:val="auto"/>
              </w:rPr>
            </w:pPr>
          </w:p>
        </w:tc>
        <w:tc>
          <w:tcPr>
            <w:tcW w:w="16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46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Diluted</w:t>
            </w:r>
          </w:p>
        </w:tc>
        <w:tc>
          <w:tcPr>
            <w:tcW w:w="34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29,148</w:t>
            </w:r>
          </w:p>
        </w:tc>
        <w:tc>
          <w:tcPr>
            <w:tcW w:w="20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29,101</w:t>
            </w:r>
          </w:p>
        </w:tc>
        <w:tc>
          <w:tcPr>
            <w:tcW w:w="220" w:type="dxa"/>
            <w:vAlign w:val="bottom"/>
            <w:shd w:val="clear" w:color="auto" w:fill="CCEEFF"/>
          </w:tcPr>
          <w:p>
            <w:pPr>
              <w:spacing w:after="0"/>
              <w:rPr>
                <w:sz w:val="24"/>
                <w:szCs w:val="24"/>
                <w:color w:val="auto"/>
              </w:rPr>
            </w:pPr>
          </w:p>
        </w:tc>
        <w:tc>
          <w:tcPr>
            <w:tcW w:w="16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bl>
    <w:p>
      <w:pPr>
        <w:spacing w:after="0" w:line="2" w:lineRule="exact"/>
        <w:rPr>
          <w:sz w:val="20"/>
          <w:szCs w:val="20"/>
          <w:color w:val="auto"/>
        </w:rPr>
      </w:pPr>
    </w:p>
    <w:p>
      <w:pPr>
        <w:sectPr>
          <w:pgSz w:w="11900" w:h="16838" w:orient="portrait"/>
          <w:cols w:equalWidth="0" w:num="1">
            <w:col w:w="11420"/>
          </w:cols>
          <w:pgMar w:left="240" w:top="576" w:right="239" w:bottom="1440" w:gutter="0" w:footer="0" w:header="0"/>
        </w:sectPr>
      </w:pPr>
    </w:p>
    <w:p>
      <w:pPr>
        <w:spacing w:after="0"/>
        <w:rPr>
          <w:sz w:val="20"/>
          <w:szCs w:val="20"/>
          <w:color w:val="auto"/>
        </w:rPr>
      </w:pPr>
      <w:r>
        <w:rPr>
          <w:rFonts w:ascii="Arial" w:cs="Arial" w:eastAsia="Arial" w:hAnsi="Arial"/>
          <w:sz w:val="16"/>
          <w:szCs w:val="16"/>
          <w:color w:val="auto"/>
        </w:rPr>
        <w:t>Percentages may not add due to rounding differences.</w:t>
      </w:r>
    </w:p>
    <w:p>
      <w:pPr>
        <w:sectPr>
          <w:pgSz w:w="11900" w:h="16838" w:orient="portrait"/>
          <w:cols w:equalWidth="0" w:num="1">
            <w:col w:w="11420"/>
          </w:cols>
          <w:pgMar w:left="240" w:top="576" w:right="239" w:bottom="1440" w:gutter="0" w:footer="0" w:header="0"/>
          <w:type w:val="continuous"/>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Winnebago Industries,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720" w:type="dxa"/>
            <w:vAlign w:val="bottom"/>
            <w:gridSpan w:val="2"/>
          </w:tcPr>
          <w:p>
            <w:pPr>
              <w:ind w:left="80"/>
              <w:spacing w:after="0"/>
              <w:rPr>
                <w:sz w:val="20"/>
                <w:szCs w:val="20"/>
                <w:color w:val="auto"/>
              </w:rPr>
            </w:pPr>
            <w:r>
              <w:rPr>
                <w:rFonts w:ascii="Arial" w:cs="Arial" w:eastAsia="Arial" w:hAnsi="Arial"/>
                <w:sz w:val="18"/>
                <w:szCs w:val="18"/>
                <w:b w:val="1"/>
                <w:bCs w:val="1"/>
                <w:color w:val="auto"/>
              </w:rPr>
              <w:t>August 27,</w:t>
            </w:r>
          </w:p>
        </w:tc>
        <w:tc>
          <w:tcPr>
            <w:tcW w:w="220" w:type="dxa"/>
            <w:vAlign w:val="bottom"/>
          </w:tcPr>
          <w:p>
            <w:pPr>
              <w:spacing w:after="0"/>
              <w:rPr>
                <w:sz w:val="17"/>
                <w:szCs w:val="17"/>
                <w:color w:val="auto"/>
              </w:rPr>
            </w:pPr>
          </w:p>
        </w:tc>
        <w:tc>
          <w:tcPr>
            <w:tcW w:w="1380" w:type="dxa"/>
            <w:vAlign w:val="bottom"/>
          </w:tcPr>
          <w:p>
            <w:pPr>
              <w:jc w:val="right"/>
              <w:ind w:right="270"/>
              <w:spacing w:after="0"/>
              <w:rPr>
                <w:sz w:val="20"/>
                <w:szCs w:val="20"/>
                <w:color w:val="auto"/>
              </w:rPr>
            </w:pPr>
            <w:r>
              <w:rPr>
                <w:rFonts w:ascii="Arial" w:cs="Arial" w:eastAsia="Arial" w:hAnsi="Arial"/>
                <w:sz w:val="18"/>
                <w:szCs w:val="18"/>
                <w:b w:val="1"/>
                <w:bCs w:val="1"/>
                <w:color w:val="auto"/>
              </w:rPr>
              <w:t>August 28,</w:t>
            </w:r>
          </w:p>
        </w:tc>
      </w:tr>
      <w:tr>
        <w:trPr>
          <w:trHeight w:val="246"/>
        </w:trPr>
        <w:tc>
          <w:tcPr>
            <w:tcW w:w="786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2011</w:t>
            </w:r>
          </w:p>
        </w:tc>
        <w:tc>
          <w:tcPr>
            <w:tcW w:w="34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2010</w:t>
            </w:r>
          </w:p>
        </w:tc>
      </w:tr>
      <w:tr>
        <w:trPr>
          <w:trHeight w:val="270"/>
        </w:trPr>
        <w:tc>
          <w:tcPr>
            <w:tcW w:w="7860" w:type="dxa"/>
            <w:vAlign w:val="bottom"/>
            <w:shd w:val="clear" w:color="auto" w:fill="CCEEFF"/>
          </w:tcPr>
          <w:p>
            <w:pPr>
              <w:ind w:left="40"/>
              <w:spacing w:after="0"/>
              <w:rPr>
                <w:sz w:val="20"/>
                <w:szCs w:val="20"/>
                <w:color w:val="auto"/>
              </w:rPr>
            </w:pPr>
            <w:r>
              <w:rPr>
                <w:rFonts w:ascii="Arial" w:cs="Arial" w:eastAsia="Arial" w:hAnsi="Arial"/>
                <w:sz w:val="18"/>
                <w:szCs w:val="18"/>
                <w:color w:val="auto"/>
              </w:rPr>
              <w:t>ASSETS</w:t>
            </w:r>
          </w:p>
        </w:tc>
        <w:tc>
          <w:tcPr>
            <w:tcW w:w="240" w:type="dxa"/>
            <w:vAlign w:val="bottom"/>
            <w:shd w:val="clear" w:color="auto" w:fill="CCEEFF"/>
          </w:tcPr>
          <w:p>
            <w:pPr>
              <w:spacing w:after="0"/>
              <w:rPr>
                <w:sz w:val="23"/>
                <w:szCs w:val="23"/>
                <w:color w:val="auto"/>
              </w:rPr>
            </w:pPr>
          </w:p>
        </w:tc>
        <w:tc>
          <w:tcPr>
            <w:tcW w:w="138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380" w:type="dxa"/>
            <w:vAlign w:val="bottom"/>
            <w:shd w:val="clear" w:color="auto" w:fill="CCEEFF"/>
          </w:tcPr>
          <w:p>
            <w:pPr>
              <w:spacing w:after="0"/>
              <w:rPr>
                <w:sz w:val="23"/>
                <w:szCs w:val="23"/>
                <w:color w:val="auto"/>
              </w:rPr>
            </w:pPr>
          </w:p>
        </w:tc>
      </w:tr>
      <w:tr>
        <w:trPr>
          <w:trHeight w:val="263"/>
        </w:trPr>
        <w:tc>
          <w:tcPr>
            <w:tcW w:w="786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24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80" w:type="dxa"/>
            <w:vAlign w:val="bottom"/>
          </w:tcPr>
          <w:p>
            <w:pPr>
              <w:spacing w:after="0"/>
              <w:rPr>
                <w:sz w:val="22"/>
                <w:szCs w:val="22"/>
                <w:color w:val="auto"/>
              </w:rPr>
            </w:pPr>
          </w:p>
        </w:tc>
      </w:tr>
      <w:tr>
        <w:trPr>
          <w:trHeight w:val="277"/>
        </w:trPr>
        <w:tc>
          <w:tcPr>
            <w:tcW w:w="78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Cash and cash equivalents</w:t>
            </w: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69,307</w:t>
            </w:r>
          </w:p>
        </w:tc>
        <w:tc>
          <w:tcPr>
            <w:tcW w:w="34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74,691</w:t>
            </w:r>
          </w:p>
        </w:tc>
      </w:tr>
      <w:tr>
        <w:trPr>
          <w:trHeight w:val="263"/>
        </w:trPr>
        <w:tc>
          <w:tcPr>
            <w:tcW w:w="7860" w:type="dxa"/>
            <w:vAlign w:val="bottom"/>
          </w:tcPr>
          <w:p>
            <w:pPr>
              <w:ind w:left="280"/>
              <w:spacing w:after="0"/>
              <w:rPr>
                <w:sz w:val="20"/>
                <w:szCs w:val="20"/>
                <w:color w:val="auto"/>
              </w:rPr>
            </w:pPr>
            <w:r>
              <w:rPr>
                <w:rFonts w:ascii="Arial" w:cs="Arial" w:eastAsia="Arial" w:hAnsi="Arial"/>
                <w:sz w:val="18"/>
                <w:szCs w:val="18"/>
                <w:color w:val="auto"/>
              </w:rPr>
              <w:t>Receivables, net</w:t>
            </w:r>
          </w:p>
        </w:tc>
        <w:tc>
          <w:tcPr>
            <w:tcW w:w="240" w:type="dxa"/>
            <w:vAlign w:val="bottom"/>
          </w:tcPr>
          <w:p>
            <w:pPr>
              <w:spacing w:after="0"/>
              <w:rPr>
                <w:sz w:val="22"/>
                <w:szCs w:val="22"/>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19,981</w:t>
            </w:r>
          </w:p>
        </w:tc>
        <w:tc>
          <w:tcPr>
            <w:tcW w:w="3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18,798</w:t>
            </w:r>
          </w:p>
        </w:tc>
      </w:tr>
      <w:tr>
        <w:trPr>
          <w:trHeight w:val="277"/>
        </w:trPr>
        <w:tc>
          <w:tcPr>
            <w:tcW w:w="78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Inventories</w:t>
            </w:r>
          </w:p>
        </w:tc>
        <w:tc>
          <w:tcPr>
            <w:tcW w:w="240" w:type="dxa"/>
            <w:vAlign w:val="bottom"/>
            <w:shd w:val="clear" w:color="auto" w:fill="CCEEFF"/>
          </w:tcPr>
          <w:p>
            <w:pPr>
              <w:spacing w:after="0"/>
              <w:rPr>
                <w:sz w:val="24"/>
                <w:szCs w:val="24"/>
                <w:color w:val="auto"/>
              </w:rPr>
            </w:pPr>
          </w:p>
        </w:tc>
        <w:tc>
          <w:tcPr>
            <w:tcW w:w="13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69,165</w:t>
            </w:r>
          </w:p>
        </w:tc>
        <w:tc>
          <w:tcPr>
            <w:tcW w:w="3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3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43,526</w:t>
            </w:r>
          </w:p>
        </w:tc>
      </w:tr>
      <w:tr>
        <w:trPr>
          <w:trHeight w:val="263"/>
        </w:trPr>
        <w:tc>
          <w:tcPr>
            <w:tcW w:w="7860" w:type="dxa"/>
            <w:vAlign w:val="bottom"/>
          </w:tcPr>
          <w:p>
            <w:pPr>
              <w:ind w:left="280"/>
              <w:spacing w:after="0"/>
              <w:rPr>
                <w:sz w:val="20"/>
                <w:szCs w:val="20"/>
                <w:color w:val="auto"/>
              </w:rPr>
            </w:pPr>
            <w:r>
              <w:rPr>
                <w:rFonts w:ascii="Arial" w:cs="Arial" w:eastAsia="Arial" w:hAnsi="Arial"/>
                <w:sz w:val="18"/>
                <w:szCs w:val="18"/>
                <w:color w:val="auto"/>
              </w:rPr>
              <w:t>Prepaid expenses and other assets</w:t>
            </w:r>
          </w:p>
        </w:tc>
        <w:tc>
          <w:tcPr>
            <w:tcW w:w="240" w:type="dxa"/>
            <w:vAlign w:val="bottom"/>
          </w:tcPr>
          <w:p>
            <w:pPr>
              <w:spacing w:after="0"/>
              <w:rPr>
                <w:sz w:val="22"/>
                <w:szCs w:val="22"/>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4,227</w:t>
            </w:r>
          </w:p>
        </w:tc>
        <w:tc>
          <w:tcPr>
            <w:tcW w:w="3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4,570</w:t>
            </w:r>
          </w:p>
        </w:tc>
      </w:tr>
      <w:tr>
        <w:trPr>
          <w:trHeight w:val="277"/>
        </w:trPr>
        <w:tc>
          <w:tcPr>
            <w:tcW w:w="78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Income taxes receivable</w:t>
            </w:r>
          </w:p>
        </w:tc>
        <w:tc>
          <w:tcPr>
            <w:tcW w:w="240" w:type="dxa"/>
            <w:vAlign w:val="bottom"/>
            <w:shd w:val="clear" w:color="auto" w:fill="CCEEFF"/>
          </w:tcPr>
          <w:p>
            <w:pPr>
              <w:spacing w:after="0"/>
              <w:rPr>
                <w:sz w:val="24"/>
                <w:szCs w:val="24"/>
                <w:color w:val="auto"/>
              </w:rPr>
            </w:pPr>
          </w:p>
        </w:tc>
        <w:tc>
          <w:tcPr>
            <w:tcW w:w="13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1,525</w:t>
            </w:r>
          </w:p>
        </w:tc>
        <w:tc>
          <w:tcPr>
            <w:tcW w:w="3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3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132</w:t>
            </w:r>
          </w:p>
        </w:tc>
      </w:tr>
      <w:tr>
        <w:trPr>
          <w:trHeight w:val="264"/>
        </w:trPr>
        <w:tc>
          <w:tcPr>
            <w:tcW w:w="786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Deferred income taxes</w:t>
            </w:r>
          </w:p>
        </w:tc>
        <w:tc>
          <w:tcPr>
            <w:tcW w:w="24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649</w:t>
            </w:r>
          </w:p>
        </w:tc>
        <w:tc>
          <w:tcPr>
            <w:tcW w:w="34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r>
      <w:tr>
        <w:trPr>
          <w:trHeight w:val="257"/>
        </w:trPr>
        <w:tc>
          <w:tcPr>
            <w:tcW w:w="7860" w:type="dxa"/>
            <w:vAlign w:val="bottom"/>
            <w:shd w:val="clear" w:color="auto" w:fill="CCEEFF"/>
          </w:tcPr>
          <w:p>
            <w:pPr>
              <w:ind w:left="500"/>
              <w:spacing w:after="0"/>
              <w:rPr>
                <w:sz w:val="20"/>
                <w:szCs w:val="20"/>
                <w:color w:val="auto"/>
              </w:rPr>
            </w:pPr>
            <w:r>
              <w:rPr>
                <w:rFonts w:ascii="Arial" w:cs="Arial" w:eastAsia="Arial" w:hAnsi="Arial"/>
                <w:sz w:val="18"/>
                <w:szCs w:val="18"/>
                <w:color w:val="auto"/>
              </w:rPr>
              <w:t>Total current assets</w:t>
            </w:r>
          </w:p>
        </w:tc>
        <w:tc>
          <w:tcPr>
            <w:tcW w:w="240" w:type="dxa"/>
            <w:vAlign w:val="bottom"/>
            <w:shd w:val="clear" w:color="auto" w:fill="CCEEFF"/>
          </w:tcPr>
          <w:p>
            <w:pPr>
              <w:spacing w:after="0"/>
              <w:rPr>
                <w:sz w:val="22"/>
                <w:szCs w:val="22"/>
                <w:color w:val="auto"/>
              </w:rPr>
            </w:pPr>
          </w:p>
        </w:tc>
        <w:tc>
          <w:tcPr>
            <w:tcW w:w="13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164,854</w:t>
            </w:r>
          </w:p>
        </w:tc>
        <w:tc>
          <w:tcPr>
            <w:tcW w:w="34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3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141,717</w:t>
            </w:r>
          </w:p>
        </w:tc>
      </w:tr>
      <w:tr>
        <w:trPr>
          <w:trHeight w:val="263"/>
        </w:trPr>
        <w:tc>
          <w:tcPr>
            <w:tcW w:w="7860" w:type="dxa"/>
            <w:vAlign w:val="bottom"/>
          </w:tcPr>
          <w:p>
            <w:pPr>
              <w:ind w:left="40"/>
              <w:spacing w:after="0"/>
              <w:rPr>
                <w:sz w:val="20"/>
                <w:szCs w:val="20"/>
                <w:color w:val="auto"/>
              </w:rPr>
            </w:pPr>
            <w:r>
              <w:rPr>
                <w:rFonts w:ascii="Arial" w:cs="Arial" w:eastAsia="Arial" w:hAnsi="Arial"/>
                <w:sz w:val="18"/>
                <w:szCs w:val="18"/>
                <w:color w:val="auto"/>
              </w:rPr>
              <w:t>Total property and equipment, net</w:t>
            </w:r>
          </w:p>
        </w:tc>
        <w:tc>
          <w:tcPr>
            <w:tcW w:w="240" w:type="dxa"/>
            <w:vAlign w:val="bottom"/>
          </w:tcPr>
          <w:p>
            <w:pPr>
              <w:spacing w:after="0"/>
              <w:rPr>
                <w:sz w:val="22"/>
                <w:szCs w:val="22"/>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22,589</w:t>
            </w:r>
          </w:p>
        </w:tc>
        <w:tc>
          <w:tcPr>
            <w:tcW w:w="3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25,677</w:t>
            </w:r>
          </w:p>
        </w:tc>
      </w:tr>
      <w:tr>
        <w:trPr>
          <w:trHeight w:val="277"/>
        </w:trPr>
        <w:tc>
          <w:tcPr>
            <w:tcW w:w="7860" w:type="dxa"/>
            <w:vAlign w:val="bottom"/>
            <w:shd w:val="clear" w:color="auto" w:fill="CCEEFF"/>
          </w:tcPr>
          <w:p>
            <w:pPr>
              <w:ind w:left="40"/>
              <w:spacing w:after="0"/>
              <w:rPr>
                <w:sz w:val="20"/>
                <w:szCs w:val="20"/>
                <w:color w:val="auto"/>
              </w:rPr>
            </w:pPr>
            <w:r>
              <w:rPr>
                <w:rFonts w:ascii="Arial" w:cs="Arial" w:eastAsia="Arial" w:hAnsi="Arial"/>
                <w:sz w:val="18"/>
                <w:szCs w:val="18"/>
                <w:color w:val="auto"/>
              </w:rPr>
              <w:t>Assets held for sale</w:t>
            </w:r>
          </w:p>
        </w:tc>
        <w:tc>
          <w:tcPr>
            <w:tcW w:w="240" w:type="dxa"/>
            <w:vAlign w:val="bottom"/>
            <w:shd w:val="clear" w:color="auto" w:fill="CCEEFF"/>
          </w:tcPr>
          <w:p>
            <w:pPr>
              <w:spacing w:after="0"/>
              <w:rPr>
                <w:sz w:val="24"/>
                <w:szCs w:val="24"/>
                <w:color w:val="auto"/>
              </w:rPr>
            </w:pPr>
          </w:p>
        </w:tc>
        <w:tc>
          <w:tcPr>
            <w:tcW w:w="13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600</w:t>
            </w:r>
          </w:p>
        </w:tc>
        <w:tc>
          <w:tcPr>
            <w:tcW w:w="3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3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4,254</w:t>
            </w:r>
          </w:p>
        </w:tc>
      </w:tr>
      <w:tr>
        <w:trPr>
          <w:trHeight w:val="263"/>
        </w:trPr>
        <w:tc>
          <w:tcPr>
            <w:tcW w:w="7860" w:type="dxa"/>
            <w:vAlign w:val="bottom"/>
          </w:tcPr>
          <w:p>
            <w:pPr>
              <w:ind w:left="40"/>
              <w:spacing w:after="0"/>
              <w:rPr>
                <w:sz w:val="20"/>
                <w:szCs w:val="20"/>
                <w:color w:val="auto"/>
              </w:rPr>
            </w:pPr>
            <w:r>
              <w:rPr>
                <w:rFonts w:ascii="Arial" w:cs="Arial" w:eastAsia="Arial" w:hAnsi="Arial"/>
                <w:sz w:val="18"/>
                <w:szCs w:val="18"/>
                <w:color w:val="auto"/>
              </w:rPr>
              <w:t>Long-term investments</w:t>
            </w:r>
          </w:p>
        </w:tc>
        <w:tc>
          <w:tcPr>
            <w:tcW w:w="240" w:type="dxa"/>
            <w:vAlign w:val="bottom"/>
          </w:tcPr>
          <w:p>
            <w:pPr>
              <w:spacing w:after="0"/>
              <w:rPr>
                <w:sz w:val="22"/>
                <w:szCs w:val="22"/>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10,627</w:t>
            </w:r>
          </w:p>
        </w:tc>
        <w:tc>
          <w:tcPr>
            <w:tcW w:w="3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17,785</w:t>
            </w:r>
          </w:p>
        </w:tc>
      </w:tr>
      <w:tr>
        <w:trPr>
          <w:trHeight w:val="277"/>
        </w:trPr>
        <w:tc>
          <w:tcPr>
            <w:tcW w:w="786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Investment in life insurance</w:t>
            </w:r>
          </w:p>
        </w:tc>
        <w:tc>
          <w:tcPr>
            <w:tcW w:w="240" w:type="dxa"/>
            <w:vAlign w:val="bottom"/>
            <w:shd w:val="clear" w:color="auto" w:fill="CCEEFF"/>
          </w:tcPr>
          <w:p>
            <w:pPr>
              <w:spacing w:after="0"/>
              <w:rPr>
                <w:sz w:val="24"/>
                <w:szCs w:val="24"/>
                <w:color w:val="auto"/>
              </w:rPr>
            </w:pPr>
          </w:p>
        </w:tc>
        <w:tc>
          <w:tcPr>
            <w:tcW w:w="13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23,669</w:t>
            </w:r>
          </w:p>
        </w:tc>
        <w:tc>
          <w:tcPr>
            <w:tcW w:w="3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3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23,250</w:t>
            </w:r>
          </w:p>
        </w:tc>
      </w:tr>
      <w:tr>
        <w:trPr>
          <w:trHeight w:val="263"/>
        </w:trPr>
        <w:tc>
          <w:tcPr>
            <w:tcW w:w="7860" w:type="dxa"/>
            <w:vAlign w:val="bottom"/>
          </w:tcPr>
          <w:p>
            <w:pPr>
              <w:ind w:left="40"/>
              <w:spacing w:after="0"/>
              <w:rPr>
                <w:sz w:val="20"/>
                <w:szCs w:val="20"/>
                <w:color w:val="auto"/>
              </w:rPr>
            </w:pPr>
            <w:r>
              <w:rPr>
                <w:rFonts w:ascii="Arial" w:cs="Arial" w:eastAsia="Arial" w:hAnsi="Arial"/>
                <w:sz w:val="18"/>
                <w:szCs w:val="18"/>
                <w:color w:val="auto"/>
              </w:rPr>
              <w:t>Goodwill</w:t>
            </w:r>
          </w:p>
        </w:tc>
        <w:tc>
          <w:tcPr>
            <w:tcW w:w="240" w:type="dxa"/>
            <w:vAlign w:val="bottom"/>
          </w:tcPr>
          <w:p>
            <w:pPr>
              <w:spacing w:after="0"/>
              <w:rPr>
                <w:sz w:val="22"/>
                <w:szCs w:val="22"/>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1,228</w:t>
            </w:r>
          </w:p>
        </w:tc>
        <w:tc>
          <w:tcPr>
            <w:tcW w:w="3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7"/>
        </w:trPr>
        <w:tc>
          <w:tcPr>
            <w:tcW w:w="7860" w:type="dxa"/>
            <w:vAlign w:val="bottom"/>
            <w:shd w:val="clear" w:color="auto" w:fill="CCEEFF"/>
          </w:tcPr>
          <w:p>
            <w:pPr>
              <w:ind w:left="40"/>
              <w:spacing w:after="0"/>
              <w:rPr>
                <w:sz w:val="20"/>
                <w:szCs w:val="20"/>
                <w:color w:val="auto"/>
              </w:rPr>
            </w:pPr>
            <w:r>
              <w:rPr>
                <w:rFonts w:ascii="Arial" w:cs="Arial" w:eastAsia="Arial" w:hAnsi="Arial"/>
                <w:sz w:val="18"/>
                <w:szCs w:val="18"/>
                <w:color w:val="auto"/>
              </w:rPr>
              <w:t>Amortizable intangible assets</w:t>
            </w:r>
          </w:p>
        </w:tc>
        <w:tc>
          <w:tcPr>
            <w:tcW w:w="240" w:type="dxa"/>
            <w:vAlign w:val="bottom"/>
            <w:shd w:val="clear" w:color="auto" w:fill="CCEEFF"/>
          </w:tcPr>
          <w:p>
            <w:pPr>
              <w:spacing w:after="0"/>
              <w:rPr>
                <w:sz w:val="24"/>
                <w:szCs w:val="24"/>
                <w:color w:val="auto"/>
              </w:rPr>
            </w:pPr>
          </w:p>
        </w:tc>
        <w:tc>
          <w:tcPr>
            <w:tcW w:w="13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720</w:t>
            </w:r>
          </w:p>
        </w:tc>
        <w:tc>
          <w:tcPr>
            <w:tcW w:w="3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3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64"/>
        </w:trPr>
        <w:tc>
          <w:tcPr>
            <w:tcW w:w="78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Other assets</w:t>
            </w:r>
          </w:p>
        </w:tc>
        <w:tc>
          <w:tcPr>
            <w:tcW w:w="24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15,640</w:t>
            </w:r>
          </w:p>
        </w:tc>
        <w:tc>
          <w:tcPr>
            <w:tcW w:w="34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14,674</w:t>
            </w:r>
          </w:p>
        </w:tc>
      </w:tr>
      <w:tr>
        <w:trPr>
          <w:trHeight w:val="257"/>
        </w:trPr>
        <w:tc>
          <w:tcPr>
            <w:tcW w:w="78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assets</w:t>
            </w:r>
          </w:p>
        </w:tc>
        <w:tc>
          <w:tcPr>
            <w:tcW w:w="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239,927</w:t>
            </w:r>
          </w:p>
        </w:tc>
        <w:tc>
          <w:tcPr>
            <w:tcW w:w="34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227,357</w:t>
            </w:r>
          </w:p>
        </w:tc>
      </w:tr>
      <w:tr>
        <w:trPr>
          <w:trHeight w:val="20"/>
        </w:trPr>
        <w:tc>
          <w:tcPr>
            <w:tcW w:w="78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r>
        <w:trPr>
          <w:trHeight w:val="251"/>
        </w:trPr>
        <w:tc>
          <w:tcPr>
            <w:tcW w:w="78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spacing w:after="0"/>
              <w:rPr>
                <w:sz w:val="21"/>
                <w:szCs w:val="21"/>
                <w:color w:val="auto"/>
              </w:rPr>
            </w:pPr>
          </w:p>
        </w:tc>
      </w:tr>
      <w:tr>
        <w:trPr>
          <w:trHeight w:val="270"/>
        </w:trPr>
        <w:tc>
          <w:tcPr>
            <w:tcW w:w="7860" w:type="dxa"/>
            <w:vAlign w:val="bottom"/>
            <w:shd w:val="clear" w:color="auto" w:fill="CCEEFF"/>
          </w:tcPr>
          <w:p>
            <w:pPr>
              <w:ind w:left="40"/>
              <w:spacing w:after="0"/>
              <w:rPr>
                <w:sz w:val="20"/>
                <w:szCs w:val="20"/>
                <w:color w:val="auto"/>
              </w:rPr>
            </w:pPr>
            <w:r>
              <w:rPr>
                <w:rFonts w:ascii="Arial" w:cs="Arial" w:eastAsia="Arial" w:hAnsi="Arial"/>
                <w:sz w:val="18"/>
                <w:szCs w:val="18"/>
                <w:color w:val="auto"/>
              </w:rPr>
              <w:t>LIABILITIES AND STOCKHOLDERS' EQUITY</w:t>
            </w:r>
          </w:p>
        </w:tc>
        <w:tc>
          <w:tcPr>
            <w:tcW w:w="240" w:type="dxa"/>
            <w:vAlign w:val="bottom"/>
            <w:shd w:val="clear" w:color="auto" w:fill="CCEEFF"/>
          </w:tcPr>
          <w:p>
            <w:pPr>
              <w:spacing w:after="0"/>
              <w:rPr>
                <w:sz w:val="23"/>
                <w:szCs w:val="23"/>
                <w:color w:val="auto"/>
              </w:rPr>
            </w:pPr>
          </w:p>
        </w:tc>
        <w:tc>
          <w:tcPr>
            <w:tcW w:w="138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380" w:type="dxa"/>
            <w:vAlign w:val="bottom"/>
            <w:shd w:val="clear" w:color="auto" w:fill="CCEEFF"/>
          </w:tcPr>
          <w:p>
            <w:pPr>
              <w:spacing w:after="0"/>
              <w:rPr>
                <w:sz w:val="23"/>
                <w:szCs w:val="23"/>
                <w:color w:val="auto"/>
              </w:rPr>
            </w:pPr>
          </w:p>
        </w:tc>
      </w:tr>
      <w:tr>
        <w:trPr>
          <w:trHeight w:val="263"/>
        </w:trPr>
        <w:tc>
          <w:tcPr>
            <w:tcW w:w="7860" w:type="dxa"/>
            <w:vAlign w:val="bottom"/>
          </w:tcPr>
          <w:p>
            <w:pPr>
              <w:ind w:left="40"/>
              <w:spacing w:after="0"/>
              <w:rPr>
                <w:sz w:val="20"/>
                <w:szCs w:val="20"/>
                <w:color w:val="auto"/>
              </w:rPr>
            </w:pPr>
            <w:r>
              <w:rPr>
                <w:rFonts w:ascii="Arial" w:cs="Arial" w:eastAsia="Arial" w:hAnsi="Arial"/>
                <w:sz w:val="18"/>
                <w:szCs w:val="18"/>
                <w:color w:val="auto"/>
              </w:rPr>
              <w:t>Current liabilities:</w:t>
            </w:r>
          </w:p>
        </w:tc>
        <w:tc>
          <w:tcPr>
            <w:tcW w:w="24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80" w:type="dxa"/>
            <w:vAlign w:val="bottom"/>
          </w:tcPr>
          <w:p>
            <w:pPr>
              <w:spacing w:after="0"/>
              <w:rPr>
                <w:sz w:val="22"/>
                <w:szCs w:val="22"/>
                <w:color w:val="auto"/>
              </w:rPr>
            </w:pPr>
          </w:p>
        </w:tc>
      </w:tr>
      <w:tr>
        <w:trPr>
          <w:trHeight w:val="277"/>
        </w:trPr>
        <w:tc>
          <w:tcPr>
            <w:tcW w:w="78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Accounts payable</w:t>
            </w: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21,610</w:t>
            </w:r>
          </w:p>
        </w:tc>
        <w:tc>
          <w:tcPr>
            <w:tcW w:w="34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19,725</w:t>
            </w:r>
          </w:p>
        </w:tc>
      </w:tr>
      <w:tr>
        <w:trPr>
          <w:trHeight w:val="263"/>
        </w:trPr>
        <w:tc>
          <w:tcPr>
            <w:tcW w:w="7860" w:type="dxa"/>
            <w:vAlign w:val="bottom"/>
          </w:tcPr>
          <w:p>
            <w:pPr>
              <w:ind w:left="280"/>
              <w:spacing w:after="0"/>
              <w:rPr>
                <w:sz w:val="20"/>
                <w:szCs w:val="20"/>
                <w:color w:val="auto"/>
              </w:rPr>
            </w:pPr>
            <w:r>
              <w:rPr>
                <w:rFonts w:ascii="Arial" w:cs="Arial" w:eastAsia="Arial" w:hAnsi="Arial"/>
                <w:sz w:val="18"/>
                <w:szCs w:val="18"/>
                <w:color w:val="auto"/>
              </w:rPr>
              <w:t>Income taxes payable</w:t>
            </w:r>
          </w:p>
        </w:tc>
        <w:tc>
          <w:tcPr>
            <w:tcW w:w="240" w:type="dxa"/>
            <w:vAlign w:val="bottom"/>
          </w:tcPr>
          <w:p>
            <w:pPr>
              <w:spacing w:after="0"/>
              <w:rPr>
                <w:sz w:val="22"/>
                <w:szCs w:val="22"/>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104</w:t>
            </w:r>
          </w:p>
        </w:tc>
        <w:tc>
          <w:tcPr>
            <w:tcW w:w="3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99</w:t>
            </w:r>
          </w:p>
        </w:tc>
      </w:tr>
      <w:tr>
        <w:trPr>
          <w:trHeight w:val="270"/>
        </w:trPr>
        <w:tc>
          <w:tcPr>
            <w:tcW w:w="78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Accrued expenses</w:t>
            </w:r>
          </w:p>
        </w:tc>
        <w:tc>
          <w:tcPr>
            <w:tcW w:w="240" w:type="dxa"/>
            <w:vAlign w:val="bottom"/>
            <w:tcBorders>
              <w:bottom w:val="single" w:sz="8" w:color="auto"/>
            </w:tcBorders>
            <w:shd w:val="clear" w:color="auto" w:fill="CCEEFF"/>
          </w:tcPr>
          <w:p>
            <w:pPr>
              <w:spacing w:after="0"/>
              <w:rPr>
                <w:sz w:val="23"/>
                <w:szCs w:val="23"/>
                <w:color w:val="auto"/>
              </w:rPr>
            </w:pPr>
          </w:p>
        </w:tc>
        <w:tc>
          <w:tcPr>
            <w:tcW w:w="13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29,604</w:t>
            </w:r>
          </w:p>
        </w:tc>
        <w:tc>
          <w:tcPr>
            <w:tcW w:w="34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3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30,548</w:t>
            </w:r>
          </w:p>
        </w:tc>
      </w:tr>
      <w:tr>
        <w:trPr>
          <w:trHeight w:val="250"/>
        </w:trPr>
        <w:tc>
          <w:tcPr>
            <w:tcW w:w="7860" w:type="dxa"/>
            <w:vAlign w:val="bottom"/>
            <w:tcBorders>
              <w:bottom w:val="single" w:sz="8" w:color="CCEEFF"/>
            </w:tcBorders>
          </w:tcPr>
          <w:p>
            <w:pPr>
              <w:ind w:left="500"/>
              <w:spacing w:after="0"/>
              <w:rPr>
                <w:sz w:val="20"/>
                <w:szCs w:val="20"/>
                <w:color w:val="auto"/>
              </w:rPr>
            </w:pPr>
            <w:r>
              <w:rPr>
                <w:rFonts w:ascii="Arial" w:cs="Arial" w:eastAsia="Arial" w:hAnsi="Arial"/>
                <w:sz w:val="18"/>
                <w:szCs w:val="18"/>
                <w:color w:val="auto"/>
              </w:rPr>
              <w:t>Total current liabilities</w:t>
            </w:r>
          </w:p>
        </w:tc>
        <w:tc>
          <w:tcPr>
            <w:tcW w:w="24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51,318</w:t>
            </w:r>
          </w:p>
        </w:tc>
        <w:tc>
          <w:tcPr>
            <w:tcW w:w="34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50,372</w:t>
            </w:r>
          </w:p>
        </w:tc>
      </w:tr>
      <w:tr>
        <w:trPr>
          <w:trHeight w:val="270"/>
        </w:trPr>
        <w:tc>
          <w:tcPr>
            <w:tcW w:w="7860" w:type="dxa"/>
            <w:vAlign w:val="bottom"/>
            <w:shd w:val="clear" w:color="auto" w:fill="CCEEFF"/>
          </w:tcPr>
          <w:p>
            <w:pPr>
              <w:ind w:left="40"/>
              <w:spacing w:after="0"/>
              <w:rPr>
                <w:sz w:val="20"/>
                <w:szCs w:val="20"/>
                <w:color w:val="auto"/>
              </w:rPr>
            </w:pPr>
            <w:r>
              <w:rPr>
                <w:rFonts w:ascii="Arial" w:cs="Arial" w:eastAsia="Arial" w:hAnsi="Arial"/>
                <w:sz w:val="18"/>
                <w:szCs w:val="18"/>
                <w:color w:val="auto"/>
              </w:rPr>
              <w:t>Long-term liabilities:</w:t>
            </w:r>
          </w:p>
        </w:tc>
        <w:tc>
          <w:tcPr>
            <w:tcW w:w="240" w:type="dxa"/>
            <w:vAlign w:val="bottom"/>
            <w:shd w:val="clear" w:color="auto" w:fill="CCEEFF"/>
          </w:tcPr>
          <w:p>
            <w:pPr>
              <w:spacing w:after="0"/>
              <w:rPr>
                <w:sz w:val="23"/>
                <w:szCs w:val="23"/>
                <w:color w:val="auto"/>
              </w:rPr>
            </w:pPr>
          </w:p>
        </w:tc>
        <w:tc>
          <w:tcPr>
            <w:tcW w:w="138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380" w:type="dxa"/>
            <w:vAlign w:val="bottom"/>
            <w:shd w:val="clear" w:color="auto" w:fill="CCEEFF"/>
          </w:tcPr>
          <w:p>
            <w:pPr>
              <w:spacing w:after="0"/>
              <w:rPr>
                <w:sz w:val="23"/>
                <w:szCs w:val="23"/>
                <w:color w:val="auto"/>
              </w:rPr>
            </w:pPr>
          </w:p>
        </w:tc>
      </w:tr>
      <w:tr>
        <w:trPr>
          <w:trHeight w:val="263"/>
        </w:trPr>
        <w:tc>
          <w:tcPr>
            <w:tcW w:w="7860" w:type="dxa"/>
            <w:vAlign w:val="bottom"/>
          </w:tcPr>
          <w:p>
            <w:pPr>
              <w:ind w:left="280"/>
              <w:spacing w:after="0"/>
              <w:rPr>
                <w:sz w:val="20"/>
                <w:szCs w:val="20"/>
                <w:color w:val="auto"/>
              </w:rPr>
            </w:pPr>
            <w:r>
              <w:rPr>
                <w:rFonts w:ascii="Arial" w:cs="Arial" w:eastAsia="Arial" w:hAnsi="Arial"/>
                <w:sz w:val="18"/>
                <w:szCs w:val="18"/>
                <w:color w:val="auto"/>
              </w:rPr>
              <w:t>Unrecognized tax benefits</w:t>
            </w:r>
          </w:p>
        </w:tc>
        <w:tc>
          <w:tcPr>
            <w:tcW w:w="240" w:type="dxa"/>
            <w:vAlign w:val="bottom"/>
          </w:tcPr>
          <w:p>
            <w:pPr>
              <w:spacing w:after="0"/>
              <w:rPr>
                <w:sz w:val="22"/>
                <w:szCs w:val="22"/>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5,387</w:t>
            </w:r>
          </w:p>
        </w:tc>
        <w:tc>
          <w:tcPr>
            <w:tcW w:w="3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5,877</w:t>
            </w:r>
          </w:p>
        </w:tc>
      </w:tr>
      <w:tr>
        <w:trPr>
          <w:trHeight w:val="270"/>
        </w:trPr>
        <w:tc>
          <w:tcPr>
            <w:tcW w:w="78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Postretirement health care and deferred compensation benefits, net of current portion</w:t>
            </w:r>
          </w:p>
        </w:tc>
        <w:tc>
          <w:tcPr>
            <w:tcW w:w="240" w:type="dxa"/>
            <w:vAlign w:val="bottom"/>
            <w:tcBorders>
              <w:bottom w:val="single" w:sz="8" w:color="auto"/>
            </w:tcBorders>
            <w:shd w:val="clear" w:color="auto" w:fill="CCEEFF"/>
          </w:tcPr>
          <w:p>
            <w:pPr>
              <w:spacing w:after="0"/>
              <w:rPr>
                <w:sz w:val="23"/>
                <w:szCs w:val="23"/>
                <w:color w:val="auto"/>
              </w:rPr>
            </w:pPr>
          </w:p>
        </w:tc>
        <w:tc>
          <w:tcPr>
            <w:tcW w:w="13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74,492</w:t>
            </w:r>
          </w:p>
        </w:tc>
        <w:tc>
          <w:tcPr>
            <w:tcW w:w="34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3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73,581</w:t>
            </w:r>
          </w:p>
        </w:tc>
      </w:tr>
      <w:tr>
        <w:trPr>
          <w:trHeight w:val="250"/>
        </w:trPr>
        <w:tc>
          <w:tcPr>
            <w:tcW w:w="7860" w:type="dxa"/>
            <w:vAlign w:val="bottom"/>
          </w:tcPr>
          <w:p>
            <w:pPr>
              <w:ind w:left="500"/>
              <w:spacing w:after="0"/>
              <w:rPr>
                <w:sz w:val="20"/>
                <w:szCs w:val="20"/>
                <w:color w:val="auto"/>
              </w:rPr>
            </w:pPr>
            <w:r>
              <w:rPr>
                <w:rFonts w:ascii="Arial" w:cs="Arial" w:eastAsia="Arial" w:hAnsi="Arial"/>
                <w:sz w:val="18"/>
                <w:szCs w:val="18"/>
                <w:color w:val="auto"/>
              </w:rPr>
              <w:t>Total long-term liabilities</w:t>
            </w:r>
          </w:p>
        </w:tc>
        <w:tc>
          <w:tcPr>
            <w:tcW w:w="240" w:type="dxa"/>
            <w:vAlign w:val="bottom"/>
          </w:tcPr>
          <w:p>
            <w:pPr>
              <w:spacing w:after="0"/>
              <w:rPr>
                <w:sz w:val="21"/>
                <w:szCs w:val="21"/>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79,879</w:t>
            </w:r>
          </w:p>
        </w:tc>
        <w:tc>
          <w:tcPr>
            <w:tcW w:w="3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79,458</w:t>
            </w:r>
          </w:p>
        </w:tc>
      </w:tr>
      <w:tr>
        <w:trPr>
          <w:trHeight w:val="270"/>
        </w:trPr>
        <w:tc>
          <w:tcPr>
            <w:tcW w:w="7860" w:type="dxa"/>
            <w:vAlign w:val="bottom"/>
            <w:shd w:val="clear" w:color="auto" w:fill="CCEEFF"/>
          </w:tcPr>
          <w:p>
            <w:pPr>
              <w:ind w:left="40"/>
              <w:spacing w:after="0"/>
              <w:rPr>
                <w:sz w:val="20"/>
                <w:szCs w:val="20"/>
                <w:color w:val="auto"/>
              </w:rPr>
            </w:pPr>
            <w:r>
              <w:rPr>
                <w:rFonts w:ascii="Arial" w:cs="Arial" w:eastAsia="Arial" w:hAnsi="Arial"/>
                <w:sz w:val="18"/>
                <w:szCs w:val="18"/>
                <w:color w:val="auto"/>
              </w:rPr>
              <w:t>Stockholders' equity</w:t>
            </w:r>
          </w:p>
        </w:tc>
        <w:tc>
          <w:tcPr>
            <w:tcW w:w="240" w:type="dxa"/>
            <w:vAlign w:val="bottom"/>
            <w:tcBorders>
              <w:bottom w:val="single" w:sz="8" w:color="auto"/>
            </w:tcBorders>
            <w:shd w:val="clear" w:color="auto" w:fill="CCEEFF"/>
          </w:tcPr>
          <w:p>
            <w:pPr>
              <w:spacing w:after="0"/>
              <w:rPr>
                <w:sz w:val="23"/>
                <w:szCs w:val="23"/>
                <w:color w:val="auto"/>
              </w:rPr>
            </w:pPr>
          </w:p>
        </w:tc>
        <w:tc>
          <w:tcPr>
            <w:tcW w:w="13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108,730</w:t>
            </w:r>
          </w:p>
        </w:tc>
        <w:tc>
          <w:tcPr>
            <w:tcW w:w="34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3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97,527</w:t>
            </w:r>
          </w:p>
        </w:tc>
      </w:tr>
      <w:tr>
        <w:trPr>
          <w:trHeight w:val="257"/>
        </w:trPr>
        <w:tc>
          <w:tcPr>
            <w:tcW w:w="7860" w:type="dxa"/>
            <w:vAlign w:val="bottom"/>
          </w:tcPr>
          <w:p>
            <w:pPr>
              <w:ind w:left="720"/>
              <w:spacing w:after="0"/>
              <w:rPr>
                <w:sz w:val="20"/>
                <w:szCs w:val="20"/>
                <w:color w:val="auto"/>
              </w:rPr>
            </w:pPr>
            <w:r>
              <w:rPr>
                <w:rFonts w:ascii="Arial" w:cs="Arial" w:eastAsia="Arial" w:hAnsi="Arial"/>
                <w:sz w:val="18"/>
                <w:szCs w:val="18"/>
                <w:color w:val="auto"/>
              </w:rPr>
              <w:t>Total liabilities and stockholders' equity</w:t>
            </w:r>
          </w:p>
        </w:tc>
        <w:tc>
          <w:tcPr>
            <w:tcW w:w="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239,927</w:t>
            </w:r>
          </w:p>
        </w:tc>
        <w:tc>
          <w:tcPr>
            <w:tcW w:w="340" w:type="dxa"/>
            <w:vAlign w:val="bottom"/>
          </w:tcPr>
          <w:p>
            <w:pPr>
              <w:spacing w:after="0"/>
              <w:rPr>
                <w:sz w:val="22"/>
                <w:szCs w:val="22"/>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227,357</w:t>
            </w:r>
          </w:p>
        </w:tc>
      </w:tr>
      <w:tr>
        <w:trPr>
          <w:trHeight w:val="20"/>
        </w:trPr>
        <w:tc>
          <w:tcPr>
            <w:tcW w:w="78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420"/>
          </w:cols>
          <w:pgMar w:left="240" w:top="576"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Winnebago Industries,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2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920" w:type="dxa"/>
            <w:vAlign w:val="bottom"/>
            <w:tcBorders>
              <w:bottom w:val="single" w:sz="8" w:color="auto"/>
            </w:tcBorders>
            <w:gridSpan w:val="3"/>
          </w:tcPr>
          <w:p>
            <w:pPr>
              <w:jc w:val="right"/>
              <w:ind w:right="1039"/>
              <w:spacing w:after="0"/>
              <w:rPr>
                <w:sz w:val="20"/>
                <w:szCs w:val="20"/>
                <w:color w:val="auto"/>
              </w:rPr>
            </w:pPr>
            <w:r>
              <w:rPr>
                <w:rFonts w:ascii="Arial" w:cs="Arial" w:eastAsia="Arial" w:hAnsi="Arial"/>
                <w:sz w:val="16"/>
                <w:szCs w:val="16"/>
                <w:b w:val="1"/>
                <w:bCs w:val="1"/>
                <w:color w:val="auto"/>
              </w:rPr>
              <w:t>Year Ended</w:t>
            </w:r>
          </w:p>
        </w:tc>
      </w:tr>
      <w:tr>
        <w:trPr>
          <w:trHeight w:val="198"/>
        </w:trPr>
        <w:tc>
          <w:tcPr>
            <w:tcW w:w="8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Pr>
          <w:p>
            <w:pPr>
              <w:jc w:val="right"/>
              <w:ind w:right="239"/>
              <w:spacing w:after="0"/>
              <w:rPr>
                <w:sz w:val="20"/>
                <w:szCs w:val="20"/>
                <w:color w:val="auto"/>
              </w:rPr>
            </w:pPr>
            <w:r>
              <w:rPr>
                <w:rFonts w:ascii="Arial" w:cs="Arial" w:eastAsia="Arial" w:hAnsi="Arial"/>
                <w:sz w:val="16"/>
                <w:szCs w:val="16"/>
                <w:b w:val="1"/>
                <w:bCs w:val="1"/>
                <w:color w:val="auto"/>
              </w:rPr>
              <w:t>August 27,</w:t>
            </w:r>
          </w:p>
        </w:tc>
        <w:tc>
          <w:tcPr>
            <w:tcW w:w="300" w:type="dxa"/>
            <w:vAlign w:val="bottom"/>
          </w:tcPr>
          <w:p>
            <w:pPr>
              <w:spacing w:after="0"/>
              <w:rPr>
                <w:sz w:val="17"/>
                <w:szCs w:val="17"/>
                <w:color w:val="auto"/>
              </w:rPr>
            </w:pPr>
          </w:p>
        </w:tc>
        <w:tc>
          <w:tcPr>
            <w:tcW w:w="1340" w:type="dxa"/>
            <w:vAlign w:val="bottom"/>
          </w:tcPr>
          <w:p>
            <w:pPr>
              <w:jc w:val="right"/>
              <w:ind w:right="319"/>
              <w:spacing w:after="0"/>
              <w:rPr>
                <w:sz w:val="20"/>
                <w:szCs w:val="20"/>
                <w:color w:val="auto"/>
              </w:rPr>
            </w:pPr>
            <w:r>
              <w:rPr>
                <w:rFonts w:ascii="Arial" w:cs="Arial" w:eastAsia="Arial" w:hAnsi="Arial"/>
                <w:sz w:val="16"/>
                <w:szCs w:val="16"/>
                <w:b w:val="1"/>
                <w:bCs w:val="1"/>
                <w:color w:val="auto"/>
              </w:rPr>
              <w:t>August 28,</w:t>
            </w:r>
          </w:p>
        </w:tc>
      </w:tr>
      <w:tr>
        <w:trPr>
          <w:trHeight w:val="228"/>
        </w:trPr>
        <w:tc>
          <w:tcPr>
            <w:tcW w:w="82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2011</w:t>
            </w:r>
          </w:p>
        </w:tc>
        <w:tc>
          <w:tcPr>
            <w:tcW w:w="3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2010</w:t>
            </w:r>
          </w:p>
        </w:tc>
      </w:tr>
      <w:tr>
        <w:trPr>
          <w:trHeight w:val="270"/>
        </w:trPr>
        <w:tc>
          <w:tcPr>
            <w:tcW w:w="8280" w:type="dxa"/>
            <w:vAlign w:val="bottom"/>
            <w:shd w:val="clear" w:color="auto" w:fill="CCEEFF"/>
          </w:tcPr>
          <w:p>
            <w:pPr>
              <w:ind w:left="40"/>
              <w:spacing w:after="0"/>
              <w:rPr>
                <w:sz w:val="20"/>
                <w:szCs w:val="20"/>
                <w:color w:val="auto"/>
              </w:rPr>
            </w:pPr>
            <w:r>
              <w:rPr>
                <w:rFonts w:ascii="Arial" w:cs="Arial" w:eastAsia="Arial" w:hAnsi="Arial"/>
                <w:sz w:val="16"/>
                <w:szCs w:val="16"/>
                <w:color w:val="auto"/>
              </w:rPr>
              <w:t>Operating activities:</w:t>
            </w:r>
          </w:p>
        </w:tc>
        <w:tc>
          <w:tcPr>
            <w:tcW w:w="22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r>
      <w:tr>
        <w:trPr>
          <w:trHeight w:val="233"/>
        </w:trPr>
        <w:tc>
          <w:tcPr>
            <w:tcW w:w="8280" w:type="dxa"/>
            <w:vAlign w:val="bottom"/>
          </w:tcPr>
          <w:p>
            <w:pPr>
              <w:ind w:left="280"/>
              <w:spacing w:after="0"/>
              <w:rPr>
                <w:sz w:val="20"/>
                <w:szCs w:val="20"/>
                <w:color w:val="auto"/>
              </w:rPr>
            </w:pPr>
            <w:r>
              <w:rPr>
                <w:rFonts w:ascii="Arial" w:cs="Arial" w:eastAsia="Arial" w:hAnsi="Arial"/>
                <w:sz w:val="16"/>
                <w:szCs w:val="16"/>
                <w:color w:val="auto"/>
              </w:rPr>
              <w:t>Net income</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59"/>
              <w:spacing w:after="0"/>
              <w:rPr>
                <w:sz w:val="20"/>
                <w:szCs w:val="20"/>
                <w:color w:val="auto"/>
              </w:rPr>
            </w:pPr>
            <w:r>
              <w:rPr>
                <w:rFonts w:ascii="Arial" w:cs="Arial" w:eastAsia="Arial" w:hAnsi="Arial"/>
                <w:sz w:val="16"/>
                <w:szCs w:val="16"/>
                <w:color w:val="auto"/>
              </w:rPr>
              <w:t>11,843</w:t>
            </w:r>
          </w:p>
        </w:tc>
        <w:tc>
          <w:tcPr>
            <w:tcW w:w="3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139"/>
              <w:spacing w:after="0"/>
              <w:rPr>
                <w:sz w:val="20"/>
                <w:szCs w:val="20"/>
                <w:color w:val="auto"/>
              </w:rPr>
            </w:pPr>
            <w:r>
              <w:rPr>
                <w:rFonts w:ascii="Arial" w:cs="Arial" w:eastAsia="Arial" w:hAnsi="Arial"/>
                <w:sz w:val="16"/>
                <w:szCs w:val="16"/>
                <w:color w:val="auto"/>
              </w:rPr>
              <w:t>10,247</w:t>
            </w:r>
          </w:p>
        </w:tc>
      </w:tr>
      <w:tr>
        <w:trPr>
          <w:trHeight w:val="280"/>
        </w:trPr>
        <w:tc>
          <w:tcPr>
            <w:tcW w:w="8280" w:type="dxa"/>
            <w:vAlign w:val="bottom"/>
            <w:shd w:val="clear" w:color="auto" w:fill="CCEEFF"/>
          </w:tcPr>
          <w:p>
            <w:pPr>
              <w:ind w:left="4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22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r>
      <w:tr>
        <w:trPr>
          <w:trHeight w:val="233"/>
        </w:trPr>
        <w:tc>
          <w:tcPr>
            <w:tcW w:w="8280" w:type="dxa"/>
            <w:vAlign w:val="bottom"/>
          </w:tcPr>
          <w:p>
            <w:pPr>
              <w:ind w:left="280"/>
              <w:spacing w:after="0"/>
              <w:rPr>
                <w:sz w:val="20"/>
                <w:szCs w:val="20"/>
                <w:color w:val="auto"/>
              </w:rPr>
            </w:pPr>
            <w:r>
              <w:rPr>
                <w:rFonts w:ascii="Arial" w:cs="Arial" w:eastAsia="Arial" w:hAnsi="Arial"/>
                <w:sz w:val="16"/>
                <w:szCs w:val="16"/>
                <w:color w:val="auto"/>
              </w:rPr>
              <w:t>Depreciation and amortization</w:t>
            </w:r>
          </w:p>
        </w:tc>
        <w:tc>
          <w:tcPr>
            <w:tcW w:w="220" w:type="dxa"/>
            <w:vAlign w:val="bottom"/>
          </w:tcPr>
          <w:p>
            <w:pPr>
              <w:spacing w:after="0"/>
              <w:rPr>
                <w:sz w:val="20"/>
                <w:szCs w:val="20"/>
                <w:color w:val="auto"/>
              </w:rPr>
            </w:pPr>
          </w:p>
        </w:tc>
        <w:tc>
          <w:tcPr>
            <w:tcW w:w="1280" w:type="dxa"/>
            <w:vAlign w:val="bottom"/>
          </w:tcPr>
          <w:p>
            <w:pPr>
              <w:jc w:val="right"/>
              <w:ind w:right="59"/>
              <w:spacing w:after="0"/>
              <w:rPr>
                <w:sz w:val="20"/>
                <w:szCs w:val="20"/>
                <w:color w:val="auto"/>
              </w:rPr>
            </w:pPr>
            <w:r>
              <w:rPr>
                <w:rFonts w:ascii="Arial" w:cs="Arial" w:eastAsia="Arial" w:hAnsi="Arial"/>
                <w:sz w:val="16"/>
                <w:szCs w:val="16"/>
                <w:color w:val="auto"/>
              </w:rPr>
              <w:t>5,492</w:t>
            </w:r>
          </w:p>
        </w:tc>
        <w:tc>
          <w:tcPr>
            <w:tcW w:w="300" w:type="dxa"/>
            <w:vAlign w:val="bottom"/>
          </w:tcPr>
          <w:p>
            <w:pPr>
              <w:spacing w:after="0"/>
              <w:rPr>
                <w:sz w:val="20"/>
                <w:szCs w:val="20"/>
                <w:color w:val="auto"/>
              </w:rPr>
            </w:pPr>
          </w:p>
        </w:tc>
        <w:tc>
          <w:tcPr>
            <w:tcW w:w="1340" w:type="dxa"/>
            <w:vAlign w:val="bottom"/>
          </w:tcPr>
          <w:p>
            <w:pPr>
              <w:jc w:val="right"/>
              <w:ind w:right="139"/>
              <w:spacing w:after="0"/>
              <w:rPr>
                <w:sz w:val="20"/>
                <w:szCs w:val="20"/>
                <w:color w:val="auto"/>
              </w:rPr>
            </w:pPr>
            <w:r>
              <w:rPr>
                <w:rFonts w:ascii="Arial" w:cs="Arial" w:eastAsia="Arial" w:hAnsi="Arial"/>
                <w:sz w:val="16"/>
                <w:szCs w:val="16"/>
                <w:color w:val="auto"/>
              </w:rPr>
              <w:t>6,340</w:t>
            </w:r>
          </w:p>
        </w:tc>
      </w:tr>
      <w:tr>
        <w:trPr>
          <w:trHeight w:val="253"/>
        </w:trPr>
        <w:tc>
          <w:tcPr>
            <w:tcW w:w="8280" w:type="dxa"/>
            <w:vAlign w:val="bottom"/>
            <w:shd w:val="clear" w:color="auto" w:fill="CCEEFF"/>
          </w:tcPr>
          <w:p>
            <w:pPr>
              <w:ind w:left="280"/>
              <w:spacing w:after="0"/>
              <w:rPr>
                <w:sz w:val="20"/>
                <w:szCs w:val="20"/>
                <w:color w:val="auto"/>
              </w:rPr>
            </w:pPr>
            <w:r>
              <w:rPr>
                <w:rFonts w:ascii="Arial" w:cs="Arial" w:eastAsia="Arial" w:hAnsi="Arial"/>
                <w:sz w:val="16"/>
                <w:szCs w:val="16"/>
                <w:color w:val="auto"/>
              </w:rPr>
              <w:t>LIFO expense (income)</w:t>
            </w:r>
          </w:p>
        </w:tc>
        <w:tc>
          <w:tcPr>
            <w:tcW w:w="220" w:type="dxa"/>
            <w:vAlign w:val="bottom"/>
            <w:shd w:val="clear" w:color="auto" w:fill="CCEEFF"/>
          </w:tcPr>
          <w:p>
            <w:pPr>
              <w:spacing w:after="0"/>
              <w:rPr>
                <w:sz w:val="21"/>
                <w:szCs w:val="21"/>
                <w:color w:val="auto"/>
              </w:rPr>
            </w:pPr>
          </w:p>
        </w:tc>
        <w:tc>
          <w:tcPr>
            <w:tcW w:w="128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2,075</w:t>
            </w:r>
          </w:p>
        </w:tc>
        <w:tc>
          <w:tcPr>
            <w:tcW w:w="300" w:type="dxa"/>
            <w:vAlign w:val="bottom"/>
            <w:shd w:val="clear" w:color="auto" w:fill="CCEEFF"/>
          </w:tcPr>
          <w:p>
            <w:pPr>
              <w:spacing w:after="0"/>
              <w:rPr>
                <w:sz w:val="21"/>
                <w:szCs w:val="21"/>
                <w:color w:val="auto"/>
              </w:rPr>
            </w:pPr>
          </w:p>
        </w:tc>
        <w:tc>
          <w:tcPr>
            <w:tcW w:w="13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(783)</w:t>
            </w:r>
          </w:p>
        </w:tc>
      </w:tr>
      <w:tr>
        <w:trPr>
          <w:trHeight w:val="233"/>
        </w:trPr>
        <w:tc>
          <w:tcPr>
            <w:tcW w:w="8280" w:type="dxa"/>
            <w:vAlign w:val="bottom"/>
          </w:tcPr>
          <w:p>
            <w:pPr>
              <w:ind w:left="280"/>
              <w:spacing w:after="0"/>
              <w:rPr>
                <w:sz w:val="20"/>
                <w:szCs w:val="20"/>
                <w:color w:val="auto"/>
              </w:rPr>
            </w:pPr>
            <w:r>
              <w:rPr>
                <w:rFonts w:ascii="Arial" w:cs="Arial" w:eastAsia="Arial" w:hAnsi="Arial"/>
                <w:sz w:val="16"/>
                <w:szCs w:val="16"/>
                <w:color w:val="auto"/>
              </w:rPr>
              <w:t>Postretirement benefit income and deferred compensation expenses</w:t>
            </w:r>
          </w:p>
        </w:tc>
        <w:tc>
          <w:tcPr>
            <w:tcW w:w="220" w:type="dxa"/>
            <w:vAlign w:val="bottom"/>
          </w:tcPr>
          <w:p>
            <w:pPr>
              <w:spacing w:after="0"/>
              <w:rPr>
                <w:sz w:val="20"/>
                <w:szCs w:val="20"/>
                <w:color w:val="auto"/>
              </w:rPr>
            </w:pPr>
          </w:p>
        </w:tc>
        <w:tc>
          <w:tcPr>
            <w:tcW w:w="1280" w:type="dxa"/>
            <w:vAlign w:val="bottom"/>
          </w:tcPr>
          <w:p>
            <w:pPr>
              <w:jc w:val="right"/>
              <w:ind w:right="59"/>
              <w:spacing w:after="0"/>
              <w:rPr>
                <w:sz w:val="20"/>
                <w:szCs w:val="20"/>
                <w:color w:val="auto"/>
              </w:rPr>
            </w:pPr>
            <w:r>
              <w:rPr>
                <w:rFonts w:ascii="Arial" w:cs="Arial" w:eastAsia="Arial" w:hAnsi="Arial"/>
                <w:sz w:val="16"/>
                <w:szCs w:val="16"/>
                <w:color w:val="auto"/>
              </w:rPr>
              <w:t>1,378</w:t>
            </w:r>
          </w:p>
        </w:tc>
        <w:tc>
          <w:tcPr>
            <w:tcW w:w="300" w:type="dxa"/>
            <w:vAlign w:val="bottom"/>
          </w:tcPr>
          <w:p>
            <w:pPr>
              <w:spacing w:after="0"/>
              <w:rPr>
                <w:sz w:val="20"/>
                <w:szCs w:val="20"/>
                <w:color w:val="auto"/>
              </w:rPr>
            </w:pPr>
          </w:p>
        </w:tc>
        <w:tc>
          <w:tcPr>
            <w:tcW w:w="1340" w:type="dxa"/>
            <w:vAlign w:val="bottom"/>
          </w:tcPr>
          <w:p>
            <w:pPr>
              <w:jc w:val="right"/>
              <w:ind w:right="139"/>
              <w:spacing w:after="0"/>
              <w:rPr>
                <w:sz w:val="20"/>
                <w:szCs w:val="20"/>
                <w:color w:val="auto"/>
              </w:rPr>
            </w:pPr>
            <w:r>
              <w:rPr>
                <w:rFonts w:ascii="Arial" w:cs="Arial" w:eastAsia="Arial" w:hAnsi="Arial"/>
                <w:sz w:val="16"/>
                <w:szCs w:val="16"/>
                <w:color w:val="auto"/>
              </w:rPr>
              <w:t>1,275</w:t>
            </w:r>
          </w:p>
        </w:tc>
      </w:tr>
      <w:tr>
        <w:trPr>
          <w:trHeight w:val="253"/>
        </w:trPr>
        <w:tc>
          <w:tcPr>
            <w:tcW w:w="8280" w:type="dxa"/>
            <w:vAlign w:val="bottom"/>
            <w:shd w:val="clear" w:color="auto" w:fill="CCEEFF"/>
          </w:tcPr>
          <w:p>
            <w:pPr>
              <w:ind w:left="280"/>
              <w:spacing w:after="0"/>
              <w:rPr>
                <w:sz w:val="20"/>
                <w:szCs w:val="20"/>
                <w:color w:val="auto"/>
              </w:rPr>
            </w:pPr>
            <w:r>
              <w:rPr>
                <w:rFonts w:ascii="Arial" w:cs="Arial" w:eastAsia="Arial" w:hAnsi="Arial"/>
                <w:sz w:val="16"/>
                <w:szCs w:val="16"/>
                <w:color w:val="auto"/>
              </w:rPr>
              <w:t>Stock-based compensation</w:t>
            </w:r>
          </w:p>
        </w:tc>
        <w:tc>
          <w:tcPr>
            <w:tcW w:w="220" w:type="dxa"/>
            <w:vAlign w:val="bottom"/>
            <w:shd w:val="clear" w:color="auto" w:fill="CCEEFF"/>
          </w:tcPr>
          <w:p>
            <w:pPr>
              <w:spacing w:after="0"/>
              <w:rPr>
                <w:sz w:val="21"/>
                <w:szCs w:val="21"/>
                <w:color w:val="auto"/>
              </w:rPr>
            </w:pPr>
          </w:p>
        </w:tc>
        <w:tc>
          <w:tcPr>
            <w:tcW w:w="128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1,315</w:t>
            </w:r>
          </w:p>
        </w:tc>
        <w:tc>
          <w:tcPr>
            <w:tcW w:w="300" w:type="dxa"/>
            <w:vAlign w:val="bottom"/>
            <w:shd w:val="clear" w:color="auto" w:fill="CCEEFF"/>
          </w:tcPr>
          <w:p>
            <w:pPr>
              <w:spacing w:after="0"/>
              <w:rPr>
                <w:sz w:val="21"/>
                <w:szCs w:val="21"/>
                <w:color w:val="auto"/>
              </w:rPr>
            </w:pPr>
          </w:p>
        </w:tc>
        <w:tc>
          <w:tcPr>
            <w:tcW w:w="1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546</w:t>
            </w:r>
          </w:p>
        </w:tc>
      </w:tr>
      <w:tr>
        <w:trPr>
          <w:trHeight w:val="233"/>
        </w:trPr>
        <w:tc>
          <w:tcPr>
            <w:tcW w:w="8280" w:type="dxa"/>
            <w:vAlign w:val="bottom"/>
          </w:tcPr>
          <w:p>
            <w:pPr>
              <w:ind w:left="280"/>
              <w:spacing w:after="0"/>
              <w:rPr>
                <w:sz w:val="20"/>
                <w:szCs w:val="20"/>
                <w:color w:val="auto"/>
              </w:rPr>
            </w:pPr>
            <w:r>
              <w:rPr>
                <w:rFonts w:ascii="Arial" w:cs="Arial" w:eastAsia="Arial" w:hAnsi="Arial"/>
                <w:sz w:val="16"/>
                <w:szCs w:val="16"/>
                <w:color w:val="auto"/>
              </w:rPr>
              <w:t>Asset impairment</w:t>
            </w:r>
          </w:p>
        </w:tc>
        <w:tc>
          <w:tcPr>
            <w:tcW w:w="220" w:type="dxa"/>
            <w:vAlign w:val="bottom"/>
          </w:tcPr>
          <w:p>
            <w:pPr>
              <w:spacing w:after="0"/>
              <w:rPr>
                <w:sz w:val="20"/>
                <w:szCs w:val="20"/>
                <w:color w:val="auto"/>
              </w:rPr>
            </w:pPr>
          </w:p>
        </w:tc>
        <w:tc>
          <w:tcPr>
            <w:tcW w:w="1280" w:type="dxa"/>
            <w:vAlign w:val="bottom"/>
          </w:tcPr>
          <w:p>
            <w:pPr>
              <w:jc w:val="right"/>
              <w:ind w:right="59"/>
              <w:spacing w:after="0"/>
              <w:rPr>
                <w:sz w:val="20"/>
                <w:szCs w:val="20"/>
                <w:color w:val="auto"/>
              </w:rPr>
            </w:pPr>
            <w:r>
              <w:rPr>
                <w:rFonts w:ascii="Arial" w:cs="Arial" w:eastAsia="Arial" w:hAnsi="Arial"/>
                <w:sz w:val="16"/>
                <w:szCs w:val="16"/>
                <w:color w:val="auto"/>
              </w:rPr>
              <w:t>605</w:t>
            </w:r>
          </w:p>
        </w:tc>
        <w:tc>
          <w:tcPr>
            <w:tcW w:w="300" w:type="dxa"/>
            <w:vAlign w:val="bottom"/>
          </w:tcPr>
          <w:p>
            <w:pPr>
              <w:spacing w:after="0"/>
              <w:rPr>
                <w:sz w:val="20"/>
                <w:szCs w:val="20"/>
                <w:color w:val="auto"/>
              </w:rPr>
            </w:pPr>
          </w:p>
        </w:tc>
        <w:tc>
          <w:tcPr>
            <w:tcW w:w="1340" w:type="dxa"/>
            <w:vAlign w:val="bottom"/>
          </w:tcPr>
          <w:p>
            <w:pPr>
              <w:jc w:val="right"/>
              <w:ind w:right="139"/>
              <w:spacing w:after="0"/>
              <w:rPr>
                <w:sz w:val="20"/>
                <w:szCs w:val="20"/>
                <w:color w:val="auto"/>
              </w:rPr>
            </w:pPr>
            <w:r>
              <w:rPr>
                <w:rFonts w:ascii="Arial" w:cs="Arial" w:eastAsia="Arial" w:hAnsi="Arial"/>
                <w:sz w:val="16"/>
                <w:szCs w:val="16"/>
                <w:color w:val="auto"/>
              </w:rPr>
              <w:t>—</w:t>
            </w:r>
          </w:p>
        </w:tc>
      </w:tr>
      <w:tr>
        <w:trPr>
          <w:trHeight w:val="253"/>
        </w:trPr>
        <w:tc>
          <w:tcPr>
            <w:tcW w:w="82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Provision (reduction) for doubtful accounts</w:t>
            </w:r>
          </w:p>
        </w:tc>
        <w:tc>
          <w:tcPr>
            <w:tcW w:w="220" w:type="dxa"/>
            <w:vAlign w:val="bottom"/>
            <w:shd w:val="clear" w:color="auto" w:fill="CCEEFF"/>
          </w:tcPr>
          <w:p>
            <w:pPr>
              <w:spacing w:after="0"/>
              <w:rPr>
                <w:sz w:val="21"/>
                <w:szCs w:val="21"/>
                <w:color w:val="auto"/>
              </w:rPr>
            </w:pPr>
          </w:p>
        </w:tc>
        <w:tc>
          <w:tcPr>
            <w:tcW w:w="128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11</w:t>
            </w:r>
          </w:p>
        </w:tc>
        <w:tc>
          <w:tcPr>
            <w:tcW w:w="300" w:type="dxa"/>
            <w:vAlign w:val="bottom"/>
            <w:shd w:val="clear" w:color="auto" w:fill="CCEEFF"/>
          </w:tcPr>
          <w:p>
            <w:pPr>
              <w:spacing w:after="0"/>
              <w:rPr>
                <w:sz w:val="21"/>
                <w:szCs w:val="21"/>
                <w:color w:val="auto"/>
              </w:rPr>
            </w:pPr>
          </w:p>
        </w:tc>
        <w:tc>
          <w:tcPr>
            <w:tcW w:w="13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(37)</w:t>
            </w:r>
          </w:p>
        </w:tc>
      </w:tr>
      <w:tr>
        <w:trPr>
          <w:trHeight w:val="233"/>
        </w:trPr>
        <w:tc>
          <w:tcPr>
            <w:tcW w:w="8280" w:type="dxa"/>
            <w:vAlign w:val="bottom"/>
          </w:tcPr>
          <w:p>
            <w:pPr>
              <w:ind w:left="280"/>
              <w:spacing w:after="0"/>
              <w:rPr>
                <w:sz w:val="20"/>
                <w:szCs w:val="20"/>
                <w:color w:val="auto"/>
              </w:rPr>
            </w:pPr>
            <w:r>
              <w:rPr>
                <w:rFonts w:ascii="Arial" w:cs="Arial" w:eastAsia="Arial" w:hAnsi="Arial"/>
                <w:sz w:val="16"/>
                <w:szCs w:val="16"/>
                <w:color w:val="auto"/>
              </w:rPr>
              <w:t>Deferred income taxes including valuation allowance</w:t>
            </w:r>
          </w:p>
        </w:tc>
        <w:tc>
          <w:tcPr>
            <w:tcW w:w="220" w:type="dxa"/>
            <w:vAlign w:val="bottom"/>
          </w:tcPr>
          <w:p>
            <w:pPr>
              <w:spacing w:after="0"/>
              <w:rPr>
                <w:sz w:val="20"/>
                <w:szCs w:val="20"/>
                <w:color w:val="auto"/>
              </w:rPr>
            </w:pPr>
          </w:p>
        </w:tc>
        <w:tc>
          <w:tcPr>
            <w:tcW w:w="1280" w:type="dxa"/>
            <w:vAlign w:val="bottom"/>
          </w:tcPr>
          <w:p>
            <w:pPr>
              <w:jc w:val="right"/>
              <w:ind w:right="59"/>
              <w:spacing w:after="0"/>
              <w:rPr>
                <w:sz w:val="20"/>
                <w:szCs w:val="20"/>
                <w:color w:val="auto"/>
              </w:rPr>
            </w:pPr>
            <w:r>
              <w:rPr>
                <w:rFonts w:ascii="Arial" w:cs="Arial" w:eastAsia="Arial" w:hAnsi="Arial"/>
                <w:sz w:val="16"/>
                <w:szCs w:val="16"/>
                <w:color w:val="auto"/>
              </w:rPr>
              <w:t>517</w:t>
            </w:r>
          </w:p>
        </w:tc>
        <w:tc>
          <w:tcPr>
            <w:tcW w:w="300" w:type="dxa"/>
            <w:vAlign w:val="bottom"/>
          </w:tcPr>
          <w:p>
            <w:pPr>
              <w:spacing w:after="0"/>
              <w:rPr>
                <w:sz w:val="20"/>
                <w:szCs w:val="20"/>
                <w:color w:val="auto"/>
              </w:rPr>
            </w:pPr>
          </w:p>
        </w:tc>
        <w:tc>
          <w:tcPr>
            <w:tcW w:w="1340" w:type="dxa"/>
            <w:vAlign w:val="bottom"/>
          </w:tcPr>
          <w:p>
            <w:pPr>
              <w:jc w:val="right"/>
              <w:ind w:right="139"/>
              <w:spacing w:after="0"/>
              <w:rPr>
                <w:sz w:val="20"/>
                <w:szCs w:val="20"/>
                <w:color w:val="auto"/>
              </w:rPr>
            </w:pPr>
            <w:r>
              <w:rPr>
                <w:rFonts w:ascii="Arial" w:cs="Arial" w:eastAsia="Arial" w:hAnsi="Arial"/>
                <w:sz w:val="16"/>
                <w:szCs w:val="16"/>
                <w:color w:val="auto"/>
              </w:rPr>
              <w:t>—</w:t>
            </w:r>
          </w:p>
        </w:tc>
      </w:tr>
      <w:tr>
        <w:trPr>
          <w:trHeight w:val="253"/>
        </w:trPr>
        <w:tc>
          <w:tcPr>
            <w:tcW w:w="8280" w:type="dxa"/>
            <w:vAlign w:val="bottom"/>
            <w:shd w:val="clear" w:color="auto" w:fill="CCEEFF"/>
          </w:tcPr>
          <w:p>
            <w:pPr>
              <w:ind w:left="280"/>
              <w:spacing w:after="0"/>
              <w:rPr>
                <w:sz w:val="20"/>
                <w:szCs w:val="20"/>
                <w:color w:val="auto"/>
              </w:rPr>
            </w:pPr>
            <w:r>
              <w:rPr>
                <w:rFonts w:ascii="Arial" w:cs="Arial" w:eastAsia="Arial" w:hAnsi="Arial"/>
                <w:sz w:val="16"/>
                <w:szCs w:val="16"/>
                <w:color w:val="auto"/>
              </w:rPr>
              <w:t>Gain on life insurance</w:t>
            </w:r>
          </w:p>
        </w:tc>
        <w:tc>
          <w:tcPr>
            <w:tcW w:w="22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(372)</w:t>
            </w:r>
          </w:p>
        </w:tc>
        <w:tc>
          <w:tcPr>
            <w:tcW w:w="300" w:type="dxa"/>
            <w:vAlign w:val="bottom"/>
            <w:shd w:val="clear" w:color="auto" w:fill="CCEEFF"/>
          </w:tcPr>
          <w:p>
            <w:pPr>
              <w:spacing w:after="0"/>
              <w:rPr>
                <w:sz w:val="21"/>
                <w:szCs w:val="21"/>
                <w:color w:val="auto"/>
              </w:rPr>
            </w:pPr>
          </w:p>
        </w:tc>
        <w:tc>
          <w:tcPr>
            <w:tcW w:w="1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r>
      <w:tr>
        <w:trPr>
          <w:trHeight w:val="233"/>
        </w:trPr>
        <w:tc>
          <w:tcPr>
            <w:tcW w:w="8280" w:type="dxa"/>
            <w:vAlign w:val="bottom"/>
          </w:tcPr>
          <w:p>
            <w:pPr>
              <w:ind w:left="220"/>
              <w:spacing w:after="0"/>
              <w:rPr>
                <w:sz w:val="20"/>
                <w:szCs w:val="20"/>
                <w:color w:val="auto"/>
              </w:rPr>
            </w:pPr>
            <w:r>
              <w:rPr>
                <w:rFonts w:ascii="Arial" w:cs="Arial" w:eastAsia="Arial" w:hAnsi="Arial"/>
                <w:sz w:val="16"/>
                <w:szCs w:val="16"/>
                <w:color w:val="auto"/>
              </w:rPr>
              <w:t>Increase in cash surrender value of life insurance policies</w:t>
            </w:r>
          </w:p>
        </w:tc>
        <w:tc>
          <w:tcPr>
            <w:tcW w:w="2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(969)</w:t>
            </w:r>
          </w:p>
        </w:tc>
        <w:tc>
          <w:tcPr>
            <w:tcW w:w="300" w:type="dxa"/>
            <w:vAlign w:val="bottom"/>
          </w:tcPr>
          <w:p>
            <w:pPr>
              <w:spacing w:after="0"/>
              <w:rPr>
                <w:sz w:val="20"/>
                <w:szCs w:val="20"/>
                <w:color w:val="auto"/>
              </w:rPr>
            </w:pPr>
          </w:p>
        </w:tc>
        <w:tc>
          <w:tcPr>
            <w:tcW w:w="1340" w:type="dxa"/>
            <w:vAlign w:val="bottom"/>
          </w:tcPr>
          <w:p>
            <w:pPr>
              <w:jc w:val="right"/>
              <w:ind w:right="79"/>
              <w:spacing w:after="0"/>
              <w:rPr>
                <w:sz w:val="20"/>
                <w:szCs w:val="20"/>
                <w:color w:val="auto"/>
              </w:rPr>
            </w:pPr>
            <w:r>
              <w:rPr>
                <w:rFonts w:ascii="Arial" w:cs="Arial" w:eastAsia="Arial" w:hAnsi="Arial"/>
                <w:sz w:val="16"/>
                <w:szCs w:val="16"/>
                <w:color w:val="auto"/>
              </w:rPr>
              <w:t>(1,090)</w:t>
            </w:r>
          </w:p>
        </w:tc>
      </w:tr>
      <w:tr>
        <w:trPr>
          <w:trHeight w:val="253"/>
        </w:trPr>
        <w:tc>
          <w:tcPr>
            <w:tcW w:w="82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(Gain) loss on disposal of property</w:t>
            </w:r>
          </w:p>
        </w:tc>
        <w:tc>
          <w:tcPr>
            <w:tcW w:w="22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(994)</w:t>
            </w:r>
          </w:p>
        </w:tc>
        <w:tc>
          <w:tcPr>
            <w:tcW w:w="300" w:type="dxa"/>
            <w:vAlign w:val="bottom"/>
            <w:shd w:val="clear" w:color="auto" w:fill="CCEEFF"/>
          </w:tcPr>
          <w:p>
            <w:pPr>
              <w:spacing w:after="0"/>
              <w:rPr>
                <w:sz w:val="21"/>
                <w:szCs w:val="21"/>
                <w:color w:val="auto"/>
              </w:rPr>
            </w:pPr>
          </w:p>
        </w:tc>
        <w:tc>
          <w:tcPr>
            <w:tcW w:w="1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25</w:t>
            </w:r>
          </w:p>
        </w:tc>
      </w:tr>
      <w:tr>
        <w:trPr>
          <w:trHeight w:val="233"/>
        </w:trPr>
        <w:tc>
          <w:tcPr>
            <w:tcW w:w="8280" w:type="dxa"/>
            <w:vAlign w:val="bottom"/>
          </w:tcPr>
          <w:p>
            <w:pPr>
              <w:ind w:left="280"/>
              <w:spacing w:after="0"/>
              <w:rPr>
                <w:sz w:val="20"/>
                <w:szCs w:val="20"/>
                <w:color w:val="auto"/>
              </w:rPr>
            </w:pPr>
            <w:r>
              <w:rPr>
                <w:rFonts w:ascii="Arial" w:cs="Arial" w:eastAsia="Arial" w:hAnsi="Arial"/>
                <w:sz w:val="16"/>
                <w:szCs w:val="16"/>
                <w:color w:val="auto"/>
              </w:rPr>
              <w:t>Other</w:t>
            </w:r>
          </w:p>
        </w:tc>
        <w:tc>
          <w:tcPr>
            <w:tcW w:w="220" w:type="dxa"/>
            <w:vAlign w:val="bottom"/>
          </w:tcPr>
          <w:p>
            <w:pPr>
              <w:spacing w:after="0"/>
              <w:rPr>
                <w:sz w:val="20"/>
                <w:szCs w:val="20"/>
                <w:color w:val="auto"/>
              </w:rPr>
            </w:pPr>
          </w:p>
        </w:tc>
        <w:tc>
          <w:tcPr>
            <w:tcW w:w="1280" w:type="dxa"/>
            <w:vAlign w:val="bottom"/>
          </w:tcPr>
          <w:p>
            <w:pPr>
              <w:jc w:val="right"/>
              <w:ind w:right="59"/>
              <w:spacing w:after="0"/>
              <w:rPr>
                <w:sz w:val="20"/>
                <w:szCs w:val="20"/>
                <w:color w:val="auto"/>
              </w:rPr>
            </w:pPr>
            <w:r>
              <w:rPr>
                <w:rFonts w:ascii="Arial" w:cs="Arial" w:eastAsia="Arial" w:hAnsi="Arial"/>
                <w:sz w:val="16"/>
                <w:szCs w:val="16"/>
                <w:color w:val="auto"/>
              </w:rPr>
              <w:t>90</w:t>
            </w:r>
          </w:p>
        </w:tc>
        <w:tc>
          <w:tcPr>
            <w:tcW w:w="300" w:type="dxa"/>
            <w:vAlign w:val="bottom"/>
          </w:tcPr>
          <w:p>
            <w:pPr>
              <w:spacing w:after="0"/>
              <w:rPr>
                <w:sz w:val="20"/>
                <w:szCs w:val="20"/>
                <w:color w:val="auto"/>
              </w:rPr>
            </w:pPr>
          </w:p>
        </w:tc>
        <w:tc>
          <w:tcPr>
            <w:tcW w:w="1340" w:type="dxa"/>
            <w:vAlign w:val="bottom"/>
          </w:tcPr>
          <w:p>
            <w:pPr>
              <w:jc w:val="right"/>
              <w:ind w:right="139"/>
              <w:spacing w:after="0"/>
              <w:rPr>
                <w:sz w:val="20"/>
                <w:szCs w:val="20"/>
                <w:color w:val="auto"/>
              </w:rPr>
            </w:pPr>
            <w:r>
              <w:rPr>
                <w:rFonts w:ascii="Arial" w:cs="Arial" w:eastAsia="Arial" w:hAnsi="Arial"/>
                <w:sz w:val="16"/>
                <w:szCs w:val="16"/>
                <w:color w:val="auto"/>
              </w:rPr>
              <w:t>111</w:t>
            </w:r>
          </w:p>
        </w:tc>
      </w:tr>
      <w:tr>
        <w:trPr>
          <w:trHeight w:val="280"/>
        </w:trPr>
        <w:tc>
          <w:tcPr>
            <w:tcW w:w="8280" w:type="dxa"/>
            <w:vAlign w:val="bottom"/>
            <w:shd w:val="clear" w:color="auto" w:fill="CCEEFF"/>
          </w:tcPr>
          <w:p>
            <w:pPr>
              <w:ind w:left="40"/>
              <w:spacing w:after="0"/>
              <w:rPr>
                <w:sz w:val="20"/>
                <w:szCs w:val="20"/>
                <w:color w:val="auto"/>
              </w:rPr>
            </w:pPr>
            <w:r>
              <w:rPr>
                <w:rFonts w:ascii="Arial" w:cs="Arial" w:eastAsia="Arial" w:hAnsi="Arial"/>
                <w:sz w:val="16"/>
                <w:szCs w:val="16"/>
                <w:color w:val="auto"/>
              </w:rPr>
              <w:t>Change in assets and liabilities:</w:t>
            </w:r>
          </w:p>
        </w:tc>
        <w:tc>
          <w:tcPr>
            <w:tcW w:w="22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r>
      <w:tr>
        <w:trPr>
          <w:trHeight w:val="233"/>
        </w:trPr>
        <w:tc>
          <w:tcPr>
            <w:tcW w:w="8280" w:type="dxa"/>
            <w:vAlign w:val="bottom"/>
          </w:tcPr>
          <w:p>
            <w:pPr>
              <w:ind w:left="280"/>
              <w:spacing w:after="0"/>
              <w:rPr>
                <w:sz w:val="20"/>
                <w:szCs w:val="20"/>
                <w:color w:val="auto"/>
              </w:rPr>
            </w:pPr>
            <w:r>
              <w:rPr>
                <w:rFonts w:ascii="Arial" w:cs="Arial" w:eastAsia="Arial" w:hAnsi="Arial"/>
                <w:sz w:val="16"/>
                <w:szCs w:val="16"/>
                <w:color w:val="auto"/>
              </w:rPr>
              <w:t>Inventories</w:t>
            </w:r>
          </w:p>
        </w:tc>
        <w:tc>
          <w:tcPr>
            <w:tcW w:w="2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(23,792)</w:t>
            </w:r>
          </w:p>
        </w:tc>
        <w:tc>
          <w:tcPr>
            <w:tcW w:w="300" w:type="dxa"/>
            <w:vAlign w:val="bottom"/>
          </w:tcPr>
          <w:p>
            <w:pPr>
              <w:spacing w:after="0"/>
              <w:rPr>
                <w:sz w:val="20"/>
                <w:szCs w:val="20"/>
                <w:color w:val="auto"/>
              </w:rPr>
            </w:pPr>
          </w:p>
        </w:tc>
        <w:tc>
          <w:tcPr>
            <w:tcW w:w="1340" w:type="dxa"/>
            <w:vAlign w:val="bottom"/>
          </w:tcPr>
          <w:p>
            <w:pPr>
              <w:jc w:val="right"/>
              <w:ind w:right="139"/>
              <w:spacing w:after="0"/>
              <w:rPr>
                <w:sz w:val="20"/>
                <w:szCs w:val="20"/>
                <w:color w:val="auto"/>
              </w:rPr>
            </w:pPr>
            <w:r>
              <w:rPr>
                <w:rFonts w:ascii="Arial" w:cs="Arial" w:eastAsia="Arial" w:hAnsi="Arial"/>
                <w:sz w:val="16"/>
                <w:szCs w:val="16"/>
                <w:color w:val="auto"/>
              </w:rPr>
              <w:t>4,107</w:t>
            </w:r>
          </w:p>
        </w:tc>
      </w:tr>
      <w:tr>
        <w:trPr>
          <w:trHeight w:val="253"/>
        </w:trPr>
        <w:tc>
          <w:tcPr>
            <w:tcW w:w="8280" w:type="dxa"/>
            <w:vAlign w:val="bottom"/>
            <w:shd w:val="clear" w:color="auto" w:fill="CCEEFF"/>
          </w:tcPr>
          <w:p>
            <w:pPr>
              <w:ind w:left="280"/>
              <w:spacing w:after="0"/>
              <w:rPr>
                <w:sz w:val="20"/>
                <w:szCs w:val="20"/>
                <w:color w:val="auto"/>
              </w:rPr>
            </w:pPr>
            <w:r>
              <w:rPr>
                <w:rFonts w:ascii="Arial" w:cs="Arial" w:eastAsia="Arial" w:hAnsi="Arial"/>
                <w:sz w:val="16"/>
                <w:szCs w:val="16"/>
                <w:color w:val="auto"/>
              </w:rPr>
              <w:t>Receivables and prepaid assets</w:t>
            </w:r>
          </w:p>
        </w:tc>
        <w:tc>
          <w:tcPr>
            <w:tcW w:w="220" w:type="dxa"/>
            <w:vAlign w:val="bottom"/>
            <w:shd w:val="clear" w:color="auto" w:fill="CCEEFF"/>
          </w:tcPr>
          <w:p>
            <w:pPr>
              <w:spacing w:after="0"/>
              <w:rPr>
                <w:sz w:val="21"/>
                <w:szCs w:val="21"/>
                <w:color w:val="auto"/>
              </w:rPr>
            </w:pPr>
          </w:p>
        </w:tc>
        <w:tc>
          <w:tcPr>
            <w:tcW w:w="128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101</w:t>
            </w:r>
          </w:p>
        </w:tc>
        <w:tc>
          <w:tcPr>
            <w:tcW w:w="300" w:type="dxa"/>
            <w:vAlign w:val="bottom"/>
            <w:shd w:val="clear" w:color="auto" w:fill="CCEEFF"/>
          </w:tcPr>
          <w:p>
            <w:pPr>
              <w:spacing w:after="0"/>
              <w:rPr>
                <w:sz w:val="21"/>
                <w:szCs w:val="21"/>
                <w:color w:val="auto"/>
              </w:rPr>
            </w:pPr>
          </w:p>
        </w:tc>
        <w:tc>
          <w:tcPr>
            <w:tcW w:w="13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(8,550)</w:t>
            </w:r>
          </w:p>
        </w:tc>
      </w:tr>
      <w:tr>
        <w:trPr>
          <w:trHeight w:val="233"/>
        </w:trPr>
        <w:tc>
          <w:tcPr>
            <w:tcW w:w="8280" w:type="dxa"/>
            <w:vAlign w:val="bottom"/>
          </w:tcPr>
          <w:p>
            <w:pPr>
              <w:ind w:left="260"/>
              <w:spacing w:after="0"/>
              <w:rPr>
                <w:sz w:val="20"/>
                <w:szCs w:val="20"/>
                <w:color w:val="auto"/>
              </w:rPr>
            </w:pPr>
            <w:r>
              <w:rPr>
                <w:rFonts w:ascii="Arial" w:cs="Arial" w:eastAsia="Arial" w:hAnsi="Arial"/>
                <w:sz w:val="16"/>
                <w:szCs w:val="16"/>
                <w:color w:val="auto"/>
              </w:rPr>
              <w:t>Income taxes and unrecognized tax benefits</w:t>
            </w:r>
          </w:p>
        </w:tc>
        <w:tc>
          <w:tcPr>
            <w:tcW w:w="2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(2,127)</w:t>
            </w:r>
          </w:p>
        </w:tc>
        <w:tc>
          <w:tcPr>
            <w:tcW w:w="300" w:type="dxa"/>
            <w:vAlign w:val="bottom"/>
          </w:tcPr>
          <w:p>
            <w:pPr>
              <w:spacing w:after="0"/>
              <w:rPr>
                <w:sz w:val="20"/>
                <w:szCs w:val="20"/>
                <w:color w:val="auto"/>
              </w:rPr>
            </w:pPr>
          </w:p>
        </w:tc>
        <w:tc>
          <w:tcPr>
            <w:tcW w:w="1340" w:type="dxa"/>
            <w:vAlign w:val="bottom"/>
          </w:tcPr>
          <w:p>
            <w:pPr>
              <w:jc w:val="right"/>
              <w:ind w:right="139"/>
              <w:spacing w:after="0"/>
              <w:rPr>
                <w:sz w:val="20"/>
                <w:szCs w:val="20"/>
                <w:color w:val="auto"/>
              </w:rPr>
            </w:pPr>
            <w:r>
              <w:rPr>
                <w:rFonts w:ascii="Arial" w:cs="Arial" w:eastAsia="Arial" w:hAnsi="Arial"/>
                <w:sz w:val="16"/>
                <w:szCs w:val="16"/>
                <w:color w:val="auto"/>
              </w:rPr>
              <w:t>14,692</w:t>
            </w:r>
          </w:p>
        </w:tc>
      </w:tr>
      <w:tr>
        <w:trPr>
          <w:trHeight w:val="253"/>
        </w:trPr>
        <w:tc>
          <w:tcPr>
            <w:tcW w:w="8280" w:type="dxa"/>
            <w:vAlign w:val="bottom"/>
            <w:shd w:val="clear" w:color="auto" w:fill="CCEEFF"/>
          </w:tcPr>
          <w:p>
            <w:pPr>
              <w:ind w:left="280"/>
              <w:spacing w:after="0"/>
              <w:rPr>
                <w:sz w:val="20"/>
                <w:szCs w:val="20"/>
                <w:color w:val="auto"/>
              </w:rPr>
            </w:pPr>
            <w:r>
              <w:rPr>
                <w:rFonts w:ascii="Arial" w:cs="Arial" w:eastAsia="Arial" w:hAnsi="Arial"/>
                <w:sz w:val="16"/>
                <w:szCs w:val="16"/>
                <w:color w:val="auto"/>
              </w:rPr>
              <w:t>Accounts payable and accrued expenses</w:t>
            </w:r>
          </w:p>
        </w:tc>
        <w:tc>
          <w:tcPr>
            <w:tcW w:w="22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(1,551)</w:t>
            </w:r>
          </w:p>
        </w:tc>
        <w:tc>
          <w:tcPr>
            <w:tcW w:w="300" w:type="dxa"/>
            <w:vAlign w:val="bottom"/>
            <w:shd w:val="clear" w:color="auto" w:fill="CCEEFF"/>
          </w:tcPr>
          <w:p>
            <w:pPr>
              <w:spacing w:after="0"/>
              <w:rPr>
                <w:sz w:val="21"/>
                <w:szCs w:val="21"/>
                <w:color w:val="auto"/>
              </w:rPr>
            </w:pPr>
          </w:p>
        </w:tc>
        <w:tc>
          <w:tcPr>
            <w:tcW w:w="1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9,756</w:t>
            </w:r>
          </w:p>
        </w:tc>
      </w:tr>
      <w:tr>
        <w:trPr>
          <w:trHeight w:val="237"/>
        </w:trPr>
        <w:tc>
          <w:tcPr>
            <w:tcW w:w="8280" w:type="dxa"/>
            <w:vAlign w:val="bottom"/>
            <w:tcBorders>
              <w:bottom w:val="single" w:sz="8" w:color="CCEEFF"/>
            </w:tcBorders>
          </w:tcPr>
          <w:p>
            <w:pPr>
              <w:ind w:left="280"/>
              <w:spacing w:after="0"/>
              <w:rPr>
                <w:sz w:val="20"/>
                <w:szCs w:val="20"/>
                <w:color w:val="auto"/>
              </w:rPr>
            </w:pPr>
            <w:r>
              <w:rPr>
                <w:rFonts w:ascii="Arial" w:cs="Arial" w:eastAsia="Arial" w:hAnsi="Arial"/>
                <w:sz w:val="16"/>
                <w:szCs w:val="16"/>
                <w:color w:val="auto"/>
              </w:rPr>
              <w:t>Postretirement and deferred compensation benefits</w:t>
            </w:r>
          </w:p>
        </w:tc>
        <w:tc>
          <w:tcPr>
            <w:tcW w:w="2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(3,741)</w:t>
            </w:r>
          </w:p>
        </w:tc>
        <w:tc>
          <w:tcPr>
            <w:tcW w:w="3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(3,600)</w:t>
            </w:r>
          </w:p>
        </w:tc>
      </w:tr>
      <w:tr>
        <w:trPr>
          <w:trHeight w:val="237"/>
        </w:trPr>
        <w:tc>
          <w:tcPr>
            <w:tcW w:w="828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cash (used in) provided by operating activities</w:t>
            </w:r>
          </w:p>
        </w:tc>
        <w:tc>
          <w:tcPr>
            <w:tcW w:w="220" w:type="dxa"/>
            <w:vAlign w:val="bottom"/>
            <w:tcBorders>
              <w:bottom w:val="single" w:sz="8" w:color="auto"/>
            </w:tcBorders>
            <w:shd w:val="clear" w:color="auto" w:fill="CCEEFF"/>
          </w:tcPr>
          <w:p>
            <w:pPr>
              <w:spacing w:after="0"/>
              <w:rPr>
                <w:sz w:val="20"/>
                <w:szCs w:val="20"/>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(10,119)</w:t>
            </w:r>
          </w:p>
        </w:tc>
        <w:tc>
          <w:tcPr>
            <w:tcW w:w="300" w:type="dxa"/>
            <w:vAlign w:val="bottom"/>
            <w:tcBorders>
              <w:bottom w:val="single" w:sz="8" w:color="auto"/>
            </w:tcBorders>
            <w:shd w:val="clear" w:color="auto" w:fill="CCEEFF"/>
          </w:tcPr>
          <w:p>
            <w:pPr>
              <w:spacing w:after="0"/>
              <w:rPr>
                <w:sz w:val="20"/>
                <w:szCs w:val="20"/>
                <w:color w:val="auto"/>
              </w:rPr>
            </w:pPr>
          </w:p>
        </w:tc>
        <w:tc>
          <w:tcPr>
            <w:tcW w:w="13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33,039</w:t>
            </w:r>
          </w:p>
        </w:tc>
      </w:tr>
      <w:tr>
        <w:trPr>
          <w:trHeight w:val="162"/>
        </w:trPr>
        <w:tc>
          <w:tcPr>
            <w:tcW w:w="8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270"/>
        </w:trPr>
        <w:tc>
          <w:tcPr>
            <w:tcW w:w="8280" w:type="dxa"/>
            <w:vAlign w:val="bottom"/>
            <w:shd w:val="clear" w:color="auto" w:fill="CCEEFF"/>
          </w:tcPr>
          <w:p>
            <w:pPr>
              <w:ind w:left="40"/>
              <w:spacing w:after="0"/>
              <w:rPr>
                <w:sz w:val="20"/>
                <w:szCs w:val="20"/>
                <w:color w:val="auto"/>
              </w:rPr>
            </w:pPr>
            <w:r>
              <w:rPr>
                <w:rFonts w:ascii="Arial" w:cs="Arial" w:eastAsia="Arial" w:hAnsi="Arial"/>
                <w:sz w:val="16"/>
                <w:szCs w:val="16"/>
                <w:color w:val="auto"/>
              </w:rPr>
              <w:t>Investing activities:</w:t>
            </w:r>
          </w:p>
        </w:tc>
        <w:tc>
          <w:tcPr>
            <w:tcW w:w="22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r>
      <w:tr>
        <w:trPr>
          <w:trHeight w:val="233"/>
        </w:trPr>
        <w:tc>
          <w:tcPr>
            <w:tcW w:w="8280" w:type="dxa"/>
            <w:vAlign w:val="bottom"/>
          </w:tcPr>
          <w:p>
            <w:pPr>
              <w:ind w:left="280"/>
              <w:spacing w:after="0"/>
              <w:rPr>
                <w:sz w:val="20"/>
                <w:szCs w:val="20"/>
                <w:color w:val="auto"/>
              </w:rPr>
            </w:pPr>
            <w:r>
              <w:rPr>
                <w:rFonts w:ascii="Arial" w:cs="Arial" w:eastAsia="Arial" w:hAnsi="Arial"/>
                <w:sz w:val="16"/>
                <w:szCs w:val="16"/>
                <w:color w:val="auto"/>
              </w:rPr>
              <w:t>Proceeds from the sale of investments, at par</w:t>
            </w:r>
          </w:p>
        </w:tc>
        <w:tc>
          <w:tcPr>
            <w:tcW w:w="220" w:type="dxa"/>
            <w:vAlign w:val="bottom"/>
          </w:tcPr>
          <w:p>
            <w:pPr>
              <w:spacing w:after="0"/>
              <w:rPr>
                <w:sz w:val="20"/>
                <w:szCs w:val="20"/>
                <w:color w:val="auto"/>
              </w:rPr>
            </w:pPr>
          </w:p>
        </w:tc>
        <w:tc>
          <w:tcPr>
            <w:tcW w:w="1280" w:type="dxa"/>
            <w:vAlign w:val="bottom"/>
          </w:tcPr>
          <w:p>
            <w:pPr>
              <w:jc w:val="right"/>
              <w:ind w:right="59"/>
              <w:spacing w:after="0"/>
              <w:rPr>
                <w:sz w:val="20"/>
                <w:szCs w:val="20"/>
                <w:color w:val="auto"/>
              </w:rPr>
            </w:pPr>
            <w:r>
              <w:rPr>
                <w:rFonts w:ascii="Arial" w:cs="Arial" w:eastAsia="Arial" w:hAnsi="Arial"/>
                <w:sz w:val="16"/>
                <w:szCs w:val="16"/>
                <w:color w:val="auto"/>
              </w:rPr>
              <w:t>7,150</w:t>
            </w:r>
          </w:p>
        </w:tc>
        <w:tc>
          <w:tcPr>
            <w:tcW w:w="300" w:type="dxa"/>
            <w:vAlign w:val="bottom"/>
          </w:tcPr>
          <w:p>
            <w:pPr>
              <w:spacing w:after="0"/>
              <w:rPr>
                <w:sz w:val="20"/>
                <w:szCs w:val="20"/>
                <w:color w:val="auto"/>
              </w:rPr>
            </w:pPr>
          </w:p>
        </w:tc>
        <w:tc>
          <w:tcPr>
            <w:tcW w:w="1340" w:type="dxa"/>
            <w:vAlign w:val="bottom"/>
          </w:tcPr>
          <w:p>
            <w:pPr>
              <w:jc w:val="right"/>
              <w:ind w:right="139"/>
              <w:spacing w:after="0"/>
              <w:rPr>
                <w:sz w:val="20"/>
                <w:szCs w:val="20"/>
                <w:color w:val="auto"/>
              </w:rPr>
            </w:pPr>
            <w:r>
              <w:rPr>
                <w:rFonts w:ascii="Arial" w:cs="Arial" w:eastAsia="Arial" w:hAnsi="Arial"/>
                <w:sz w:val="16"/>
                <w:szCs w:val="16"/>
                <w:color w:val="auto"/>
              </w:rPr>
              <w:t>15,850</w:t>
            </w:r>
          </w:p>
        </w:tc>
      </w:tr>
      <w:tr>
        <w:trPr>
          <w:trHeight w:val="253"/>
        </w:trPr>
        <w:tc>
          <w:tcPr>
            <w:tcW w:w="8280" w:type="dxa"/>
            <w:vAlign w:val="bottom"/>
            <w:shd w:val="clear" w:color="auto" w:fill="CCEEFF"/>
          </w:tcPr>
          <w:p>
            <w:pPr>
              <w:ind w:left="280"/>
              <w:spacing w:after="0"/>
              <w:rPr>
                <w:sz w:val="20"/>
                <w:szCs w:val="20"/>
                <w:color w:val="auto"/>
              </w:rPr>
            </w:pPr>
            <w:r>
              <w:rPr>
                <w:rFonts w:ascii="Arial" w:cs="Arial" w:eastAsia="Arial" w:hAnsi="Arial"/>
                <w:sz w:val="16"/>
                <w:szCs w:val="16"/>
                <w:color w:val="auto"/>
              </w:rPr>
              <w:t>Proceeds from life insurance</w:t>
            </w:r>
          </w:p>
        </w:tc>
        <w:tc>
          <w:tcPr>
            <w:tcW w:w="220" w:type="dxa"/>
            <w:vAlign w:val="bottom"/>
            <w:shd w:val="clear" w:color="auto" w:fill="CCEEFF"/>
          </w:tcPr>
          <w:p>
            <w:pPr>
              <w:spacing w:after="0"/>
              <w:rPr>
                <w:sz w:val="21"/>
                <w:szCs w:val="21"/>
                <w:color w:val="auto"/>
              </w:rPr>
            </w:pPr>
          </w:p>
        </w:tc>
        <w:tc>
          <w:tcPr>
            <w:tcW w:w="128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659</w:t>
            </w:r>
          </w:p>
        </w:tc>
        <w:tc>
          <w:tcPr>
            <w:tcW w:w="300" w:type="dxa"/>
            <w:vAlign w:val="bottom"/>
            <w:shd w:val="clear" w:color="auto" w:fill="CCEEFF"/>
          </w:tcPr>
          <w:p>
            <w:pPr>
              <w:spacing w:after="0"/>
              <w:rPr>
                <w:sz w:val="21"/>
                <w:szCs w:val="21"/>
                <w:color w:val="auto"/>
              </w:rPr>
            </w:pPr>
          </w:p>
        </w:tc>
        <w:tc>
          <w:tcPr>
            <w:tcW w:w="1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r>
      <w:tr>
        <w:trPr>
          <w:trHeight w:val="233"/>
        </w:trPr>
        <w:tc>
          <w:tcPr>
            <w:tcW w:w="8280" w:type="dxa"/>
            <w:vAlign w:val="bottom"/>
          </w:tcPr>
          <w:p>
            <w:pPr>
              <w:ind w:left="280"/>
              <w:spacing w:after="0"/>
              <w:rPr>
                <w:sz w:val="20"/>
                <w:szCs w:val="20"/>
                <w:color w:val="auto"/>
              </w:rPr>
            </w:pPr>
            <w:r>
              <w:rPr>
                <w:rFonts w:ascii="Arial" w:cs="Arial" w:eastAsia="Arial" w:hAnsi="Arial"/>
                <w:sz w:val="16"/>
                <w:szCs w:val="16"/>
                <w:color w:val="auto"/>
              </w:rPr>
              <w:t>Purchases of property and equipment</w:t>
            </w:r>
          </w:p>
        </w:tc>
        <w:tc>
          <w:tcPr>
            <w:tcW w:w="2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(2,109)</w:t>
            </w:r>
          </w:p>
        </w:tc>
        <w:tc>
          <w:tcPr>
            <w:tcW w:w="300" w:type="dxa"/>
            <w:vAlign w:val="bottom"/>
          </w:tcPr>
          <w:p>
            <w:pPr>
              <w:spacing w:after="0"/>
              <w:rPr>
                <w:sz w:val="20"/>
                <w:szCs w:val="20"/>
                <w:color w:val="auto"/>
              </w:rPr>
            </w:pPr>
          </w:p>
        </w:tc>
        <w:tc>
          <w:tcPr>
            <w:tcW w:w="1340" w:type="dxa"/>
            <w:vAlign w:val="bottom"/>
          </w:tcPr>
          <w:p>
            <w:pPr>
              <w:jc w:val="right"/>
              <w:ind w:right="79"/>
              <w:spacing w:after="0"/>
              <w:rPr>
                <w:sz w:val="20"/>
                <w:szCs w:val="20"/>
                <w:color w:val="auto"/>
              </w:rPr>
            </w:pPr>
            <w:r>
              <w:rPr>
                <w:rFonts w:ascii="Arial" w:cs="Arial" w:eastAsia="Arial" w:hAnsi="Arial"/>
                <w:sz w:val="16"/>
                <w:szCs w:val="16"/>
                <w:color w:val="auto"/>
              </w:rPr>
              <w:t>(1,874)</w:t>
            </w:r>
          </w:p>
        </w:tc>
      </w:tr>
      <w:tr>
        <w:trPr>
          <w:trHeight w:val="253"/>
        </w:trPr>
        <w:tc>
          <w:tcPr>
            <w:tcW w:w="8280" w:type="dxa"/>
            <w:vAlign w:val="bottom"/>
            <w:shd w:val="clear" w:color="auto" w:fill="CCEEFF"/>
          </w:tcPr>
          <w:p>
            <w:pPr>
              <w:ind w:left="280"/>
              <w:spacing w:after="0"/>
              <w:rPr>
                <w:sz w:val="20"/>
                <w:szCs w:val="20"/>
                <w:color w:val="auto"/>
              </w:rPr>
            </w:pPr>
            <w:r>
              <w:rPr>
                <w:rFonts w:ascii="Arial" w:cs="Arial" w:eastAsia="Arial" w:hAnsi="Arial"/>
                <w:sz w:val="16"/>
                <w:szCs w:val="16"/>
                <w:color w:val="auto"/>
              </w:rPr>
              <w:t>Proceeds from the sale of property</w:t>
            </w:r>
          </w:p>
        </w:tc>
        <w:tc>
          <w:tcPr>
            <w:tcW w:w="220" w:type="dxa"/>
            <w:vAlign w:val="bottom"/>
            <w:shd w:val="clear" w:color="auto" w:fill="CCEEFF"/>
          </w:tcPr>
          <w:p>
            <w:pPr>
              <w:spacing w:after="0"/>
              <w:rPr>
                <w:sz w:val="21"/>
                <w:szCs w:val="21"/>
                <w:color w:val="auto"/>
              </w:rPr>
            </w:pPr>
          </w:p>
        </w:tc>
        <w:tc>
          <w:tcPr>
            <w:tcW w:w="128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4,143</w:t>
            </w:r>
          </w:p>
        </w:tc>
        <w:tc>
          <w:tcPr>
            <w:tcW w:w="300" w:type="dxa"/>
            <w:vAlign w:val="bottom"/>
            <w:shd w:val="clear" w:color="auto" w:fill="CCEEFF"/>
          </w:tcPr>
          <w:p>
            <w:pPr>
              <w:spacing w:after="0"/>
              <w:rPr>
                <w:sz w:val="21"/>
                <w:szCs w:val="21"/>
                <w:color w:val="auto"/>
              </w:rPr>
            </w:pPr>
          </w:p>
        </w:tc>
        <w:tc>
          <w:tcPr>
            <w:tcW w:w="1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96</w:t>
            </w:r>
          </w:p>
        </w:tc>
      </w:tr>
      <w:tr>
        <w:trPr>
          <w:trHeight w:val="233"/>
        </w:trPr>
        <w:tc>
          <w:tcPr>
            <w:tcW w:w="8280" w:type="dxa"/>
            <w:vAlign w:val="bottom"/>
          </w:tcPr>
          <w:p>
            <w:pPr>
              <w:ind w:left="280"/>
              <w:spacing w:after="0"/>
              <w:rPr>
                <w:sz w:val="20"/>
                <w:szCs w:val="20"/>
                <w:color w:val="auto"/>
              </w:rPr>
            </w:pPr>
            <w:r>
              <w:rPr>
                <w:rFonts w:ascii="Arial" w:cs="Arial" w:eastAsia="Arial" w:hAnsi="Arial"/>
                <w:sz w:val="16"/>
                <w:szCs w:val="16"/>
                <w:color w:val="auto"/>
              </w:rPr>
              <w:t>Cash paid for acquisition, net of cash acquired</w:t>
            </w:r>
          </w:p>
        </w:tc>
        <w:tc>
          <w:tcPr>
            <w:tcW w:w="2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(4,694)</w:t>
            </w:r>
          </w:p>
        </w:tc>
        <w:tc>
          <w:tcPr>
            <w:tcW w:w="300" w:type="dxa"/>
            <w:vAlign w:val="bottom"/>
          </w:tcPr>
          <w:p>
            <w:pPr>
              <w:spacing w:after="0"/>
              <w:rPr>
                <w:sz w:val="20"/>
                <w:szCs w:val="20"/>
                <w:color w:val="auto"/>
              </w:rPr>
            </w:pPr>
          </w:p>
        </w:tc>
        <w:tc>
          <w:tcPr>
            <w:tcW w:w="1340" w:type="dxa"/>
            <w:vAlign w:val="bottom"/>
          </w:tcPr>
          <w:p>
            <w:pPr>
              <w:jc w:val="right"/>
              <w:ind w:right="139"/>
              <w:spacing w:after="0"/>
              <w:rPr>
                <w:sz w:val="20"/>
                <w:szCs w:val="20"/>
                <w:color w:val="auto"/>
              </w:rPr>
            </w:pPr>
            <w:r>
              <w:rPr>
                <w:rFonts w:ascii="Arial" w:cs="Arial" w:eastAsia="Arial" w:hAnsi="Arial"/>
                <w:sz w:val="16"/>
                <w:szCs w:val="16"/>
                <w:color w:val="auto"/>
              </w:rPr>
              <w:t>—</w:t>
            </w:r>
          </w:p>
        </w:tc>
      </w:tr>
      <w:tr>
        <w:trPr>
          <w:trHeight w:val="246"/>
        </w:trPr>
        <w:tc>
          <w:tcPr>
            <w:tcW w:w="8280" w:type="dxa"/>
            <w:vAlign w:val="bottom"/>
            <w:shd w:val="clear" w:color="auto" w:fill="CCEEFF"/>
          </w:tcPr>
          <w:p>
            <w:pPr>
              <w:ind w:left="280"/>
              <w:spacing w:after="0"/>
              <w:rPr>
                <w:sz w:val="20"/>
                <w:szCs w:val="20"/>
                <w:color w:val="auto"/>
              </w:rPr>
            </w:pPr>
            <w:r>
              <w:rPr>
                <w:rFonts w:ascii="Arial" w:cs="Arial" w:eastAsia="Arial" w:hAnsi="Arial"/>
                <w:sz w:val="16"/>
                <w:szCs w:val="16"/>
                <w:color w:val="auto"/>
              </w:rPr>
              <w:t>Other</w:t>
            </w:r>
          </w:p>
        </w:tc>
        <w:tc>
          <w:tcPr>
            <w:tcW w:w="22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(914)</w:t>
            </w:r>
          </w:p>
        </w:tc>
        <w:tc>
          <w:tcPr>
            <w:tcW w:w="300" w:type="dxa"/>
            <w:vAlign w:val="bottom"/>
            <w:tcBorders>
              <w:bottom w:val="single" w:sz="8" w:color="auto"/>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262</w:t>
            </w:r>
          </w:p>
        </w:tc>
      </w:tr>
      <w:tr>
        <w:trPr>
          <w:trHeight w:val="237"/>
        </w:trPr>
        <w:tc>
          <w:tcPr>
            <w:tcW w:w="828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Net cash provided by investing activities</w:t>
            </w:r>
          </w:p>
        </w:tc>
        <w:tc>
          <w:tcPr>
            <w:tcW w:w="2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4,235</w:t>
            </w:r>
          </w:p>
        </w:tc>
        <w:tc>
          <w:tcPr>
            <w:tcW w:w="3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14,334</w:t>
            </w:r>
          </w:p>
        </w:tc>
      </w:tr>
      <w:tr>
        <w:trPr>
          <w:trHeight w:val="162"/>
        </w:trPr>
        <w:tc>
          <w:tcPr>
            <w:tcW w:w="82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r>
      <w:tr>
        <w:trPr>
          <w:trHeight w:val="260"/>
        </w:trPr>
        <w:tc>
          <w:tcPr>
            <w:tcW w:w="8280" w:type="dxa"/>
            <w:vAlign w:val="bottom"/>
          </w:tcPr>
          <w:p>
            <w:pPr>
              <w:ind w:left="40"/>
              <w:spacing w:after="0"/>
              <w:rPr>
                <w:sz w:val="20"/>
                <w:szCs w:val="20"/>
                <w:color w:val="auto"/>
              </w:rPr>
            </w:pPr>
            <w:r>
              <w:rPr>
                <w:rFonts w:ascii="Arial" w:cs="Arial" w:eastAsia="Arial" w:hAnsi="Arial"/>
                <w:sz w:val="16"/>
                <w:szCs w:val="16"/>
                <w:color w:val="auto"/>
              </w:rPr>
              <w:t>Financing activities:</w:t>
            </w:r>
          </w:p>
        </w:tc>
        <w:tc>
          <w:tcPr>
            <w:tcW w:w="2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340" w:type="dxa"/>
            <w:vAlign w:val="bottom"/>
          </w:tcPr>
          <w:p>
            <w:pPr>
              <w:spacing w:after="0"/>
              <w:rPr>
                <w:sz w:val="22"/>
                <w:szCs w:val="22"/>
                <w:color w:val="auto"/>
              </w:rPr>
            </w:pPr>
          </w:p>
        </w:tc>
      </w:tr>
      <w:tr>
        <w:trPr>
          <w:trHeight w:val="253"/>
        </w:trPr>
        <w:tc>
          <w:tcPr>
            <w:tcW w:w="8280" w:type="dxa"/>
            <w:vAlign w:val="bottom"/>
            <w:shd w:val="clear" w:color="auto" w:fill="CCEEFF"/>
          </w:tcPr>
          <w:p>
            <w:pPr>
              <w:ind w:left="280"/>
              <w:spacing w:after="0"/>
              <w:rPr>
                <w:sz w:val="20"/>
                <w:szCs w:val="20"/>
                <w:color w:val="auto"/>
              </w:rPr>
            </w:pPr>
            <w:r>
              <w:rPr>
                <w:rFonts w:ascii="Arial" w:cs="Arial" w:eastAsia="Arial" w:hAnsi="Arial"/>
                <w:sz w:val="16"/>
                <w:szCs w:val="16"/>
                <w:color w:val="auto"/>
              </w:rPr>
              <w:t>Payments for purchase of common stock</w:t>
            </w:r>
          </w:p>
        </w:tc>
        <w:tc>
          <w:tcPr>
            <w:tcW w:w="22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w:t>
            </w:r>
          </w:p>
        </w:tc>
        <w:tc>
          <w:tcPr>
            <w:tcW w:w="300" w:type="dxa"/>
            <w:vAlign w:val="bottom"/>
            <w:shd w:val="clear" w:color="auto" w:fill="CCEEFF"/>
          </w:tcPr>
          <w:p>
            <w:pPr>
              <w:spacing w:after="0"/>
              <w:rPr>
                <w:sz w:val="21"/>
                <w:szCs w:val="21"/>
                <w:color w:val="auto"/>
              </w:rPr>
            </w:pPr>
          </w:p>
        </w:tc>
        <w:tc>
          <w:tcPr>
            <w:tcW w:w="13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(250)</w:t>
            </w:r>
          </w:p>
        </w:tc>
      </w:tr>
      <w:tr>
        <w:trPr>
          <w:trHeight w:val="233"/>
        </w:trPr>
        <w:tc>
          <w:tcPr>
            <w:tcW w:w="8280" w:type="dxa"/>
            <w:vAlign w:val="bottom"/>
          </w:tcPr>
          <w:p>
            <w:pPr>
              <w:ind w:left="280"/>
              <w:spacing w:after="0"/>
              <w:rPr>
                <w:sz w:val="20"/>
                <w:szCs w:val="20"/>
                <w:color w:val="auto"/>
              </w:rPr>
            </w:pPr>
            <w:r>
              <w:rPr>
                <w:rFonts w:ascii="Arial" w:cs="Arial" w:eastAsia="Arial" w:hAnsi="Arial"/>
                <w:sz w:val="16"/>
                <w:szCs w:val="16"/>
                <w:color w:val="auto"/>
              </w:rPr>
              <w:t>Payments on ARS portfolio</w:t>
            </w:r>
          </w:p>
        </w:tc>
        <w:tc>
          <w:tcPr>
            <w:tcW w:w="220" w:type="dxa"/>
            <w:vAlign w:val="bottom"/>
          </w:tcPr>
          <w:p>
            <w:pPr>
              <w:spacing w:after="0"/>
              <w:rPr>
                <w:sz w:val="20"/>
                <w:szCs w:val="20"/>
                <w:color w:val="auto"/>
              </w:rPr>
            </w:pPr>
          </w:p>
        </w:tc>
        <w:tc>
          <w:tcPr>
            <w:tcW w:w="128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0"/>
                <w:szCs w:val="20"/>
                <w:color w:val="auto"/>
              </w:rPr>
            </w:pPr>
          </w:p>
        </w:tc>
        <w:tc>
          <w:tcPr>
            <w:tcW w:w="1340" w:type="dxa"/>
            <w:vAlign w:val="bottom"/>
          </w:tcPr>
          <w:p>
            <w:pPr>
              <w:jc w:val="right"/>
              <w:ind w:right="79"/>
              <w:spacing w:after="0"/>
              <w:rPr>
                <w:sz w:val="20"/>
                <w:szCs w:val="20"/>
                <w:color w:val="auto"/>
              </w:rPr>
            </w:pPr>
            <w:r>
              <w:rPr>
                <w:rFonts w:ascii="Arial" w:cs="Arial" w:eastAsia="Arial" w:hAnsi="Arial"/>
                <w:sz w:val="16"/>
                <w:szCs w:val="16"/>
                <w:color w:val="auto"/>
              </w:rPr>
              <w:t>(9,100)</w:t>
            </w:r>
          </w:p>
        </w:tc>
      </w:tr>
      <w:tr>
        <w:trPr>
          <w:trHeight w:val="253"/>
        </w:trPr>
        <w:tc>
          <w:tcPr>
            <w:tcW w:w="8280" w:type="dxa"/>
            <w:vAlign w:val="bottom"/>
            <w:shd w:val="clear" w:color="auto" w:fill="CCEEFF"/>
          </w:tcPr>
          <w:p>
            <w:pPr>
              <w:ind w:left="280"/>
              <w:spacing w:after="0"/>
              <w:rPr>
                <w:sz w:val="20"/>
                <w:szCs w:val="20"/>
                <w:color w:val="auto"/>
              </w:rPr>
            </w:pPr>
            <w:r>
              <w:rPr>
                <w:rFonts w:ascii="Arial" w:cs="Arial" w:eastAsia="Arial" w:hAnsi="Arial"/>
                <w:sz w:val="16"/>
                <w:szCs w:val="16"/>
                <w:color w:val="auto"/>
              </w:rPr>
              <w:t>Proceeds from exercise of stock options</w:t>
            </w:r>
          </w:p>
        </w:tc>
        <w:tc>
          <w:tcPr>
            <w:tcW w:w="220" w:type="dxa"/>
            <w:vAlign w:val="bottom"/>
            <w:shd w:val="clear" w:color="auto" w:fill="CCEEFF"/>
          </w:tcPr>
          <w:p>
            <w:pPr>
              <w:spacing w:after="0"/>
              <w:rPr>
                <w:sz w:val="21"/>
                <w:szCs w:val="21"/>
                <w:color w:val="auto"/>
              </w:rPr>
            </w:pPr>
          </w:p>
        </w:tc>
        <w:tc>
          <w:tcPr>
            <w:tcW w:w="128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83</w:t>
            </w:r>
          </w:p>
        </w:tc>
        <w:tc>
          <w:tcPr>
            <w:tcW w:w="300" w:type="dxa"/>
            <w:vAlign w:val="bottom"/>
            <w:shd w:val="clear" w:color="auto" w:fill="CCEEFF"/>
          </w:tcPr>
          <w:p>
            <w:pPr>
              <w:spacing w:after="0"/>
              <w:rPr>
                <w:sz w:val="21"/>
                <w:szCs w:val="21"/>
                <w:color w:val="auto"/>
              </w:rPr>
            </w:pPr>
          </w:p>
        </w:tc>
        <w:tc>
          <w:tcPr>
            <w:tcW w:w="1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280</w:t>
            </w:r>
          </w:p>
        </w:tc>
      </w:tr>
      <w:tr>
        <w:trPr>
          <w:trHeight w:val="237"/>
        </w:trPr>
        <w:tc>
          <w:tcPr>
            <w:tcW w:w="828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Other</w:t>
            </w:r>
          </w:p>
        </w:tc>
        <w:tc>
          <w:tcPr>
            <w:tcW w:w="2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506</w:t>
            </w:r>
          </w:p>
        </w:tc>
        <w:tc>
          <w:tcPr>
            <w:tcW w:w="3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(178)</w:t>
            </w:r>
          </w:p>
        </w:tc>
      </w:tr>
      <w:tr>
        <w:trPr>
          <w:trHeight w:val="237"/>
        </w:trPr>
        <w:tc>
          <w:tcPr>
            <w:tcW w:w="828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cash provided by (used in) financing activities</w:t>
            </w:r>
          </w:p>
        </w:tc>
        <w:tc>
          <w:tcPr>
            <w:tcW w:w="220" w:type="dxa"/>
            <w:vAlign w:val="bottom"/>
            <w:tcBorders>
              <w:bottom w:val="single" w:sz="8" w:color="auto"/>
            </w:tcBorders>
            <w:shd w:val="clear" w:color="auto" w:fill="CCEEFF"/>
          </w:tcPr>
          <w:p>
            <w:pPr>
              <w:spacing w:after="0"/>
              <w:rPr>
                <w:sz w:val="20"/>
                <w:szCs w:val="20"/>
                <w:color w:val="auto"/>
              </w:rPr>
            </w:pPr>
          </w:p>
        </w:tc>
        <w:tc>
          <w:tcPr>
            <w:tcW w:w="128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500</w:t>
            </w:r>
          </w:p>
        </w:tc>
        <w:tc>
          <w:tcPr>
            <w:tcW w:w="300" w:type="dxa"/>
            <w:vAlign w:val="bottom"/>
            <w:tcBorders>
              <w:bottom w:val="single" w:sz="8" w:color="auto"/>
            </w:tcBorders>
            <w:shd w:val="clear" w:color="auto" w:fill="CCEEFF"/>
          </w:tcPr>
          <w:p>
            <w:pPr>
              <w:spacing w:after="0"/>
              <w:rPr>
                <w:sz w:val="20"/>
                <w:szCs w:val="20"/>
                <w:color w:val="auto"/>
              </w:rPr>
            </w:pPr>
          </w:p>
        </w:tc>
        <w:tc>
          <w:tcPr>
            <w:tcW w:w="134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(9,248)</w:t>
            </w:r>
          </w:p>
        </w:tc>
      </w:tr>
      <w:tr>
        <w:trPr>
          <w:trHeight w:val="162"/>
        </w:trPr>
        <w:tc>
          <w:tcPr>
            <w:tcW w:w="8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243"/>
        </w:trPr>
        <w:tc>
          <w:tcPr>
            <w:tcW w:w="828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(decrease) increase in cash and cash equivalents</w:t>
            </w:r>
          </w:p>
        </w:tc>
        <w:tc>
          <w:tcPr>
            <w:tcW w:w="22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(5,384)</w:t>
            </w:r>
          </w:p>
        </w:tc>
        <w:tc>
          <w:tcPr>
            <w:tcW w:w="300" w:type="dxa"/>
            <w:vAlign w:val="bottom"/>
            <w:shd w:val="clear" w:color="auto" w:fill="CCEEFF"/>
          </w:tcPr>
          <w:p>
            <w:pPr>
              <w:spacing w:after="0"/>
              <w:rPr>
                <w:sz w:val="21"/>
                <w:szCs w:val="21"/>
                <w:color w:val="auto"/>
              </w:rPr>
            </w:pPr>
          </w:p>
        </w:tc>
        <w:tc>
          <w:tcPr>
            <w:tcW w:w="1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38,125</w:t>
            </w:r>
          </w:p>
        </w:tc>
      </w:tr>
      <w:tr>
        <w:trPr>
          <w:trHeight w:val="237"/>
        </w:trPr>
        <w:tc>
          <w:tcPr>
            <w:tcW w:w="828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Cash and cash equivalents at beginning of period</w:t>
            </w:r>
          </w:p>
        </w:tc>
        <w:tc>
          <w:tcPr>
            <w:tcW w:w="2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74,691</w:t>
            </w:r>
          </w:p>
        </w:tc>
        <w:tc>
          <w:tcPr>
            <w:tcW w:w="3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36,566</w:t>
            </w:r>
          </w:p>
        </w:tc>
      </w:tr>
      <w:tr>
        <w:trPr>
          <w:trHeight w:val="240"/>
        </w:trPr>
        <w:tc>
          <w:tcPr>
            <w:tcW w:w="8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and cash equivalents at end of period</w:t>
            </w: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69,307</w:t>
            </w:r>
          </w:p>
        </w:tc>
        <w:tc>
          <w:tcPr>
            <w:tcW w:w="3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74,691</w:t>
            </w:r>
          </w:p>
        </w:tc>
      </w:tr>
      <w:tr>
        <w:trPr>
          <w:trHeight w:val="20"/>
        </w:trPr>
        <w:tc>
          <w:tcPr>
            <w:tcW w:w="8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146"/>
        </w:trPr>
        <w:tc>
          <w:tcPr>
            <w:tcW w:w="8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40" w:type="dxa"/>
            <w:vAlign w:val="bottom"/>
          </w:tcPr>
          <w:p>
            <w:pPr>
              <w:spacing w:after="0"/>
              <w:rPr>
                <w:sz w:val="12"/>
                <w:szCs w:val="12"/>
                <w:color w:val="auto"/>
              </w:rPr>
            </w:pPr>
          </w:p>
        </w:tc>
      </w:tr>
      <w:tr>
        <w:trPr>
          <w:trHeight w:val="270"/>
        </w:trPr>
        <w:tc>
          <w:tcPr>
            <w:tcW w:w="8280" w:type="dxa"/>
            <w:vAlign w:val="bottom"/>
            <w:shd w:val="clear" w:color="auto" w:fill="CCEEFF"/>
          </w:tcPr>
          <w:p>
            <w:pPr>
              <w:ind w:left="40"/>
              <w:spacing w:after="0"/>
              <w:rPr>
                <w:sz w:val="20"/>
                <w:szCs w:val="20"/>
                <w:color w:val="auto"/>
              </w:rPr>
            </w:pPr>
            <w:r>
              <w:rPr>
                <w:rFonts w:ascii="Arial" w:cs="Arial" w:eastAsia="Arial" w:hAnsi="Arial"/>
                <w:sz w:val="16"/>
                <w:szCs w:val="16"/>
                <w:color w:val="auto"/>
              </w:rPr>
              <w:t>Supplemental cash flow disclosure:</w:t>
            </w:r>
          </w:p>
        </w:tc>
        <w:tc>
          <w:tcPr>
            <w:tcW w:w="22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r>
      <w:tr>
        <w:trPr>
          <w:trHeight w:val="224"/>
        </w:trPr>
        <w:tc>
          <w:tcPr>
            <w:tcW w:w="8280" w:type="dxa"/>
            <w:vAlign w:val="bottom"/>
          </w:tcPr>
          <w:p>
            <w:pPr>
              <w:ind w:left="280"/>
              <w:spacing w:after="0"/>
              <w:rPr>
                <w:sz w:val="20"/>
                <w:szCs w:val="20"/>
                <w:color w:val="auto"/>
              </w:rPr>
            </w:pPr>
            <w:r>
              <w:rPr>
                <w:rFonts w:ascii="Arial" w:cs="Arial" w:eastAsia="Arial" w:hAnsi="Arial"/>
                <w:sz w:val="16"/>
                <w:szCs w:val="16"/>
                <w:color w:val="auto"/>
              </w:rPr>
              <w:t>Income taxes paid (refunded)</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59"/>
              <w:spacing w:after="0"/>
              <w:rPr>
                <w:sz w:val="20"/>
                <w:szCs w:val="20"/>
                <w:color w:val="auto"/>
              </w:rPr>
            </w:pPr>
            <w:r>
              <w:rPr>
                <w:rFonts w:ascii="Arial" w:cs="Arial" w:eastAsia="Arial" w:hAnsi="Arial"/>
                <w:sz w:val="16"/>
                <w:szCs w:val="16"/>
                <w:color w:val="auto"/>
              </w:rPr>
              <w:t>1,703</w:t>
            </w:r>
          </w:p>
        </w:tc>
        <w:tc>
          <w:tcPr>
            <w:tcW w:w="3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79"/>
              <w:spacing w:after="0"/>
              <w:rPr>
                <w:sz w:val="20"/>
                <w:szCs w:val="20"/>
                <w:color w:val="auto"/>
              </w:rPr>
            </w:pPr>
            <w:r>
              <w:rPr>
                <w:rFonts w:ascii="Arial" w:cs="Arial" w:eastAsia="Arial" w:hAnsi="Arial"/>
                <w:sz w:val="16"/>
                <w:szCs w:val="16"/>
                <w:color w:val="auto"/>
              </w:rPr>
              <w:t>(24,356)</w:t>
            </w:r>
          </w:p>
        </w:tc>
      </w:tr>
    </w:tbl>
    <w:p>
      <w:pPr>
        <w:sectPr>
          <w:pgSz w:w="11900" w:h="16838" w:orient="portrait"/>
          <w:cols w:equalWidth="0" w:num="1">
            <w:col w:w="11420"/>
          </w:cols>
          <w:pgMar w:left="240" w:top="576" w:right="2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Winnebago Industries,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Deliveries</w:t>
      </w: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3240" w:type="dxa"/>
            <w:vAlign w:val="bottom"/>
          </w:tcPr>
          <w:p>
            <w:pPr>
              <w:spacing w:after="0"/>
              <w:rPr>
                <w:sz w:val="21"/>
                <w:szCs w:val="21"/>
                <w:color w:val="auto"/>
              </w:rPr>
            </w:pPr>
          </w:p>
        </w:tc>
        <w:tc>
          <w:tcPr>
            <w:tcW w:w="1320" w:type="dxa"/>
            <w:vAlign w:val="bottom"/>
            <w:tcBorders>
              <w:bottom w:val="single" w:sz="8" w:color="auto"/>
            </w:tcBorders>
          </w:tcPr>
          <w:p>
            <w:pPr>
              <w:spacing w:after="0"/>
              <w:rPr>
                <w:sz w:val="21"/>
                <w:szCs w:val="21"/>
                <w:color w:val="auto"/>
              </w:rPr>
            </w:pPr>
          </w:p>
        </w:tc>
        <w:tc>
          <w:tcPr>
            <w:tcW w:w="2700" w:type="dxa"/>
            <w:vAlign w:val="bottom"/>
            <w:tcBorders>
              <w:bottom w:val="single" w:sz="8" w:color="auto"/>
            </w:tcBorders>
            <w:gridSpan w:val="3"/>
          </w:tcPr>
          <w:p>
            <w:pPr>
              <w:jc w:val="right"/>
              <w:ind w:right="670"/>
              <w:spacing w:after="0"/>
              <w:rPr>
                <w:sz w:val="20"/>
                <w:szCs w:val="20"/>
                <w:color w:val="auto"/>
              </w:rPr>
            </w:pPr>
            <w:r>
              <w:rPr>
                <w:rFonts w:ascii="Arial" w:cs="Arial" w:eastAsia="Arial" w:hAnsi="Arial"/>
                <w:sz w:val="18"/>
                <w:szCs w:val="18"/>
                <w:b w:val="1"/>
                <w:bCs w:val="1"/>
                <w:color w:val="auto"/>
              </w:rPr>
              <w:t>Quarter Ended</w:t>
            </w:r>
          </w:p>
        </w:tc>
        <w:tc>
          <w:tcPr>
            <w:tcW w:w="124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tcBorders>
              <w:bottom w:val="single" w:sz="8" w:color="auto"/>
            </w:tcBorders>
          </w:tcPr>
          <w:p>
            <w:pPr>
              <w:spacing w:after="0"/>
              <w:rPr>
                <w:sz w:val="21"/>
                <w:szCs w:val="21"/>
                <w:color w:val="auto"/>
              </w:rPr>
            </w:pPr>
          </w:p>
        </w:tc>
        <w:tc>
          <w:tcPr>
            <w:tcW w:w="1720" w:type="dxa"/>
            <w:vAlign w:val="bottom"/>
            <w:tcBorders>
              <w:bottom w:val="single" w:sz="8" w:color="auto"/>
            </w:tcBorders>
          </w:tcPr>
          <w:p>
            <w:pPr>
              <w:jc w:val="right"/>
              <w:ind w:right="970"/>
              <w:spacing w:after="0"/>
              <w:rPr>
                <w:sz w:val="20"/>
                <w:szCs w:val="20"/>
                <w:color w:val="auto"/>
              </w:rPr>
            </w:pPr>
            <w:r>
              <w:rPr>
                <w:rFonts w:ascii="Arial" w:cs="Arial" w:eastAsia="Arial" w:hAnsi="Arial"/>
                <w:sz w:val="18"/>
                <w:szCs w:val="18"/>
                <w:b w:val="1"/>
                <w:bCs w:val="1"/>
                <w:color w:val="auto"/>
                <w:w w:val="96"/>
              </w:rPr>
              <w:t>Change</w:t>
            </w:r>
          </w:p>
        </w:tc>
      </w:tr>
      <w:tr>
        <w:trPr>
          <w:trHeight w:val="207"/>
        </w:trPr>
        <w:tc>
          <w:tcPr>
            <w:tcW w:w="3240" w:type="dxa"/>
            <w:vAlign w:val="bottom"/>
          </w:tcPr>
          <w:p>
            <w:pPr>
              <w:spacing w:after="0"/>
              <w:rPr>
                <w:sz w:val="17"/>
                <w:szCs w:val="17"/>
                <w:color w:val="auto"/>
              </w:rPr>
            </w:pPr>
          </w:p>
        </w:tc>
        <w:tc>
          <w:tcPr>
            <w:tcW w:w="1320" w:type="dxa"/>
            <w:vAlign w:val="bottom"/>
          </w:tcPr>
          <w:p>
            <w:pPr>
              <w:jc w:val="center"/>
              <w:ind w:right="70"/>
              <w:spacing w:after="0"/>
              <w:rPr>
                <w:sz w:val="20"/>
                <w:szCs w:val="20"/>
                <w:color w:val="auto"/>
              </w:rPr>
            </w:pPr>
            <w:r>
              <w:rPr>
                <w:rFonts w:ascii="Arial" w:cs="Arial" w:eastAsia="Arial" w:hAnsi="Arial"/>
                <w:sz w:val="18"/>
                <w:szCs w:val="18"/>
                <w:b w:val="1"/>
                <w:bCs w:val="1"/>
                <w:color w:val="auto"/>
                <w:w w:val="99"/>
              </w:rPr>
              <w:t>August 27,</w:t>
            </w:r>
          </w:p>
        </w:tc>
        <w:tc>
          <w:tcPr>
            <w:tcW w:w="1260" w:type="dxa"/>
            <w:vAlign w:val="bottom"/>
          </w:tcPr>
          <w:p>
            <w:pPr>
              <w:jc w:val="center"/>
              <w:ind w:right="10"/>
              <w:spacing w:after="0"/>
              <w:rPr>
                <w:sz w:val="20"/>
                <w:szCs w:val="20"/>
                <w:color w:val="auto"/>
              </w:rPr>
            </w:pPr>
            <w:r>
              <w:rPr>
                <w:rFonts w:ascii="Arial" w:cs="Arial" w:eastAsia="Arial" w:hAnsi="Arial"/>
                <w:sz w:val="18"/>
                <w:szCs w:val="18"/>
                <w:b w:val="1"/>
                <w:bCs w:val="1"/>
                <w:color w:val="auto"/>
                <w:w w:val="99"/>
              </w:rPr>
              <w:t>Product</w:t>
            </w:r>
          </w:p>
        </w:tc>
        <w:tc>
          <w:tcPr>
            <w:tcW w:w="100" w:type="dxa"/>
            <w:vAlign w:val="bottom"/>
          </w:tcPr>
          <w:p>
            <w:pPr>
              <w:spacing w:after="0"/>
              <w:rPr>
                <w:sz w:val="17"/>
                <w:szCs w:val="17"/>
                <w:color w:val="auto"/>
              </w:rPr>
            </w:pPr>
          </w:p>
        </w:tc>
        <w:tc>
          <w:tcPr>
            <w:tcW w:w="1340" w:type="dxa"/>
            <w:vAlign w:val="bottom"/>
          </w:tcPr>
          <w:p>
            <w:pPr>
              <w:jc w:val="center"/>
              <w:ind w:right="90"/>
              <w:spacing w:after="0"/>
              <w:rPr>
                <w:sz w:val="20"/>
                <w:szCs w:val="20"/>
                <w:color w:val="auto"/>
              </w:rPr>
            </w:pPr>
            <w:r>
              <w:rPr>
                <w:rFonts w:ascii="Arial" w:cs="Arial" w:eastAsia="Arial" w:hAnsi="Arial"/>
                <w:sz w:val="18"/>
                <w:szCs w:val="18"/>
                <w:b w:val="1"/>
                <w:bCs w:val="1"/>
                <w:color w:val="auto"/>
                <w:w w:val="99"/>
              </w:rPr>
              <w:t>August 28,</w:t>
            </w:r>
          </w:p>
        </w:tc>
        <w:tc>
          <w:tcPr>
            <w:tcW w:w="13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9"/>
              </w:rPr>
              <w:t>Product</w:t>
            </w:r>
          </w:p>
        </w:tc>
        <w:tc>
          <w:tcPr>
            <w:tcW w:w="1080" w:type="dxa"/>
            <w:vAlign w:val="bottom"/>
          </w:tcPr>
          <w:p>
            <w:pPr>
              <w:spacing w:after="0"/>
              <w:rPr>
                <w:sz w:val="17"/>
                <w:szCs w:val="17"/>
                <w:color w:val="auto"/>
              </w:rPr>
            </w:pPr>
          </w:p>
        </w:tc>
        <w:tc>
          <w:tcPr>
            <w:tcW w:w="1720" w:type="dxa"/>
            <w:vAlign w:val="bottom"/>
          </w:tcPr>
          <w:p>
            <w:pPr>
              <w:jc w:val="center"/>
              <w:ind w:left="190"/>
              <w:spacing w:after="0"/>
              <w:rPr>
                <w:sz w:val="20"/>
                <w:szCs w:val="20"/>
                <w:color w:val="auto"/>
              </w:rPr>
            </w:pPr>
            <w:r>
              <w:rPr>
                <w:rFonts w:ascii="Arial" w:cs="Arial" w:eastAsia="Arial" w:hAnsi="Arial"/>
                <w:sz w:val="18"/>
                <w:szCs w:val="18"/>
                <w:b w:val="1"/>
                <w:bCs w:val="1"/>
                <w:color w:val="auto"/>
                <w:w w:val="99"/>
              </w:rPr>
              <w:t>%</w:t>
            </w:r>
          </w:p>
        </w:tc>
      </w:tr>
      <w:tr>
        <w:trPr>
          <w:trHeight w:val="246"/>
        </w:trPr>
        <w:tc>
          <w:tcPr>
            <w:tcW w:w="324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(In units)</w:t>
            </w:r>
          </w:p>
        </w:tc>
        <w:tc>
          <w:tcPr>
            <w:tcW w:w="132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9"/>
              </w:rPr>
              <w:t>2011</w:t>
            </w:r>
          </w:p>
        </w:tc>
        <w:tc>
          <w:tcPr>
            <w:tcW w:w="126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7"/>
              </w:rPr>
              <w:t>Mix %</w:t>
            </w:r>
          </w:p>
        </w:tc>
        <w:tc>
          <w:tcPr>
            <w:tcW w:w="100" w:type="dxa"/>
            <w:vAlign w:val="bottom"/>
            <w:tcBorders>
              <w:bottom w:val="single" w:sz="8" w:color="CCEEFF"/>
            </w:tcBorders>
          </w:tcPr>
          <w:p>
            <w:pPr>
              <w:spacing w:after="0"/>
              <w:rPr>
                <w:sz w:val="21"/>
                <w:szCs w:val="21"/>
                <w:color w:val="auto"/>
              </w:rPr>
            </w:pPr>
          </w:p>
        </w:tc>
        <w:tc>
          <w:tcPr>
            <w:tcW w:w="134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9"/>
              </w:rPr>
              <w:t>2010</w:t>
            </w:r>
          </w:p>
        </w:tc>
        <w:tc>
          <w:tcPr>
            <w:tcW w:w="124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rPr>
              <w:t>Mix %</w:t>
            </w:r>
          </w:p>
        </w:tc>
        <w:tc>
          <w:tcPr>
            <w:tcW w:w="120" w:type="dxa"/>
            <w:vAlign w:val="bottom"/>
            <w:tcBorders>
              <w:bottom w:val="single" w:sz="8" w:color="CCEEFF"/>
            </w:tcBorders>
          </w:tcPr>
          <w:p>
            <w:pPr>
              <w:spacing w:after="0"/>
              <w:rPr>
                <w:sz w:val="21"/>
                <w:szCs w:val="21"/>
                <w:color w:val="auto"/>
              </w:rPr>
            </w:pPr>
          </w:p>
        </w:tc>
        <w:tc>
          <w:tcPr>
            <w:tcW w:w="10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Units</w:t>
            </w:r>
          </w:p>
        </w:tc>
        <w:tc>
          <w:tcPr>
            <w:tcW w:w="1720" w:type="dxa"/>
            <w:vAlign w:val="bottom"/>
            <w:tcBorders>
              <w:bottom w:val="single" w:sz="8" w:color="auto"/>
            </w:tcBorders>
          </w:tcPr>
          <w:p>
            <w:pPr>
              <w:jc w:val="center"/>
              <w:ind w:left="170"/>
              <w:spacing w:after="0"/>
              <w:rPr>
                <w:sz w:val="20"/>
                <w:szCs w:val="20"/>
                <w:color w:val="auto"/>
              </w:rPr>
            </w:pPr>
            <w:r>
              <w:rPr>
                <w:rFonts w:ascii="Arial" w:cs="Arial" w:eastAsia="Arial" w:hAnsi="Arial"/>
                <w:sz w:val="18"/>
                <w:szCs w:val="18"/>
                <w:b w:val="1"/>
                <w:bCs w:val="1"/>
                <w:color w:val="auto"/>
                <w:w w:val="99"/>
              </w:rPr>
              <w:t>Change</w:t>
            </w:r>
          </w:p>
        </w:tc>
      </w:tr>
      <w:tr>
        <w:trPr>
          <w:trHeight w:val="257"/>
        </w:trPr>
        <w:tc>
          <w:tcPr>
            <w:tcW w:w="3240" w:type="dxa"/>
            <w:vAlign w:val="bottom"/>
            <w:shd w:val="clear" w:color="auto" w:fill="CCEEFF"/>
          </w:tcPr>
          <w:p>
            <w:pPr>
              <w:ind w:left="40"/>
              <w:spacing w:after="0"/>
              <w:rPr>
                <w:sz w:val="20"/>
                <w:szCs w:val="20"/>
                <w:color w:val="auto"/>
              </w:rPr>
            </w:pPr>
            <w:r>
              <w:rPr>
                <w:rFonts w:ascii="Arial" w:cs="Arial" w:eastAsia="Arial" w:hAnsi="Arial"/>
                <w:sz w:val="18"/>
                <w:szCs w:val="18"/>
                <w:color w:val="auto"/>
              </w:rPr>
              <w:t>Class A gas</w:t>
            </w:r>
          </w:p>
        </w:tc>
        <w:tc>
          <w:tcPr>
            <w:tcW w:w="1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373</w:t>
            </w:r>
          </w:p>
        </w:tc>
        <w:tc>
          <w:tcPr>
            <w:tcW w:w="1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34.3%</w:t>
            </w:r>
          </w:p>
        </w:tc>
        <w:tc>
          <w:tcPr>
            <w:tcW w:w="144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453</w:t>
            </w:r>
          </w:p>
        </w:tc>
        <w:tc>
          <w:tcPr>
            <w:tcW w:w="12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38.9%</w:t>
            </w:r>
          </w:p>
        </w:tc>
        <w:tc>
          <w:tcPr>
            <w:tcW w:w="12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17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(17.7)%</w:t>
            </w:r>
          </w:p>
        </w:tc>
      </w:tr>
      <w:tr>
        <w:trPr>
          <w:trHeight w:val="264"/>
        </w:trPr>
        <w:tc>
          <w:tcPr>
            <w:tcW w:w="32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Class A diesel</w:t>
            </w:r>
          </w:p>
        </w:tc>
        <w:tc>
          <w:tcPr>
            <w:tcW w:w="1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226</w:t>
            </w:r>
          </w:p>
        </w:tc>
        <w:tc>
          <w:tcPr>
            <w:tcW w:w="1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20.8%</w:t>
            </w:r>
          </w:p>
        </w:tc>
        <w:tc>
          <w:tcPr>
            <w:tcW w:w="100" w:type="dxa"/>
            <w:vAlign w:val="bottom"/>
            <w:tcBorders>
              <w:bottom w:val="single" w:sz="8" w:color="CCEEFF"/>
            </w:tcBorders>
          </w:tcPr>
          <w:p>
            <w:pPr>
              <w:spacing w:after="0"/>
              <w:rPr>
                <w:sz w:val="22"/>
                <w:szCs w:val="22"/>
                <w:color w:val="auto"/>
              </w:rPr>
            </w:pPr>
          </w:p>
        </w:tc>
        <w:tc>
          <w:tcPr>
            <w:tcW w:w="1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262</w:t>
            </w:r>
          </w:p>
        </w:tc>
        <w:tc>
          <w:tcPr>
            <w:tcW w:w="12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22.5%</w:t>
            </w:r>
          </w:p>
        </w:tc>
        <w:tc>
          <w:tcPr>
            <w:tcW w:w="120" w:type="dxa"/>
            <w:vAlign w:val="bottom"/>
            <w:tcBorders>
              <w:bottom w:val="single" w:sz="8" w:color="CCEEFF"/>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w:t>
            </w:r>
          </w:p>
        </w:tc>
        <w:tc>
          <w:tcPr>
            <w:tcW w:w="17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(13.7)%</w:t>
            </w:r>
          </w:p>
        </w:tc>
      </w:tr>
      <w:tr>
        <w:trPr>
          <w:trHeight w:val="257"/>
        </w:trPr>
        <w:tc>
          <w:tcPr>
            <w:tcW w:w="32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Total Class A</w:t>
            </w:r>
          </w:p>
        </w:tc>
        <w:tc>
          <w:tcPr>
            <w:tcW w:w="1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599</w:t>
            </w:r>
          </w:p>
        </w:tc>
        <w:tc>
          <w:tcPr>
            <w:tcW w:w="1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55.1%</w:t>
            </w:r>
          </w:p>
        </w:tc>
        <w:tc>
          <w:tcPr>
            <w:tcW w:w="144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715</w:t>
            </w:r>
          </w:p>
        </w:tc>
        <w:tc>
          <w:tcPr>
            <w:tcW w:w="12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61.4%</w:t>
            </w:r>
          </w:p>
        </w:tc>
        <w:tc>
          <w:tcPr>
            <w:tcW w:w="12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17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(16.2)%</w:t>
            </w:r>
          </w:p>
        </w:tc>
      </w:tr>
      <w:tr>
        <w:trPr>
          <w:trHeight w:val="263"/>
        </w:trPr>
        <w:tc>
          <w:tcPr>
            <w:tcW w:w="3240" w:type="dxa"/>
            <w:vAlign w:val="bottom"/>
          </w:tcPr>
          <w:p>
            <w:pPr>
              <w:ind w:left="40"/>
              <w:spacing w:after="0"/>
              <w:rPr>
                <w:sz w:val="20"/>
                <w:szCs w:val="20"/>
                <w:color w:val="auto"/>
              </w:rPr>
            </w:pPr>
            <w:r>
              <w:rPr>
                <w:rFonts w:ascii="Arial" w:cs="Arial" w:eastAsia="Arial" w:hAnsi="Arial"/>
                <w:sz w:val="18"/>
                <w:szCs w:val="18"/>
                <w:color w:val="auto"/>
              </w:rPr>
              <w:t>Class B</w:t>
            </w:r>
          </w:p>
        </w:tc>
        <w:tc>
          <w:tcPr>
            <w:tcW w:w="1320" w:type="dxa"/>
            <w:vAlign w:val="bottom"/>
          </w:tcPr>
          <w:p>
            <w:pPr>
              <w:jc w:val="right"/>
              <w:ind w:right="130"/>
              <w:spacing w:after="0"/>
              <w:rPr>
                <w:sz w:val="20"/>
                <w:szCs w:val="20"/>
                <w:color w:val="auto"/>
              </w:rPr>
            </w:pPr>
            <w:r>
              <w:rPr>
                <w:rFonts w:ascii="Arial" w:cs="Arial" w:eastAsia="Arial" w:hAnsi="Arial"/>
                <w:sz w:val="18"/>
                <w:szCs w:val="18"/>
                <w:color w:val="auto"/>
              </w:rPr>
              <w:t>101</w:t>
            </w:r>
          </w:p>
        </w:tc>
        <w:tc>
          <w:tcPr>
            <w:tcW w:w="1260" w:type="dxa"/>
            <w:vAlign w:val="bottom"/>
          </w:tcPr>
          <w:p>
            <w:pPr>
              <w:jc w:val="right"/>
              <w:ind w:right="70"/>
              <w:spacing w:after="0"/>
              <w:rPr>
                <w:sz w:val="20"/>
                <w:szCs w:val="20"/>
                <w:color w:val="auto"/>
              </w:rPr>
            </w:pPr>
            <w:r>
              <w:rPr>
                <w:rFonts w:ascii="Arial" w:cs="Arial" w:eastAsia="Arial" w:hAnsi="Arial"/>
                <w:sz w:val="18"/>
                <w:szCs w:val="18"/>
                <w:color w:val="auto"/>
              </w:rPr>
              <w:t>9.3%</w:t>
            </w:r>
          </w:p>
        </w:tc>
        <w:tc>
          <w:tcPr>
            <w:tcW w:w="1440" w:type="dxa"/>
            <w:vAlign w:val="bottom"/>
            <w:gridSpan w:val="2"/>
          </w:tcPr>
          <w:p>
            <w:pPr>
              <w:jc w:val="right"/>
              <w:ind w:right="130"/>
              <w:spacing w:after="0"/>
              <w:rPr>
                <w:sz w:val="20"/>
                <w:szCs w:val="20"/>
                <w:color w:val="auto"/>
              </w:rPr>
            </w:pPr>
            <w:r>
              <w:rPr>
                <w:rFonts w:ascii="Arial" w:cs="Arial" w:eastAsia="Arial" w:hAnsi="Arial"/>
                <w:sz w:val="18"/>
                <w:szCs w:val="18"/>
                <w:color w:val="auto"/>
              </w:rPr>
              <w:t>34</w:t>
            </w:r>
          </w:p>
        </w:tc>
        <w:tc>
          <w:tcPr>
            <w:tcW w:w="1240" w:type="dxa"/>
            <w:vAlign w:val="bottom"/>
          </w:tcPr>
          <w:p>
            <w:pPr>
              <w:jc w:val="right"/>
              <w:ind w:right="70"/>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67</w:t>
            </w:r>
          </w:p>
        </w:tc>
        <w:tc>
          <w:tcPr>
            <w:tcW w:w="1720" w:type="dxa"/>
            <w:vAlign w:val="bottom"/>
          </w:tcPr>
          <w:p>
            <w:pPr>
              <w:jc w:val="right"/>
              <w:ind w:right="90"/>
              <w:spacing w:after="0"/>
              <w:rPr>
                <w:sz w:val="20"/>
                <w:szCs w:val="20"/>
                <w:color w:val="auto"/>
              </w:rPr>
            </w:pPr>
            <w:r>
              <w:rPr>
                <w:rFonts w:ascii="Arial" w:cs="Arial" w:eastAsia="Arial" w:hAnsi="Arial"/>
                <w:sz w:val="18"/>
                <w:szCs w:val="18"/>
                <w:color w:val="auto"/>
              </w:rPr>
              <w:t>197.1 %</w:t>
            </w:r>
          </w:p>
        </w:tc>
      </w:tr>
      <w:tr>
        <w:trPr>
          <w:trHeight w:val="270"/>
        </w:trPr>
        <w:tc>
          <w:tcPr>
            <w:tcW w:w="3240" w:type="dxa"/>
            <w:vAlign w:val="bottom"/>
            <w:shd w:val="clear" w:color="auto" w:fill="CCEEFF"/>
          </w:tcPr>
          <w:p>
            <w:pPr>
              <w:ind w:left="40"/>
              <w:spacing w:after="0"/>
              <w:rPr>
                <w:sz w:val="20"/>
                <w:szCs w:val="20"/>
                <w:color w:val="auto"/>
              </w:rPr>
            </w:pPr>
            <w:r>
              <w:rPr>
                <w:rFonts w:ascii="Arial" w:cs="Arial" w:eastAsia="Arial" w:hAnsi="Arial"/>
                <w:sz w:val="18"/>
                <w:szCs w:val="18"/>
                <w:color w:val="auto"/>
              </w:rPr>
              <w:t>Class C</w:t>
            </w:r>
          </w:p>
        </w:tc>
        <w:tc>
          <w:tcPr>
            <w:tcW w:w="1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388</w:t>
            </w:r>
          </w:p>
        </w:tc>
        <w:tc>
          <w:tcPr>
            <w:tcW w:w="1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35.7%</w:t>
            </w:r>
          </w:p>
        </w:tc>
        <w:tc>
          <w:tcPr>
            <w:tcW w:w="100" w:type="dxa"/>
            <w:vAlign w:val="bottom"/>
            <w:shd w:val="clear" w:color="auto" w:fill="CCEEFF"/>
          </w:tcPr>
          <w:p>
            <w:pPr>
              <w:spacing w:after="0"/>
              <w:rPr>
                <w:sz w:val="23"/>
                <w:szCs w:val="23"/>
                <w:color w:val="auto"/>
              </w:rPr>
            </w:pPr>
          </w:p>
        </w:tc>
        <w:tc>
          <w:tcPr>
            <w:tcW w:w="1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415</w:t>
            </w:r>
          </w:p>
        </w:tc>
        <w:tc>
          <w:tcPr>
            <w:tcW w:w="12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35.7%</w:t>
            </w:r>
          </w:p>
        </w:tc>
        <w:tc>
          <w:tcPr>
            <w:tcW w:w="120" w:type="dxa"/>
            <w:vAlign w:val="bottom"/>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72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(6.5)%</w:t>
            </w:r>
          </w:p>
        </w:tc>
      </w:tr>
      <w:tr>
        <w:trPr>
          <w:trHeight w:val="297"/>
        </w:trPr>
        <w:tc>
          <w:tcPr>
            <w:tcW w:w="3240" w:type="dxa"/>
            <w:vAlign w:val="bottom"/>
          </w:tcPr>
          <w:p>
            <w:pPr>
              <w:ind w:left="280"/>
              <w:spacing w:after="0"/>
              <w:rPr>
                <w:sz w:val="20"/>
                <w:szCs w:val="20"/>
                <w:color w:val="auto"/>
              </w:rPr>
            </w:pPr>
            <w:r>
              <w:rPr>
                <w:rFonts w:ascii="Arial" w:cs="Arial" w:eastAsia="Arial" w:hAnsi="Arial"/>
                <w:sz w:val="18"/>
                <w:szCs w:val="18"/>
                <w:color w:val="auto"/>
              </w:rPr>
              <w:t>Total motor homes</w:t>
            </w:r>
          </w:p>
        </w:tc>
        <w:tc>
          <w:tcPr>
            <w:tcW w:w="1320" w:type="dxa"/>
            <w:vAlign w:val="bottom"/>
          </w:tcPr>
          <w:p>
            <w:pPr>
              <w:jc w:val="right"/>
              <w:ind w:right="130"/>
              <w:spacing w:after="0"/>
              <w:rPr>
                <w:sz w:val="20"/>
                <w:szCs w:val="20"/>
                <w:color w:val="auto"/>
              </w:rPr>
            </w:pPr>
            <w:r>
              <w:rPr>
                <w:rFonts w:ascii="Arial" w:cs="Arial" w:eastAsia="Arial" w:hAnsi="Arial"/>
                <w:sz w:val="18"/>
                <w:szCs w:val="18"/>
                <w:color w:val="auto"/>
              </w:rPr>
              <w:t>1,088</w:t>
            </w:r>
          </w:p>
        </w:tc>
        <w:tc>
          <w:tcPr>
            <w:tcW w:w="1260" w:type="dxa"/>
            <w:vAlign w:val="bottom"/>
          </w:tcPr>
          <w:p>
            <w:pPr>
              <w:jc w:val="right"/>
              <w:ind w:right="70"/>
              <w:spacing w:after="0"/>
              <w:rPr>
                <w:sz w:val="20"/>
                <w:szCs w:val="20"/>
                <w:color w:val="auto"/>
              </w:rPr>
            </w:pPr>
            <w:r>
              <w:rPr>
                <w:rFonts w:ascii="Arial" w:cs="Arial" w:eastAsia="Arial" w:hAnsi="Arial"/>
                <w:sz w:val="18"/>
                <w:szCs w:val="18"/>
                <w:color w:val="auto"/>
              </w:rPr>
              <w:t>100.0%</w:t>
            </w:r>
          </w:p>
        </w:tc>
        <w:tc>
          <w:tcPr>
            <w:tcW w:w="1440" w:type="dxa"/>
            <w:vAlign w:val="bottom"/>
            <w:gridSpan w:val="2"/>
          </w:tcPr>
          <w:p>
            <w:pPr>
              <w:jc w:val="right"/>
              <w:ind w:right="130"/>
              <w:spacing w:after="0"/>
              <w:rPr>
                <w:sz w:val="20"/>
                <w:szCs w:val="20"/>
                <w:color w:val="auto"/>
              </w:rPr>
            </w:pPr>
            <w:r>
              <w:rPr>
                <w:rFonts w:ascii="Arial" w:cs="Arial" w:eastAsia="Arial" w:hAnsi="Arial"/>
                <w:sz w:val="18"/>
                <w:szCs w:val="18"/>
                <w:color w:val="auto"/>
              </w:rPr>
              <w:t>1,164</w:t>
            </w:r>
          </w:p>
        </w:tc>
        <w:tc>
          <w:tcPr>
            <w:tcW w:w="1240" w:type="dxa"/>
            <w:vAlign w:val="bottom"/>
          </w:tcPr>
          <w:p>
            <w:pPr>
              <w:jc w:val="right"/>
              <w:ind w:right="70"/>
              <w:spacing w:after="0"/>
              <w:rPr>
                <w:sz w:val="20"/>
                <w:szCs w:val="20"/>
                <w:color w:val="auto"/>
              </w:rPr>
            </w:pPr>
            <w:r>
              <w:rPr>
                <w:rFonts w:ascii="Arial" w:cs="Arial" w:eastAsia="Arial" w:hAnsi="Arial"/>
                <w:sz w:val="18"/>
                <w:szCs w:val="18"/>
                <w:color w:val="auto"/>
              </w:rPr>
              <w:t>100.0%</w:t>
            </w:r>
          </w:p>
        </w:tc>
        <w:tc>
          <w:tcPr>
            <w:tcW w:w="1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(76)</w:t>
            </w:r>
          </w:p>
        </w:tc>
        <w:tc>
          <w:tcPr>
            <w:tcW w:w="1720" w:type="dxa"/>
            <w:vAlign w:val="bottom"/>
          </w:tcPr>
          <w:p>
            <w:pPr>
              <w:jc w:val="right"/>
              <w:ind w:right="90"/>
              <w:spacing w:after="0"/>
              <w:rPr>
                <w:sz w:val="20"/>
                <w:szCs w:val="20"/>
                <w:color w:val="auto"/>
              </w:rPr>
            </w:pPr>
            <w:r>
              <w:rPr>
                <w:rFonts w:ascii="Arial" w:cs="Arial" w:eastAsia="Arial" w:hAnsi="Arial"/>
                <w:sz w:val="18"/>
                <w:szCs w:val="18"/>
                <w:color w:val="auto"/>
              </w:rPr>
              <w:t>(6.5)%</w:t>
            </w:r>
          </w:p>
        </w:tc>
      </w:tr>
      <w:tr>
        <w:trPr>
          <w:trHeight w:val="278"/>
        </w:trPr>
        <w:tc>
          <w:tcPr>
            <w:tcW w:w="3240" w:type="dxa"/>
            <w:vAlign w:val="bottom"/>
            <w:tcBorders>
              <w:top w:val="single" w:sz="8" w:color="CCEEFF"/>
            </w:tcBorders>
            <w:shd w:val="clear" w:color="auto" w:fill="CCEEFF"/>
          </w:tcPr>
          <w:p>
            <w:pPr>
              <w:spacing w:after="0"/>
              <w:rPr>
                <w:sz w:val="24"/>
                <w:szCs w:val="24"/>
                <w:color w:val="auto"/>
              </w:rPr>
            </w:pPr>
          </w:p>
        </w:tc>
        <w:tc>
          <w:tcPr>
            <w:tcW w:w="1320" w:type="dxa"/>
            <w:vAlign w:val="bottom"/>
            <w:tcBorders>
              <w:top w:val="single" w:sz="8" w:color="auto"/>
            </w:tcBorders>
            <w:shd w:val="clear" w:color="auto" w:fill="CCEEFF"/>
          </w:tcPr>
          <w:p>
            <w:pPr>
              <w:spacing w:after="0"/>
              <w:rPr>
                <w:sz w:val="24"/>
                <w:szCs w:val="24"/>
                <w:color w:val="auto"/>
              </w:rPr>
            </w:pPr>
          </w:p>
        </w:tc>
        <w:tc>
          <w:tcPr>
            <w:tcW w:w="1260" w:type="dxa"/>
            <w:vAlign w:val="bottom"/>
            <w:tcBorders>
              <w:top w:val="single" w:sz="8" w:color="auto"/>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1340" w:type="dxa"/>
            <w:vAlign w:val="bottom"/>
            <w:tcBorders>
              <w:top w:val="single" w:sz="8" w:color="auto"/>
            </w:tcBorders>
            <w:shd w:val="clear" w:color="auto" w:fill="CCEEFF"/>
          </w:tcPr>
          <w:p>
            <w:pPr>
              <w:spacing w:after="0"/>
              <w:rPr>
                <w:sz w:val="24"/>
                <w:szCs w:val="24"/>
                <w:color w:val="auto"/>
              </w:rPr>
            </w:pPr>
          </w:p>
        </w:tc>
        <w:tc>
          <w:tcPr>
            <w:tcW w:w="1240" w:type="dxa"/>
            <w:vAlign w:val="bottom"/>
            <w:tcBorders>
              <w:top w:val="single" w:sz="8" w:color="auto"/>
            </w:tcBorders>
            <w:shd w:val="clear" w:color="auto" w:fill="CCEEFF"/>
          </w:tcPr>
          <w:p>
            <w:pPr>
              <w:spacing w:after="0"/>
              <w:rPr>
                <w:sz w:val="24"/>
                <w:szCs w:val="24"/>
                <w:color w:val="auto"/>
              </w:rPr>
            </w:pPr>
          </w:p>
        </w:tc>
        <w:tc>
          <w:tcPr>
            <w:tcW w:w="120" w:type="dxa"/>
            <w:vAlign w:val="bottom"/>
            <w:tcBorders>
              <w:top w:val="single" w:sz="8" w:color="CCEEFF"/>
            </w:tcBorders>
            <w:shd w:val="clear" w:color="auto" w:fill="CCEEFF"/>
          </w:tcPr>
          <w:p>
            <w:pPr>
              <w:spacing w:after="0"/>
              <w:rPr>
                <w:sz w:val="24"/>
                <w:szCs w:val="24"/>
                <w:color w:val="auto"/>
              </w:rPr>
            </w:pPr>
          </w:p>
        </w:tc>
        <w:tc>
          <w:tcPr>
            <w:tcW w:w="1080" w:type="dxa"/>
            <w:vAlign w:val="bottom"/>
            <w:tcBorders>
              <w:top w:val="single" w:sz="8" w:color="auto"/>
            </w:tcBorders>
            <w:shd w:val="clear" w:color="auto" w:fill="CCEEFF"/>
          </w:tcPr>
          <w:p>
            <w:pPr>
              <w:spacing w:after="0"/>
              <w:rPr>
                <w:sz w:val="24"/>
                <w:szCs w:val="24"/>
                <w:color w:val="auto"/>
              </w:rPr>
            </w:pPr>
          </w:p>
        </w:tc>
        <w:tc>
          <w:tcPr>
            <w:tcW w:w="1720" w:type="dxa"/>
            <w:vAlign w:val="bottom"/>
            <w:tcBorders>
              <w:top w:val="single" w:sz="8" w:color="auto"/>
            </w:tcBorders>
            <w:shd w:val="clear" w:color="auto" w:fill="CCEEFF"/>
          </w:tcPr>
          <w:p>
            <w:pPr>
              <w:spacing w:after="0"/>
              <w:rPr>
                <w:sz w:val="24"/>
                <w:szCs w:val="24"/>
                <w:color w:val="auto"/>
              </w:rPr>
            </w:pPr>
          </w:p>
        </w:tc>
      </w:tr>
      <w:tr>
        <w:trPr>
          <w:trHeight w:val="263"/>
        </w:trPr>
        <w:tc>
          <w:tcPr>
            <w:tcW w:w="3240" w:type="dxa"/>
            <w:vAlign w:val="bottom"/>
          </w:tcPr>
          <w:p>
            <w:pPr>
              <w:ind w:left="40"/>
              <w:spacing w:after="0"/>
              <w:rPr>
                <w:sz w:val="20"/>
                <w:szCs w:val="20"/>
                <w:color w:val="auto"/>
              </w:rPr>
            </w:pPr>
            <w:r>
              <w:rPr>
                <w:rFonts w:ascii="Arial" w:cs="Arial" w:eastAsia="Arial" w:hAnsi="Arial"/>
                <w:sz w:val="18"/>
                <w:szCs w:val="18"/>
                <w:color w:val="auto"/>
              </w:rPr>
              <w:t>Travel trailer</w:t>
            </w:r>
          </w:p>
        </w:tc>
        <w:tc>
          <w:tcPr>
            <w:tcW w:w="1320" w:type="dxa"/>
            <w:vAlign w:val="bottom"/>
          </w:tcPr>
          <w:p>
            <w:pPr>
              <w:jc w:val="right"/>
              <w:ind w:right="130"/>
              <w:spacing w:after="0"/>
              <w:rPr>
                <w:sz w:val="20"/>
                <w:szCs w:val="20"/>
                <w:color w:val="auto"/>
              </w:rPr>
            </w:pPr>
            <w:r>
              <w:rPr>
                <w:rFonts w:ascii="Arial" w:cs="Arial" w:eastAsia="Arial" w:hAnsi="Arial"/>
                <w:sz w:val="18"/>
                <w:szCs w:val="18"/>
                <w:color w:val="auto"/>
              </w:rPr>
              <w:t>279</w:t>
            </w:r>
          </w:p>
        </w:tc>
        <w:tc>
          <w:tcPr>
            <w:tcW w:w="1260" w:type="dxa"/>
            <w:vAlign w:val="bottom"/>
          </w:tcPr>
          <w:p>
            <w:pPr>
              <w:jc w:val="right"/>
              <w:ind w:right="70"/>
              <w:spacing w:after="0"/>
              <w:rPr>
                <w:sz w:val="20"/>
                <w:szCs w:val="20"/>
                <w:color w:val="auto"/>
              </w:rPr>
            </w:pPr>
            <w:r>
              <w:rPr>
                <w:rFonts w:ascii="Arial" w:cs="Arial" w:eastAsia="Arial" w:hAnsi="Arial"/>
                <w:sz w:val="18"/>
                <w:szCs w:val="18"/>
                <w:color w:val="auto"/>
              </w:rPr>
              <w:t>77.9%</w:t>
            </w:r>
          </w:p>
        </w:tc>
        <w:tc>
          <w:tcPr>
            <w:tcW w:w="10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720" w:type="dxa"/>
            <w:vAlign w:val="bottom"/>
          </w:tcPr>
          <w:p>
            <w:pPr>
              <w:spacing w:after="0"/>
              <w:rPr>
                <w:sz w:val="22"/>
                <w:szCs w:val="22"/>
                <w:color w:val="auto"/>
              </w:rPr>
            </w:pPr>
          </w:p>
        </w:tc>
      </w:tr>
      <w:tr>
        <w:trPr>
          <w:trHeight w:val="270"/>
        </w:trPr>
        <w:tc>
          <w:tcPr>
            <w:tcW w:w="3240" w:type="dxa"/>
            <w:vAlign w:val="bottom"/>
            <w:shd w:val="clear" w:color="auto" w:fill="CCEEFF"/>
          </w:tcPr>
          <w:p>
            <w:pPr>
              <w:ind w:left="40"/>
              <w:spacing w:after="0"/>
              <w:rPr>
                <w:sz w:val="20"/>
                <w:szCs w:val="20"/>
                <w:color w:val="auto"/>
              </w:rPr>
            </w:pPr>
            <w:r>
              <w:rPr>
                <w:rFonts w:ascii="Arial" w:cs="Arial" w:eastAsia="Arial" w:hAnsi="Arial"/>
                <w:sz w:val="18"/>
                <w:szCs w:val="18"/>
                <w:color w:val="auto"/>
              </w:rPr>
              <w:t>Fifth wheel</w:t>
            </w:r>
          </w:p>
        </w:tc>
        <w:tc>
          <w:tcPr>
            <w:tcW w:w="1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79</w:t>
            </w:r>
          </w:p>
        </w:tc>
        <w:tc>
          <w:tcPr>
            <w:tcW w:w="1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22.1%</w:t>
            </w:r>
          </w:p>
        </w:tc>
        <w:tc>
          <w:tcPr>
            <w:tcW w:w="10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720" w:type="dxa"/>
            <w:vAlign w:val="bottom"/>
            <w:shd w:val="clear" w:color="auto" w:fill="CCEEFF"/>
          </w:tcPr>
          <w:p>
            <w:pPr>
              <w:spacing w:after="0"/>
              <w:rPr>
                <w:sz w:val="23"/>
                <w:szCs w:val="23"/>
                <w:color w:val="auto"/>
              </w:rPr>
            </w:pPr>
          </w:p>
        </w:tc>
      </w:tr>
      <w:tr>
        <w:trPr>
          <w:trHeight w:val="257"/>
        </w:trPr>
        <w:tc>
          <w:tcPr>
            <w:tcW w:w="3240" w:type="dxa"/>
            <w:vAlign w:val="bottom"/>
          </w:tcPr>
          <w:p>
            <w:pPr>
              <w:ind w:left="240"/>
              <w:spacing w:after="0"/>
              <w:rPr>
                <w:sz w:val="20"/>
                <w:szCs w:val="20"/>
                <w:color w:val="auto"/>
              </w:rPr>
            </w:pPr>
            <w:r>
              <w:rPr>
                <w:rFonts w:ascii="Arial" w:cs="Arial" w:eastAsia="Arial" w:hAnsi="Arial"/>
                <w:sz w:val="18"/>
                <w:szCs w:val="18"/>
                <w:color w:val="auto"/>
              </w:rPr>
              <w:t>Total towables</w:t>
            </w:r>
          </w:p>
        </w:tc>
        <w:tc>
          <w:tcPr>
            <w:tcW w:w="1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358</w:t>
            </w:r>
          </w:p>
        </w:tc>
        <w:tc>
          <w:tcPr>
            <w:tcW w:w="1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720" w:type="dxa"/>
            <w:vAlign w:val="bottom"/>
          </w:tcPr>
          <w:p>
            <w:pPr>
              <w:spacing w:after="0"/>
              <w:rPr>
                <w:sz w:val="22"/>
                <w:szCs w:val="22"/>
                <w:color w:val="auto"/>
              </w:rPr>
            </w:pPr>
          </w:p>
        </w:tc>
      </w:tr>
      <w:tr>
        <w:trPr>
          <w:trHeight w:val="20"/>
        </w:trPr>
        <w:tc>
          <w:tcPr>
            <w:tcW w:w="324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541"/>
        </w:trPr>
        <w:tc>
          <w:tcPr>
            <w:tcW w:w="3240" w:type="dxa"/>
            <w:vAlign w:val="bottom"/>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gridSpan w:val="3"/>
          </w:tcPr>
          <w:p>
            <w:pPr>
              <w:jc w:val="right"/>
              <w:ind w:right="790"/>
              <w:spacing w:after="0"/>
              <w:rPr>
                <w:sz w:val="20"/>
                <w:szCs w:val="20"/>
                <w:color w:val="auto"/>
              </w:rPr>
            </w:pPr>
            <w:r>
              <w:rPr>
                <w:rFonts w:ascii="Arial" w:cs="Arial" w:eastAsia="Arial" w:hAnsi="Arial"/>
                <w:sz w:val="18"/>
                <w:szCs w:val="18"/>
                <w:b w:val="1"/>
                <w:bCs w:val="1"/>
                <w:color w:val="auto"/>
              </w:rPr>
              <w:t>Year Ended</w:t>
            </w:r>
          </w:p>
        </w:tc>
        <w:tc>
          <w:tcPr>
            <w:tcW w:w="12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jc w:val="right"/>
              <w:ind w:right="970"/>
              <w:spacing w:after="0"/>
              <w:rPr>
                <w:sz w:val="20"/>
                <w:szCs w:val="20"/>
                <w:color w:val="auto"/>
              </w:rPr>
            </w:pPr>
            <w:r>
              <w:rPr>
                <w:rFonts w:ascii="Arial" w:cs="Arial" w:eastAsia="Arial" w:hAnsi="Arial"/>
                <w:sz w:val="18"/>
                <w:szCs w:val="18"/>
                <w:b w:val="1"/>
                <w:bCs w:val="1"/>
                <w:color w:val="auto"/>
                <w:w w:val="96"/>
              </w:rPr>
              <w:t>Change</w:t>
            </w:r>
          </w:p>
        </w:tc>
      </w:tr>
      <w:tr>
        <w:trPr>
          <w:trHeight w:val="207"/>
        </w:trPr>
        <w:tc>
          <w:tcPr>
            <w:tcW w:w="3240" w:type="dxa"/>
            <w:vAlign w:val="bottom"/>
          </w:tcPr>
          <w:p>
            <w:pPr>
              <w:spacing w:after="0"/>
              <w:rPr>
                <w:sz w:val="17"/>
                <w:szCs w:val="17"/>
                <w:color w:val="auto"/>
              </w:rPr>
            </w:pPr>
          </w:p>
        </w:tc>
        <w:tc>
          <w:tcPr>
            <w:tcW w:w="1320" w:type="dxa"/>
            <w:vAlign w:val="bottom"/>
          </w:tcPr>
          <w:p>
            <w:pPr>
              <w:jc w:val="center"/>
              <w:ind w:right="70"/>
              <w:spacing w:after="0"/>
              <w:rPr>
                <w:sz w:val="20"/>
                <w:szCs w:val="20"/>
                <w:color w:val="auto"/>
              </w:rPr>
            </w:pPr>
            <w:r>
              <w:rPr>
                <w:rFonts w:ascii="Arial" w:cs="Arial" w:eastAsia="Arial" w:hAnsi="Arial"/>
                <w:sz w:val="18"/>
                <w:szCs w:val="18"/>
                <w:b w:val="1"/>
                <w:bCs w:val="1"/>
                <w:color w:val="auto"/>
                <w:w w:val="99"/>
              </w:rPr>
              <w:t>August 27,</w:t>
            </w:r>
          </w:p>
        </w:tc>
        <w:tc>
          <w:tcPr>
            <w:tcW w:w="1260" w:type="dxa"/>
            <w:vAlign w:val="bottom"/>
          </w:tcPr>
          <w:p>
            <w:pPr>
              <w:jc w:val="center"/>
              <w:ind w:right="10"/>
              <w:spacing w:after="0"/>
              <w:rPr>
                <w:sz w:val="20"/>
                <w:szCs w:val="20"/>
                <w:color w:val="auto"/>
              </w:rPr>
            </w:pPr>
            <w:r>
              <w:rPr>
                <w:rFonts w:ascii="Arial" w:cs="Arial" w:eastAsia="Arial" w:hAnsi="Arial"/>
                <w:sz w:val="18"/>
                <w:szCs w:val="18"/>
                <w:b w:val="1"/>
                <w:bCs w:val="1"/>
                <w:color w:val="auto"/>
                <w:w w:val="99"/>
              </w:rPr>
              <w:t>Product</w:t>
            </w:r>
          </w:p>
        </w:tc>
        <w:tc>
          <w:tcPr>
            <w:tcW w:w="100" w:type="dxa"/>
            <w:vAlign w:val="bottom"/>
          </w:tcPr>
          <w:p>
            <w:pPr>
              <w:spacing w:after="0"/>
              <w:rPr>
                <w:sz w:val="17"/>
                <w:szCs w:val="17"/>
                <w:color w:val="auto"/>
              </w:rPr>
            </w:pPr>
          </w:p>
        </w:tc>
        <w:tc>
          <w:tcPr>
            <w:tcW w:w="1340" w:type="dxa"/>
            <w:vAlign w:val="bottom"/>
          </w:tcPr>
          <w:p>
            <w:pPr>
              <w:jc w:val="center"/>
              <w:ind w:right="90"/>
              <w:spacing w:after="0"/>
              <w:rPr>
                <w:sz w:val="20"/>
                <w:szCs w:val="20"/>
                <w:color w:val="auto"/>
              </w:rPr>
            </w:pPr>
            <w:r>
              <w:rPr>
                <w:rFonts w:ascii="Arial" w:cs="Arial" w:eastAsia="Arial" w:hAnsi="Arial"/>
                <w:sz w:val="18"/>
                <w:szCs w:val="18"/>
                <w:b w:val="1"/>
                <w:bCs w:val="1"/>
                <w:color w:val="auto"/>
                <w:w w:val="99"/>
              </w:rPr>
              <w:t>August 28,</w:t>
            </w:r>
          </w:p>
        </w:tc>
        <w:tc>
          <w:tcPr>
            <w:tcW w:w="13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9"/>
              </w:rPr>
              <w:t>Product</w:t>
            </w:r>
          </w:p>
        </w:tc>
        <w:tc>
          <w:tcPr>
            <w:tcW w:w="1080" w:type="dxa"/>
            <w:vAlign w:val="bottom"/>
          </w:tcPr>
          <w:p>
            <w:pPr>
              <w:spacing w:after="0"/>
              <w:rPr>
                <w:sz w:val="17"/>
                <w:szCs w:val="17"/>
                <w:color w:val="auto"/>
              </w:rPr>
            </w:pPr>
          </w:p>
        </w:tc>
        <w:tc>
          <w:tcPr>
            <w:tcW w:w="1720" w:type="dxa"/>
            <w:vAlign w:val="bottom"/>
          </w:tcPr>
          <w:p>
            <w:pPr>
              <w:jc w:val="center"/>
              <w:ind w:left="190"/>
              <w:spacing w:after="0"/>
              <w:rPr>
                <w:sz w:val="20"/>
                <w:szCs w:val="20"/>
                <w:color w:val="auto"/>
              </w:rPr>
            </w:pPr>
            <w:r>
              <w:rPr>
                <w:rFonts w:ascii="Arial" w:cs="Arial" w:eastAsia="Arial" w:hAnsi="Arial"/>
                <w:sz w:val="18"/>
                <w:szCs w:val="18"/>
                <w:b w:val="1"/>
                <w:bCs w:val="1"/>
                <w:color w:val="auto"/>
                <w:w w:val="99"/>
              </w:rPr>
              <w:t>%</w:t>
            </w:r>
          </w:p>
        </w:tc>
      </w:tr>
      <w:tr>
        <w:trPr>
          <w:trHeight w:val="246"/>
        </w:trPr>
        <w:tc>
          <w:tcPr>
            <w:tcW w:w="324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(In units)</w:t>
            </w:r>
          </w:p>
        </w:tc>
        <w:tc>
          <w:tcPr>
            <w:tcW w:w="132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9"/>
              </w:rPr>
              <w:t>2011</w:t>
            </w:r>
          </w:p>
        </w:tc>
        <w:tc>
          <w:tcPr>
            <w:tcW w:w="126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7"/>
              </w:rPr>
              <w:t>Mix %</w:t>
            </w:r>
          </w:p>
        </w:tc>
        <w:tc>
          <w:tcPr>
            <w:tcW w:w="100" w:type="dxa"/>
            <w:vAlign w:val="bottom"/>
            <w:tcBorders>
              <w:bottom w:val="single" w:sz="8" w:color="CCEEFF"/>
            </w:tcBorders>
          </w:tcPr>
          <w:p>
            <w:pPr>
              <w:spacing w:after="0"/>
              <w:rPr>
                <w:sz w:val="21"/>
                <w:szCs w:val="21"/>
                <w:color w:val="auto"/>
              </w:rPr>
            </w:pPr>
          </w:p>
        </w:tc>
        <w:tc>
          <w:tcPr>
            <w:tcW w:w="134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9"/>
              </w:rPr>
              <w:t>2010</w:t>
            </w:r>
          </w:p>
        </w:tc>
        <w:tc>
          <w:tcPr>
            <w:tcW w:w="124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rPr>
              <w:t>Mix %</w:t>
            </w:r>
          </w:p>
        </w:tc>
        <w:tc>
          <w:tcPr>
            <w:tcW w:w="120" w:type="dxa"/>
            <w:vAlign w:val="bottom"/>
            <w:tcBorders>
              <w:bottom w:val="single" w:sz="8" w:color="CCEEFF"/>
            </w:tcBorders>
          </w:tcPr>
          <w:p>
            <w:pPr>
              <w:spacing w:after="0"/>
              <w:rPr>
                <w:sz w:val="21"/>
                <w:szCs w:val="21"/>
                <w:color w:val="auto"/>
              </w:rPr>
            </w:pPr>
          </w:p>
        </w:tc>
        <w:tc>
          <w:tcPr>
            <w:tcW w:w="10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Units</w:t>
            </w:r>
          </w:p>
        </w:tc>
        <w:tc>
          <w:tcPr>
            <w:tcW w:w="1720" w:type="dxa"/>
            <w:vAlign w:val="bottom"/>
            <w:tcBorders>
              <w:bottom w:val="single" w:sz="8" w:color="auto"/>
            </w:tcBorders>
          </w:tcPr>
          <w:p>
            <w:pPr>
              <w:jc w:val="center"/>
              <w:ind w:left="170"/>
              <w:spacing w:after="0"/>
              <w:rPr>
                <w:sz w:val="20"/>
                <w:szCs w:val="20"/>
                <w:color w:val="auto"/>
              </w:rPr>
            </w:pPr>
            <w:r>
              <w:rPr>
                <w:rFonts w:ascii="Arial" w:cs="Arial" w:eastAsia="Arial" w:hAnsi="Arial"/>
                <w:sz w:val="18"/>
                <w:szCs w:val="18"/>
                <w:b w:val="1"/>
                <w:bCs w:val="1"/>
                <w:color w:val="auto"/>
                <w:w w:val="99"/>
              </w:rPr>
              <w:t>Change</w:t>
            </w:r>
          </w:p>
        </w:tc>
      </w:tr>
      <w:tr>
        <w:trPr>
          <w:trHeight w:val="257"/>
        </w:trPr>
        <w:tc>
          <w:tcPr>
            <w:tcW w:w="3240" w:type="dxa"/>
            <w:vAlign w:val="bottom"/>
            <w:shd w:val="clear" w:color="auto" w:fill="CCEEFF"/>
          </w:tcPr>
          <w:p>
            <w:pPr>
              <w:ind w:left="40"/>
              <w:spacing w:after="0"/>
              <w:rPr>
                <w:sz w:val="20"/>
                <w:szCs w:val="20"/>
                <w:color w:val="auto"/>
              </w:rPr>
            </w:pPr>
            <w:r>
              <w:rPr>
                <w:rFonts w:ascii="Arial" w:cs="Arial" w:eastAsia="Arial" w:hAnsi="Arial"/>
                <w:sz w:val="18"/>
                <w:szCs w:val="18"/>
                <w:color w:val="auto"/>
              </w:rPr>
              <w:t>Class A gas</w:t>
            </w:r>
          </w:p>
        </w:tc>
        <w:tc>
          <w:tcPr>
            <w:tcW w:w="1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1,518</w:t>
            </w:r>
          </w:p>
        </w:tc>
        <w:tc>
          <w:tcPr>
            <w:tcW w:w="1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34.5%</w:t>
            </w:r>
          </w:p>
        </w:tc>
        <w:tc>
          <w:tcPr>
            <w:tcW w:w="144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1,483</w:t>
            </w:r>
          </w:p>
        </w:tc>
        <w:tc>
          <w:tcPr>
            <w:tcW w:w="12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33.4%</w:t>
            </w:r>
          </w:p>
        </w:tc>
        <w:tc>
          <w:tcPr>
            <w:tcW w:w="12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7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2.4 %</w:t>
            </w:r>
          </w:p>
        </w:tc>
      </w:tr>
      <w:tr>
        <w:trPr>
          <w:trHeight w:val="264"/>
        </w:trPr>
        <w:tc>
          <w:tcPr>
            <w:tcW w:w="32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Class A diesel</w:t>
            </w:r>
          </w:p>
        </w:tc>
        <w:tc>
          <w:tcPr>
            <w:tcW w:w="1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918</w:t>
            </w:r>
          </w:p>
        </w:tc>
        <w:tc>
          <w:tcPr>
            <w:tcW w:w="1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20.9%</w:t>
            </w:r>
          </w:p>
        </w:tc>
        <w:tc>
          <w:tcPr>
            <w:tcW w:w="100" w:type="dxa"/>
            <w:vAlign w:val="bottom"/>
            <w:tcBorders>
              <w:bottom w:val="single" w:sz="8" w:color="CCEEFF"/>
            </w:tcBorders>
          </w:tcPr>
          <w:p>
            <w:pPr>
              <w:spacing w:after="0"/>
              <w:rPr>
                <w:sz w:val="22"/>
                <w:szCs w:val="22"/>
                <w:color w:val="auto"/>
              </w:rPr>
            </w:pPr>
          </w:p>
        </w:tc>
        <w:tc>
          <w:tcPr>
            <w:tcW w:w="1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969</w:t>
            </w:r>
          </w:p>
        </w:tc>
        <w:tc>
          <w:tcPr>
            <w:tcW w:w="12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21.9%</w:t>
            </w:r>
          </w:p>
        </w:tc>
        <w:tc>
          <w:tcPr>
            <w:tcW w:w="120" w:type="dxa"/>
            <w:vAlign w:val="bottom"/>
            <w:tcBorders>
              <w:bottom w:val="single" w:sz="8" w:color="CCEEFF"/>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w:t>
            </w:r>
          </w:p>
        </w:tc>
        <w:tc>
          <w:tcPr>
            <w:tcW w:w="17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(5.3)%</w:t>
            </w:r>
          </w:p>
        </w:tc>
      </w:tr>
      <w:tr>
        <w:trPr>
          <w:trHeight w:val="257"/>
        </w:trPr>
        <w:tc>
          <w:tcPr>
            <w:tcW w:w="32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Total Class A</w:t>
            </w:r>
          </w:p>
        </w:tc>
        <w:tc>
          <w:tcPr>
            <w:tcW w:w="1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2,436</w:t>
            </w:r>
          </w:p>
        </w:tc>
        <w:tc>
          <w:tcPr>
            <w:tcW w:w="1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55.4%</w:t>
            </w:r>
          </w:p>
        </w:tc>
        <w:tc>
          <w:tcPr>
            <w:tcW w:w="144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2,452</w:t>
            </w:r>
          </w:p>
        </w:tc>
        <w:tc>
          <w:tcPr>
            <w:tcW w:w="12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55.3%</w:t>
            </w:r>
          </w:p>
        </w:tc>
        <w:tc>
          <w:tcPr>
            <w:tcW w:w="12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7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(0.7)%</w:t>
            </w:r>
          </w:p>
        </w:tc>
      </w:tr>
      <w:tr>
        <w:trPr>
          <w:trHeight w:val="263"/>
        </w:trPr>
        <w:tc>
          <w:tcPr>
            <w:tcW w:w="3240" w:type="dxa"/>
            <w:vAlign w:val="bottom"/>
          </w:tcPr>
          <w:p>
            <w:pPr>
              <w:ind w:left="40"/>
              <w:spacing w:after="0"/>
              <w:rPr>
                <w:sz w:val="20"/>
                <w:szCs w:val="20"/>
                <w:color w:val="auto"/>
              </w:rPr>
            </w:pPr>
            <w:r>
              <w:rPr>
                <w:rFonts w:ascii="Arial" w:cs="Arial" w:eastAsia="Arial" w:hAnsi="Arial"/>
                <w:sz w:val="18"/>
                <w:szCs w:val="18"/>
                <w:color w:val="auto"/>
              </w:rPr>
              <w:t>Class B</w:t>
            </w:r>
          </w:p>
        </w:tc>
        <w:tc>
          <w:tcPr>
            <w:tcW w:w="1320" w:type="dxa"/>
            <w:vAlign w:val="bottom"/>
          </w:tcPr>
          <w:p>
            <w:pPr>
              <w:jc w:val="right"/>
              <w:ind w:right="130"/>
              <w:spacing w:after="0"/>
              <w:rPr>
                <w:sz w:val="20"/>
                <w:szCs w:val="20"/>
                <w:color w:val="auto"/>
              </w:rPr>
            </w:pPr>
            <w:r>
              <w:rPr>
                <w:rFonts w:ascii="Arial" w:cs="Arial" w:eastAsia="Arial" w:hAnsi="Arial"/>
                <w:sz w:val="18"/>
                <w:szCs w:val="18"/>
                <w:color w:val="auto"/>
              </w:rPr>
              <w:t>103</w:t>
            </w:r>
          </w:p>
        </w:tc>
        <w:tc>
          <w:tcPr>
            <w:tcW w:w="1260" w:type="dxa"/>
            <w:vAlign w:val="bottom"/>
          </w:tcPr>
          <w:p>
            <w:pPr>
              <w:jc w:val="right"/>
              <w:ind w:right="70"/>
              <w:spacing w:after="0"/>
              <w:rPr>
                <w:sz w:val="20"/>
                <w:szCs w:val="20"/>
                <w:color w:val="auto"/>
              </w:rPr>
            </w:pPr>
            <w:r>
              <w:rPr>
                <w:rFonts w:ascii="Arial" w:cs="Arial" w:eastAsia="Arial" w:hAnsi="Arial"/>
                <w:sz w:val="18"/>
                <w:szCs w:val="18"/>
                <w:color w:val="auto"/>
              </w:rPr>
              <w:t>2.3%</w:t>
            </w:r>
          </w:p>
        </w:tc>
        <w:tc>
          <w:tcPr>
            <w:tcW w:w="1440" w:type="dxa"/>
            <w:vAlign w:val="bottom"/>
            <w:gridSpan w:val="2"/>
          </w:tcPr>
          <w:p>
            <w:pPr>
              <w:jc w:val="right"/>
              <w:ind w:right="130"/>
              <w:spacing w:after="0"/>
              <w:rPr>
                <w:sz w:val="20"/>
                <w:szCs w:val="20"/>
                <w:color w:val="auto"/>
              </w:rPr>
            </w:pPr>
            <w:r>
              <w:rPr>
                <w:rFonts w:ascii="Arial" w:cs="Arial" w:eastAsia="Arial" w:hAnsi="Arial"/>
                <w:sz w:val="18"/>
                <w:szCs w:val="18"/>
                <w:color w:val="auto"/>
              </w:rPr>
              <w:t>236</w:t>
            </w:r>
          </w:p>
        </w:tc>
        <w:tc>
          <w:tcPr>
            <w:tcW w:w="1240" w:type="dxa"/>
            <w:vAlign w:val="bottom"/>
          </w:tcPr>
          <w:p>
            <w:pPr>
              <w:jc w:val="right"/>
              <w:ind w:right="70"/>
              <w:spacing w:after="0"/>
              <w:rPr>
                <w:sz w:val="20"/>
                <w:szCs w:val="20"/>
                <w:color w:val="auto"/>
              </w:rPr>
            </w:pPr>
            <w:r>
              <w:rPr>
                <w:rFonts w:ascii="Arial" w:cs="Arial" w:eastAsia="Arial" w:hAnsi="Arial"/>
                <w:sz w:val="18"/>
                <w:szCs w:val="18"/>
                <w:color w:val="auto"/>
              </w:rPr>
              <w:t>5.3%</w:t>
            </w:r>
          </w:p>
        </w:tc>
        <w:tc>
          <w:tcPr>
            <w:tcW w:w="12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(133)</w:t>
            </w:r>
          </w:p>
        </w:tc>
        <w:tc>
          <w:tcPr>
            <w:tcW w:w="1720" w:type="dxa"/>
            <w:vAlign w:val="bottom"/>
          </w:tcPr>
          <w:p>
            <w:pPr>
              <w:jc w:val="right"/>
              <w:ind w:right="90"/>
              <w:spacing w:after="0"/>
              <w:rPr>
                <w:sz w:val="20"/>
                <w:szCs w:val="20"/>
                <w:color w:val="auto"/>
              </w:rPr>
            </w:pPr>
            <w:r>
              <w:rPr>
                <w:rFonts w:ascii="Arial" w:cs="Arial" w:eastAsia="Arial" w:hAnsi="Arial"/>
                <w:sz w:val="18"/>
                <w:szCs w:val="18"/>
                <w:color w:val="auto"/>
              </w:rPr>
              <w:t>(56.4)%</w:t>
            </w:r>
          </w:p>
        </w:tc>
      </w:tr>
      <w:tr>
        <w:trPr>
          <w:trHeight w:val="270"/>
        </w:trPr>
        <w:tc>
          <w:tcPr>
            <w:tcW w:w="3240" w:type="dxa"/>
            <w:vAlign w:val="bottom"/>
            <w:shd w:val="clear" w:color="auto" w:fill="CCEEFF"/>
          </w:tcPr>
          <w:p>
            <w:pPr>
              <w:ind w:left="40"/>
              <w:spacing w:after="0"/>
              <w:rPr>
                <w:sz w:val="20"/>
                <w:szCs w:val="20"/>
                <w:color w:val="auto"/>
              </w:rPr>
            </w:pPr>
            <w:r>
              <w:rPr>
                <w:rFonts w:ascii="Arial" w:cs="Arial" w:eastAsia="Arial" w:hAnsi="Arial"/>
                <w:sz w:val="18"/>
                <w:szCs w:val="18"/>
                <w:color w:val="auto"/>
              </w:rPr>
              <w:t>Class C</w:t>
            </w:r>
          </w:p>
        </w:tc>
        <w:tc>
          <w:tcPr>
            <w:tcW w:w="1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1,856</w:t>
            </w:r>
          </w:p>
        </w:tc>
        <w:tc>
          <w:tcPr>
            <w:tcW w:w="1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42.2%</w:t>
            </w:r>
          </w:p>
        </w:tc>
        <w:tc>
          <w:tcPr>
            <w:tcW w:w="100" w:type="dxa"/>
            <w:vAlign w:val="bottom"/>
            <w:shd w:val="clear" w:color="auto" w:fill="CCEEFF"/>
          </w:tcPr>
          <w:p>
            <w:pPr>
              <w:spacing w:after="0"/>
              <w:rPr>
                <w:sz w:val="23"/>
                <w:szCs w:val="23"/>
                <w:color w:val="auto"/>
              </w:rPr>
            </w:pPr>
          </w:p>
        </w:tc>
        <w:tc>
          <w:tcPr>
            <w:tcW w:w="1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1,745</w:t>
            </w:r>
          </w:p>
        </w:tc>
        <w:tc>
          <w:tcPr>
            <w:tcW w:w="12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39.4%</w:t>
            </w:r>
          </w:p>
        </w:tc>
        <w:tc>
          <w:tcPr>
            <w:tcW w:w="120" w:type="dxa"/>
            <w:vAlign w:val="bottom"/>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172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6.4 %</w:t>
            </w:r>
          </w:p>
        </w:tc>
      </w:tr>
      <w:tr>
        <w:trPr>
          <w:trHeight w:val="297"/>
        </w:trPr>
        <w:tc>
          <w:tcPr>
            <w:tcW w:w="3240" w:type="dxa"/>
            <w:vAlign w:val="bottom"/>
          </w:tcPr>
          <w:p>
            <w:pPr>
              <w:ind w:left="280"/>
              <w:spacing w:after="0"/>
              <w:rPr>
                <w:sz w:val="20"/>
                <w:szCs w:val="20"/>
                <w:color w:val="auto"/>
              </w:rPr>
            </w:pPr>
            <w:r>
              <w:rPr>
                <w:rFonts w:ascii="Arial" w:cs="Arial" w:eastAsia="Arial" w:hAnsi="Arial"/>
                <w:sz w:val="18"/>
                <w:szCs w:val="18"/>
                <w:color w:val="auto"/>
              </w:rPr>
              <w:t>Total motor homes</w:t>
            </w:r>
          </w:p>
        </w:tc>
        <w:tc>
          <w:tcPr>
            <w:tcW w:w="1320" w:type="dxa"/>
            <w:vAlign w:val="bottom"/>
          </w:tcPr>
          <w:p>
            <w:pPr>
              <w:jc w:val="right"/>
              <w:ind w:right="130"/>
              <w:spacing w:after="0"/>
              <w:rPr>
                <w:sz w:val="20"/>
                <w:szCs w:val="20"/>
                <w:color w:val="auto"/>
              </w:rPr>
            </w:pPr>
            <w:r>
              <w:rPr>
                <w:rFonts w:ascii="Arial" w:cs="Arial" w:eastAsia="Arial" w:hAnsi="Arial"/>
                <w:sz w:val="18"/>
                <w:szCs w:val="18"/>
                <w:color w:val="auto"/>
              </w:rPr>
              <w:t>4,395</w:t>
            </w:r>
          </w:p>
        </w:tc>
        <w:tc>
          <w:tcPr>
            <w:tcW w:w="1260" w:type="dxa"/>
            <w:vAlign w:val="bottom"/>
          </w:tcPr>
          <w:p>
            <w:pPr>
              <w:jc w:val="right"/>
              <w:ind w:right="70"/>
              <w:spacing w:after="0"/>
              <w:rPr>
                <w:sz w:val="20"/>
                <w:szCs w:val="20"/>
                <w:color w:val="auto"/>
              </w:rPr>
            </w:pPr>
            <w:r>
              <w:rPr>
                <w:rFonts w:ascii="Arial" w:cs="Arial" w:eastAsia="Arial" w:hAnsi="Arial"/>
                <w:sz w:val="18"/>
                <w:szCs w:val="18"/>
                <w:color w:val="auto"/>
              </w:rPr>
              <w:t>100.0%</w:t>
            </w:r>
          </w:p>
        </w:tc>
        <w:tc>
          <w:tcPr>
            <w:tcW w:w="1440" w:type="dxa"/>
            <w:vAlign w:val="bottom"/>
            <w:gridSpan w:val="2"/>
          </w:tcPr>
          <w:p>
            <w:pPr>
              <w:jc w:val="right"/>
              <w:ind w:right="130"/>
              <w:spacing w:after="0"/>
              <w:rPr>
                <w:sz w:val="20"/>
                <w:szCs w:val="20"/>
                <w:color w:val="auto"/>
              </w:rPr>
            </w:pPr>
            <w:r>
              <w:rPr>
                <w:rFonts w:ascii="Arial" w:cs="Arial" w:eastAsia="Arial" w:hAnsi="Arial"/>
                <w:sz w:val="18"/>
                <w:szCs w:val="18"/>
                <w:color w:val="auto"/>
              </w:rPr>
              <w:t>4,433</w:t>
            </w:r>
          </w:p>
        </w:tc>
        <w:tc>
          <w:tcPr>
            <w:tcW w:w="1240" w:type="dxa"/>
            <w:vAlign w:val="bottom"/>
          </w:tcPr>
          <w:p>
            <w:pPr>
              <w:jc w:val="right"/>
              <w:ind w:right="70"/>
              <w:spacing w:after="0"/>
              <w:rPr>
                <w:sz w:val="20"/>
                <w:szCs w:val="20"/>
                <w:color w:val="auto"/>
              </w:rPr>
            </w:pPr>
            <w:r>
              <w:rPr>
                <w:rFonts w:ascii="Arial" w:cs="Arial" w:eastAsia="Arial" w:hAnsi="Arial"/>
                <w:sz w:val="18"/>
                <w:szCs w:val="18"/>
                <w:color w:val="auto"/>
              </w:rPr>
              <w:t>100.0%</w:t>
            </w:r>
          </w:p>
        </w:tc>
        <w:tc>
          <w:tcPr>
            <w:tcW w:w="1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(38)</w:t>
            </w:r>
          </w:p>
        </w:tc>
        <w:tc>
          <w:tcPr>
            <w:tcW w:w="1720" w:type="dxa"/>
            <w:vAlign w:val="bottom"/>
          </w:tcPr>
          <w:p>
            <w:pPr>
              <w:jc w:val="right"/>
              <w:ind w:right="90"/>
              <w:spacing w:after="0"/>
              <w:rPr>
                <w:sz w:val="20"/>
                <w:szCs w:val="20"/>
                <w:color w:val="auto"/>
              </w:rPr>
            </w:pPr>
            <w:r>
              <w:rPr>
                <w:rFonts w:ascii="Arial" w:cs="Arial" w:eastAsia="Arial" w:hAnsi="Arial"/>
                <w:sz w:val="18"/>
                <w:szCs w:val="18"/>
                <w:color w:val="auto"/>
              </w:rPr>
              <w:t>(0.9)%</w:t>
            </w:r>
          </w:p>
        </w:tc>
      </w:tr>
      <w:tr>
        <w:trPr>
          <w:trHeight w:val="278"/>
        </w:trPr>
        <w:tc>
          <w:tcPr>
            <w:tcW w:w="3240" w:type="dxa"/>
            <w:vAlign w:val="bottom"/>
            <w:tcBorders>
              <w:top w:val="single" w:sz="8" w:color="CCEEFF"/>
            </w:tcBorders>
            <w:shd w:val="clear" w:color="auto" w:fill="CCEEFF"/>
          </w:tcPr>
          <w:p>
            <w:pPr>
              <w:spacing w:after="0"/>
              <w:rPr>
                <w:sz w:val="24"/>
                <w:szCs w:val="24"/>
                <w:color w:val="auto"/>
              </w:rPr>
            </w:pPr>
          </w:p>
        </w:tc>
        <w:tc>
          <w:tcPr>
            <w:tcW w:w="1320" w:type="dxa"/>
            <w:vAlign w:val="bottom"/>
            <w:tcBorders>
              <w:top w:val="single" w:sz="8" w:color="auto"/>
            </w:tcBorders>
            <w:shd w:val="clear" w:color="auto" w:fill="CCEEFF"/>
          </w:tcPr>
          <w:p>
            <w:pPr>
              <w:spacing w:after="0"/>
              <w:rPr>
                <w:sz w:val="24"/>
                <w:szCs w:val="24"/>
                <w:color w:val="auto"/>
              </w:rPr>
            </w:pPr>
          </w:p>
        </w:tc>
        <w:tc>
          <w:tcPr>
            <w:tcW w:w="1260" w:type="dxa"/>
            <w:vAlign w:val="bottom"/>
            <w:tcBorders>
              <w:top w:val="single" w:sz="8" w:color="auto"/>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1340" w:type="dxa"/>
            <w:vAlign w:val="bottom"/>
            <w:tcBorders>
              <w:top w:val="single" w:sz="8" w:color="auto"/>
            </w:tcBorders>
            <w:shd w:val="clear" w:color="auto" w:fill="CCEEFF"/>
          </w:tcPr>
          <w:p>
            <w:pPr>
              <w:spacing w:after="0"/>
              <w:rPr>
                <w:sz w:val="24"/>
                <w:szCs w:val="24"/>
                <w:color w:val="auto"/>
              </w:rPr>
            </w:pPr>
          </w:p>
        </w:tc>
        <w:tc>
          <w:tcPr>
            <w:tcW w:w="1240" w:type="dxa"/>
            <w:vAlign w:val="bottom"/>
            <w:tcBorders>
              <w:top w:val="single" w:sz="8" w:color="auto"/>
            </w:tcBorders>
            <w:shd w:val="clear" w:color="auto" w:fill="CCEEFF"/>
          </w:tcPr>
          <w:p>
            <w:pPr>
              <w:spacing w:after="0"/>
              <w:rPr>
                <w:sz w:val="24"/>
                <w:szCs w:val="24"/>
                <w:color w:val="auto"/>
              </w:rPr>
            </w:pPr>
          </w:p>
        </w:tc>
        <w:tc>
          <w:tcPr>
            <w:tcW w:w="120" w:type="dxa"/>
            <w:vAlign w:val="bottom"/>
            <w:tcBorders>
              <w:top w:val="single" w:sz="8" w:color="CCEEFF"/>
            </w:tcBorders>
            <w:shd w:val="clear" w:color="auto" w:fill="CCEEFF"/>
          </w:tcPr>
          <w:p>
            <w:pPr>
              <w:spacing w:after="0"/>
              <w:rPr>
                <w:sz w:val="24"/>
                <w:szCs w:val="24"/>
                <w:color w:val="auto"/>
              </w:rPr>
            </w:pPr>
          </w:p>
        </w:tc>
        <w:tc>
          <w:tcPr>
            <w:tcW w:w="1080" w:type="dxa"/>
            <w:vAlign w:val="bottom"/>
            <w:tcBorders>
              <w:top w:val="single" w:sz="8" w:color="auto"/>
            </w:tcBorders>
            <w:shd w:val="clear" w:color="auto" w:fill="CCEEFF"/>
          </w:tcPr>
          <w:p>
            <w:pPr>
              <w:spacing w:after="0"/>
              <w:rPr>
                <w:sz w:val="24"/>
                <w:szCs w:val="24"/>
                <w:color w:val="auto"/>
              </w:rPr>
            </w:pPr>
          </w:p>
        </w:tc>
        <w:tc>
          <w:tcPr>
            <w:tcW w:w="1720" w:type="dxa"/>
            <w:vAlign w:val="bottom"/>
            <w:tcBorders>
              <w:top w:val="single" w:sz="8" w:color="auto"/>
            </w:tcBorders>
            <w:shd w:val="clear" w:color="auto" w:fill="CCEEFF"/>
          </w:tcPr>
          <w:p>
            <w:pPr>
              <w:spacing w:after="0"/>
              <w:rPr>
                <w:sz w:val="24"/>
                <w:szCs w:val="24"/>
                <w:color w:val="auto"/>
              </w:rPr>
            </w:pPr>
          </w:p>
        </w:tc>
      </w:tr>
      <w:tr>
        <w:trPr>
          <w:trHeight w:val="263"/>
        </w:trPr>
        <w:tc>
          <w:tcPr>
            <w:tcW w:w="3240" w:type="dxa"/>
            <w:vAlign w:val="bottom"/>
          </w:tcPr>
          <w:p>
            <w:pPr>
              <w:ind w:left="40"/>
              <w:spacing w:after="0"/>
              <w:rPr>
                <w:sz w:val="20"/>
                <w:szCs w:val="20"/>
                <w:color w:val="auto"/>
              </w:rPr>
            </w:pPr>
            <w:r>
              <w:rPr>
                <w:rFonts w:ascii="Arial" w:cs="Arial" w:eastAsia="Arial" w:hAnsi="Arial"/>
                <w:sz w:val="18"/>
                <w:szCs w:val="18"/>
                <w:color w:val="auto"/>
              </w:rPr>
              <w:t>Travel trailer</w:t>
            </w:r>
          </w:p>
        </w:tc>
        <w:tc>
          <w:tcPr>
            <w:tcW w:w="1320" w:type="dxa"/>
            <w:vAlign w:val="bottom"/>
          </w:tcPr>
          <w:p>
            <w:pPr>
              <w:jc w:val="right"/>
              <w:ind w:right="130"/>
              <w:spacing w:after="0"/>
              <w:rPr>
                <w:sz w:val="20"/>
                <w:szCs w:val="20"/>
                <w:color w:val="auto"/>
              </w:rPr>
            </w:pPr>
            <w:r>
              <w:rPr>
                <w:rFonts w:ascii="Arial" w:cs="Arial" w:eastAsia="Arial" w:hAnsi="Arial"/>
                <w:sz w:val="18"/>
                <w:szCs w:val="18"/>
                <w:color w:val="auto"/>
              </w:rPr>
              <w:t>575</w:t>
            </w:r>
          </w:p>
        </w:tc>
        <w:tc>
          <w:tcPr>
            <w:tcW w:w="1260" w:type="dxa"/>
            <w:vAlign w:val="bottom"/>
          </w:tcPr>
          <w:p>
            <w:pPr>
              <w:jc w:val="right"/>
              <w:ind w:right="70"/>
              <w:spacing w:after="0"/>
              <w:rPr>
                <w:sz w:val="20"/>
                <w:szCs w:val="20"/>
                <w:color w:val="auto"/>
              </w:rPr>
            </w:pPr>
            <w:r>
              <w:rPr>
                <w:rFonts w:ascii="Arial" w:cs="Arial" w:eastAsia="Arial" w:hAnsi="Arial"/>
                <w:sz w:val="18"/>
                <w:szCs w:val="18"/>
                <w:color w:val="auto"/>
              </w:rPr>
              <w:t>74.8%</w:t>
            </w:r>
          </w:p>
        </w:tc>
        <w:tc>
          <w:tcPr>
            <w:tcW w:w="10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720" w:type="dxa"/>
            <w:vAlign w:val="bottom"/>
          </w:tcPr>
          <w:p>
            <w:pPr>
              <w:spacing w:after="0"/>
              <w:rPr>
                <w:sz w:val="22"/>
                <w:szCs w:val="22"/>
                <w:color w:val="auto"/>
              </w:rPr>
            </w:pPr>
          </w:p>
        </w:tc>
      </w:tr>
      <w:tr>
        <w:trPr>
          <w:trHeight w:val="270"/>
        </w:trPr>
        <w:tc>
          <w:tcPr>
            <w:tcW w:w="3240" w:type="dxa"/>
            <w:vAlign w:val="bottom"/>
            <w:shd w:val="clear" w:color="auto" w:fill="CCEEFF"/>
          </w:tcPr>
          <w:p>
            <w:pPr>
              <w:ind w:left="40"/>
              <w:spacing w:after="0"/>
              <w:rPr>
                <w:sz w:val="20"/>
                <w:szCs w:val="20"/>
                <w:color w:val="auto"/>
              </w:rPr>
            </w:pPr>
            <w:r>
              <w:rPr>
                <w:rFonts w:ascii="Arial" w:cs="Arial" w:eastAsia="Arial" w:hAnsi="Arial"/>
                <w:sz w:val="18"/>
                <w:szCs w:val="18"/>
                <w:color w:val="auto"/>
              </w:rPr>
              <w:t>Fifth wheel</w:t>
            </w:r>
          </w:p>
        </w:tc>
        <w:tc>
          <w:tcPr>
            <w:tcW w:w="1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194</w:t>
            </w:r>
          </w:p>
        </w:tc>
        <w:tc>
          <w:tcPr>
            <w:tcW w:w="1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25.2%</w:t>
            </w:r>
          </w:p>
        </w:tc>
        <w:tc>
          <w:tcPr>
            <w:tcW w:w="10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720" w:type="dxa"/>
            <w:vAlign w:val="bottom"/>
            <w:shd w:val="clear" w:color="auto" w:fill="CCEEFF"/>
          </w:tcPr>
          <w:p>
            <w:pPr>
              <w:spacing w:after="0"/>
              <w:rPr>
                <w:sz w:val="23"/>
                <w:szCs w:val="23"/>
                <w:color w:val="auto"/>
              </w:rPr>
            </w:pPr>
          </w:p>
        </w:tc>
      </w:tr>
      <w:tr>
        <w:trPr>
          <w:trHeight w:val="257"/>
        </w:trPr>
        <w:tc>
          <w:tcPr>
            <w:tcW w:w="3240" w:type="dxa"/>
            <w:vAlign w:val="bottom"/>
          </w:tcPr>
          <w:p>
            <w:pPr>
              <w:ind w:left="280"/>
              <w:spacing w:after="0"/>
              <w:rPr>
                <w:sz w:val="20"/>
                <w:szCs w:val="20"/>
                <w:color w:val="auto"/>
              </w:rPr>
            </w:pPr>
            <w:r>
              <w:rPr>
                <w:rFonts w:ascii="Arial" w:cs="Arial" w:eastAsia="Arial" w:hAnsi="Arial"/>
                <w:sz w:val="18"/>
                <w:szCs w:val="18"/>
                <w:color w:val="auto"/>
              </w:rPr>
              <w:t>Total towables</w:t>
            </w:r>
          </w:p>
        </w:tc>
        <w:tc>
          <w:tcPr>
            <w:tcW w:w="1320" w:type="dxa"/>
            <w:vAlign w:val="bottom"/>
          </w:tcPr>
          <w:p>
            <w:pPr>
              <w:jc w:val="right"/>
              <w:ind w:right="130"/>
              <w:spacing w:after="0"/>
              <w:rPr>
                <w:sz w:val="20"/>
                <w:szCs w:val="20"/>
                <w:color w:val="auto"/>
              </w:rPr>
            </w:pPr>
            <w:r>
              <w:rPr>
                <w:rFonts w:ascii="Arial" w:cs="Arial" w:eastAsia="Arial" w:hAnsi="Arial"/>
                <w:sz w:val="18"/>
                <w:szCs w:val="18"/>
                <w:color w:val="auto"/>
              </w:rPr>
              <w:t>769</w:t>
            </w:r>
          </w:p>
        </w:tc>
        <w:tc>
          <w:tcPr>
            <w:tcW w:w="1260" w:type="dxa"/>
            <w:vAlign w:val="bottom"/>
          </w:tcPr>
          <w:p>
            <w:pPr>
              <w:jc w:val="right"/>
              <w:ind w:right="70"/>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720" w:type="dxa"/>
            <w:vAlign w:val="bottom"/>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2054860</wp:posOffset>
            </wp:positionH>
            <wp:positionV relativeFrom="paragraph">
              <wp:posOffset>0</wp:posOffset>
            </wp:positionV>
            <wp:extent cx="163766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637665" cy="8890"/>
                    </a:xfrm>
                    <a:prstGeom prst="rect">
                      <a:avLst/>
                    </a:prstGeom>
                    <a:noFill/>
                  </pic:spPr>
                </pic:pic>
              </a:graphicData>
            </a:graphic>
          </wp:anchor>
        </w:drawing>
        <w:drawing>
          <wp:anchor simplePos="0" relativeHeight="251657728" behindDoc="1" locked="0" layoutInCell="0" allowOverlap="1">
            <wp:simplePos x="0" y="0"/>
            <wp:positionH relativeFrom="column">
              <wp:posOffset>2054860</wp:posOffset>
            </wp:positionH>
            <wp:positionV relativeFrom="paragraph">
              <wp:posOffset>17145</wp:posOffset>
            </wp:positionV>
            <wp:extent cx="163766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637665" cy="8890"/>
                    </a:xfrm>
                    <a:prstGeom prst="rect">
                      <a:avLst/>
                    </a:prstGeom>
                    <a:noFill/>
                  </pic:spPr>
                </pic:pic>
              </a:graphicData>
            </a:graphic>
          </wp:anchor>
        </w:drawing>
      </w:r>
    </w:p>
    <w:p>
      <w:pPr>
        <w:spacing w:after="0" w:line="22" w:lineRule="exact"/>
        <w:rPr>
          <w:sz w:val="20"/>
          <w:szCs w:val="20"/>
          <w:color w:val="auto"/>
        </w:rPr>
      </w:pPr>
    </w:p>
    <w:p>
      <w:pPr>
        <w:spacing w:after="0"/>
        <w:rPr>
          <w:sz w:val="20"/>
          <w:szCs w:val="20"/>
          <w:color w:val="auto"/>
        </w:rPr>
      </w:pPr>
      <w:r>
        <w:rPr>
          <w:rFonts w:ascii="Arial" w:cs="Arial" w:eastAsia="Arial" w:hAnsi="Arial"/>
          <w:sz w:val="16"/>
          <w:szCs w:val="16"/>
          <w:color w:val="auto"/>
        </w:rPr>
        <w:t>Percentages may not add due to rounding differences.</w:t>
      </w:r>
    </w:p>
    <w:p>
      <w:pPr>
        <w:sectPr>
          <w:pgSz w:w="11900" w:h="16838" w:orient="portrait"/>
          <w:cols w:equalWidth="0" w:num="1">
            <w:col w:w="11420"/>
          </w:cols>
          <w:pgMar w:left="240" w:top="576" w:right="2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Winnebago Industries,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Backlog</w:t>
      </w: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324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spacing w:after="0"/>
              <w:rPr>
                <w:sz w:val="21"/>
                <w:szCs w:val="21"/>
                <w:color w:val="auto"/>
              </w:rPr>
            </w:pPr>
          </w:p>
        </w:tc>
        <w:tc>
          <w:tcPr>
            <w:tcW w:w="162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8"/>
                <w:szCs w:val="18"/>
                <w:b w:val="1"/>
                <w:bCs w:val="1"/>
                <w:color w:val="auto"/>
              </w:rPr>
              <w:t>As Of</w:t>
            </w:r>
          </w:p>
        </w:tc>
        <w:tc>
          <w:tcPr>
            <w:tcW w:w="11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Change</w:t>
            </w:r>
          </w:p>
        </w:tc>
        <w:tc>
          <w:tcPr>
            <w:tcW w:w="1060" w:type="dxa"/>
            <w:vAlign w:val="bottom"/>
            <w:tcBorders>
              <w:bottom w:val="single" w:sz="8" w:color="auto"/>
            </w:tcBorders>
          </w:tcPr>
          <w:p>
            <w:pPr>
              <w:spacing w:after="0"/>
              <w:rPr>
                <w:sz w:val="21"/>
                <w:szCs w:val="21"/>
                <w:color w:val="auto"/>
              </w:rPr>
            </w:pPr>
          </w:p>
        </w:tc>
      </w:tr>
      <w:tr>
        <w:trPr>
          <w:trHeight w:val="264"/>
        </w:trPr>
        <w:tc>
          <w:tcPr>
            <w:tcW w:w="32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700" w:type="dxa"/>
            <w:vAlign w:val="bottom"/>
            <w:gridSpan w:val="4"/>
          </w:tcPr>
          <w:p>
            <w:pPr>
              <w:jc w:val="right"/>
              <w:ind w:right="960"/>
              <w:spacing w:after="0"/>
              <w:rPr>
                <w:sz w:val="20"/>
                <w:szCs w:val="20"/>
                <w:color w:val="auto"/>
              </w:rPr>
            </w:pPr>
            <w:r>
              <w:rPr>
                <w:rFonts w:ascii="Arial" w:cs="Arial" w:eastAsia="Arial" w:hAnsi="Arial"/>
                <w:sz w:val="18"/>
                <w:szCs w:val="18"/>
                <w:b w:val="1"/>
                <w:bCs w:val="1"/>
                <w:color w:val="auto"/>
              </w:rPr>
              <w:t>August 27, 2011</w:t>
            </w:r>
          </w:p>
        </w:tc>
        <w:tc>
          <w:tcPr>
            <w:tcW w:w="2380" w:type="dxa"/>
            <w:vAlign w:val="bottom"/>
            <w:gridSpan w:val="3"/>
          </w:tcPr>
          <w:p>
            <w:pPr>
              <w:ind w:left="320"/>
              <w:spacing w:after="0"/>
              <w:rPr>
                <w:sz w:val="20"/>
                <w:szCs w:val="20"/>
                <w:color w:val="auto"/>
              </w:rPr>
            </w:pPr>
            <w:r>
              <w:rPr>
                <w:rFonts w:ascii="Arial" w:cs="Arial" w:eastAsia="Arial" w:hAnsi="Arial"/>
                <w:sz w:val="18"/>
                <w:szCs w:val="18"/>
                <w:b w:val="1"/>
                <w:bCs w:val="1"/>
                <w:color w:val="auto"/>
              </w:rPr>
              <w:t>August 28, 2010</w:t>
            </w:r>
          </w:p>
        </w:tc>
        <w:tc>
          <w:tcPr>
            <w:tcW w:w="30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1060" w:type="dxa"/>
            <w:vAlign w:val="bottom"/>
          </w:tcPr>
          <w:p>
            <w:pPr>
              <w:jc w:val="right"/>
              <w:ind w:right="550"/>
              <w:spacing w:after="0"/>
              <w:rPr>
                <w:sz w:val="20"/>
                <w:szCs w:val="20"/>
                <w:color w:val="auto"/>
              </w:rPr>
            </w:pPr>
            <w:r>
              <w:rPr>
                <w:rFonts w:ascii="Arial" w:cs="Arial" w:eastAsia="Arial" w:hAnsi="Arial"/>
                <w:sz w:val="18"/>
                <w:szCs w:val="18"/>
                <w:b w:val="1"/>
                <w:bCs w:val="1"/>
                <w:color w:val="auto"/>
              </w:rPr>
              <w:t>%</w:t>
            </w:r>
          </w:p>
        </w:tc>
      </w:tr>
      <w:tr>
        <w:trPr>
          <w:trHeight w:val="270"/>
        </w:trPr>
        <w:tc>
          <w:tcPr>
            <w:tcW w:w="3240" w:type="dxa"/>
            <w:vAlign w:val="bottom"/>
            <w:tcBorders>
              <w:bottom w:val="single" w:sz="8" w:color="auto"/>
            </w:tcBorders>
          </w:tcPr>
          <w:p>
            <w:pPr>
              <w:spacing w:after="0"/>
              <w:rPr>
                <w:sz w:val="23"/>
                <w:szCs w:val="23"/>
                <w:color w:val="auto"/>
              </w:rPr>
            </w:pPr>
          </w:p>
        </w:tc>
        <w:tc>
          <w:tcPr>
            <w:tcW w:w="240" w:type="dxa"/>
            <w:vAlign w:val="bottom"/>
            <w:tcBorders>
              <w:top w:val="single" w:sz="8" w:color="auto"/>
              <w:bottom w:val="single" w:sz="8" w:color="auto"/>
            </w:tcBorders>
          </w:tcPr>
          <w:p>
            <w:pPr>
              <w:spacing w:after="0"/>
              <w:rPr>
                <w:sz w:val="23"/>
                <w:szCs w:val="23"/>
                <w:color w:val="auto"/>
              </w:rPr>
            </w:pPr>
          </w:p>
        </w:tc>
        <w:tc>
          <w:tcPr>
            <w:tcW w:w="108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Units</w:t>
            </w:r>
          </w:p>
        </w:tc>
        <w:tc>
          <w:tcPr>
            <w:tcW w:w="1220" w:type="dxa"/>
            <w:vAlign w:val="bottom"/>
            <w:tcBorders>
              <w:top w:val="single" w:sz="8" w:color="auto"/>
              <w:bottom w:val="single" w:sz="8" w:color="auto"/>
            </w:tcBorders>
          </w:tcPr>
          <w:p>
            <w:pPr>
              <w:jc w:val="right"/>
              <w:ind w:right="573"/>
              <w:spacing w:after="0" w:line="269" w:lineRule="exact"/>
              <w:rPr>
                <w:sz w:val="20"/>
                <w:szCs w:val="20"/>
                <w:color w:val="auto"/>
              </w:rPr>
            </w:pPr>
            <w:r>
              <w:rPr>
                <w:rFonts w:ascii="Arial" w:cs="Arial" w:eastAsia="Arial" w:hAnsi="Arial"/>
                <w:sz w:val="31"/>
                <w:szCs w:val="31"/>
                <w:b w:val="1"/>
                <w:bCs w:val="1"/>
                <w:color w:val="auto"/>
                <w:vertAlign w:val="subscript"/>
              </w:rPr>
              <w:t>%</w:t>
            </w:r>
            <w:r>
              <w:rPr>
                <w:rFonts w:ascii="Arial" w:cs="Arial" w:eastAsia="Arial" w:hAnsi="Arial"/>
                <w:sz w:val="10"/>
                <w:szCs w:val="10"/>
                <w:b w:val="1"/>
                <w:bCs w:val="1"/>
                <w:color w:val="auto"/>
              </w:rPr>
              <w:t xml:space="preserve"> (1)</w:t>
            </w:r>
          </w:p>
        </w:tc>
        <w:tc>
          <w:tcPr>
            <w:tcW w:w="120" w:type="dxa"/>
            <w:vAlign w:val="bottom"/>
            <w:tcBorders>
              <w:top w:val="single" w:sz="8" w:color="auto"/>
              <w:bottom w:val="single" w:sz="8" w:color="CCEEFF"/>
            </w:tcBorders>
          </w:tcPr>
          <w:p>
            <w:pPr>
              <w:spacing w:after="0"/>
              <w:rPr>
                <w:sz w:val="23"/>
                <w:szCs w:val="23"/>
                <w:color w:val="auto"/>
              </w:rPr>
            </w:pPr>
          </w:p>
        </w:tc>
        <w:tc>
          <w:tcPr>
            <w:tcW w:w="280" w:type="dxa"/>
            <w:vAlign w:val="bottom"/>
            <w:tcBorders>
              <w:top w:val="single" w:sz="8" w:color="auto"/>
              <w:bottom w:val="single" w:sz="8" w:color="auto"/>
            </w:tcBorders>
          </w:tcPr>
          <w:p>
            <w:pPr>
              <w:spacing w:after="0"/>
              <w:rPr>
                <w:sz w:val="23"/>
                <w:szCs w:val="23"/>
                <w:color w:val="auto"/>
              </w:rPr>
            </w:pPr>
          </w:p>
        </w:tc>
        <w:tc>
          <w:tcPr>
            <w:tcW w:w="112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Units</w:t>
            </w:r>
          </w:p>
        </w:tc>
        <w:tc>
          <w:tcPr>
            <w:tcW w:w="1140" w:type="dxa"/>
            <w:vAlign w:val="bottom"/>
            <w:tcBorders>
              <w:top w:val="single" w:sz="8" w:color="auto"/>
              <w:bottom w:val="single" w:sz="8" w:color="auto"/>
            </w:tcBorders>
          </w:tcPr>
          <w:p>
            <w:pPr>
              <w:jc w:val="right"/>
              <w:ind w:right="416"/>
              <w:spacing w:after="0" w:line="269" w:lineRule="exact"/>
              <w:rPr>
                <w:sz w:val="20"/>
                <w:szCs w:val="20"/>
                <w:color w:val="auto"/>
              </w:rPr>
            </w:pPr>
            <w:r>
              <w:rPr>
                <w:rFonts w:ascii="Arial" w:cs="Arial" w:eastAsia="Arial" w:hAnsi="Arial"/>
                <w:sz w:val="31"/>
                <w:szCs w:val="31"/>
                <w:b w:val="1"/>
                <w:bCs w:val="1"/>
                <w:color w:val="auto"/>
                <w:vertAlign w:val="subscript"/>
              </w:rPr>
              <w:t>%</w:t>
            </w:r>
            <w:r>
              <w:rPr>
                <w:rFonts w:ascii="Arial" w:cs="Arial" w:eastAsia="Arial" w:hAnsi="Arial"/>
                <w:sz w:val="10"/>
                <w:szCs w:val="10"/>
                <w:b w:val="1"/>
                <w:bCs w:val="1"/>
                <w:color w:val="auto"/>
              </w:rPr>
              <w:t xml:space="preserve"> (1)</w:t>
            </w:r>
          </w:p>
        </w:tc>
        <w:tc>
          <w:tcPr>
            <w:tcW w:w="12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500" w:type="dxa"/>
            <w:vAlign w:val="bottom"/>
            <w:tcBorders>
              <w:bottom w:val="single" w:sz="8" w:color="auto"/>
            </w:tcBorders>
          </w:tcPr>
          <w:p>
            <w:pPr>
              <w:jc w:val="right"/>
              <w:ind w:right="770"/>
              <w:spacing w:after="0"/>
              <w:rPr>
                <w:sz w:val="20"/>
                <w:szCs w:val="20"/>
                <w:color w:val="auto"/>
              </w:rPr>
            </w:pPr>
            <w:r>
              <w:rPr>
                <w:rFonts w:ascii="Arial" w:cs="Arial" w:eastAsia="Arial" w:hAnsi="Arial"/>
                <w:sz w:val="18"/>
                <w:szCs w:val="18"/>
                <w:b w:val="1"/>
                <w:bCs w:val="1"/>
                <w:color w:val="auto"/>
              </w:rPr>
              <w:t>Units</w:t>
            </w:r>
          </w:p>
        </w:tc>
        <w:tc>
          <w:tcPr>
            <w:tcW w:w="10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w w:val="99"/>
              </w:rPr>
              <w:t>Change</w:t>
            </w:r>
          </w:p>
        </w:tc>
      </w:tr>
      <w:tr>
        <w:trPr>
          <w:trHeight w:val="250"/>
        </w:trPr>
        <w:tc>
          <w:tcPr>
            <w:tcW w:w="3240" w:type="dxa"/>
            <w:vAlign w:val="bottom"/>
            <w:shd w:val="clear" w:color="auto" w:fill="CCEEFF"/>
          </w:tcPr>
          <w:p>
            <w:pPr>
              <w:ind w:left="40"/>
              <w:spacing w:after="0"/>
              <w:rPr>
                <w:sz w:val="20"/>
                <w:szCs w:val="20"/>
                <w:color w:val="auto"/>
              </w:rPr>
            </w:pPr>
            <w:r>
              <w:rPr>
                <w:rFonts w:ascii="Arial" w:cs="Arial" w:eastAsia="Arial" w:hAnsi="Arial"/>
                <w:sz w:val="18"/>
                <w:szCs w:val="18"/>
                <w:color w:val="auto"/>
              </w:rPr>
              <w:t>Class A gas</w:t>
            </w:r>
          </w:p>
        </w:tc>
        <w:tc>
          <w:tcPr>
            <w:tcW w:w="240" w:type="dxa"/>
            <w:vAlign w:val="bottom"/>
            <w:shd w:val="clear" w:color="auto" w:fill="CCEEFF"/>
          </w:tcPr>
          <w:p>
            <w:pPr>
              <w:spacing w:after="0"/>
              <w:rPr>
                <w:sz w:val="21"/>
                <w:szCs w:val="21"/>
                <w:color w:val="auto"/>
              </w:rPr>
            </w:pPr>
          </w:p>
        </w:tc>
        <w:tc>
          <w:tcPr>
            <w:tcW w:w="10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230</w:t>
            </w:r>
          </w:p>
        </w:tc>
        <w:tc>
          <w:tcPr>
            <w:tcW w:w="122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33.8%</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272</w:t>
            </w:r>
          </w:p>
        </w:tc>
        <w:tc>
          <w:tcPr>
            <w:tcW w:w="1140" w:type="dxa"/>
            <w:vAlign w:val="bottom"/>
            <w:shd w:val="clear" w:color="auto" w:fill="CCEEFF"/>
          </w:tcPr>
          <w:p>
            <w:pPr>
              <w:jc w:val="right"/>
              <w:ind w:right="76"/>
              <w:spacing w:after="0"/>
              <w:rPr>
                <w:sz w:val="20"/>
                <w:szCs w:val="20"/>
                <w:color w:val="auto"/>
              </w:rPr>
            </w:pPr>
            <w:r>
              <w:rPr>
                <w:rFonts w:ascii="Arial" w:cs="Arial" w:eastAsia="Arial" w:hAnsi="Arial"/>
                <w:sz w:val="18"/>
                <w:szCs w:val="18"/>
                <w:color w:val="auto"/>
              </w:rPr>
              <w:t>33.2%</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500" w:type="dxa"/>
            <w:vAlign w:val="bottom"/>
            <w:shd w:val="clear" w:color="auto" w:fill="CCEEFF"/>
          </w:tcPr>
          <w:p>
            <w:pPr>
              <w:jc w:val="right"/>
              <w:ind w:right="550"/>
              <w:spacing w:after="0"/>
              <w:rPr>
                <w:sz w:val="20"/>
                <w:szCs w:val="20"/>
                <w:color w:val="auto"/>
              </w:rPr>
            </w:pPr>
            <w:r>
              <w:rPr>
                <w:rFonts w:ascii="Arial" w:cs="Arial" w:eastAsia="Arial" w:hAnsi="Arial"/>
                <w:sz w:val="18"/>
                <w:szCs w:val="18"/>
                <w:color w:val="auto"/>
              </w:rPr>
              <w:t>(42)</w:t>
            </w:r>
          </w:p>
        </w:tc>
        <w:tc>
          <w:tcPr>
            <w:tcW w:w="10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(15.4)%</w:t>
            </w:r>
          </w:p>
        </w:tc>
      </w:tr>
      <w:tr>
        <w:trPr>
          <w:trHeight w:val="264"/>
        </w:trPr>
        <w:tc>
          <w:tcPr>
            <w:tcW w:w="32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Class A diesel</w:t>
            </w:r>
          </w:p>
        </w:tc>
        <w:tc>
          <w:tcPr>
            <w:tcW w:w="2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177</w:t>
            </w:r>
          </w:p>
        </w:tc>
        <w:tc>
          <w:tcPr>
            <w:tcW w:w="122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26.0%</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218</w:t>
            </w:r>
          </w:p>
        </w:tc>
        <w:tc>
          <w:tcPr>
            <w:tcW w:w="1140" w:type="dxa"/>
            <w:vAlign w:val="bottom"/>
            <w:tcBorders>
              <w:bottom w:val="single" w:sz="8" w:color="auto"/>
            </w:tcBorders>
          </w:tcPr>
          <w:p>
            <w:pPr>
              <w:jc w:val="right"/>
              <w:ind w:right="76"/>
              <w:spacing w:after="0"/>
              <w:rPr>
                <w:sz w:val="20"/>
                <w:szCs w:val="20"/>
                <w:color w:val="auto"/>
              </w:rPr>
            </w:pPr>
            <w:r>
              <w:rPr>
                <w:rFonts w:ascii="Arial" w:cs="Arial" w:eastAsia="Arial" w:hAnsi="Arial"/>
                <w:sz w:val="18"/>
                <w:szCs w:val="18"/>
                <w:color w:val="auto"/>
              </w:rPr>
              <w:t>26.7%</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color w:val="auto"/>
              </w:rPr>
              <w:t>(41)</w:t>
            </w:r>
          </w:p>
        </w:tc>
        <w:tc>
          <w:tcPr>
            <w:tcW w:w="10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(18.8)%</w:t>
            </w:r>
          </w:p>
        </w:tc>
      </w:tr>
      <w:tr>
        <w:trPr>
          <w:trHeight w:val="257"/>
        </w:trPr>
        <w:tc>
          <w:tcPr>
            <w:tcW w:w="32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Total Class A</w:t>
            </w:r>
          </w:p>
        </w:tc>
        <w:tc>
          <w:tcPr>
            <w:tcW w:w="240" w:type="dxa"/>
            <w:vAlign w:val="bottom"/>
            <w:shd w:val="clear" w:color="auto" w:fill="CCEEFF"/>
          </w:tcPr>
          <w:p>
            <w:pPr>
              <w:spacing w:after="0"/>
              <w:rPr>
                <w:sz w:val="22"/>
                <w:szCs w:val="22"/>
                <w:color w:val="auto"/>
              </w:rPr>
            </w:pPr>
          </w:p>
        </w:tc>
        <w:tc>
          <w:tcPr>
            <w:tcW w:w="10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407</w:t>
            </w:r>
          </w:p>
        </w:tc>
        <w:tc>
          <w:tcPr>
            <w:tcW w:w="122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59.8%</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1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490</w:t>
            </w:r>
          </w:p>
        </w:tc>
        <w:tc>
          <w:tcPr>
            <w:tcW w:w="1140" w:type="dxa"/>
            <w:vAlign w:val="bottom"/>
            <w:shd w:val="clear" w:color="auto" w:fill="CCEEFF"/>
          </w:tcPr>
          <w:p>
            <w:pPr>
              <w:jc w:val="right"/>
              <w:ind w:right="76"/>
              <w:spacing w:after="0"/>
              <w:rPr>
                <w:sz w:val="20"/>
                <w:szCs w:val="20"/>
                <w:color w:val="auto"/>
              </w:rPr>
            </w:pPr>
            <w:r>
              <w:rPr>
                <w:rFonts w:ascii="Arial" w:cs="Arial" w:eastAsia="Arial" w:hAnsi="Arial"/>
                <w:sz w:val="18"/>
                <w:szCs w:val="18"/>
                <w:color w:val="auto"/>
              </w:rPr>
              <w:t>59.9%</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500" w:type="dxa"/>
            <w:vAlign w:val="bottom"/>
            <w:shd w:val="clear" w:color="auto" w:fill="CCEEFF"/>
          </w:tcPr>
          <w:p>
            <w:pPr>
              <w:jc w:val="right"/>
              <w:ind w:right="550"/>
              <w:spacing w:after="0"/>
              <w:rPr>
                <w:sz w:val="20"/>
                <w:szCs w:val="20"/>
                <w:color w:val="auto"/>
              </w:rPr>
            </w:pPr>
            <w:r>
              <w:rPr>
                <w:rFonts w:ascii="Arial" w:cs="Arial" w:eastAsia="Arial" w:hAnsi="Arial"/>
                <w:sz w:val="18"/>
                <w:szCs w:val="18"/>
                <w:color w:val="auto"/>
              </w:rPr>
              <w:t>(83)</w:t>
            </w:r>
          </w:p>
        </w:tc>
        <w:tc>
          <w:tcPr>
            <w:tcW w:w="10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(16.9)%</w:t>
            </w:r>
          </w:p>
        </w:tc>
      </w:tr>
      <w:tr>
        <w:trPr>
          <w:trHeight w:val="263"/>
        </w:trPr>
        <w:tc>
          <w:tcPr>
            <w:tcW w:w="3240" w:type="dxa"/>
            <w:vAlign w:val="bottom"/>
          </w:tcPr>
          <w:p>
            <w:pPr>
              <w:ind w:left="40"/>
              <w:spacing w:after="0"/>
              <w:rPr>
                <w:sz w:val="20"/>
                <w:szCs w:val="20"/>
                <w:color w:val="auto"/>
              </w:rPr>
            </w:pPr>
            <w:r>
              <w:rPr>
                <w:rFonts w:ascii="Arial" w:cs="Arial" w:eastAsia="Arial" w:hAnsi="Arial"/>
                <w:sz w:val="18"/>
                <w:szCs w:val="18"/>
                <w:color w:val="auto"/>
              </w:rPr>
              <w:t>Class B</w:t>
            </w:r>
          </w:p>
        </w:tc>
        <w:tc>
          <w:tcPr>
            <w:tcW w:w="240" w:type="dxa"/>
            <w:vAlign w:val="bottom"/>
          </w:tcPr>
          <w:p>
            <w:pPr>
              <w:spacing w:after="0"/>
              <w:rPr>
                <w:sz w:val="22"/>
                <w:szCs w:val="22"/>
                <w:color w:val="auto"/>
              </w:rPr>
            </w:pPr>
          </w:p>
        </w:tc>
        <w:tc>
          <w:tcPr>
            <w:tcW w:w="1080" w:type="dxa"/>
            <w:vAlign w:val="bottom"/>
          </w:tcPr>
          <w:p>
            <w:pPr>
              <w:jc w:val="right"/>
              <w:ind w:right="150"/>
              <w:spacing w:after="0"/>
              <w:rPr>
                <w:sz w:val="20"/>
                <w:szCs w:val="20"/>
                <w:color w:val="auto"/>
              </w:rPr>
            </w:pPr>
            <w:r>
              <w:rPr>
                <w:rFonts w:ascii="Arial" w:cs="Arial" w:eastAsia="Arial" w:hAnsi="Arial"/>
                <w:sz w:val="18"/>
                <w:szCs w:val="18"/>
                <w:color w:val="auto"/>
              </w:rPr>
              <w:t>71</w:t>
            </w:r>
          </w:p>
        </w:tc>
        <w:tc>
          <w:tcPr>
            <w:tcW w:w="1220" w:type="dxa"/>
            <w:vAlign w:val="bottom"/>
          </w:tcPr>
          <w:p>
            <w:pPr>
              <w:jc w:val="right"/>
              <w:ind w:right="73"/>
              <w:spacing w:after="0"/>
              <w:rPr>
                <w:sz w:val="20"/>
                <w:szCs w:val="20"/>
                <w:color w:val="auto"/>
              </w:rPr>
            </w:pPr>
            <w:r>
              <w:rPr>
                <w:rFonts w:ascii="Arial" w:cs="Arial" w:eastAsia="Arial" w:hAnsi="Arial"/>
                <w:sz w:val="18"/>
                <w:szCs w:val="18"/>
                <w:color w:val="auto"/>
              </w:rPr>
              <w:t>10.4%</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2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2"/>
                <w:szCs w:val="22"/>
                <w:color w:val="auto"/>
              </w:rPr>
            </w:pPr>
          </w:p>
        </w:tc>
        <w:tc>
          <w:tcPr>
            <w:tcW w:w="1500" w:type="dxa"/>
            <w:vAlign w:val="bottom"/>
          </w:tcPr>
          <w:p>
            <w:pPr>
              <w:jc w:val="right"/>
              <w:ind w:right="610"/>
              <w:spacing w:after="0"/>
              <w:rPr>
                <w:sz w:val="20"/>
                <w:szCs w:val="20"/>
                <w:color w:val="auto"/>
              </w:rPr>
            </w:pPr>
            <w:r>
              <w:rPr>
                <w:rFonts w:ascii="Arial" w:cs="Arial" w:eastAsia="Arial" w:hAnsi="Arial"/>
                <w:sz w:val="18"/>
                <w:szCs w:val="18"/>
                <w:color w:val="auto"/>
              </w:rPr>
              <w:t>71</w:t>
            </w:r>
          </w:p>
        </w:tc>
        <w:tc>
          <w:tcPr>
            <w:tcW w:w="1060" w:type="dxa"/>
            <w:vAlign w:val="bottom"/>
          </w:tcPr>
          <w:p>
            <w:pPr>
              <w:jc w:val="right"/>
              <w:ind w:right="90"/>
              <w:spacing w:after="0"/>
              <w:rPr>
                <w:sz w:val="20"/>
                <w:szCs w:val="20"/>
                <w:color w:val="auto"/>
              </w:rPr>
            </w:pPr>
            <w:r>
              <w:rPr>
                <w:rFonts w:ascii="Arial" w:cs="Arial" w:eastAsia="Arial" w:hAnsi="Arial"/>
                <w:sz w:val="18"/>
                <w:szCs w:val="18"/>
                <w:color w:val="auto"/>
              </w:rPr>
              <w:t>100.0 %</w:t>
            </w:r>
          </w:p>
        </w:tc>
      </w:tr>
      <w:tr>
        <w:trPr>
          <w:trHeight w:val="270"/>
        </w:trPr>
        <w:tc>
          <w:tcPr>
            <w:tcW w:w="3240" w:type="dxa"/>
            <w:vAlign w:val="bottom"/>
            <w:shd w:val="clear" w:color="auto" w:fill="CCEEFF"/>
          </w:tcPr>
          <w:p>
            <w:pPr>
              <w:ind w:left="40"/>
              <w:spacing w:after="0"/>
              <w:rPr>
                <w:sz w:val="20"/>
                <w:szCs w:val="20"/>
                <w:color w:val="auto"/>
              </w:rPr>
            </w:pPr>
            <w:r>
              <w:rPr>
                <w:rFonts w:ascii="Arial" w:cs="Arial" w:eastAsia="Arial" w:hAnsi="Arial"/>
                <w:sz w:val="18"/>
                <w:szCs w:val="18"/>
                <w:color w:val="auto"/>
              </w:rPr>
              <w:t>Class C</w:t>
            </w:r>
          </w:p>
        </w:tc>
        <w:tc>
          <w:tcPr>
            <w:tcW w:w="24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203</w:t>
            </w:r>
          </w:p>
        </w:tc>
        <w:tc>
          <w:tcPr>
            <w:tcW w:w="122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29.8%</w:t>
            </w:r>
          </w:p>
        </w:tc>
        <w:tc>
          <w:tcPr>
            <w:tcW w:w="12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328</w:t>
            </w:r>
          </w:p>
        </w:tc>
        <w:tc>
          <w:tcPr>
            <w:tcW w:w="114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8"/>
                <w:szCs w:val="18"/>
                <w:color w:val="auto"/>
              </w:rPr>
              <w:t>40.1%</w:t>
            </w:r>
          </w:p>
        </w:tc>
        <w:tc>
          <w:tcPr>
            <w:tcW w:w="12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500" w:type="dxa"/>
            <w:vAlign w:val="bottom"/>
            <w:tcBorders>
              <w:bottom w:val="single" w:sz="8" w:color="auto"/>
            </w:tcBorders>
            <w:shd w:val="clear" w:color="auto" w:fill="CCEEFF"/>
          </w:tcPr>
          <w:p>
            <w:pPr>
              <w:jc w:val="right"/>
              <w:ind w:right="550"/>
              <w:spacing w:after="0"/>
              <w:rPr>
                <w:sz w:val="20"/>
                <w:szCs w:val="20"/>
                <w:color w:val="auto"/>
              </w:rPr>
            </w:pPr>
            <w:r>
              <w:rPr>
                <w:rFonts w:ascii="Arial" w:cs="Arial" w:eastAsia="Arial" w:hAnsi="Arial"/>
                <w:sz w:val="18"/>
                <w:szCs w:val="18"/>
                <w:color w:val="auto"/>
              </w:rPr>
              <w:t>(125)</w:t>
            </w:r>
          </w:p>
        </w:tc>
        <w:tc>
          <w:tcPr>
            <w:tcW w:w="106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(38.1)%</w:t>
            </w:r>
          </w:p>
        </w:tc>
      </w:tr>
      <w:tr>
        <w:trPr>
          <w:trHeight w:val="297"/>
        </w:trPr>
        <w:tc>
          <w:tcPr>
            <w:tcW w:w="324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Total motor home backlog</w:t>
            </w:r>
            <w:r>
              <w:rPr>
                <w:rFonts w:ascii="Arial" w:cs="Arial" w:eastAsia="Arial" w:hAnsi="Arial"/>
                <w:sz w:val="21"/>
                <w:szCs w:val="21"/>
                <w:color w:val="auto"/>
                <w:vertAlign w:val="superscript"/>
              </w:rPr>
              <w:t>(2)</w:t>
            </w:r>
          </w:p>
        </w:tc>
        <w:tc>
          <w:tcPr>
            <w:tcW w:w="2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681</w:t>
            </w:r>
          </w:p>
        </w:tc>
        <w:tc>
          <w:tcPr>
            <w:tcW w:w="122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100.0%</w:t>
            </w:r>
          </w:p>
        </w:tc>
        <w:tc>
          <w:tcPr>
            <w:tcW w:w="12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818</w:t>
            </w:r>
          </w:p>
        </w:tc>
        <w:tc>
          <w:tcPr>
            <w:tcW w:w="1140" w:type="dxa"/>
            <w:vAlign w:val="bottom"/>
            <w:tcBorders>
              <w:bottom w:val="single" w:sz="8" w:color="auto"/>
            </w:tcBorders>
          </w:tcPr>
          <w:p>
            <w:pPr>
              <w:jc w:val="right"/>
              <w:ind w:right="76"/>
              <w:spacing w:after="0"/>
              <w:rPr>
                <w:sz w:val="20"/>
                <w:szCs w:val="20"/>
                <w:color w:val="auto"/>
              </w:rPr>
            </w:pPr>
            <w:r>
              <w:rPr>
                <w:rFonts w:ascii="Arial" w:cs="Arial" w:eastAsia="Arial" w:hAnsi="Arial"/>
                <w:sz w:val="18"/>
                <w:szCs w:val="18"/>
                <w:color w:val="auto"/>
              </w:rPr>
              <w:t>100.0%</w:t>
            </w:r>
          </w:p>
        </w:tc>
        <w:tc>
          <w:tcPr>
            <w:tcW w:w="12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color w:val="auto"/>
              </w:rPr>
              <w:t>(137)</w:t>
            </w:r>
          </w:p>
        </w:tc>
        <w:tc>
          <w:tcPr>
            <w:tcW w:w="10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(16.7)%</w:t>
            </w:r>
          </w:p>
        </w:tc>
      </w:tr>
      <w:tr>
        <w:trPr>
          <w:trHeight w:val="278"/>
        </w:trPr>
        <w:tc>
          <w:tcPr>
            <w:tcW w:w="324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5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r>
      <w:tr>
        <w:trPr>
          <w:trHeight w:val="263"/>
        </w:trPr>
        <w:tc>
          <w:tcPr>
            <w:tcW w:w="3240" w:type="dxa"/>
            <w:vAlign w:val="bottom"/>
          </w:tcPr>
          <w:p>
            <w:pPr>
              <w:ind w:left="40"/>
              <w:spacing w:after="0"/>
              <w:rPr>
                <w:sz w:val="20"/>
                <w:szCs w:val="20"/>
                <w:color w:val="auto"/>
              </w:rPr>
            </w:pPr>
            <w:r>
              <w:rPr>
                <w:rFonts w:ascii="Arial" w:cs="Arial" w:eastAsia="Arial" w:hAnsi="Arial"/>
                <w:sz w:val="18"/>
                <w:szCs w:val="18"/>
                <w:color w:val="auto"/>
              </w:rPr>
              <w:t>Travel trailer</w:t>
            </w:r>
          </w:p>
        </w:tc>
        <w:tc>
          <w:tcPr>
            <w:tcW w:w="240" w:type="dxa"/>
            <w:vAlign w:val="bottom"/>
          </w:tcPr>
          <w:p>
            <w:pPr>
              <w:spacing w:after="0"/>
              <w:rPr>
                <w:sz w:val="22"/>
                <w:szCs w:val="22"/>
                <w:color w:val="auto"/>
              </w:rPr>
            </w:pPr>
          </w:p>
        </w:tc>
        <w:tc>
          <w:tcPr>
            <w:tcW w:w="1080" w:type="dxa"/>
            <w:vAlign w:val="bottom"/>
          </w:tcPr>
          <w:p>
            <w:pPr>
              <w:jc w:val="right"/>
              <w:ind w:right="150"/>
              <w:spacing w:after="0"/>
              <w:rPr>
                <w:sz w:val="20"/>
                <w:szCs w:val="20"/>
                <w:color w:val="auto"/>
              </w:rPr>
            </w:pPr>
            <w:r>
              <w:rPr>
                <w:rFonts w:ascii="Arial" w:cs="Arial" w:eastAsia="Arial" w:hAnsi="Arial"/>
                <w:sz w:val="18"/>
                <w:szCs w:val="18"/>
                <w:color w:val="auto"/>
              </w:rPr>
              <w:t>187</w:t>
            </w:r>
          </w:p>
        </w:tc>
        <w:tc>
          <w:tcPr>
            <w:tcW w:w="1220" w:type="dxa"/>
            <w:vAlign w:val="bottom"/>
          </w:tcPr>
          <w:p>
            <w:pPr>
              <w:jc w:val="right"/>
              <w:ind w:right="73"/>
              <w:spacing w:after="0"/>
              <w:rPr>
                <w:sz w:val="20"/>
                <w:szCs w:val="20"/>
                <w:color w:val="auto"/>
              </w:rPr>
            </w:pPr>
            <w:r>
              <w:rPr>
                <w:rFonts w:ascii="Arial" w:cs="Arial" w:eastAsia="Arial" w:hAnsi="Arial"/>
                <w:sz w:val="18"/>
                <w:szCs w:val="18"/>
                <w:color w:val="auto"/>
              </w:rPr>
              <w:t>63.8%</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1060" w:type="dxa"/>
            <w:vAlign w:val="bottom"/>
          </w:tcPr>
          <w:p>
            <w:pPr>
              <w:spacing w:after="0"/>
              <w:rPr>
                <w:sz w:val="22"/>
                <w:szCs w:val="22"/>
                <w:color w:val="auto"/>
              </w:rPr>
            </w:pPr>
          </w:p>
        </w:tc>
      </w:tr>
      <w:tr>
        <w:trPr>
          <w:trHeight w:val="270"/>
        </w:trPr>
        <w:tc>
          <w:tcPr>
            <w:tcW w:w="3240" w:type="dxa"/>
            <w:vAlign w:val="bottom"/>
            <w:shd w:val="clear" w:color="auto" w:fill="CCEEFF"/>
          </w:tcPr>
          <w:p>
            <w:pPr>
              <w:ind w:left="40"/>
              <w:spacing w:after="0"/>
              <w:rPr>
                <w:sz w:val="20"/>
                <w:szCs w:val="20"/>
                <w:color w:val="auto"/>
              </w:rPr>
            </w:pPr>
            <w:r>
              <w:rPr>
                <w:rFonts w:ascii="Arial" w:cs="Arial" w:eastAsia="Arial" w:hAnsi="Arial"/>
                <w:sz w:val="18"/>
                <w:szCs w:val="18"/>
                <w:color w:val="auto"/>
              </w:rPr>
              <w:t>Fifth wheel</w:t>
            </w:r>
          </w:p>
        </w:tc>
        <w:tc>
          <w:tcPr>
            <w:tcW w:w="24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106</w:t>
            </w:r>
          </w:p>
        </w:tc>
        <w:tc>
          <w:tcPr>
            <w:tcW w:w="122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36.2%</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50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r>
      <w:tr>
        <w:trPr>
          <w:trHeight w:val="297"/>
        </w:trPr>
        <w:tc>
          <w:tcPr>
            <w:tcW w:w="324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 xml:space="preserve">Total towable backlog </w:t>
            </w:r>
            <w:r>
              <w:rPr>
                <w:rFonts w:ascii="Arial" w:cs="Arial" w:eastAsia="Arial" w:hAnsi="Arial"/>
                <w:sz w:val="21"/>
                <w:szCs w:val="21"/>
                <w:color w:val="auto"/>
                <w:vertAlign w:val="superscript"/>
              </w:rPr>
              <w:t>(2)</w:t>
            </w:r>
          </w:p>
        </w:tc>
        <w:tc>
          <w:tcPr>
            <w:tcW w:w="2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293</w:t>
            </w:r>
          </w:p>
        </w:tc>
        <w:tc>
          <w:tcPr>
            <w:tcW w:w="122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100.0%</w:t>
            </w:r>
          </w:p>
        </w:tc>
        <w:tc>
          <w:tcPr>
            <w:tcW w:w="120" w:type="dxa"/>
            <w:vAlign w:val="bottom"/>
            <w:tcBorders>
              <w:bottom w:val="single" w:sz="8" w:color="CCEEFF"/>
            </w:tcBorders>
          </w:tcPr>
          <w:p>
            <w:pPr>
              <w:spacing w:after="0"/>
              <w:rPr>
                <w:sz w:val="24"/>
                <w:szCs w:val="24"/>
                <w:color w:val="auto"/>
              </w:rPr>
            </w:pPr>
          </w:p>
        </w:tc>
        <w:tc>
          <w:tcPr>
            <w:tcW w:w="280" w:type="dxa"/>
            <w:vAlign w:val="bottom"/>
            <w:tcBorders>
              <w:bottom w:val="single" w:sz="8" w:color="CCEEFF"/>
            </w:tcBorders>
          </w:tcPr>
          <w:p>
            <w:pPr>
              <w:spacing w:after="0"/>
              <w:rPr>
                <w:sz w:val="24"/>
                <w:szCs w:val="24"/>
                <w:color w:val="auto"/>
              </w:rPr>
            </w:pPr>
          </w:p>
        </w:tc>
        <w:tc>
          <w:tcPr>
            <w:tcW w:w="1120" w:type="dxa"/>
            <w:vAlign w:val="bottom"/>
            <w:tcBorders>
              <w:bottom w:val="single" w:sz="8" w:color="CCEEFF"/>
            </w:tcBorders>
          </w:tcPr>
          <w:p>
            <w:pPr>
              <w:spacing w:after="0"/>
              <w:rPr>
                <w:sz w:val="24"/>
                <w:szCs w:val="24"/>
                <w:color w:val="auto"/>
              </w:rPr>
            </w:pPr>
          </w:p>
        </w:tc>
        <w:tc>
          <w:tcPr>
            <w:tcW w:w="114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300" w:type="dxa"/>
            <w:vAlign w:val="bottom"/>
            <w:tcBorders>
              <w:bottom w:val="single" w:sz="8" w:color="CCEEFF"/>
            </w:tcBorders>
          </w:tcPr>
          <w:p>
            <w:pPr>
              <w:spacing w:after="0"/>
              <w:rPr>
                <w:sz w:val="24"/>
                <w:szCs w:val="24"/>
                <w:color w:val="auto"/>
              </w:rPr>
            </w:pPr>
          </w:p>
        </w:tc>
        <w:tc>
          <w:tcPr>
            <w:tcW w:w="1500" w:type="dxa"/>
            <w:vAlign w:val="bottom"/>
            <w:tcBorders>
              <w:bottom w:val="single" w:sz="8" w:color="CCEEFF"/>
            </w:tcBorders>
          </w:tcPr>
          <w:p>
            <w:pPr>
              <w:spacing w:after="0"/>
              <w:rPr>
                <w:sz w:val="24"/>
                <w:szCs w:val="24"/>
                <w:color w:val="auto"/>
              </w:rPr>
            </w:pPr>
          </w:p>
        </w:tc>
        <w:tc>
          <w:tcPr>
            <w:tcW w:w="1060" w:type="dxa"/>
            <w:vAlign w:val="bottom"/>
            <w:tcBorders>
              <w:bottom w:val="single" w:sz="8" w:color="CCEEFF"/>
            </w:tcBorders>
          </w:tcPr>
          <w:p>
            <w:pPr>
              <w:spacing w:after="0"/>
              <w:rPr>
                <w:sz w:val="24"/>
                <w:szCs w:val="24"/>
                <w:color w:val="auto"/>
              </w:rPr>
            </w:pPr>
          </w:p>
        </w:tc>
      </w:tr>
      <w:tr>
        <w:trPr>
          <w:trHeight w:val="278"/>
        </w:trPr>
        <w:tc>
          <w:tcPr>
            <w:tcW w:w="324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5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r>
      <w:tr>
        <w:trPr>
          <w:trHeight w:val="229"/>
        </w:trPr>
        <w:tc>
          <w:tcPr>
            <w:tcW w:w="3240" w:type="dxa"/>
            <w:vAlign w:val="bottom"/>
          </w:tcPr>
          <w:p>
            <w:pPr>
              <w:ind w:left="40"/>
              <w:spacing w:after="0"/>
              <w:rPr>
                <w:sz w:val="20"/>
                <w:szCs w:val="20"/>
                <w:color w:val="auto"/>
              </w:rPr>
            </w:pPr>
            <w:r>
              <w:rPr>
                <w:rFonts w:ascii="Arial" w:cs="Arial" w:eastAsia="Arial" w:hAnsi="Arial"/>
                <w:sz w:val="18"/>
                <w:szCs w:val="18"/>
                <w:color w:val="auto"/>
              </w:rPr>
              <w:t>Total approximate backlog revenue</w:t>
            </w: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24"/>
        </w:trPr>
        <w:tc>
          <w:tcPr>
            <w:tcW w:w="3240" w:type="dxa"/>
            <w:vAlign w:val="bottom"/>
          </w:tcPr>
          <w:p>
            <w:pPr>
              <w:ind w:left="40"/>
              <w:spacing w:after="0"/>
              <w:rPr>
                <w:sz w:val="20"/>
                <w:szCs w:val="20"/>
                <w:color w:val="auto"/>
              </w:rPr>
            </w:pPr>
            <w:r>
              <w:rPr>
                <w:rFonts w:ascii="Arial" w:cs="Arial" w:eastAsia="Arial" w:hAnsi="Arial"/>
                <w:sz w:val="18"/>
                <w:szCs w:val="18"/>
                <w:color w:val="auto"/>
              </w:rPr>
              <w:t>dollars (in 000's):</w:t>
            </w: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77"/>
        </w:trPr>
        <w:tc>
          <w:tcPr>
            <w:tcW w:w="3240" w:type="dxa"/>
            <w:vAlign w:val="bottom"/>
            <w:shd w:val="clear" w:color="auto" w:fill="CCEEFF"/>
          </w:tcPr>
          <w:p>
            <w:pPr>
              <w:ind w:left="40"/>
              <w:spacing w:after="0"/>
              <w:rPr>
                <w:sz w:val="20"/>
                <w:szCs w:val="20"/>
                <w:color w:val="auto"/>
              </w:rPr>
            </w:pPr>
            <w:r>
              <w:rPr>
                <w:rFonts w:ascii="Arial" w:cs="Arial" w:eastAsia="Arial" w:hAnsi="Arial"/>
                <w:sz w:val="18"/>
                <w:szCs w:val="18"/>
                <w:color w:val="auto"/>
              </w:rPr>
              <w:t>Motor home</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74,704</w:t>
            </w:r>
          </w:p>
        </w:tc>
        <w:tc>
          <w:tcPr>
            <w:tcW w:w="16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82,773</w:t>
            </w:r>
          </w:p>
        </w:tc>
        <w:tc>
          <w:tcPr>
            <w:tcW w:w="11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500" w:type="dxa"/>
            <w:vAlign w:val="bottom"/>
            <w:shd w:val="clear" w:color="auto" w:fill="CCEEFF"/>
          </w:tcPr>
          <w:p>
            <w:pPr>
              <w:jc w:val="right"/>
              <w:ind w:right="550"/>
              <w:spacing w:after="0"/>
              <w:rPr>
                <w:sz w:val="20"/>
                <w:szCs w:val="20"/>
                <w:color w:val="auto"/>
              </w:rPr>
            </w:pPr>
            <w:r>
              <w:rPr>
                <w:rFonts w:ascii="Arial" w:cs="Arial" w:eastAsia="Arial" w:hAnsi="Arial"/>
                <w:sz w:val="18"/>
                <w:szCs w:val="18"/>
                <w:color w:val="auto"/>
              </w:rPr>
              <w:t>(8,069)</w:t>
            </w:r>
          </w:p>
        </w:tc>
        <w:tc>
          <w:tcPr>
            <w:tcW w:w="10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(9.7)%</w:t>
            </w:r>
          </w:p>
        </w:tc>
      </w:tr>
      <w:tr>
        <w:trPr>
          <w:trHeight w:val="257"/>
        </w:trPr>
        <w:tc>
          <w:tcPr>
            <w:tcW w:w="3240" w:type="dxa"/>
            <w:vAlign w:val="bottom"/>
          </w:tcPr>
          <w:p>
            <w:pPr>
              <w:ind w:left="40"/>
              <w:spacing w:after="0"/>
              <w:rPr>
                <w:sz w:val="20"/>
                <w:szCs w:val="20"/>
                <w:color w:val="auto"/>
              </w:rPr>
            </w:pPr>
            <w:r>
              <w:rPr>
                <w:rFonts w:ascii="Arial" w:cs="Arial" w:eastAsia="Arial" w:hAnsi="Arial"/>
                <w:sz w:val="18"/>
                <w:szCs w:val="18"/>
                <w:color w:val="auto"/>
              </w:rPr>
              <w:t>Towable</w:t>
            </w:r>
          </w:p>
        </w:tc>
        <w:tc>
          <w:tcPr>
            <w:tcW w:w="240" w:type="dxa"/>
            <w:vAlign w:val="bottom"/>
          </w:tcPr>
          <w:p>
            <w:pPr>
              <w:spacing w:after="0"/>
              <w:rPr>
                <w:sz w:val="22"/>
                <w:szCs w:val="22"/>
                <w:color w:val="auto"/>
              </w:rPr>
            </w:pPr>
          </w:p>
        </w:tc>
        <w:tc>
          <w:tcPr>
            <w:tcW w:w="1080" w:type="dxa"/>
            <w:vAlign w:val="bottom"/>
          </w:tcPr>
          <w:p>
            <w:pPr>
              <w:jc w:val="right"/>
              <w:ind w:right="150"/>
              <w:spacing w:after="0"/>
              <w:rPr>
                <w:sz w:val="20"/>
                <w:szCs w:val="20"/>
                <w:color w:val="auto"/>
              </w:rPr>
            </w:pPr>
            <w:r>
              <w:rPr>
                <w:rFonts w:ascii="Arial" w:cs="Arial" w:eastAsia="Arial" w:hAnsi="Arial"/>
                <w:sz w:val="18"/>
                <w:szCs w:val="18"/>
                <w:color w:val="auto"/>
              </w:rPr>
              <w:t>6,669</w:t>
            </w:r>
          </w:p>
        </w:tc>
        <w:tc>
          <w:tcPr>
            <w:tcW w:w="1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2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1060" w:type="dxa"/>
            <w:vAlign w:val="bottom"/>
          </w:tcPr>
          <w:p>
            <w:pPr>
              <w:spacing w:after="0"/>
              <w:rPr>
                <w:sz w:val="22"/>
                <w:szCs w:val="22"/>
                <w:color w:val="auto"/>
              </w:rPr>
            </w:pPr>
          </w:p>
        </w:tc>
      </w:tr>
    </w:tbl>
    <w:p>
      <w:pPr>
        <w:ind w:left="340" w:hanging="332"/>
        <w:spacing w:after="0" w:line="194" w:lineRule="auto"/>
        <w:tabs>
          <w:tab w:leader="none" w:pos="340" w:val="left"/>
        </w:tabs>
        <w:numPr>
          <w:ilvl w:val="0"/>
          <w:numId w:val="3"/>
        </w:numPr>
        <w:rPr>
          <w:rFonts w:ascii="Arial" w:cs="Arial" w:eastAsia="Arial" w:hAnsi="Arial"/>
          <w:sz w:val="22"/>
          <w:szCs w:val="22"/>
          <w:color w:val="auto"/>
          <w:vertAlign w:val="superscript"/>
        </w:rPr>
      </w:pPr>
      <w:r>
        <w:rPr>
          <w:rFonts w:ascii="Arial" w:cs="Arial" w:eastAsia="Arial" w:hAnsi="Arial"/>
          <w:sz w:val="16"/>
          <w:szCs w:val="16"/>
          <w:color w:val="auto"/>
        </w:rPr>
        <w:t>Percentages may not add due to rounding differences.</w:t>
      </w:r>
    </w:p>
    <w:p>
      <w:pPr>
        <w:ind w:left="340" w:right="260" w:hanging="332"/>
        <w:spacing w:after="0" w:line="210" w:lineRule="auto"/>
        <w:tabs>
          <w:tab w:leader="none" w:pos="340" w:val="left"/>
        </w:tabs>
        <w:numPr>
          <w:ilvl w:val="0"/>
          <w:numId w:val="3"/>
        </w:numPr>
        <w:rPr>
          <w:rFonts w:ascii="Arial" w:cs="Arial" w:eastAsia="Arial" w:hAnsi="Arial"/>
          <w:sz w:val="22"/>
          <w:szCs w:val="22"/>
          <w:color w:val="auto"/>
          <w:vertAlign w:val="superscript"/>
        </w:rPr>
      </w:pPr>
      <w:r>
        <w:rPr>
          <w:rFonts w:ascii="Arial" w:cs="Arial" w:eastAsia="Arial" w:hAnsi="Arial"/>
          <w:sz w:val="16"/>
          <w:szCs w:val="16"/>
          <w:color w:val="auto"/>
        </w:rPr>
        <w:t>Our backlog includes all accepted orders from dealers to be shipped within the next six months. Orders in backlog can be canceled or postponed at the option of the purchaser at any time without penalty and, therefore, backlog may not necessarily be an accurate measure of future sales.</w:t>
      </w:r>
    </w:p>
    <w:p>
      <w:pPr>
        <w:spacing w:after="0" w:line="200" w:lineRule="exact"/>
        <w:rPr>
          <w:sz w:val="20"/>
          <w:szCs w:val="20"/>
          <w:color w:val="auto"/>
        </w:rPr>
      </w:pPr>
    </w:p>
    <w:p>
      <w:pPr>
        <w:spacing w:after="0" w:line="365" w:lineRule="exact"/>
        <w:rPr>
          <w:sz w:val="20"/>
          <w:szCs w:val="20"/>
          <w:color w:val="auto"/>
        </w:rPr>
      </w:pPr>
    </w:p>
    <w:p>
      <w:pPr>
        <w:ind w:left="4560"/>
        <w:spacing w:after="0"/>
        <w:rPr>
          <w:sz w:val="20"/>
          <w:szCs w:val="20"/>
          <w:color w:val="auto"/>
        </w:rPr>
      </w:pPr>
      <w:r>
        <w:rPr>
          <w:rFonts w:ascii="Arial" w:cs="Arial" w:eastAsia="Arial" w:hAnsi="Arial"/>
          <w:sz w:val="18"/>
          <w:szCs w:val="18"/>
          <w:b w:val="1"/>
          <w:bCs w:val="1"/>
          <w:color w:val="auto"/>
        </w:rPr>
        <w:t>Winnebago Industries, Inc.</w:t>
      </w:r>
    </w:p>
    <w:p>
      <w:pPr>
        <w:spacing w:after="0" w:line="50" w:lineRule="exact"/>
        <w:rPr>
          <w:sz w:val="20"/>
          <w:szCs w:val="20"/>
          <w:color w:val="auto"/>
        </w:rPr>
      </w:pPr>
    </w:p>
    <w:p>
      <w:pPr>
        <w:ind w:left="4540"/>
        <w:spacing w:after="0"/>
        <w:rPr>
          <w:sz w:val="20"/>
          <w:szCs w:val="20"/>
          <w:color w:val="auto"/>
        </w:rPr>
      </w:pPr>
      <w:r>
        <w:rPr>
          <w:rFonts w:ascii="Arial" w:cs="Arial" w:eastAsia="Arial" w:hAnsi="Arial"/>
          <w:sz w:val="18"/>
          <w:szCs w:val="18"/>
          <w:b w:val="1"/>
          <w:bCs w:val="1"/>
          <w:color w:val="auto"/>
        </w:rPr>
        <w:t>Unaudited Dealer Inventory</w:t>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5980" w:type="dxa"/>
            <w:vAlign w:val="bottom"/>
          </w:tcPr>
          <w:p>
            <w:pPr>
              <w:spacing w:after="0"/>
              <w:rPr>
                <w:sz w:val="21"/>
                <w:szCs w:val="21"/>
                <w:color w:val="auto"/>
              </w:rPr>
            </w:pPr>
          </w:p>
        </w:tc>
        <w:tc>
          <w:tcPr>
            <w:tcW w:w="3040" w:type="dxa"/>
            <w:vAlign w:val="bottom"/>
            <w:tcBorders>
              <w:bottom w:val="single" w:sz="8" w:color="auto"/>
            </w:tcBorders>
            <w:gridSpan w:val="3"/>
          </w:tcPr>
          <w:p>
            <w:pPr>
              <w:jc w:val="right"/>
              <w:ind w:right="930"/>
              <w:spacing w:after="0"/>
              <w:rPr>
                <w:sz w:val="20"/>
                <w:szCs w:val="20"/>
                <w:color w:val="auto"/>
              </w:rPr>
            </w:pPr>
            <w:r>
              <w:rPr>
                <w:rFonts w:ascii="Arial" w:cs="Arial" w:eastAsia="Arial" w:hAnsi="Arial"/>
                <w:sz w:val="18"/>
                <w:szCs w:val="18"/>
                <w:b w:val="1"/>
                <w:bCs w:val="1"/>
                <w:color w:val="auto"/>
              </w:rPr>
              <w:t>Units As Of</w:t>
            </w: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07"/>
        </w:trPr>
        <w:tc>
          <w:tcPr>
            <w:tcW w:w="5980" w:type="dxa"/>
            <w:vAlign w:val="bottom"/>
          </w:tcPr>
          <w:p>
            <w:pPr>
              <w:spacing w:after="0"/>
              <w:rPr>
                <w:sz w:val="17"/>
                <w:szCs w:val="17"/>
                <w:color w:val="auto"/>
              </w:rPr>
            </w:pPr>
          </w:p>
        </w:tc>
        <w:tc>
          <w:tcPr>
            <w:tcW w:w="1580" w:type="dxa"/>
            <w:vAlign w:val="bottom"/>
            <w:gridSpan w:val="2"/>
          </w:tcPr>
          <w:p>
            <w:pPr>
              <w:ind w:left="240"/>
              <w:spacing w:after="0"/>
              <w:rPr>
                <w:sz w:val="20"/>
                <w:szCs w:val="20"/>
                <w:color w:val="auto"/>
              </w:rPr>
            </w:pPr>
            <w:r>
              <w:rPr>
                <w:rFonts w:ascii="Arial" w:cs="Arial" w:eastAsia="Arial" w:hAnsi="Arial"/>
                <w:sz w:val="18"/>
                <w:szCs w:val="18"/>
                <w:b w:val="1"/>
                <w:bCs w:val="1"/>
                <w:color w:val="auto"/>
              </w:rPr>
              <w:t>August 27,</w:t>
            </w:r>
          </w:p>
        </w:tc>
        <w:tc>
          <w:tcPr>
            <w:tcW w:w="1580" w:type="dxa"/>
            <w:vAlign w:val="bottom"/>
            <w:gridSpan w:val="2"/>
          </w:tcPr>
          <w:p>
            <w:pPr>
              <w:ind w:left="240"/>
              <w:spacing w:after="0"/>
              <w:rPr>
                <w:sz w:val="20"/>
                <w:szCs w:val="20"/>
                <w:color w:val="auto"/>
              </w:rPr>
            </w:pPr>
            <w:r>
              <w:rPr>
                <w:rFonts w:ascii="Arial" w:cs="Arial" w:eastAsia="Arial" w:hAnsi="Arial"/>
                <w:sz w:val="18"/>
                <w:szCs w:val="18"/>
                <w:b w:val="1"/>
                <w:bCs w:val="1"/>
                <w:color w:val="auto"/>
              </w:rPr>
              <w:t>August 28,</w:t>
            </w:r>
          </w:p>
        </w:tc>
        <w:tc>
          <w:tcPr>
            <w:tcW w:w="124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46"/>
        </w:trPr>
        <w:tc>
          <w:tcPr>
            <w:tcW w:w="598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2011</w:t>
            </w:r>
          </w:p>
        </w:tc>
        <w:tc>
          <w:tcPr>
            <w:tcW w:w="120" w:type="dxa"/>
            <w:vAlign w:val="bottom"/>
            <w:tcBorders>
              <w:bottom w:val="single" w:sz="8" w:color="CCEEFF"/>
            </w:tcBorders>
          </w:tcPr>
          <w:p>
            <w:pPr>
              <w:spacing w:after="0"/>
              <w:rPr>
                <w:sz w:val="21"/>
                <w:szCs w:val="21"/>
                <w:color w:val="auto"/>
              </w:rPr>
            </w:pPr>
          </w:p>
        </w:tc>
        <w:tc>
          <w:tcPr>
            <w:tcW w:w="14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2010</w:t>
            </w:r>
          </w:p>
        </w:tc>
        <w:tc>
          <w:tcPr>
            <w:tcW w:w="120" w:type="dxa"/>
            <w:vAlign w:val="bottom"/>
            <w:tcBorders>
              <w:bottom w:val="single" w:sz="8" w:color="CCEEFF"/>
            </w:tcBorders>
          </w:tcPr>
          <w:p>
            <w:pPr>
              <w:spacing w:after="0"/>
              <w:rPr>
                <w:sz w:val="21"/>
                <w:szCs w:val="21"/>
                <w:color w:val="auto"/>
              </w:rPr>
            </w:pPr>
          </w:p>
        </w:tc>
        <w:tc>
          <w:tcPr>
            <w:tcW w:w="2280" w:type="dxa"/>
            <w:vAlign w:val="bottom"/>
            <w:tcBorders>
              <w:bottom w:val="single" w:sz="8" w:color="auto"/>
            </w:tcBorders>
            <w:gridSpan w:val="2"/>
          </w:tcPr>
          <w:p>
            <w:pPr>
              <w:jc w:val="right"/>
              <w:ind w:right="570"/>
              <w:spacing w:after="0"/>
              <w:rPr>
                <w:sz w:val="20"/>
                <w:szCs w:val="20"/>
                <w:color w:val="auto"/>
              </w:rPr>
            </w:pPr>
            <w:r>
              <w:rPr>
                <w:rFonts w:ascii="Arial" w:cs="Arial" w:eastAsia="Arial" w:hAnsi="Arial"/>
                <w:sz w:val="18"/>
                <w:szCs w:val="18"/>
                <w:b w:val="1"/>
                <w:bCs w:val="1"/>
                <w:color w:val="auto"/>
              </w:rPr>
              <w:t>(Decrease)</w:t>
            </w:r>
          </w:p>
        </w:tc>
      </w:tr>
      <w:tr>
        <w:trPr>
          <w:trHeight w:val="257"/>
        </w:trPr>
        <w:tc>
          <w:tcPr>
            <w:tcW w:w="5980" w:type="dxa"/>
            <w:vAlign w:val="bottom"/>
            <w:shd w:val="clear" w:color="auto" w:fill="CCEEFF"/>
          </w:tcPr>
          <w:p>
            <w:pPr>
              <w:ind w:left="40"/>
              <w:spacing w:after="0"/>
              <w:rPr>
                <w:sz w:val="20"/>
                <w:szCs w:val="20"/>
                <w:color w:val="auto"/>
              </w:rPr>
            </w:pPr>
            <w:r>
              <w:rPr>
                <w:rFonts w:ascii="Arial" w:cs="Arial" w:eastAsia="Arial" w:hAnsi="Arial"/>
                <w:sz w:val="18"/>
                <w:szCs w:val="18"/>
                <w:color w:val="auto"/>
              </w:rPr>
              <w:t>Motor homes</w:t>
            </w:r>
          </w:p>
        </w:tc>
        <w:tc>
          <w:tcPr>
            <w:tcW w:w="14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1,958</w:t>
            </w:r>
          </w:p>
        </w:tc>
        <w:tc>
          <w:tcPr>
            <w:tcW w:w="120" w:type="dxa"/>
            <w:vAlign w:val="bottom"/>
            <w:shd w:val="clear" w:color="auto" w:fill="CCEEFF"/>
          </w:tcPr>
          <w:p>
            <w:pPr>
              <w:spacing w:after="0"/>
              <w:rPr>
                <w:sz w:val="22"/>
                <w:szCs w:val="22"/>
                <w:color w:val="auto"/>
              </w:rPr>
            </w:pPr>
          </w:p>
        </w:tc>
        <w:tc>
          <w:tcPr>
            <w:tcW w:w="14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2,044</w:t>
            </w:r>
          </w:p>
        </w:tc>
        <w:tc>
          <w:tcPr>
            <w:tcW w:w="120" w:type="dxa"/>
            <w:vAlign w:val="bottom"/>
            <w:shd w:val="clear" w:color="auto" w:fill="CCEEFF"/>
          </w:tcPr>
          <w:p>
            <w:pPr>
              <w:spacing w:after="0"/>
              <w:rPr>
                <w:sz w:val="22"/>
                <w:szCs w:val="22"/>
                <w:color w:val="auto"/>
              </w:rPr>
            </w:pPr>
          </w:p>
        </w:tc>
        <w:tc>
          <w:tcPr>
            <w:tcW w:w="12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(86)</w:t>
            </w:r>
          </w:p>
        </w:tc>
        <w:tc>
          <w:tcPr>
            <w:tcW w:w="10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(4.2)%</w:t>
            </w:r>
          </w:p>
        </w:tc>
      </w:tr>
      <w:tr>
        <w:trPr>
          <w:trHeight w:val="257"/>
        </w:trPr>
        <w:tc>
          <w:tcPr>
            <w:tcW w:w="5980" w:type="dxa"/>
            <w:vAlign w:val="bottom"/>
          </w:tcPr>
          <w:p>
            <w:pPr>
              <w:ind w:left="40"/>
              <w:spacing w:after="0"/>
              <w:rPr>
                <w:sz w:val="20"/>
                <w:szCs w:val="20"/>
                <w:color w:val="auto"/>
              </w:rPr>
            </w:pPr>
            <w:r>
              <w:rPr>
                <w:rFonts w:ascii="Arial" w:cs="Arial" w:eastAsia="Arial" w:hAnsi="Arial"/>
                <w:sz w:val="18"/>
                <w:szCs w:val="18"/>
                <w:color w:val="auto"/>
              </w:rPr>
              <w:t>Towables</w:t>
            </w: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966</w:t>
            </w:r>
          </w:p>
        </w:tc>
        <w:tc>
          <w:tcPr>
            <w:tcW w:w="120" w:type="dxa"/>
            <w:vAlign w:val="bottom"/>
          </w:tcPr>
          <w:p>
            <w:pPr>
              <w:spacing w:after="0"/>
              <w:rPr>
                <w:sz w:val="22"/>
                <w:szCs w:val="22"/>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tcPr>
          <w:p>
            <w:pPr>
              <w:spacing w:after="0"/>
              <w:rPr>
                <w:sz w:val="22"/>
                <w:szCs w:val="22"/>
                <w:color w:val="auto"/>
              </w:rPr>
            </w:pPr>
          </w:p>
        </w:tc>
        <w:tc>
          <w:tcPr>
            <w:tcW w:w="1040" w:type="dxa"/>
            <w:vAlign w:val="bottom"/>
          </w:tcPr>
          <w:p>
            <w:pPr>
              <w:spacing w:after="0"/>
              <w:rPr>
                <w:sz w:val="22"/>
                <w:szCs w:val="22"/>
                <w:color w:val="auto"/>
              </w:rPr>
            </w:pPr>
          </w:p>
        </w:tc>
      </w:tr>
    </w:tbl>
    <w:p>
      <w:pPr>
        <w:spacing w:after="0" w:line="1" w:lineRule="exact"/>
        <w:rPr>
          <w:sz w:val="20"/>
          <w:szCs w:val="20"/>
          <w:color w:val="auto"/>
        </w:rPr>
      </w:pPr>
    </w:p>
    <w:sectPr>
      <w:pgSz w:w="11900" w:h="16838" w:orient="portrait"/>
      <w:cols w:equalWidth="0" w:num="1">
        <w:col w:w="11420"/>
      </w:cols>
      <w:pgMar w:left="240" w:top="57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o"/>
      <w:numFmt w:val="bullet"/>
      <w:start w:val="1"/>
    </w:lvl>
  </w:abstractNum>
  <w:abstractNum w:abstractNumId="1">
    <w:nsid w:val="74B0DC51"/>
    <w:multiLevelType w:val="hybridMultilevel"/>
    <w:lvl w:ilvl="0">
      <w:lvlJc w:val="left"/>
      <w:lvlText w:val="(%1)"/>
      <w:numFmt w:val="lowerLetter"/>
      <w:start w:val="4"/>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2019-12-10T04:39:22Z</dcterms:created>
  <dcterms:modified xsi:type="dcterms:W3CDTF">2019-12-10T04:39:22Z</dcterms:modified>
</cp:coreProperties>
</file>