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1198245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6350</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001-06403</w:t>
            </w: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(State or Other Jurisdiction</w:t>
            </w:r>
          </w:p>
        </w:tc>
        <w:tc>
          <w:tcPr>
            <w:tcW w:w="2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30"/>
              <w:spacing w:after="0"/>
              <w:rPr>
                <w:sz w:val="20"/>
                <w:szCs w:val="20"/>
                <w:color w:val="auto"/>
              </w:rPr>
            </w:pPr>
            <w:r>
              <w:rPr>
                <w:rFonts w:ascii="Arial" w:cs="Arial" w:eastAsia="Arial" w:hAnsi="Arial"/>
                <w:sz w:val="18"/>
                <w:szCs w:val="18"/>
                <w:color w:val="auto"/>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jc w:val="center"/>
              <w:ind w:right="11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tcPr>
          <w:p>
            <w:pPr>
              <w:jc w:val="center"/>
              <w:ind w:right="130"/>
              <w:spacing w:after="0"/>
              <w:rPr>
                <w:sz w:val="20"/>
                <w:szCs w:val="20"/>
                <w:color w:val="auto"/>
              </w:rPr>
            </w:pPr>
            <w:r>
              <w:rPr>
                <w:rFonts w:ascii="Arial" w:cs="Arial" w:eastAsia="Arial" w:hAnsi="Arial"/>
                <w:sz w:val="18"/>
                <w:szCs w:val="18"/>
                <w:color w:val="auto"/>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December 16, 2010, as Exhibit 99.1 which is included herein. The press release was issued to report earnings for the first quarter of Fiscal 2011 ended November 27, 2010.</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84"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 xhibits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16, 2010.</w:t>
      </w:r>
    </w:p>
    <w:p>
      <w:pPr>
        <w:sectPr>
          <w:pgSz w:w="11900" w:h="16838" w:orient="portrait"/>
          <w:cols w:equalWidth="0" w:num="1">
            <w:col w:w="11340"/>
          </w:cols>
          <w:pgMar w:left="240" w:top="620"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December 16,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38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Robert J. Olson</w:t>
      </w:r>
    </w:p>
    <w:p>
      <w:pPr>
        <w:spacing w:after="0" w:line="4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Chairman of the Board, Chief Executive Officer and</w:t>
      </w:r>
    </w:p>
    <w:p>
      <w:pPr>
        <w:ind w:left="3460"/>
        <w:spacing w:after="0"/>
        <w:tabs>
          <w:tab w:leader="none" w:pos="41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1120"/>
          </w:cols>
          <w:pgMar w:left="240" w:top="634" w:right="539" w:bottom="1440" w:gutter="0" w:footer="0" w:header="0"/>
        </w:sectPr>
      </w:pPr>
    </w:p>
    <w:bookmarkStart w:id="3" w:name="page4"/>
    <w:bookmarkEnd w:id="3"/>
    <w:p>
      <w:pPr>
        <w:ind w:left="430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16, 2010.</w:t>
      </w:r>
    </w:p>
    <w:p>
      <w:pPr>
        <w:sectPr>
          <w:pgSz w:w="11900" w:h="16838" w:orient="portrait"/>
          <w:cols w:equalWidth="0" w:num="1">
            <w:col w:w="9599"/>
          </w:cols>
          <w:pgMar w:left="860" w:top="634" w:right="1440" w:bottom="1440" w:gutter="0" w:footer="0" w:header="0"/>
        </w:sectPr>
      </w:pPr>
    </w:p>
    <w:bookmarkStart w:id="4" w:name="page5"/>
    <w:bookmarkEnd w:id="4"/>
    <w:p>
      <w:pPr>
        <w:spacing w:after="0"/>
        <w:tabs>
          <w:tab w:leader="none" w:pos="12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FIRST QUARTER FISCAL 2011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Net Income of $3.8 Million --</w:t>
      </w:r>
    </w:p>
    <w:p>
      <w:pPr>
        <w:spacing w:after="0" w:line="200" w:lineRule="exact"/>
        <w:rPr>
          <w:sz w:val="20"/>
          <w:szCs w:val="20"/>
          <w:color w:val="auto"/>
        </w:rPr>
      </w:pPr>
    </w:p>
    <w:p>
      <w:pPr>
        <w:spacing w:after="0" w:line="31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FOREST CITY, IOWA, December 16, 2010 - Winnebago Industries, Inc. (NYSE:WGO), one of the leading United States (U.S.) motor home manufacturers, today reported continued improvement in financial results during the Company's first quarter of Fiscal year 2011.</w:t>
      </w:r>
    </w:p>
    <w:p>
      <w:pPr>
        <w:spacing w:after="0" w:line="23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Revenues for the first quarter of Fiscal 2011 ended November 27, 2010 were $123.7 million, an increase of 52.7 percent, versus $81.0 million for the first quarter of Fiscal 2010. The Company reported an operating profit of $ 4.9 million for the quarter, versus an operating loss of $6.0 million for the first quarter of Fiscal 2010. Net income for the first quarter was $3.8 million versus a net loss of $1.3 million for the first quarter of Fiscal 2010. On a diluted per share basis, the Company had net income of $0.13 for the first quarter of Fiscal 2011 versus a net loss of $0.05 for the first quarter of Fiscal 2010. The net loss for the first quarter of Fiscal 2010 reflected the positive impact of $4.9 million in tax benefits associated with additional Fiscal 2009 net operating loss carryback due to tax law changes in Fiscal 2010; however, no tax benefits were recorded on first quarter Fiscal 2010 pre-tax losses which were not immediately subject to refund. During the first quarter of Fiscal 2011, an idled assembly facility in Charles City, Iowa (CCMF) classified as held for sale, was sold to CGS Tires US, Inc. The sale was finalized on November 1, 2010 and generated $3.7 million in net proceeds and a gain of $644,000.</w:t>
      </w:r>
    </w:p>
    <w:p>
      <w:pPr>
        <w:spacing w:after="0" w:line="24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first quarter was positively impacted by increased motor home deliveries, increased average selling price due to a shift to more higher-priced Class A products, more fixed cost absorption and improved labor efficiencies as a result of higher production levels, as well as the sale of CCMF.</w:t>
      </w:r>
    </w:p>
    <w:p>
      <w:pPr>
        <w:spacing w:after="0" w:line="236"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“Increased motor home deliveries continued to drive the improvement in our first quarter Fiscal 2011 results,” said Winnebago Industries' Chairman, CEO and President Bob Olson. "We are pleased to see increases in our delivery volumes, as well as strength in our Class A products in the marketplace, with gains in both Class A gas and diesel market share. As we enter the slower winter months, however, we remain cautious until we see continued retail growth."</w:t>
      </w:r>
    </w:p>
    <w:p>
      <w:pPr>
        <w:spacing w:after="0" w:line="242"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experienced a very positive response from dealers on our new 2011 products shown at the recent National RV Trade Show in Louisville, KY which took place November 30 through December 2, 2010," continued Olson. "Our dealers were particularly excited about the new Class A diesel Winnebago Tour and Itasca Ellipse products for 2011, which were totally redesigned with a new exterior design and four floorplans unique to the Recreation Vehicle (RV) industry.</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also displayed several new floorplans in our Class A gas and Class C product lines, in addition to the premier viewing of our new 2012 ERA Class B motor home, with better user-functionality, enhanced features, more storage capacity and more value."</w:t>
      </w:r>
    </w:p>
    <w:p>
      <w:pPr>
        <w:spacing w:after="0" w:line="23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Winnebago Industries' dealer i nventory increased 31.8 percent with 2,066 Class A, B and C motor homes on dealers' lots at the end of the first quarter of Fiscal 2011, compared to the end of the first quarter of Fiscal 2010. Conversely, Winnebago Industries' sales order backlog was 698 Class A, B and C motor homes at the end of the first quarter of Fiscal 2011, a decrease of 54.1 percent compared to the end of the first quarter of Fiscal 2010.</w:t>
      </w:r>
    </w:p>
    <w:p>
      <w:pPr>
        <w:spacing w:after="0" w:line="24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higher sales order backlog last year at this time was indicative of the fact dealer inventory had bottomed out and our dealers were finally ready to re-stock their shelves with new product," said Olson. "We responded to that increased demand by ramping up our production a year ago and dealer inventory has remained at a consistent level and in line with retail demand since February 2010."</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w:t>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December 16, 2010.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 ys.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spacing w:after="0" w:line="1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This news release may contain forward-looking statements within the meaning of the Private Securities Litigation Reform Act of 1995. Investors are cautioned that forward-lo oking statements are inherently uncertain. A number of factors could cause actual results to differ materially from these statements, including, but not limited to new product introductions by competitors, low consumer confidence, a further or continued slowdown in the economy, interest rates and availability of credit, inadequate liquidity or capital resources, significant increase in repurchase obligations, availability and price of fuel, availability of chassis and other key component parts, sales order cancellations, slower than anticipated sales of new or existing products,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 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Quarter Ended</w:t>
            </w: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50"/>
        </w:trPr>
        <w:tc>
          <w:tcPr>
            <w:tcW w:w="4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November 27, 2010</w:t>
            </w: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CCEEFF"/>
            </w:tcBorders>
          </w:tcPr>
          <w:p>
            <w:pPr>
              <w:jc w:val="right"/>
              <w:ind w:right="19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November 28, 2009</w:t>
            </w:r>
          </w:p>
        </w:tc>
        <w:tc>
          <w:tcPr>
            <w:tcW w:w="720" w:type="dxa"/>
            <w:vAlign w:val="bottom"/>
            <w:tcBorders>
              <w:bottom w:val="single" w:sz="8" w:color="auto"/>
            </w:tcBorders>
          </w:tcPr>
          <w:p>
            <w:pPr>
              <w:spacing w:after="0"/>
              <w:rPr>
                <w:sz w:val="21"/>
                <w:szCs w:val="21"/>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123,711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81,017</w:t>
            </w:r>
          </w:p>
        </w:tc>
        <w:tc>
          <w:tcPr>
            <w:tcW w:w="3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112,512</w:t>
            </w:r>
          </w:p>
        </w:tc>
        <w:tc>
          <w:tcPr>
            <w:tcW w:w="2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90.9 %</w:t>
            </w:r>
          </w:p>
        </w:tc>
        <w:tc>
          <w:tcPr>
            <w:tcW w:w="4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80,493</w:t>
            </w:r>
          </w:p>
        </w:tc>
        <w:tc>
          <w:tcPr>
            <w:tcW w:w="3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99.4 %</w:t>
            </w:r>
          </w:p>
        </w:tc>
      </w:tr>
      <w:tr>
        <w:trPr>
          <w:trHeight w:val="25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11,199</w:t>
            </w:r>
          </w:p>
        </w:tc>
        <w:tc>
          <w:tcPr>
            <w:tcW w:w="26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4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3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bl>
    <w:p>
      <w:pPr>
        <w:sectPr>
          <w:pgSz w:w="11900" w:h="16838" w:orient="portrait"/>
          <w:cols w:equalWidth="0" w:num="1">
            <w:col w:w="11420"/>
          </w:cols>
          <w:pgMar w:left="240" w:top="65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7"/>
        </w:trPr>
        <w:tc>
          <w:tcPr>
            <w:tcW w:w="48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3,267</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3,229</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70"/>
        </w:trPr>
        <w:tc>
          <w:tcPr>
            <w:tcW w:w="48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3,651</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3.0 %</w:t>
            </w:r>
          </w:p>
        </w:tc>
        <w:tc>
          <w:tcPr>
            <w:tcW w:w="46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3,272</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64"/>
        </w:trPr>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asset held for sale</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46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48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6,274</w:t>
            </w:r>
          </w:p>
        </w:tc>
        <w:tc>
          <w:tcPr>
            <w:tcW w:w="26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460" w:type="dxa"/>
            <w:vAlign w:val="bottom"/>
            <w:tcBorders>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6,501</w:t>
            </w:r>
          </w:p>
        </w:tc>
        <w:tc>
          <w:tcPr>
            <w:tcW w:w="3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4,925</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bl>
    <w:p>
      <w:pPr>
        <w:spacing w:after="0" w:line="42" w:lineRule="exact"/>
        <w:rPr>
          <w:sz w:val="20"/>
          <w:szCs w:val="20"/>
          <w:color w:val="auto"/>
        </w:rPr>
      </w:pPr>
    </w:p>
    <w:p>
      <w:pPr>
        <w:sectPr>
          <w:pgSz w:w="11900" w:h="16838" w:orient="portrait"/>
          <w:cols w:equalWidth="0" w:num="1">
            <w:col w:w="11420"/>
          </w:cols>
          <w:pgMar w:left="240" w:top="141" w:right="239" w:bottom="106" w:gutter="0" w:footer="0" w:header="0"/>
        </w:sectPr>
      </w:pPr>
    </w:p>
    <w:p>
      <w:pPr>
        <w:spacing w:after="0"/>
        <w:rPr>
          <w:sz w:val="20"/>
          <w:szCs w:val="20"/>
          <w:color w:val="auto"/>
        </w:rPr>
      </w:pPr>
      <w:r>
        <w:rPr>
          <w:rFonts w:ascii="Arial" w:cs="Arial" w:eastAsia="Arial" w:hAnsi="Arial"/>
          <w:sz w:val="16"/>
          <w:szCs w:val="16"/>
          <w:color w:val="auto"/>
        </w:rPr>
        <w:t>Other non-operating income (expense)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Provison (benefit) for taxes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0.1 %</w:t>
            </w:r>
          </w:p>
        </w:tc>
        <w:tc>
          <w:tcPr>
            <w:tcW w:w="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64"/>
        </w:trPr>
        <w:tc>
          <w:tcPr>
            <w:tcW w:w="7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5,077</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4.1 %</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(6,210)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256"/>
        </w:trPr>
        <w:tc>
          <w:tcPr>
            <w:tcW w:w="720" w:type="dxa"/>
            <w:vAlign w:val="bottom"/>
          </w:tcPr>
          <w:p>
            <w:pPr>
              <w:ind w:left="40"/>
              <w:spacing w:after="0"/>
              <w:rPr>
                <w:sz w:val="20"/>
                <w:szCs w:val="20"/>
                <w:color w:val="auto"/>
              </w:rPr>
            </w:pPr>
            <w:r>
              <w:rPr>
                <w:rFonts w:ascii="Arial" w:cs="Arial" w:eastAsia="Arial" w:hAnsi="Arial"/>
                <w:sz w:val="16"/>
                <w:szCs w:val="16"/>
                <w:color w:val="auto"/>
              </w:rPr>
              <w:t>1,291</w:t>
            </w:r>
          </w:p>
        </w:tc>
        <w:tc>
          <w:tcPr>
            <w:tcW w:w="1560" w:type="dxa"/>
            <w:vAlign w:val="bottom"/>
            <w:gridSpan w:val="3"/>
          </w:tcPr>
          <w:p>
            <w:pPr>
              <w:jc w:val="right"/>
              <w:ind w:right="320"/>
              <w:spacing w:after="0"/>
              <w:rPr>
                <w:sz w:val="20"/>
                <w:szCs w:val="20"/>
                <w:color w:val="auto"/>
              </w:rPr>
            </w:pPr>
            <w:r>
              <w:rPr>
                <w:rFonts w:ascii="Arial" w:cs="Arial" w:eastAsia="Arial" w:hAnsi="Arial"/>
                <w:sz w:val="16"/>
                <w:szCs w:val="16"/>
                <w:color w:val="auto"/>
              </w:rPr>
              <w:t>1.0 %</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319"/>
              <w:spacing w:after="0"/>
              <w:rPr>
                <w:sz w:val="20"/>
                <w:szCs w:val="20"/>
                <w:color w:val="auto"/>
              </w:rPr>
            </w:pPr>
            <w:r>
              <w:rPr>
                <w:rFonts w:ascii="Arial" w:cs="Arial" w:eastAsia="Arial" w:hAnsi="Arial"/>
                <w:sz w:val="16"/>
                <w:szCs w:val="16"/>
                <w:color w:val="auto"/>
              </w:rPr>
              <w:t>(4,866)</w:t>
            </w:r>
          </w:p>
        </w:tc>
        <w:tc>
          <w:tcPr>
            <w:tcW w:w="960" w:type="dxa"/>
            <w:vAlign w:val="bottom"/>
          </w:tcPr>
          <w:p>
            <w:pPr>
              <w:spacing w:after="0"/>
              <w:rPr>
                <w:sz w:val="22"/>
                <w:szCs w:val="22"/>
                <w:color w:val="auto"/>
              </w:rPr>
            </w:pPr>
          </w:p>
        </w:tc>
        <w:tc>
          <w:tcPr>
            <w:tcW w:w="1580" w:type="dxa"/>
            <w:vAlign w:val="bottom"/>
            <w:gridSpan w:val="2"/>
          </w:tcPr>
          <w:p>
            <w:pPr>
              <w:jc w:val="right"/>
              <w:ind w:right="999"/>
              <w:spacing w:after="0"/>
              <w:rPr>
                <w:sz w:val="20"/>
                <w:szCs w:val="20"/>
                <w:color w:val="auto"/>
              </w:rPr>
            </w:pPr>
            <w:r>
              <w:rPr>
                <w:rFonts w:ascii="Arial" w:cs="Arial" w:eastAsia="Arial" w:hAnsi="Arial"/>
                <w:sz w:val="16"/>
                <w:szCs w:val="16"/>
                <w:color w:val="auto"/>
              </w:rPr>
              <w:t>(6.0)%</w:t>
            </w:r>
          </w:p>
        </w:tc>
      </w:tr>
      <w:tr>
        <w:trPr>
          <w:trHeight w:val="257"/>
        </w:trPr>
        <w:tc>
          <w:tcPr>
            <w:tcW w:w="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3,786</w:t>
            </w:r>
          </w:p>
        </w:tc>
        <w:tc>
          <w:tcPr>
            <w:tcW w:w="2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3.1 %</w:t>
            </w:r>
          </w:p>
        </w:tc>
        <w:tc>
          <w:tcPr>
            <w:tcW w:w="460" w:type="dxa"/>
            <w:vAlign w:val="bottom"/>
          </w:tcPr>
          <w:p>
            <w:pPr>
              <w:spacing w:after="0"/>
              <w:rPr>
                <w:sz w:val="22"/>
                <w:szCs w:val="22"/>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-539750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-196850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4100" w:space="720"/>
            <w:col w:w="6600"/>
          </w:cols>
          <w:pgMar w:left="240" w:top="141" w:right="239" w:bottom="106" w:gutter="0" w:footer="0" w:header="0"/>
          <w:type w:val="continuous"/>
        </w:sectPr>
      </w:pPr>
    </w:p>
    <w:p>
      <w:pPr>
        <w:ind w:left="40"/>
        <w:spacing w:after="0"/>
        <w:rPr>
          <w:sz w:val="20"/>
          <w:szCs w:val="20"/>
          <w:color w:val="auto"/>
        </w:rPr>
      </w:pPr>
      <w:r>
        <w:rPr>
          <w:rFonts w:ascii="Arial" w:cs="Arial" w:eastAsia="Arial" w:hAnsi="Arial"/>
          <w:sz w:val="16"/>
          <w:szCs w:val="16"/>
          <w:color w:val="auto"/>
        </w:rPr>
        <w:t>Income (loss) per common share: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common shares outstanding:</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077" w:hanging="1077"/>
        <w:spacing w:after="0"/>
        <w:tabs>
          <w:tab w:leader="none" w:pos="1077" w:val="left"/>
        </w:tabs>
        <w:numPr>
          <w:ilvl w:val="0"/>
          <w:numId w:val="3"/>
        </w:numPr>
        <w:rPr>
          <w:rFonts w:ascii="Arial" w:cs="Arial" w:eastAsia="Arial" w:hAnsi="Arial"/>
          <w:sz w:val="16"/>
          <w:szCs w:val="16"/>
          <w:color w:val="auto"/>
        </w:rPr>
      </w:pPr>
      <w:r>
        <w:rPr>
          <w:rFonts w:ascii="Arial" w:cs="Arial" w:eastAsia="Arial" w:hAnsi="Arial"/>
          <w:sz w:val="16"/>
          <w:szCs w:val="16"/>
          <w:color w:val="auto"/>
        </w:rPr>
        <w:t>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-151765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7" w:hanging="1077"/>
        <w:spacing w:after="0"/>
        <w:tabs>
          <w:tab w:leader="none" w:pos="1077" w:val="left"/>
        </w:tabs>
        <w:numPr>
          <w:ilvl w:val="0"/>
          <w:numId w:val="4"/>
        </w:numPr>
        <w:rPr>
          <w:rFonts w:ascii="Arial" w:cs="Arial" w:eastAsia="Arial" w:hAnsi="Arial"/>
          <w:sz w:val="16"/>
          <w:szCs w:val="16"/>
          <w:color w:val="auto"/>
        </w:rPr>
      </w:pPr>
      <w:r>
        <w:rPr>
          <w:rFonts w:ascii="Arial" w:cs="Arial" w:eastAsia="Arial" w:hAnsi="Arial"/>
          <w:sz w:val="16"/>
          <w:szCs w:val="16"/>
          <w:color w:val="auto"/>
        </w:rPr>
        <w:t>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19050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897"/>
        <w:spacing w:after="0"/>
        <w:rPr>
          <w:sz w:val="20"/>
          <w:szCs w:val="20"/>
          <w:color w:val="auto"/>
        </w:rPr>
      </w:pPr>
      <w:r>
        <w:rPr>
          <w:rFonts w:ascii="Arial" w:cs="Arial" w:eastAsia="Arial" w:hAnsi="Arial"/>
          <w:sz w:val="16"/>
          <w:szCs w:val="16"/>
          <w:color w:val="auto"/>
        </w:rPr>
        <w:t>29,112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19050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97"/>
        <w:spacing w:after="0"/>
        <w:rPr>
          <w:sz w:val="20"/>
          <w:szCs w:val="20"/>
          <w:color w:val="auto"/>
        </w:rPr>
      </w:pPr>
      <w:r>
        <w:rPr>
          <w:rFonts w:ascii="Arial" w:cs="Arial" w:eastAsia="Arial" w:hAnsi="Arial"/>
          <w:sz w:val="16"/>
          <w:szCs w:val="16"/>
          <w:color w:val="auto"/>
        </w:rPr>
        <w:t>29,115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020" w:hanging="1019"/>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(0.05)</w:t>
      </w:r>
    </w:p>
    <w:p>
      <w:pPr>
        <w:spacing w:after="0" w:line="47" w:lineRule="exact"/>
        <w:rPr>
          <w:rFonts w:ascii="Arial" w:cs="Arial" w:eastAsia="Arial" w:hAnsi="Arial"/>
          <w:sz w:val="16"/>
          <w:szCs w:val="16"/>
          <w:color w:val="auto"/>
        </w:rPr>
      </w:pPr>
    </w:p>
    <w:p>
      <w:pPr>
        <w:ind w:left="320" w:hanging="140"/>
        <w:spacing w:after="0"/>
        <w:tabs>
          <w:tab w:leader="none" w:pos="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font style="font-</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family:Arial;font-</w:t>
      </w:r>
    </w:p>
    <w:p>
      <w:pPr>
        <w:spacing w:after="0" w:line="19"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size:9pt;font-</w:t>
      </w:r>
    </w:p>
    <w:p>
      <w:pPr>
        <w:spacing w:after="0" w:line="19"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style:normal;font-</w:t>
      </w:r>
    </w:p>
    <w:p>
      <w:pPr>
        <w:spacing w:after="0" w:line="19"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weight:normal;text-</w:t>
      </w:r>
    </w:p>
    <w:p>
      <w:pPr>
        <w:spacing w:after="0" w:line="19"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decoration:none;"&gt;</w:t>
      </w:r>
    </w:p>
    <w:p>
      <w:pPr>
        <w:spacing w:after="0" w:line="19" w:lineRule="exact"/>
        <w:rPr>
          <w:sz w:val="20"/>
          <w:szCs w:val="20"/>
          <w:color w:val="auto"/>
        </w:rPr>
      </w:pPr>
    </w:p>
    <w:p>
      <w:pPr>
        <w:ind w:left="1060" w:hanging="1059"/>
        <w:spacing w:after="0"/>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(0.05)</w:t>
      </w:r>
    </w:p>
    <w:p>
      <w:pPr>
        <w:spacing w:after="0" w:line="200" w:lineRule="exact"/>
        <w:rPr>
          <w:sz w:val="20"/>
          <w:szCs w:val="20"/>
          <w:color w:val="auto"/>
        </w:rPr>
      </w:pPr>
    </w:p>
    <w:p>
      <w:pPr>
        <w:spacing w:after="0" w:line="20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29,073</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29,086</w:t>
      </w:r>
    </w:p>
    <w:p>
      <w:pPr>
        <w:spacing w:after="0" w:line="227" w:lineRule="exact"/>
        <w:rPr>
          <w:sz w:val="20"/>
          <w:szCs w:val="20"/>
          <w:color w:val="auto"/>
        </w:rPr>
      </w:pPr>
    </w:p>
    <w:p>
      <w:pPr>
        <w:sectPr>
          <w:pgSz w:w="11900" w:h="16838" w:orient="portrait"/>
          <w:cols w:equalWidth="0" w:num="3">
            <w:col w:w="4123" w:space="720"/>
            <w:col w:w="2777" w:space="720"/>
            <w:col w:w="3080"/>
          </w:cols>
          <w:pgMar w:left="240" w:top="141" w:right="239" w:bottom="106"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November 27,</w:t>
      </w:r>
    </w:p>
    <w:p>
      <w:pPr>
        <w:spacing w:after="0" w:line="73"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2010</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August 28,</w:t>
      </w:r>
    </w:p>
    <w:p>
      <w:pPr>
        <w:spacing w:after="0" w:line="73"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2010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81,165</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74,691</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5,250</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Receivables, net</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16,508</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&amp;n bsp;</w:t>
      </w:r>
    </w:p>
    <w:p>
      <w:pPr>
        <w:spacing w:after="0" w:line="6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18,798</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45,173</w:t>
      </w:r>
    </w:p>
    <w:p>
      <w:pPr>
        <w:sectPr>
          <w:pgSz w:w="11900" w:h="16838" w:orient="portrait"/>
          <w:cols w:equalWidth="0" w:num="1">
            <w:col w:w="11420"/>
          </w:cols>
          <w:pgMar w:left="240" w:top="141" w:right="239" w:bottom="106" w:gutter="0" w:footer="0" w:header="0"/>
          <w:type w:val="continuous"/>
        </w:sectPr>
      </w:pPr>
    </w:p>
    <w:bookmarkStart w:id="7" w:name="page8"/>
    <w:bookmarkEnd w:id="7"/>
    <w:p>
      <w:pPr>
        <w:ind w:left="10920"/>
        <w:spacing w:after="0"/>
        <w:rPr>
          <w:sz w:val="20"/>
          <w:szCs w:val="20"/>
          <w:color w:val="auto"/>
        </w:rPr>
      </w:pPr>
      <w:r>
        <w:rPr>
          <w:rFonts w:ascii="Arial" w:cs="Arial" w:eastAsia="Arial" w:hAnsi="Arial"/>
          <w:sz w:val="16"/>
          <w:szCs w:val="16"/>
          <w:color w:val="auto"/>
        </w:rPr>
        <w:t>43,526</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assets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4,597</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4,570</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Income taxes receivable</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Total current assets</w:t>
      </w:r>
    </w:p>
    <w:p>
      <w:pPr>
        <w:spacing w:after="0" w:line="73"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152,825</w:t>
      </w:r>
    </w:p>
    <w:p>
      <w:pPr>
        <w:spacing w:after="0" w:line="200" w:lineRule="exact"/>
        <w:rPr>
          <w:sz w:val="20"/>
          <w:szCs w:val="20"/>
          <w:color w:val="auto"/>
        </w:rPr>
      </w:pPr>
    </w:p>
    <w:p>
      <w:pPr>
        <w:spacing w:after="0" w:line="386"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141,717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24,949</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25,677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Assets held for sale</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1,201</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4,254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11,146</w:t>
      </w:r>
    </w:p>
    <w:p>
      <w:pPr>
        <w:spacing w:after="0" w:line="200" w:lineRule="exact"/>
        <w:rPr>
          <w:sz w:val="20"/>
          <w:szCs w:val="20"/>
          <w:color w:val="auto"/>
        </w:rPr>
      </w:pPr>
    </w:p>
    <w:p>
      <w:pPr>
        <w:spacing w:after="0" w:line="38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17,785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Investment in life insurance</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23,500</w:t>
      </w:r>
    </w:p>
    <w:p>
      <w:pPr>
        <w:spacing w:after="0" w:line="200" w:lineRule="exact"/>
        <w:rPr>
          <w:sz w:val="20"/>
          <w:szCs w:val="20"/>
          <w:color w:val="auto"/>
        </w:rPr>
      </w:pPr>
    </w:p>
    <w:p>
      <w:pPr>
        <w:spacing w:after="0" w:line="38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23,250</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Other assets</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15,850</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14,674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229,471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227,357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LIABILITIES AND STOCKHOLDERS' EQUITY</w:t>
      </w:r>
    </w:p>
    <w:p>
      <w:pPr>
        <w:sectPr>
          <w:pgSz w:w="11900" w:h="16838" w:orient="portrait"/>
          <w:cols w:equalWidth="0" w:num="1">
            <w:col w:w="11420"/>
          </w:cols>
          <w:pgMar w:left="240" w:top="425"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17,035</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19,725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Income taxes payable</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1,301</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99</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29,949</w:t>
      </w:r>
    </w:p>
    <w:p>
      <w:pPr>
        <w:spacing w:after="0" w:line="200" w:lineRule="exact"/>
        <w:rPr>
          <w:sz w:val="20"/>
          <w:szCs w:val="20"/>
          <w:color w:val="auto"/>
        </w:rPr>
      </w:pPr>
    </w:p>
    <w:p>
      <w:pPr>
        <w:spacing w:after="0" w:line="38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30,548</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Total current liabilities</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48,285</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&amp;nb sp;</w:t>
      </w:r>
    </w:p>
    <w:p>
      <w:pPr>
        <w:spacing w:after="0" w:line="6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50,372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5,761</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5,877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Postretirement health care and deferred compensation benefits, net of current portion</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74,905</w:t>
      </w:r>
    </w:p>
    <w:p>
      <w:pPr>
        <w:spacing w:after="0" w:line="200" w:lineRule="exact"/>
        <w:rPr>
          <w:sz w:val="20"/>
          <w:szCs w:val="20"/>
          <w:color w:val="auto"/>
        </w:rPr>
      </w:pPr>
    </w:p>
    <w:p>
      <w:pPr>
        <w:spacing w:after="0" w:line="38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73,581</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liabilities</w:t>
      </w:r>
    </w:p>
    <w:p>
      <w:pPr>
        <w:spacing w:after="0" w:line="73"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80,666</w:t>
      </w:r>
    </w:p>
    <w:p>
      <w:pPr>
        <w:spacing w:after="0" w:line="200" w:lineRule="exact"/>
        <w:rPr>
          <w:sz w:val="20"/>
          <w:szCs w:val="20"/>
          <w:color w:val="auto"/>
        </w:rPr>
      </w:pPr>
    </w:p>
    <w:p>
      <w:pPr>
        <w:spacing w:after="0" w:line="38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79,458</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100,520</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97,527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and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229,471</w:t>
      </w:r>
    </w:p>
    <w:p>
      <w:pPr>
        <w:sectPr>
          <w:pgSz w:w="11900" w:h="16838" w:orient="portrait"/>
          <w:cols w:equalWidth="0" w:num="1">
            <w:col w:w="11420"/>
          </w:cols>
          <w:pgMar w:left="240" w:top="682" w:right="239" w:bottom="12" w:gutter="0" w:footer="0" w:header="0"/>
        </w:sectPr>
      </w:pPr>
    </w:p>
    <w:bookmarkStart w:id="9" w:name="page10"/>
    <w:bookmarkEnd w:id="9"/>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227,357</w:t>
            </w:r>
          </w:p>
        </w:tc>
      </w:tr>
      <w:tr>
        <w:trPr>
          <w:trHeight w:val="739"/>
        </w:trPr>
        <w:tc>
          <w:tcPr>
            <w:tcW w:w="8240" w:type="dxa"/>
            <w:vAlign w:val="bottom"/>
          </w:tcPr>
          <w:p>
            <w:pPr>
              <w:jc w:val="center"/>
              <w:ind w:left="3118"/>
              <w:spacing w:after="0"/>
              <w:rPr>
                <w:sz w:val="20"/>
                <w:szCs w:val="20"/>
                <w:color w:val="auto"/>
              </w:rPr>
            </w:pPr>
            <w:r>
              <w:rPr>
                <w:rFonts w:ascii="Arial" w:cs="Arial" w:eastAsia="Arial" w:hAnsi="Arial"/>
                <w:sz w:val="18"/>
                <w:szCs w:val="18"/>
                <w:b w:val="1"/>
                <w:bCs w:val="1"/>
                <w:color w:val="auto"/>
                <w:w w:val="90"/>
              </w:rPr>
              <w:t>Winnebago Industries,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240" w:type="dxa"/>
            <w:vAlign w:val="bottom"/>
          </w:tcPr>
          <w:p>
            <w:pPr>
              <w:jc w:val="center"/>
              <w:ind w:left="3098"/>
              <w:spacing w:after="0"/>
              <w:rPr>
                <w:sz w:val="20"/>
                <w:szCs w:val="20"/>
                <w:color w:val="auto"/>
              </w:rPr>
            </w:pPr>
            <w:r>
              <w:rPr>
                <w:rFonts w:ascii="Arial" w:cs="Arial" w:eastAsia="Arial" w:hAnsi="Arial"/>
                <w:sz w:val="18"/>
                <w:szCs w:val="18"/>
                <w:b w:val="1"/>
                <w:bCs w:val="1"/>
                <w:color w:val="auto"/>
              </w:rPr>
              <w:t>Unaudited Statements of Cash Flows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8240" w:type="dxa"/>
            <w:vAlign w:val="bottom"/>
          </w:tcPr>
          <w:p>
            <w:pPr>
              <w:jc w:val="center"/>
              <w:ind w:left="3118"/>
              <w:spacing w:after="0"/>
              <w:rPr>
                <w:sz w:val="20"/>
                <w:szCs w:val="20"/>
                <w:color w:val="auto"/>
              </w:rPr>
            </w:pPr>
            <w:r>
              <w:rPr>
                <w:rFonts w:ascii="Arial" w:cs="Arial" w:eastAsia="Arial" w:hAnsi="Arial"/>
                <w:sz w:val="18"/>
                <w:szCs w:val="18"/>
                <w:b w:val="1"/>
                <w:bCs w:val="1"/>
                <w:color w:val="auto"/>
                <w:w w:val="99"/>
              </w:rPr>
              <w:t>(In thousands)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77"/>
        </w:trPr>
        <w:tc>
          <w:tcPr>
            <w:tcW w:w="8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November 27,</w:t>
            </w:r>
          </w:p>
        </w:tc>
        <w:tc>
          <w:tcPr>
            <w:tcW w:w="200" w:type="dxa"/>
            <w:vAlign w:val="bottom"/>
          </w:tcPr>
          <w:p>
            <w:pPr>
              <w:spacing w:after="0"/>
              <w:rPr>
                <w:sz w:val="17"/>
                <w:szCs w:val="17"/>
                <w:color w:val="auto"/>
              </w:rPr>
            </w:pPr>
          </w:p>
        </w:tc>
        <w:tc>
          <w:tcPr>
            <w:tcW w:w="14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2009</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3,786</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1,430</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1,684</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70"/>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14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Provision (reduction) for doubtful accounts</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 urrender value of life insurance policies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(324)</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Gain on sale or disposal of property</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(693)</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Receivables and prepaid assets</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2,246</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(449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8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974</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(3,435)</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4,055</w:t>
            </w:r>
          </w:p>
        </w:tc>
      </w:tr>
      <w:tr>
        <w:trPr>
          <w:trHeight w:val="273"/>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(926)</w:t>
            </w:r>
          </w:p>
        </w:tc>
        <w:tc>
          <w:tcPr>
            <w:tcW w:w="2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2,173</w:t>
            </w: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w:t>
            </w:r>
          </w:p>
        </w:tc>
      </w:tr>
      <w:tr>
        <w:trPr>
          <w:trHeight w:val="284"/>
        </w:trPr>
        <w:tc>
          <w:tcPr>
            <w:tcW w:w="8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240" w:type="dxa"/>
            <w:vAlign w:val="bottom"/>
          </w:tcPr>
          <w:p>
            <w:pPr>
              <w:spacing w:after="0"/>
              <w:rPr>
                <w:sz w:val="20"/>
                <w:szCs w:val="20"/>
                <w:color w:val="auto"/>
              </w:rPr>
            </w:pPr>
            <w:r>
              <w:rPr>
                <w:rFonts w:ascii="Arial" w:cs="Arial" w:eastAsia="Arial" w:hAnsi="Arial"/>
                <w:sz w:val="16"/>
                <w:szCs w:val="16"/>
                <w:color w:val="auto"/>
              </w:rPr>
              <w:t>Proceeds from the sale of investments, at par</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1,200</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(667)</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3,769</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4"/>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4,326</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918" w:orient="portrait"/>
          <w:cols w:equalWidth="0" w:num="1">
            <w:col w:w="11420"/>
          </w:cols>
          <w:pgMar w:left="240" w:top="425" w:right="239" w:bottom="0" w:gutter="0" w:footer="0" w:header="0"/>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for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2740" w:hanging="1590"/>
        <w:spacing w:after="0"/>
        <w:tabs>
          <w:tab w:leader="none" w:pos="2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(249)</w:t>
      </w:r>
    </w:p>
    <w:p>
      <w:pPr>
        <w:spacing w:after="0" w:line="86"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860" w:type="dxa"/>
            <w:vAlign w:val="bottom"/>
          </w:tcPr>
          <w:p>
            <w:pPr>
              <w:jc w:val="right"/>
              <w:ind w:right="59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860" w:type="dxa"/>
            <w:vAlign w:val="bottom"/>
          </w:tcPr>
          <w:p>
            <w:pPr>
              <w:jc w:val="right"/>
              <w:ind w:right="599"/>
              <w:spacing w:after="0"/>
              <w:rPr>
                <w:sz w:val="20"/>
                <w:szCs w:val="20"/>
                <w:color w:val="auto"/>
              </w:rPr>
            </w:pPr>
            <w:r>
              <w:rPr>
                <w:rFonts w:ascii="Arial" w:cs="Arial" w:eastAsia="Arial" w:hAnsi="Arial"/>
                <w:sz w:val="16"/>
                <w:szCs w:val="16"/>
                <w:color w:val="auto"/>
                <w:w w:val="89"/>
              </w:rPr>
              <w:t>64</w:t>
            </w:r>
          </w:p>
        </w:tc>
        <w:tc>
          <w:tcPr>
            <w:tcW w:w="1060" w:type="dxa"/>
            <w:vAlign w:val="bottom"/>
          </w:tcPr>
          <w:p>
            <w:pPr>
              <w:jc w:val="right"/>
              <w:spacing w:after="0"/>
              <w:rPr>
                <w:sz w:val="20"/>
                <w:szCs w:val="20"/>
                <w:color w:val="auto"/>
              </w:rPr>
            </w:pPr>
            <w:r>
              <w:rPr>
                <w:rFonts w:ascii="Arial" w:cs="Arial" w:eastAsia="Arial" w:hAnsi="Arial"/>
                <w:sz w:val="16"/>
                <w:szCs w:val="16"/>
                <w:color w:val="auto"/>
              </w:rPr>
              <w:t>(341)</w:t>
            </w:r>
          </w:p>
        </w:tc>
      </w:tr>
    </w:tbl>
    <w:p>
      <w:pPr>
        <w:spacing w:after="0" w:line="75" w:lineRule="exact"/>
        <w:rPr>
          <w:sz w:val="20"/>
          <w:szCs w:val="20"/>
          <w:color w:val="auto"/>
        </w:rPr>
      </w:pPr>
    </w:p>
    <w:p>
      <w:pPr>
        <w:ind w:left="2740" w:hanging="1590"/>
        <w:spacing w:after="0"/>
        <w:tabs>
          <w:tab w:leader="none" w:pos="2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6,474</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(7,361)</w:t>
            </w:r>
          </w:p>
        </w:tc>
      </w:tr>
      <w:tr>
        <w:trPr>
          <w:trHeight w:val="256"/>
        </w:trPr>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74,691</w:t>
            </w:r>
          </w:p>
        </w:tc>
        <w:tc>
          <w:tcPr>
            <w:tcW w:w="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36,566</w:t>
            </w:r>
          </w:p>
        </w:tc>
      </w:tr>
      <w:tr>
        <w:trPr>
          <w:trHeight w:val="237"/>
        </w:trPr>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81,165</w:t>
            </w:r>
          </w:p>
        </w:tc>
        <w:tc>
          <w:tcPr>
            <w:tcW w:w="2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29,205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18" w:orient="portrait"/>
          <w:cols w:equalWidth="0" w:num="2">
            <w:col w:w="7520" w:space="720"/>
            <w:col w:w="3180"/>
          </w:cols>
          <w:pgMar w:left="240" w:top="425" w:right="239" w:bottom="0" w:gutter="0" w:footer="0" w:header="0"/>
          <w:type w:val="continuous"/>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disclosure:</w:t>
      </w:r>
    </w:p>
    <w:p>
      <w:pPr>
        <w:spacing w:after="0" w:line="86" w:lineRule="exact"/>
        <w:rPr>
          <w:sz w:val="20"/>
          <w:szCs w:val="20"/>
          <w:color w:val="auto"/>
        </w:rPr>
      </w:pPr>
    </w:p>
    <w:p>
      <w:pPr>
        <w:ind w:left="40"/>
        <w:spacing w:after="0"/>
        <w:tabs>
          <w:tab w:leader="none" w:pos="8240" w:val="left"/>
          <w:tab w:leader="none" w:pos="9420" w:val="left"/>
          <w:tab w:leader="none" w:pos="9960" w:val="left"/>
          <w:tab w:leader="none" w:pos="11120" w:val="left"/>
        </w:tabs>
        <w:rPr>
          <w:sz w:val="20"/>
          <w:szCs w:val="20"/>
          <w:color w:val="auto"/>
        </w:rPr>
      </w:pPr>
      <w:r>
        <w:rPr>
          <w:rFonts w:ascii="Arial" w:cs="Arial" w:eastAsia="Arial" w:hAnsi="Arial"/>
          <w:sz w:val="16"/>
          <w:szCs w:val="16"/>
          <w:color w:val="auto"/>
        </w:rPr>
        <w:t>Income taxes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Motor Home Deliveries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5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Quarter Ended</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198"/>
        </w:trPr>
        <w:tc>
          <w:tcPr>
            <w:tcW w:w="252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November 27,</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Product</w:t>
            </w:r>
          </w:p>
        </w:tc>
        <w:tc>
          <w:tcPr>
            <w:tcW w:w="100" w:type="dxa"/>
            <w:vAlign w:val="bottom"/>
          </w:tcPr>
          <w:p>
            <w:pPr>
              <w:spacing w:after="0"/>
              <w:rPr>
                <w:sz w:val="17"/>
                <w:szCs w:val="17"/>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28,</w:t>
            </w: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820" w:type="dxa"/>
            <w:vAlign w:val="bottom"/>
          </w:tcPr>
          <w:p>
            <w:pPr>
              <w:spacing w:after="0"/>
              <w:rPr>
                <w:sz w:val="17"/>
                <w:szCs w:val="17"/>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28"/>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units)</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2009</w:t>
            </w: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Units</w:t>
            </w: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7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235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154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65.5 %</w:t>
            </w:r>
          </w:p>
        </w:tc>
      </w:tr>
      <w:tr>
        <w:trPr>
          <w:trHeight w:val="264"/>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270</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r>
      <w:tr>
        <w:trPr>
          <w:trHeight w:val="257"/>
        </w:trPr>
        <w:tc>
          <w:tcPr>
            <w:tcW w:w="2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1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r>
      <w:tr>
        <w:trPr>
          <w:trHeight w:val="251"/>
        </w:trPr>
        <w:tc>
          <w:tcPr>
            <w:tcW w:w="252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720" w:type="dxa"/>
            <w:vAlign w:val="bottom"/>
            <w:gridSpan w:val="2"/>
          </w:tcPr>
          <w:p>
            <w:pPr>
              <w:jc w:val="right"/>
              <w:ind w:right="179"/>
              <w:spacing w:after="0"/>
              <w:rPr>
                <w:sz w:val="20"/>
                <w:szCs w:val="20"/>
                <w:color w:val="auto"/>
              </w:rPr>
            </w:pPr>
            <w:r>
              <w:rPr>
                <w:rFonts w:ascii="Arial" w:cs="Arial" w:eastAsia="Arial" w:hAnsi="Arial"/>
                <w:sz w:val="16"/>
                <w:szCs w:val="16"/>
                <w:color w:val="auto"/>
              </w:rPr>
              <w:t>62</w:t>
            </w:r>
          </w:p>
        </w:tc>
        <w:tc>
          <w:tcPr>
            <w:tcW w:w="12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(61)</w:t>
            </w:r>
          </w:p>
        </w:tc>
        <w:tc>
          <w:tcPr>
            <w:tcW w:w="108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283"/>
        </w:trPr>
        <w:tc>
          <w:tcPr>
            <w:tcW w:w="2520" w:type="dxa"/>
            <w:vAlign w:val="bottom"/>
          </w:tcPr>
          <w:p>
            <w:pPr>
              <w:ind w:left="20"/>
              <w:spacing w:after="0"/>
              <w:rPr>
                <w:sz w:val="20"/>
                <w:szCs w:val="20"/>
                <w:color w:val="auto"/>
              </w:rPr>
            </w:pPr>
            <w:r>
              <w:rPr>
                <w:rFonts w:ascii="Arial" w:cs="Arial" w:eastAsia="Arial" w:hAnsi="Arial"/>
                <w:sz w:val="16"/>
                <w:szCs w:val="16"/>
                <w:color w:val="auto"/>
              </w:rPr>
              <w:t>Class C</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455</w:t>
            </w:r>
          </w:p>
        </w:tc>
        <w:tc>
          <w:tcPr>
            <w:tcW w:w="1280" w:type="dxa"/>
            <w:vAlign w:val="bottom"/>
          </w:tcPr>
          <w:p>
            <w:pPr>
              <w:jc w:val="right"/>
              <w:spacing w:after="0"/>
              <w:rPr>
                <w:sz w:val="20"/>
                <w:szCs w:val="20"/>
                <w:color w:val="auto"/>
              </w:rPr>
            </w:pPr>
            <w:r>
              <w:rPr>
                <w:rFonts w:ascii="Arial" w:cs="Arial" w:eastAsia="Arial" w:hAnsi="Arial"/>
                <w:sz w:val="16"/>
                <w:szCs w:val="16"/>
                <w:color w:val="auto"/>
              </w:rPr>
              <w:t>40.8%</w:t>
            </w:r>
          </w:p>
        </w:tc>
        <w:tc>
          <w:tcPr>
            <w:tcW w:w="17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317</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r>
      <w:tr>
        <w:trPr>
          <w:trHeight w:val="210"/>
        </w:trPr>
        <w:tc>
          <w:tcPr>
            <w:tcW w:w="2520" w:type="dxa"/>
            <w:vAlign w:val="bottom"/>
          </w:tcPr>
          <w:p>
            <w:pPr>
              <w:ind w:left="280"/>
              <w:spacing w:after="0"/>
              <w:rPr>
                <w:sz w:val="20"/>
                <w:szCs w:val="20"/>
                <w:color w:val="auto"/>
              </w:rPr>
            </w:pPr>
            <w:r>
              <w:rPr>
                <w:rFonts w:ascii="Arial" w:cs="Arial" w:eastAsia="Arial" w:hAnsi="Arial"/>
                <w:sz w:val="16"/>
                <w:szCs w:val="16"/>
                <w:color w:val="auto"/>
              </w:rPr>
              <w:t>Total deliveries</w:t>
            </w: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-313055</wp:posOffset>
            </wp:positionV>
            <wp:extent cx="33102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0255" cy="171450"/>
                    </a:xfrm>
                    <a:prstGeom prst="rect">
                      <a:avLst/>
                    </a:prstGeom>
                    <a:noFill/>
                  </pic:spPr>
                </pic:pic>
              </a:graphicData>
            </a:graphic>
          </wp:anchor>
        </w:drawing>
      </w:r>
    </w:p>
    <w:p>
      <w:pPr>
        <w:sectPr>
          <w:pgSz w:w="11900" w:h="16918" w:orient="portrait"/>
          <w:cols w:equalWidth="0" w:num="1">
            <w:col w:w="11420"/>
          </w:cols>
          <w:pgMar w:left="240" w:top="425" w:right="239" w:bottom="0" w:gutter="0" w:footer="0" w:header="0"/>
          <w:type w:val="continuous"/>
        </w:sectPr>
      </w:pPr>
    </w:p>
    <w:bookmarkStart w:id="10" w:name="page11"/>
    <w:bookmarkEnd w:id="10"/>
    <w:p>
      <w:pPr>
        <w:ind w:left="3500"/>
        <w:spacing w:after="0"/>
        <w:tabs>
          <w:tab w:leader="none" w:pos="4800" w:val="left"/>
          <w:tab w:leader="none" w:pos="6600" w:val="left"/>
          <w:tab w:leader="none" w:pos="7800" w:val="left"/>
          <w:tab w:leader="none" w:pos="9540" w:val="left"/>
          <w:tab w:leader="none" w:pos="10840" w:val="left"/>
        </w:tabs>
        <w:rPr>
          <w:sz w:val="20"/>
          <w:szCs w:val="20"/>
          <w:color w:val="auto"/>
        </w:rPr>
      </w:pPr>
      <w:r>
        <w:rPr>
          <w:rFonts w:ascii="Arial" w:cs="Arial" w:eastAsia="Arial" w:hAnsi="Arial"/>
          <w:sz w:val="16"/>
          <w:szCs w:val="16"/>
          <w:color w:val="auto"/>
        </w:rPr>
        <w:t>1,115</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6"/>
          <w:szCs w:val="16"/>
          <w:color w:val="auto"/>
        </w:rPr>
        <w:t>794</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40.4 %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27940</wp:posOffset>
            </wp:positionV>
            <wp:extent cx="5625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5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 and Dealer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66040</wp:posOffset>
            </wp:positionV>
            <wp:extent cx="17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445"/>
        </w:trPr>
        <w:tc>
          <w:tcPr>
            <w:tcW w:w="2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As Of</w:t>
            </w:r>
          </w:p>
        </w:tc>
        <w:tc>
          <w:tcPr>
            <w:tcW w:w="1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60" w:type="dxa"/>
            <w:vAlign w:val="bottom"/>
            <w:gridSpan w:val="5"/>
          </w:tcPr>
          <w:p>
            <w:pPr>
              <w:jc w:val="right"/>
              <w:ind w:right="1240"/>
              <w:spacing w:after="0"/>
              <w:rPr>
                <w:sz w:val="20"/>
                <w:szCs w:val="20"/>
                <w:color w:val="auto"/>
              </w:rPr>
            </w:pPr>
            <w:r>
              <w:rPr>
                <w:rFonts w:ascii="Arial" w:cs="Arial" w:eastAsia="Arial" w:hAnsi="Arial"/>
                <w:sz w:val="16"/>
                <w:szCs w:val="16"/>
                <w:b w:val="1"/>
                <w:bCs w:val="1"/>
                <w:color w:val="auto"/>
              </w:rPr>
              <w:t>November 27, 2010</w:t>
            </w:r>
          </w:p>
        </w:tc>
        <w:tc>
          <w:tcPr>
            <w:tcW w:w="3120" w:type="dxa"/>
            <w:vAlign w:val="bottom"/>
            <w:gridSpan w:val="4"/>
          </w:tcPr>
          <w:p>
            <w:pPr>
              <w:jc w:val="right"/>
              <w:ind w:right="1420"/>
              <w:spacing w:after="0"/>
              <w:rPr>
                <w:sz w:val="20"/>
                <w:szCs w:val="20"/>
                <w:color w:val="auto"/>
              </w:rPr>
            </w:pPr>
            <w:r>
              <w:rPr>
                <w:rFonts w:ascii="Arial" w:cs="Arial" w:eastAsia="Arial" w:hAnsi="Arial"/>
                <w:sz w:val="16"/>
                <w:szCs w:val="16"/>
                <w:b w:val="1"/>
                <w:bCs w:val="1"/>
                <w:color w:val="auto"/>
              </w:rPr>
              <w:t>November 28, 2009</w:t>
            </w:r>
          </w:p>
        </w:tc>
        <w:tc>
          <w:tcPr>
            <w:tcW w:w="15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25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Units</w:t>
            </w: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22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Units</w:t>
            </w:r>
          </w:p>
        </w:tc>
        <w:tc>
          <w:tcPr>
            <w:tcW w:w="880" w:type="dxa"/>
            <w:vAlign w:val="bottom"/>
            <w:tcBorders>
              <w:top w:val="single" w:sz="8" w:color="auto"/>
              <w:bottom w:val="single" w:sz="8" w:color="auto"/>
            </w:tcBorders>
          </w:tcPr>
          <w:p>
            <w:pPr>
              <w:jc w:val="right"/>
              <w:ind w:right="34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(Decrease)</w:t>
            </w: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5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531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8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w:t>
            </w:r>
          </w:p>
        </w:tc>
        <w:tc>
          <w:tcPr>
            <w:tcW w:w="780" w:type="dxa"/>
            <w:vAlign w:val="bottom"/>
          </w:tcPr>
          <w:p>
            <w:pPr>
              <w:jc w:val="right"/>
              <w:ind w:right="639"/>
              <w:spacing w:after="0"/>
              <w:rPr>
                <w:sz w:val="20"/>
                <w:szCs w:val="20"/>
                <w:color w:val="auto"/>
              </w:rPr>
            </w:pPr>
            <w:r>
              <w:rPr>
                <w:rFonts w:ascii="Arial" w:cs="Arial" w:eastAsia="Arial" w:hAnsi="Arial"/>
                <w:sz w:val="16"/>
                <w:szCs w:val="16"/>
                <w:color w:val="auto"/>
                <w:w w:val="74"/>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(52.2)%</w:t>
            </w:r>
          </w:p>
        </w:tc>
      </w:tr>
      <w:tr>
        <w:trPr>
          <w:trHeight w:val="26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(180)</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(47.2)%</w:t>
            </w:r>
          </w:p>
        </w:tc>
      </w:tr>
      <w:tr>
        <w:trPr>
          <w:trHeight w:val="257"/>
        </w:trPr>
        <w:tc>
          <w:tcPr>
            <w:tcW w:w="2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912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(457)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70"/>
        </w:trPr>
        <w:tc>
          <w:tcPr>
            <w:tcW w:w="2580" w:type="dxa"/>
            <w:vAlign w:val="bottom"/>
          </w:tcPr>
          <w:p>
            <w:pPr>
              <w:ind w:left="280"/>
              <w:spacing w:after="0"/>
              <w:rPr>
                <w:sz w:val="20"/>
                <w:szCs w:val="20"/>
                <w:color w:val="auto"/>
              </w:rPr>
            </w:pPr>
            <w:r>
              <w:rPr>
                <w:rFonts w:ascii="Arial" w:cs="Arial" w:eastAsia="Arial" w:hAnsi="Arial"/>
                <w:sz w:val="16"/>
                <w:szCs w:val="16"/>
                <w:color w:val="auto"/>
              </w:rPr>
              <w:t xml:space="preserve">Class B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62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59"/>
              <w:spacing w:after="0"/>
              <w:rPr>
                <w:sz w:val="20"/>
                <w:szCs w:val="20"/>
                <w:color w:val="auto"/>
              </w:rPr>
            </w:pPr>
            <w:r>
              <w:rPr>
                <w:rFonts w:ascii="Arial" w:cs="Arial" w:eastAsia="Arial" w:hAnsi="Arial"/>
                <w:sz w:val="16"/>
                <w:szCs w:val="16"/>
                <w:color w:val="auto"/>
              </w:rPr>
              <w:t>17</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639"/>
              <w:spacing w:after="0"/>
              <w:rPr>
                <w:sz w:val="20"/>
                <w:szCs w:val="20"/>
                <w:color w:val="auto"/>
              </w:rPr>
            </w:pPr>
            <w:r>
              <w:rPr>
                <w:rFonts w:ascii="Arial" w:cs="Arial" w:eastAsia="Arial" w:hAnsi="Arial"/>
                <w:sz w:val="16"/>
                <w:szCs w:val="16"/>
                <w:color w:val="auto"/>
              </w:rPr>
              <w:t>(17)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64"/>
        </w:trPr>
        <w:tc>
          <w:tcPr>
            <w:tcW w:w="2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Class C</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592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(349)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220" w:type="dxa"/>
            <w:vAlign w:val="bottom"/>
          </w:tcPr>
          <w:p>
            <w:pPr>
              <w:jc w:val="right"/>
              <w:spacing w:after="0"/>
              <w:rPr>
                <w:sz w:val="20"/>
                <w:szCs w:val="20"/>
                <w:color w:val="auto"/>
              </w:rPr>
            </w:pPr>
            <w:r>
              <w:rPr>
                <w:rFonts w:ascii="Arial" w:cs="Arial" w:eastAsia="Arial" w:hAnsi="Arial"/>
                <w:sz w:val="16"/>
                <w:szCs w:val="16"/>
                <w:color w:val="auto"/>
                <w:w w:val="81"/>
              </w:rPr>
              <w:t>)%</w:t>
            </w:r>
          </w:p>
        </w:tc>
      </w:tr>
      <w:tr>
        <w:trPr>
          <w:trHeight w:val="294"/>
        </w:trPr>
        <w:tc>
          <w:tcPr>
            <w:tcW w:w="25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backlog</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4"/>
              </w:rPr>
              <w:t>%</w:t>
            </w:r>
          </w:p>
        </w:tc>
        <w:tc>
          <w:tcPr>
            <w:tcW w:w="16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1,521</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1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(823)</w:t>
            </w:r>
          </w:p>
        </w:tc>
        <w:tc>
          <w:tcPr>
            <w:tcW w:w="15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(54.1)%</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r>
      <w:tr>
        <w:trPr>
          <w:trHeight w:val="254"/>
        </w:trPr>
        <w:tc>
          <w:tcPr>
            <w:tcW w:w="2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13"/>
        </w:trPr>
        <w:tc>
          <w:tcPr>
            <w:tcW w:w="2580" w:type="dxa"/>
            <w:vAlign w:val="bottom"/>
          </w:tcPr>
          <w:p>
            <w:pPr>
              <w:ind w:left="40"/>
              <w:spacing w:after="0"/>
              <w:rPr>
                <w:sz w:val="20"/>
                <w:szCs w:val="20"/>
                <w:color w:val="auto"/>
              </w:rPr>
            </w:pPr>
            <w:r>
              <w:rPr>
                <w:rFonts w:ascii="Arial" w:cs="Arial" w:eastAsia="Arial" w:hAnsi="Arial"/>
                <w:sz w:val="16"/>
                <w:szCs w:val="16"/>
                <w:color w:val="auto"/>
              </w:rPr>
              <w:t>Total approximate revenue dollars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25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 thousands) </w:t>
            </w:r>
            <w:r>
              <w:rPr>
                <w:rFonts w:ascii="Arial" w:cs="Arial" w:eastAsia="Arial" w:hAnsi="Arial"/>
                <w:sz w:val="21"/>
                <w:szCs w:val="21"/>
                <w:color w:val="auto"/>
                <w:vertAlign w:val="superscript"/>
              </w:rPr>
              <w:t>(3)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75,454</w:t>
            </w:r>
          </w:p>
        </w:tc>
        <w:tc>
          <w:tcPr>
            <w:tcW w:w="300" w:type="dxa"/>
            <w:vAlign w:val="bottom"/>
          </w:tcPr>
          <w:p>
            <w:pPr>
              <w:spacing w:after="0"/>
              <w:rPr>
                <w:sz w:val="19"/>
                <w:szCs w:val="19"/>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59"/>
              <w:spacing w:after="0"/>
              <w:rPr>
                <w:sz w:val="20"/>
                <w:szCs w:val="20"/>
                <w:color w:val="auto"/>
              </w:rPr>
            </w:pPr>
            <w:r>
              <w:rPr>
                <w:rFonts w:ascii="Arial" w:cs="Arial" w:eastAsia="Arial" w:hAnsi="Arial"/>
                <w:sz w:val="16"/>
                <w:szCs w:val="16"/>
                <w:color w:val="auto"/>
              </w:rPr>
              <w:t>149,501</w:t>
            </w:r>
          </w:p>
        </w:tc>
        <w:tc>
          <w:tcPr>
            <w:tcW w:w="15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39"/>
              <w:spacing w:after="0"/>
              <w:rPr>
                <w:sz w:val="20"/>
                <w:szCs w:val="20"/>
                <w:color w:val="auto"/>
              </w:rPr>
            </w:pPr>
            <w:r>
              <w:rPr>
                <w:rFonts w:ascii="Arial" w:cs="Arial" w:eastAsia="Arial" w:hAnsi="Arial"/>
                <w:sz w:val="16"/>
                <w:szCs w:val="16"/>
                <w:color w:val="auto"/>
              </w:rPr>
              <w:t>(74,047)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(49.5)%</w:t>
            </w:r>
          </w:p>
        </w:tc>
      </w:tr>
      <w:tr>
        <w:trPr>
          <w:trHeight w:val="270"/>
        </w:trPr>
        <w:tc>
          <w:tcPr>
            <w:tcW w:w="2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spacing w:after="0"/>
              <w:rPr>
                <w:sz w:val="23"/>
                <w:szCs w:val="23"/>
                <w:color w:val="auto"/>
              </w:rPr>
            </w:pPr>
          </w:p>
        </w:tc>
      </w:tr>
      <w:tr>
        <w:trPr>
          <w:trHeight w:val="278"/>
        </w:trPr>
        <w:tc>
          <w:tcPr>
            <w:tcW w:w="2580" w:type="dxa"/>
            <w:vAlign w:val="bottom"/>
          </w:tcPr>
          <w:p>
            <w:pPr>
              <w:ind w:left="40"/>
              <w:spacing w:after="0"/>
              <w:rPr>
                <w:sz w:val="20"/>
                <w:szCs w:val="20"/>
                <w:color w:val="auto"/>
              </w:rPr>
            </w:pPr>
            <w:r>
              <w:rPr>
                <w:rFonts w:ascii="Arial" w:cs="Arial" w:eastAsia="Arial" w:hAnsi="Arial"/>
                <w:sz w:val="16"/>
                <w:szCs w:val="16"/>
                <w:color w:val="auto"/>
              </w:rPr>
              <w:t>Dealer inventory (units)</w:t>
            </w:r>
          </w:p>
        </w:tc>
        <w:tc>
          <w:tcPr>
            <w:tcW w:w="3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2,066</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color w:val="auto"/>
              </w:rPr>
              <w:t>1,567</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w:t>
            </w:r>
          </w:p>
        </w:tc>
        <w:tc>
          <w:tcPr>
            <w:tcW w:w="7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-1847850</wp:posOffset>
            </wp:positionV>
            <wp:extent cx="909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9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-1162050</wp:posOffset>
            </wp:positionV>
            <wp:extent cx="397891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17145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-2593975</wp:posOffset>
            </wp:positionV>
            <wp:extent cx="17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-2576830</wp:posOffset>
            </wp:positionV>
            <wp:extent cx="17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01" w:lineRule="exact"/>
        <w:rPr>
          <w:sz w:val="20"/>
          <w:szCs w:val="20"/>
          <w:color w:val="auto"/>
        </w:rPr>
      </w:pPr>
    </w:p>
    <w:p>
      <w:pPr>
        <w:ind w:left="260" w:hanging="22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40" w:right="140" w:hanging="5"/>
        <w:spacing w:after="0" w:line="258"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Class B backlog is currently not applicable given the fact that the ERA was temporarily discontinued in the 2011 model year. Current plans call for the ERA to be reintroduced in the 2012 model year.</w:t>
      </w:r>
    </w:p>
    <w:p>
      <w:pPr>
        <w:spacing w:after="0" w:line="32" w:lineRule="exact"/>
        <w:rPr>
          <w:rFonts w:ascii="Arial" w:cs="Arial" w:eastAsia="Arial" w:hAnsi="Arial"/>
          <w:sz w:val="14"/>
          <w:szCs w:val="14"/>
          <w:color w:val="auto"/>
        </w:rPr>
      </w:pPr>
    </w:p>
    <w:p>
      <w:pPr>
        <w:ind w:left="40" w:right="40" w:hanging="5"/>
        <w:spacing w:after="0" w:line="258"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 thout penalty and, therefore, backlog may not necessarily be an accurate measure of future sales</w:t>
      </w:r>
    </w:p>
    <w:p>
      <w:pPr>
        <w:sectPr>
          <w:pgSz w:w="11900" w:h="16838" w:orient="portrait"/>
          <w:cols w:equalWidth="0" w:num="1">
            <w:col w:w="11420"/>
          </w:cols>
          <w:pgMar w:left="240" w:top="14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lt;"/>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89"/>
    </w:lvl>
  </w:abstractNum>
  <w:abstractNum w:abstractNumId="7">
    <w:nsid w:val="515F007C"/>
    <w:multiLevelType w:val="hybridMultilevel"/>
    <w:lvl w:ilvl="0">
      <w:lvlJc w:val="left"/>
      <w:lvlText w:val="(%1)"/>
      <w:numFmt w:val="decimal"/>
      <w:start w:val="25"/>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2019-12-10T03:38:19Z</dcterms:created>
  <dcterms:modified xsi:type="dcterms:W3CDTF">2019-12-10T03:38:19Z</dcterms:modified>
</cp:coreProperties>
</file>