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UNITED STATES</w:t>
      </w:r>
    </w:p>
    <w:p>
      <w:pPr>
        <w:jc w:val="center"/>
        <w:ind w:right="345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34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(Amendment No. )*</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WINNEBAGO INDUSTRIES</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974637100</w:t>
      </w:r>
    </w:p>
    <w:p>
      <w:pPr>
        <w:spacing w:after="0" w:line="201"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December 31, 2007</w:t>
      </w:r>
    </w:p>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 - 1(b)</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- 1(c)</w:t>
      </w:r>
    </w:p>
    <w:p>
      <w:pPr>
        <w:spacing w:after="0" w:line="201"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Rule 13d - 1(d)</w:t>
      </w:r>
    </w:p>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9" w:lineRule="exact"/>
        <w:rPr>
          <w:sz w:val="24"/>
          <w:szCs w:val="24"/>
          <w:color w:val="auto"/>
        </w:rPr>
      </w:pPr>
    </w:p>
    <w:p>
      <w:pPr>
        <w:ind w:right="3479"/>
        <w:spacing w:after="0" w:line="273" w:lineRule="auto"/>
        <w:rPr>
          <w:sz w:val="20"/>
          <w:szCs w:val="20"/>
          <w:color w:val="auto"/>
        </w:rPr>
      </w:pPr>
      <w:r>
        <w:rPr>
          <w:rFonts w:ascii="Courier New" w:cs="Courier New" w:eastAsia="Courier New" w:hAnsi="Courier New"/>
          <w:sz w:val="16"/>
          <w:szCs w:val="16"/>
          <w:color w:val="auto"/>
        </w:rPr>
        <w:t>The information required on the remainder of this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9"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(Continued on following page(s)</w:t>
      </w:r>
    </w:p>
    <w:p>
      <w:pPr>
        <w:jc w:val="center"/>
        <w:ind w:right="3359"/>
        <w:spacing w:after="0" w:line="238" w:lineRule="auto"/>
        <w:rPr>
          <w:sz w:val="20"/>
          <w:szCs w:val="20"/>
          <w:color w:val="auto"/>
        </w:rPr>
      </w:pPr>
      <w:r>
        <w:rPr>
          <w:rFonts w:ascii="Courier New" w:cs="Courier New" w:eastAsia="Courier New" w:hAnsi="Courier New"/>
          <w:sz w:val="18"/>
          <w:szCs w:val="18"/>
          <w:color w:val="auto"/>
        </w:rPr>
        <w:t>Page 1 of 6 Pages</w:t>
      </w:r>
    </w:p>
    <w:p>
      <w:pPr>
        <w:spacing w:after="0" w:line="202" w:lineRule="exact"/>
        <w:rPr>
          <w:sz w:val="24"/>
          <w:szCs w:val="24"/>
          <w:color w:val="auto"/>
        </w:rPr>
      </w:pPr>
    </w:p>
    <w:p>
      <w:pPr>
        <w:spacing w:after="0"/>
        <w:tabs>
          <w:tab w:leader="none" w:pos="3360" w:val="left"/>
          <w:tab w:leader="none" w:pos="504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6 Pages</w:t>
      </w:r>
    </w:p>
    <w:p>
      <w:pPr>
        <w:spacing w:after="0" w:line="201" w:lineRule="exact"/>
        <w:rPr>
          <w:sz w:val="24"/>
          <w:szCs w:val="24"/>
          <w:color w:val="auto"/>
        </w:rPr>
      </w:pPr>
    </w:p>
    <w:p>
      <w:pPr>
        <w:ind w:left="320" w:hanging="312"/>
        <w:spacing w:after="0"/>
        <w:tabs>
          <w:tab w:leader="none" w:pos="3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T. ROWE PRICE ASSOCIATES, INC.</w:t>
      </w:r>
    </w:p>
    <w:p>
      <w:pPr>
        <w:ind w:left="320"/>
        <w:spacing w:after="0" w:line="238" w:lineRule="auto"/>
        <w:rPr>
          <w:sz w:val="20"/>
          <w:szCs w:val="20"/>
          <w:color w:val="auto"/>
        </w:rPr>
      </w:pPr>
      <w:r>
        <w:rPr>
          <w:rFonts w:ascii="Courier New" w:cs="Courier New" w:eastAsia="Courier New" w:hAnsi="Courier New"/>
          <w:sz w:val="18"/>
          <w:szCs w:val="18"/>
          <w:color w:val="auto"/>
        </w:rPr>
        <w:t>52-0556948</w:t>
      </w:r>
    </w:p>
    <w:p>
      <w:pPr>
        <w:spacing w:after="0" w:line="202"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2</w:t>
      </w:r>
      <w:r>
        <w:rPr>
          <w:sz w:val="20"/>
          <w:szCs w:val="20"/>
          <w:color w:val="auto"/>
        </w:rPr>
        <w:tab/>
      </w:r>
      <w:r>
        <w:rPr>
          <w:rFonts w:ascii="Courier New" w:cs="Courier New" w:eastAsia="Courier New" w:hAnsi="Courier New"/>
          <w:sz w:val="16"/>
          <w:szCs w:val="16"/>
          <w:color w:val="auto"/>
        </w:rPr>
        <w:t>Check the Appropriate Box if a Member of a Group*</w:t>
      </w:r>
    </w:p>
    <w:p>
      <w:pPr>
        <w:sectPr>
          <w:pgSz w:w="11900" w:h="16855" w:orient="portrait"/>
          <w:cols w:equalWidth="0" w:num="1">
            <w:col w:w="10219"/>
          </w:cols>
          <w:pgMar w:left="240" w:top="244" w:right="1440" w:bottom="0" w:gutter="0" w:footer="0" w:header="0"/>
        </w:sectPr>
      </w:pPr>
    </w:p>
    <w:p>
      <w:pPr>
        <w:spacing w:after="0" w:line="207"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NOT APPLICABLE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(a) ____</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 ____</w:t>
      </w:r>
    </w:p>
    <w:p>
      <w:pPr>
        <w:spacing w:after="0" w:line="200" w:lineRule="exact"/>
        <w:rPr>
          <w:sz w:val="24"/>
          <w:szCs w:val="24"/>
          <w:color w:val="auto"/>
        </w:rPr>
      </w:pPr>
    </w:p>
    <w:p>
      <w:pPr>
        <w:sectPr>
          <w:pgSz w:w="11900" w:h="16855" w:orient="portrait"/>
          <w:cols w:equalWidth="0" w:num="2">
            <w:col w:w="5080" w:space="720"/>
            <w:col w:w="4419"/>
          </w:cols>
          <w:pgMar w:left="240" w:top="244" w:right="1440" w:bottom="0" w:gutter="0" w:footer="0" w:header="0"/>
          <w:type w:val="continuous"/>
        </w:sectPr>
      </w:pPr>
    </w:p>
    <w:p>
      <w:pPr>
        <w:spacing w:after="0" w:line="18" w:lineRule="exact"/>
        <w:rPr>
          <w:sz w:val="24"/>
          <w:szCs w:val="24"/>
          <w:color w:val="auto"/>
        </w:rPr>
      </w:pPr>
    </w:p>
    <w:p>
      <w:pPr>
        <w:spacing w:after="0"/>
        <w:tabs>
          <w:tab w:leader="none" w:pos="300" w:val="left"/>
        </w:tabs>
        <w:rPr>
          <w:sz w:val="20"/>
          <w:szCs w:val="20"/>
          <w:color w:val="auto"/>
        </w:rPr>
      </w:pPr>
      <w:r>
        <w:rPr>
          <w:rFonts w:ascii="Courier New" w:cs="Courier New" w:eastAsia="Courier New" w:hAnsi="Courier New"/>
          <w:sz w:val="18"/>
          <w:szCs w:val="18"/>
          <w:color w:val="auto"/>
        </w:rPr>
        <w:t>3</w:t>
      </w:r>
      <w:r>
        <w:rPr>
          <w:sz w:val="20"/>
          <w:szCs w:val="20"/>
          <w:color w:val="auto"/>
        </w:rPr>
        <w:tab/>
      </w:r>
      <w:r>
        <w:rPr>
          <w:rFonts w:ascii="Courier New" w:cs="Courier New" w:eastAsia="Courier New" w:hAnsi="Courier New"/>
          <w:sz w:val="16"/>
          <w:szCs w:val="16"/>
          <w:color w:val="auto"/>
        </w:rPr>
        <w:t>SEC Use Only</w:t>
      </w:r>
    </w:p>
    <w:p>
      <w:pPr>
        <w:sectPr>
          <w:pgSz w:w="11900" w:h="16855" w:orient="portrait"/>
          <w:cols w:equalWidth="0" w:num="1">
            <w:col w:w="10219"/>
          </w:cols>
          <w:pgMar w:left="240" w:top="244" w:right="1440" w:bottom="0" w:gutter="0" w:footer="0" w:header="0"/>
          <w:type w:val="continuous"/>
        </w:sectPr>
      </w:pPr>
    </w:p>
    <w:p>
      <w:pPr>
        <w:spacing w:after="0" w:line="201"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ind w:left="320"/>
              <w:spacing w:after="0"/>
              <w:rPr>
                <w:sz w:val="20"/>
                <w:szCs w:val="20"/>
                <w:color w:val="auto"/>
              </w:rPr>
            </w:pPr>
            <w:r>
              <w:rPr>
                <w:rFonts w:ascii="Courier New" w:cs="Courier New" w:eastAsia="Courier New" w:hAnsi="Courier New"/>
                <w:sz w:val="18"/>
                <w:szCs w:val="18"/>
                <w:color w:val="auto"/>
              </w:rPr>
              <w:t>MARYLAND</w:t>
            </w:r>
          </w:p>
        </w:tc>
        <w:tc>
          <w:tcPr>
            <w:tcW w:w="380" w:type="dxa"/>
            <w:vAlign w:val="bottom"/>
          </w:tcPr>
          <w:p>
            <w:pPr>
              <w:spacing w:after="0"/>
              <w:rPr>
                <w:sz w:val="17"/>
                <w:szCs w:val="17"/>
                <w:color w:val="auto"/>
              </w:rPr>
            </w:pPr>
          </w:p>
        </w:tc>
        <w:tc>
          <w:tcPr>
            <w:tcW w:w="236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36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rPr>
              <w:t>948,500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w w:val="96"/>
              </w:rPr>
              <w:t>Sole Dispositive Power</w:t>
            </w:r>
          </w:p>
        </w:tc>
      </w:tr>
    </w:tbl>
    <w:p>
      <w:pPr>
        <w:sectPr>
          <w:pgSz w:w="11900" w:h="16855" w:orient="portrait"/>
          <w:cols w:equalWidth="0" w:num="1">
            <w:col w:w="10219"/>
          </w:cols>
          <w:pgMar w:left="240" w:top="244" w:right="1440" w:bottom="0" w:gutter="0" w:footer="0" w:header="0"/>
          <w:type w:val="continuous"/>
        </w:sectPr>
      </w:pPr>
    </w:p>
    <w:bookmarkStart w:id="1" w:name="page2"/>
    <w:bookmarkEnd w:id="1"/>
    <w:p>
      <w:pPr>
        <w:spacing w:after="0" w:line="193" w:lineRule="auto"/>
        <w:framePr w:w="1880" w:h="146" w:wrap="auto" w:vAnchor="page" w:hAnchor="page" w:x="5260" w:y="5612"/>
        <w:rPr>
          <w:rFonts w:ascii="Courier New" w:cs="Courier New" w:eastAsia="Courier New" w:hAnsi="Courier New"/>
          <w:sz w:val="16"/>
          <w:szCs w:val="16"/>
          <w:color w:val="auto"/>
        </w:rPr>
      </w:pPr>
      <w:r>
        <w:rPr>
          <w:rFonts w:ascii="Courier New" w:cs="Courier New" w:eastAsia="Courier New" w:hAnsi="Courier New"/>
          <w:sz w:val="16"/>
          <w:szCs w:val="16"/>
          <w:color w:val="auto"/>
        </w:rPr>
        <w:t>Page 3 of 6 Pages</w:t>
      </w:r>
    </w:p>
    <w:p>
      <w:pPr>
        <w:spacing w:after="0" w:line="193" w:lineRule="auto"/>
        <w:framePr w:w="2080" w:h="146" w:wrap="auto" w:vAnchor="page" w:hAnchor="page" w:x="200" w:y="5612"/>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974637100</w:t>
      </w:r>
    </w:p>
    <w:p>
      <w:pPr>
        <w:ind w:left="1580"/>
        <w:spacing w:after="0"/>
        <w:rPr>
          <w:sz w:val="20"/>
          <w:szCs w:val="20"/>
          <w:color w:val="auto"/>
        </w:rPr>
      </w:pPr>
      <w:r>
        <w:rPr>
          <w:rFonts w:ascii="Courier New" w:cs="Courier New" w:eastAsia="Courier New" w:hAnsi="Courier New"/>
          <w:sz w:val="18"/>
          <w:szCs w:val="18"/>
          <w:color w:val="auto"/>
        </w:rPr>
        <w:t>**</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2,779,720</w:t>
      </w:r>
    </w:p>
    <w:p>
      <w:pPr>
        <w:spacing w:after="0" w:line="202" w:lineRule="exact"/>
        <w:rPr>
          <w:rFonts w:ascii="Courier New" w:cs="Courier New" w:eastAsia="Courier New" w:hAnsi="Courier New"/>
          <w:sz w:val="16"/>
          <w:szCs w:val="16"/>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8</w:t>
      </w:r>
      <w:r>
        <w:rPr>
          <w:sz w:val="20"/>
          <w:szCs w:val="20"/>
          <w:color w:val="auto"/>
        </w:rPr>
        <w:tab/>
      </w:r>
      <w:r>
        <w:rPr>
          <w:rFonts w:ascii="Courier New" w:cs="Courier New" w:eastAsia="Courier New" w:hAnsi="Courier New"/>
          <w:sz w:val="16"/>
          <w:szCs w:val="16"/>
          <w:color w:val="auto"/>
        </w:rPr>
        <w:t>Shared Dispositive Power</w:t>
      </w:r>
    </w:p>
    <w:p>
      <w:pPr>
        <w:spacing w:after="0" w:line="201" w:lineRule="exact"/>
        <w:rPr>
          <w:rFonts w:ascii="Courier New" w:cs="Courier New" w:eastAsia="Courier New" w:hAnsi="Courier New"/>
          <w:sz w:val="16"/>
          <w:szCs w:val="16"/>
          <w:color w:val="auto"/>
        </w:rPr>
      </w:pPr>
    </w:p>
    <w:p>
      <w:pPr>
        <w:ind w:left="1900"/>
        <w:spacing w:after="0"/>
        <w:rPr>
          <w:sz w:val="20"/>
          <w:szCs w:val="20"/>
          <w:color w:val="auto"/>
        </w:rPr>
      </w:pPr>
      <w:r>
        <w:rPr>
          <w:rFonts w:ascii="Courier New" w:cs="Courier New" w:eastAsia="Courier New" w:hAnsi="Courier New"/>
          <w:sz w:val="18"/>
          <w:szCs w:val="18"/>
          <w:color w:val="auto"/>
        </w:rPr>
        <w:t>-0-</w:t>
      </w:r>
    </w:p>
    <w:p>
      <w:pPr>
        <w:spacing w:after="0" w:line="207"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w:t>
      </w:r>
    </w:p>
    <w:p>
      <w:pPr>
        <w:spacing w:after="0" w:line="218"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2,779,720</w:t>
      </w:r>
    </w:p>
    <w:p>
      <w:pPr>
        <w:spacing w:after="0" w:line="207"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9.4%</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IA</w:t>
      </w:r>
    </w:p>
    <w:p>
      <w:pPr>
        <w:spacing w:after="0" w:line="201" w:lineRule="exact"/>
        <w:rPr>
          <w:rFonts w:ascii="Courier New" w:cs="Courier New" w:eastAsia="Courier New" w:hAnsi="Courier New"/>
          <w:sz w:val="16"/>
          <w:szCs w:val="16"/>
          <w:color w:val="auto"/>
        </w:rPr>
      </w:pPr>
    </w:p>
    <w:p>
      <w:pPr>
        <w:ind w:left="1480"/>
        <w:spacing w:after="0"/>
        <w:rPr>
          <w:sz w:val="20"/>
          <w:szCs w:val="20"/>
          <w:color w:val="auto"/>
        </w:rPr>
      </w:pPr>
      <w:r>
        <w:rPr>
          <w:rFonts w:ascii="Courier New" w:cs="Courier New" w:eastAsia="Courier New" w:hAnsi="Courier New"/>
          <w:sz w:val="18"/>
          <w:szCs w:val="18"/>
          <w:color w:val="auto"/>
        </w:rPr>
        <w:t>*SEE INSTRUCTION BEFORE FILLING OUT!</w:t>
      </w:r>
    </w:p>
    <w:p>
      <w:pPr>
        <w:ind w:left="860"/>
        <w:spacing w:after="0" w:line="238" w:lineRule="auto"/>
        <w:rPr>
          <w:sz w:val="20"/>
          <w:szCs w:val="20"/>
          <w:color w:val="auto"/>
        </w:rPr>
      </w:pPr>
      <w:r>
        <w:rPr>
          <w:rFonts w:ascii="Courier New" w:cs="Courier New" w:eastAsia="Courier New" w:hAnsi="Courier New"/>
          <w:sz w:val="18"/>
          <w:szCs w:val="18"/>
          <w:color w:val="auto"/>
        </w:rPr>
        <w:t>**Any shares reported in Items 5 and 6 are also</w:t>
      </w:r>
    </w:p>
    <w:p>
      <w:pPr>
        <w:spacing w:after="0" w:line="5" w:lineRule="exact"/>
        <w:rPr>
          <w:rFonts w:ascii="Courier New" w:cs="Courier New" w:eastAsia="Courier New" w:hAnsi="Courier New"/>
          <w:sz w:val="16"/>
          <w:szCs w:val="16"/>
          <w:color w:val="auto"/>
        </w:rPr>
      </w:pPr>
    </w:p>
    <w:p>
      <w:pPr>
        <w:ind w:left="3380" w:right="5899" w:hanging="1052"/>
        <w:spacing w:after="0" w:line="235" w:lineRule="auto"/>
        <w:rPr>
          <w:sz w:val="20"/>
          <w:szCs w:val="20"/>
          <w:color w:val="auto"/>
        </w:rPr>
      </w:pPr>
      <w:r>
        <w:rPr>
          <w:rFonts w:ascii="Courier New" w:cs="Courier New" w:eastAsia="Courier New" w:hAnsi="Courier New"/>
          <w:sz w:val="18"/>
          <w:szCs w:val="18"/>
          <w:color w:val="auto"/>
        </w:rPr>
        <w:t>reported in Item 7. 13G</w:t>
      </w:r>
    </w:p>
    <w:p>
      <w:pPr>
        <w:spacing w:after="0" w:line="203"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220" w:type="dxa"/>
            <w:vAlign w:val="bottom"/>
          </w:tcPr>
          <w:p>
            <w:pPr>
              <w:spacing w:after="0"/>
              <w:rPr>
                <w:sz w:val="17"/>
                <w:szCs w:val="17"/>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T. ROWE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PRICE SMALL-CAP VALUE FUND, INC.</w:t>
            </w:r>
          </w:p>
        </w:tc>
        <w:tc>
          <w:tcPr>
            <w:tcW w:w="1000" w:type="dxa"/>
            <w:vAlign w:val="bottom"/>
          </w:tcPr>
          <w:p>
            <w:pPr>
              <w:spacing w:after="0"/>
              <w:rPr>
                <w:sz w:val="17"/>
                <w:szCs w:val="17"/>
                <w:color w:val="auto"/>
              </w:rPr>
            </w:pPr>
          </w:p>
        </w:tc>
      </w:tr>
      <w:tr>
        <w:trPr>
          <w:trHeight w:val="203"/>
        </w:trPr>
        <w:tc>
          <w:tcPr>
            <w:tcW w:w="1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52-1575325</w:t>
            </w:r>
          </w:p>
        </w:tc>
        <w:tc>
          <w:tcPr>
            <w:tcW w:w="45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Check the Appropriate Box if a Member of a Group*</w:t>
            </w:r>
          </w:p>
        </w:tc>
        <w:tc>
          <w:tcPr>
            <w:tcW w:w="1000" w:type="dxa"/>
            <w:vAlign w:val="bottom"/>
          </w:tcPr>
          <w:p>
            <w:pPr>
              <w:spacing w:after="0"/>
              <w:rPr>
                <w:sz w:val="24"/>
                <w:szCs w:val="24"/>
                <w:color w:val="auto"/>
              </w:rPr>
            </w:pPr>
          </w:p>
        </w:tc>
      </w:tr>
      <w:tr>
        <w:trPr>
          <w:trHeight w:val="203"/>
        </w:trPr>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520" w:type="dxa"/>
            <w:vAlign w:val="bottom"/>
          </w:tcPr>
          <w:p>
            <w:pPr>
              <w:spacing w:after="0"/>
              <w:rPr>
                <w:sz w:val="17"/>
                <w:szCs w:val="17"/>
                <w:color w:val="auto"/>
              </w:rPr>
            </w:pP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(a) ____</w:t>
            </w:r>
          </w:p>
        </w:tc>
      </w:tr>
      <w:tr>
        <w:trPr>
          <w:trHeight w:val="203"/>
        </w:trPr>
        <w:tc>
          <w:tcPr>
            <w:tcW w:w="220" w:type="dxa"/>
            <w:vAlign w:val="bottom"/>
          </w:tcPr>
          <w:p>
            <w:pPr>
              <w:spacing w:after="0"/>
              <w:rPr>
                <w:sz w:val="17"/>
                <w:szCs w:val="17"/>
                <w:color w:val="auto"/>
              </w:rPr>
            </w:pPr>
          </w:p>
        </w:tc>
        <w:tc>
          <w:tcPr>
            <w:tcW w:w="54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 APPLICABLE</w:t>
            </w:r>
          </w:p>
        </w:tc>
        <w:tc>
          <w:tcPr>
            <w:tcW w:w="10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4"/>
              </w:rPr>
              <w:t>(b) ____</w:t>
            </w:r>
          </w:p>
        </w:tc>
      </w:tr>
      <w:tr>
        <w:trPr>
          <w:trHeight w:val="405"/>
        </w:trPr>
        <w:tc>
          <w:tcPr>
            <w:tcW w:w="22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00" w:type="dxa"/>
            <w:vAlign w:val="bottom"/>
          </w:tcPr>
          <w:p>
            <w:pPr>
              <w:ind w:left="100"/>
              <w:spacing w:after="0"/>
              <w:rPr>
                <w:sz w:val="20"/>
                <w:szCs w:val="20"/>
                <w:color w:val="auto"/>
              </w:rPr>
            </w:pPr>
            <w:r>
              <w:rPr>
                <w:rFonts w:ascii="Courier New" w:cs="Courier New" w:eastAsia="Courier New" w:hAnsi="Courier New"/>
                <w:sz w:val="18"/>
                <w:szCs w:val="18"/>
                <w:color w:val="auto"/>
              </w:rPr>
              <w:t>SEC Use</w:t>
            </w:r>
          </w:p>
        </w:tc>
        <w:tc>
          <w:tcPr>
            <w:tcW w:w="4520" w:type="dxa"/>
            <w:vAlign w:val="bottom"/>
          </w:tcPr>
          <w:p>
            <w:pPr>
              <w:ind w:left="40"/>
              <w:spacing w:after="0"/>
              <w:rPr>
                <w:sz w:val="20"/>
                <w:szCs w:val="20"/>
                <w:color w:val="auto"/>
              </w:rPr>
            </w:pPr>
            <w:r>
              <w:rPr>
                <w:rFonts w:ascii="Courier New" w:cs="Courier New" w:eastAsia="Courier New" w:hAnsi="Courier New"/>
                <w:sz w:val="18"/>
                <w:szCs w:val="18"/>
                <w:color w:val="auto"/>
              </w:rPr>
              <w:t>Only</w:t>
            </w:r>
          </w:p>
        </w:tc>
        <w:tc>
          <w:tcPr>
            <w:tcW w:w="1000" w:type="dxa"/>
            <w:vAlign w:val="bottom"/>
          </w:tcPr>
          <w:p>
            <w:pPr>
              <w:spacing w:after="0"/>
              <w:rPr>
                <w:sz w:val="24"/>
                <w:szCs w:val="24"/>
                <w:color w:val="auto"/>
              </w:rPr>
            </w:pPr>
          </w:p>
        </w:tc>
      </w:tr>
      <w:tr>
        <w:trPr>
          <w:trHeight w:val="405"/>
        </w:trPr>
        <w:tc>
          <w:tcPr>
            <w:tcW w:w="220" w:type="dxa"/>
            <w:vAlign w:val="bottom"/>
          </w:tcPr>
          <w:p>
            <w:pPr>
              <w:spacing w:after="0"/>
              <w:rPr>
                <w:sz w:val="24"/>
                <w:szCs w:val="24"/>
                <w:color w:val="auto"/>
              </w:rPr>
            </w:pPr>
          </w:p>
        </w:tc>
        <w:tc>
          <w:tcPr>
            <w:tcW w:w="542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______________________________</w:t>
            </w:r>
          </w:p>
        </w:tc>
        <w:tc>
          <w:tcPr>
            <w:tcW w:w="1000" w:type="dxa"/>
            <w:vAlign w:val="bottom"/>
          </w:tcPr>
          <w:p>
            <w:pPr>
              <w:spacing w:after="0"/>
              <w:rPr>
                <w:sz w:val="24"/>
                <w:szCs w:val="24"/>
                <w:color w:val="auto"/>
              </w:rPr>
            </w:pPr>
          </w:p>
        </w:tc>
      </w:tr>
    </w:tbl>
    <w:p>
      <w:pPr>
        <w:spacing w:after="0" w:line="201"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6"/>
          <w:szCs w:val="16"/>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1,630,800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6</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Reporting</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7</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spacing w:after="0"/>
              <w:rPr>
                <w:sz w:val="17"/>
                <w:szCs w:val="17"/>
                <w:color w:val="auto"/>
              </w:rPr>
            </w:pPr>
          </w:p>
        </w:tc>
        <w:tc>
          <w:tcPr>
            <w:tcW w:w="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258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25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With</w:t>
            </w:r>
          </w:p>
        </w:tc>
        <w:tc>
          <w:tcPr>
            <w:tcW w:w="380" w:type="dxa"/>
            <w:vAlign w:val="bottom"/>
          </w:tcPr>
          <w:p>
            <w:pPr>
              <w:ind w:left="100"/>
              <w:spacing w:after="0"/>
              <w:rPr>
                <w:sz w:val="20"/>
                <w:szCs w:val="20"/>
                <w:color w:val="auto"/>
              </w:rPr>
            </w:pPr>
            <w:r>
              <w:rPr>
                <w:rFonts w:ascii="Courier New" w:cs="Courier New" w:eastAsia="Courier New" w:hAnsi="Courier New"/>
                <w:sz w:val="18"/>
                <w:szCs w:val="18"/>
                <w:color w:val="auto"/>
              </w:rPr>
              <w:t>8</w:t>
            </w: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w w:val="97"/>
              </w:rPr>
              <w:t>Shared Dispositive Power</w:t>
            </w:r>
          </w:p>
        </w:tc>
      </w:tr>
      <w:tr>
        <w:trPr>
          <w:trHeight w:val="405"/>
        </w:trPr>
        <w:tc>
          <w:tcPr>
            <w:tcW w:w="1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tcPr>
          <w:p>
            <w:pPr>
              <w:ind w:left="4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rFonts w:ascii="Courier New" w:cs="Courier New" w:eastAsia="Courier New" w:hAnsi="Courier New"/>
          <w:sz w:val="16"/>
          <w:szCs w:val="16"/>
          <w:color w:val="auto"/>
        </w:rPr>
      </w:pPr>
    </w:p>
    <w:p>
      <w:pPr>
        <w:ind w:left="320" w:right="3579" w:hanging="312"/>
        <w:spacing w:after="0" w:line="470"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1,630,800</w:t>
      </w:r>
    </w:p>
    <w:p>
      <w:pPr>
        <w:spacing w:after="0" w:line="12" w:lineRule="exact"/>
        <w:rPr>
          <w:rFonts w:ascii="Courier New" w:cs="Courier New" w:eastAsia="Courier New" w:hAnsi="Courier New"/>
          <w:sz w:val="16"/>
          <w:szCs w:val="16"/>
          <w:color w:val="auto"/>
        </w:rPr>
      </w:pPr>
    </w:p>
    <w:p>
      <w:pPr>
        <w:ind w:left="320" w:right="3479" w:hanging="315"/>
        <w:spacing w:after="0" w:line="235" w:lineRule="auto"/>
        <w:rPr>
          <w:sz w:val="20"/>
          <w:szCs w:val="20"/>
          <w:color w:val="auto"/>
        </w:rPr>
      </w:pPr>
      <w:r>
        <w:rPr>
          <w:rFonts w:ascii="Courier New" w:cs="Courier New" w:eastAsia="Courier New" w:hAnsi="Courier New"/>
          <w:sz w:val="18"/>
          <w:szCs w:val="18"/>
          <w:color w:val="auto"/>
        </w:rPr>
        <w:t>10 Check Box if the Aggregate Amount in Row (9) Excludes Certain Shares*</w:t>
      </w:r>
    </w:p>
    <w:p>
      <w:pPr>
        <w:spacing w:after="0" w:line="203"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11 Percent of Class Represented by Amount in Row 9</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5.5%</w:t>
      </w:r>
    </w:p>
    <w:p>
      <w:pPr>
        <w:spacing w:after="0" w:line="201" w:lineRule="exact"/>
        <w:rPr>
          <w:rFonts w:ascii="Courier New" w:cs="Courier New" w:eastAsia="Courier New" w:hAnsi="Courier New"/>
          <w:sz w:val="16"/>
          <w:szCs w:val="16"/>
          <w:color w:val="auto"/>
        </w:rPr>
      </w:pPr>
    </w:p>
    <w:p>
      <w:pPr>
        <w:spacing w:after="0"/>
        <w:rPr>
          <w:sz w:val="20"/>
          <w:szCs w:val="20"/>
          <w:color w:val="auto"/>
        </w:rPr>
      </w:pPr>
      <w:r>
        <w:rPr>
          <w:rFonts w:ascii="Courier New" w:cs="Courier New" w:eastAsia="Courier New" w:hAnsi="Courier New"/>
          <w:sz w:val="18"/>
          <w:szCs w:val="18"/>
          <w:color w:val="auto"/>
        </w:rPr>
        <w:t>12 Type of Reporting Person*</w:t>
      </w:r>
    </w:p>
    <w:p>
      <w:pPr>
        <w:spacing w:after="0" w:line="201" w:lineRule="exact"/>
        <w:rPr>
          <w:rFonts w:ascii="Courier New" w:cs="Courier New" w:eastAsia="Courier New" w:hAnsi="Courier New"/>
          <w:sz w:val="16"/>
          <w:szCs w:val="16"/>
          <w:color w:val="auto"/>
        </w:rPr>
      </w:pPr>
    </w:p>
    <w:p>
      <w:pPr>
        <w:ind w:left="320"/>
        <w:spacing w:after="0"/>
        <w:rPr>
          <w:sz w:val="20"/>
          <w:szCs w:val="20"/>
          <w:color w:val="auto"/>
        </w:rPr>
      </w:pPr>
      <w:r>
        <w:rPr>
          <w:rFonts w:ascii="Courier New" w:cs="Courier New" w:eastAsia="Courier New" w:hAnsi="Courier New"/>
          <w:sz w:val="18"/>
          <w:szCs w:val="18"/>
          <w:color w:val="auto"/>
        </w:rPr>
        <w:t>IV</w:t>
      </w:r>
    </w:p>
    <w:p>
      <w:pPr>
        <w:jc w:val="center"/>
        <w:ind w:right="3479"/>
        <w:spacing w:after="0" w:line="238" w:lineRule="auto"/>
        <w:rPr>
          <w:sz w:val="20"/>
          <w:szCs w:val="20"/>
          <w:color w:val="auto"/>
        </w:rPr>
      </w:pPr>
      <w:r>
        <w:rPr>
          <w:rFonts w:ascii="Courier New" w:cs="Courier New" w:eastAsia="Courier New" w:hAnsi="Courier New"/>
          <w:sz w:val="18"/>
          <w:szCs w:val="18"/>
          <w:color w:val="auto"/>
        </w:rPr>
        <w:t>*SEE INSTRUCTION BEFORE FILLING OUT!</w:t>
      </w:r>
    </w:p>
    <w:p>
      <w:pPr>
        <w:spacing w:after="0" w:line="5" w:lineRule="exact"/>
        <w:rPr>
          <w:rFonts w:ascii="Courier New" w:cs="Courier New" w:eastAsia="Courier New" w:hAnsi="Courier New"/>
          <w:sz w:val="16"/>
          <w:szCs w:val="16"/>
          <w:color w:val="auto"/>
        </w:rPr>
      </w:pPr>
    </w:p>
    <w:p>
      <w:pPr>
        <w:jc w:val="center"/>
        <w:ind w:right="3479"/>
        <w:spacing w:after="0"/>
        <w:rPr>
          <w:sz w:val="20"/>
          <w:szCs w:val="20"/>
          <w:color w:val="auto"/>
        </w:rPr>
      </w:pPr>
      <w:r>
        <w:rPr>
          <w:rFonts w:ascii="Courier New" w:cs="Courier New" w:eastAsia="Courier New" w:hAnsi="Courier New"/>
          <w:sz w:val="16"/>
          <w:szCs w:val="16"/>
          <w:color w:val="auto"/>
        </w:rPr>
        <w:t>**The aggregate amount reported on this page is also included in</w:t>
      </w:r>
    </w:p>
    <w:p>
      <w:pPr>
        <w:sectPr>
          <w:pgSz w:w="11900" w:h="16838" w:orient="portrait"/>
          <w:cols w:equalWidth="0" w:num="1">
            <w:col w:w="10219"/>
          </w:cols>
          <w:pgMar w:left="24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aggregate amount reported by T. Rowe Price Associates, Inc.</w:t>
      </w:r>
    </w:p>
    <w:p>
      <w:pPr>
        <w:spacing w:after="0" w:line="238" w:lineRule="auto"/>
        <w:rPr>
          <w:sz w:val="20"/>
          <w:szCs w:val="20"/>
          <w:color w:val="auto"/>
        </w:rPr>
      </w:pPr>
      <w:r>
        <w:rPr>
          <w:rFonts w:ascii="Courier New" w:cs="Courier New" w:eastAsia="Courier New" w:hAnsi="Courier New"/>
          <w:sz w:val="18"/>
          <w:szCs w:val="18"/>
          <w:color w:val="auto"/>
        </w:rPr>
        <w:t>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PAGE 4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1060"/>
        <w:spacing w:after="0"/>
        <w:tabs>
          <w:tab w:leader="none" w:pos="5780" w:val="left"/>
        </w:tabs>
        <w:rPr>
          <w:sz w:val="20"/>
          <w:szCs w:val="20"/>
          <w:color w:val="auto"/>
        </w:rPr>
      </w:pPr>
      <w:r>
        <w:rPr>
          <w:rFonts w:ascii="Courier New" w:cs="Courier New" w:eastAsia="Courier New" w:hAnsi="Courier New"/>
          <w:sz w:val="18"/>
          <w:szCs w:val="18"/>
          <w:color w:val="auto"/>
        </w:rPr>
        <w:t>605 West Crystal Lake Road, Forest City, IA</w:t>
      </w:r>
      <w:r>
        <w:rPr>
          <w:sz w:val="20"/>
          <w:szCs w:val="20"/>
          <w:color w:val="auto"/>
        </w:rPr>
        <w:tab/>
      </w:r>
      <w:r>
        <w:rPr>
          <w:rFonts w:ascii="Courier New" w:cs="Courier New" w:eastAsia="Courier New" w:hAnsi="Courier New"/>
          <w:sz w:val="16"/>
          <w:szCs w:val="16"/>
          <w:color w:val="auto"/>
        </w:rPr>
        <w:t>50436</w:t>
      </w:r>
    </w:p>
    <w:p>
      <w:pPr>
        <w:spacing w:after="0" w:line="201" w:lineRule="exact"/>
        <w:rPr>
          <w:sz w:val="20"/>
          <w:szCs w:val="20"/>
          <w:color w:val="auto"/>
        </w:rPr>
      </w:pPr>
    </w:p>
    <w:p>
      <w:pPr>
        <w:ind w:left="120"/>
        <w:spacing w:after="0"/>
        <w:tabs>
          <w:tab w:leader="none" w:pos="15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7" w:lineRule="exact"/>
        <w:rPr>
          <w:sz w:val="20"/>
          <w:szCs w:val="20"/>
          <w:color w:val="auto"/>
        </w:rPr>
      </w:pPr>
    </w:p>
    <w:p>
      <w:pPr>
        <w:ind w:left="1580" w:right="4619" w:hanging="519"/>
        <w:spacing w:after="0" w:line="235" w:lineRule="auto"/>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 ("Price Associates")</w:t>
      </w:r>
    </w:p>
    <w:p>
      <w:pPr>
        <w:spacing w:after="0" w:line="20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Small-Cap Value, Inc.</w:t>
      </w:r>
    </w:p>
    <w:p>
      <w:pPr>
        <w:spacing w:after="0" w:line="207" w:lineRule="exact"/>
        <w:rPr>
          <w:sz w:val="20"/>
          <w:szCs w:val="20"/>
          <w:color w:val="auto"/>
        </w:rPr>
      </w:pPr>
    </w:p>
    <w:p>
      <w:pPr>
        <w:jc w:val="both"/>
        <w:ind w:left="1060" w:right="3359" w:hanging="841"/>
        <w:spacing w:after="0" w:line="279" w:lineRule="auto"/>
        <w:tabs>
          <w:tab w:leader="none" w:pos="10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Attached as Exhibit A is a copy of an agreement between the Persons Filing (as specified hereinabove) that this Schedule 13G is being filed on behalf of each of them.</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100 E. Pratt Street, Baltimore, Maryland 21202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01" w:lineRule="exact"/>
        <w:rPr>
          <w:sz w:val="20"/>
          <w:szCs w:val="20"/>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Maryland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Reference is made to page 1 of this Schedule 13G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 974637100</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The person filing this Schedule 13G is an:</w:t>
      </w:r>
    </w:p>
    <w:p>
      <w:pPr>
        <w:spacing w:after="0" w:line="207" w:lineRule="exact"/>
        <w:rPr>
          <w:sz w:val="20"/>
          <w:szCs w:val="20"/>
          <w:color w:val="auto"/>
        </w:rPr>
      </w:pPr>
    </w:p>
    <w:p>
      <w:pPr>
        <w:ind w:left="1060" w:right="34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rFonts w:ascii="Courier New" w:cs="Courier New" w:eastAsia="Courier New" w:hAnsi="Courier New"/>
          <w:sz w:val="18"/>
          <w:szCs w:val="18"/>
          <w:color w:val="auto"/>
        </w:rPr>
      </w:pPr>
    </w:p>
    <w:p>
      <w:pPr>
        <w:ind w:left="1060" w:right="3679" w:hanging="841"/>
        <w:spacing w:after="0" w:line="235" w:lineRule="auto"/>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pacing w:after="0" w:line="211" w:lineRule="exact"/>
        <w:rPr>
          <w:sz w:val="20"/>
          <w:szCs w:val="20"/>
          <w:color w:val="auto"/>
        </w:rPr>
      </w:pPr>
    </w:p>
    <w:p>
      <w:pPr>
        <w:ind w:left="1060" w:right="399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8"/>
          <w:szCs w:val="18"/>
          <w:color w:val="auto"/>
        </w:rPr>
        <w:t>Reference is made to Items 5-11 on page 2 of this Schedule 13G.</w:t>
      </w: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PAGE 5 OF 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740" w:hanging="521"/>
        <w:spacing w:after="0"/>
        <w:tabs>
          <w:tab w:leader="none" w:pos="7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left="740" w:right="33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This statement is being filed to report the fact that, as of the date of this report, the reporting person(s) has (have) ceased to be the beneficial owner of more than five percent of the class of securities.</w:t>
      </w:r>
    </w:p>
    <w:p>
      <w:pPr>
        <w:spacing w:after="0" w:line="207" w:lineRule="exact"/>
        <w:rPr>
          <w:sz w:val="20"/>
          <w:szCs w:val="20"/>
          <w:color w:val="auto"/>
        </w:rPr>
      </w:pPr>
    </w:p>
    <w:p>
      <w:pPr>
        <w:ind w:left="740" w:right="3579" w:hanging="736"/>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8" w:lineRule="exact"/>
        <w:rPr>
          <w:sz w:val="20"/>
          <w:szCs w:val="20"/>
          <w:color w:val="auto"/>
        </w:rPr>
      </w:pPr>
    </w:p>
    <w:p>
      <w:pPr>
        <w:ind w:left="1160" w:right="3479" w:hanging="415"/>
        <w:spacing w:after="0" w:line="237" w:lineRule="auto"/>
        <w:tabs>
          <w:tab w:leader="none" w:pos="11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209" w:lineRule="exact"/>
        <w:rPr>
          <w:rFonts w:ascii="Courier New" w:cs="Courier New" w:eastAsia="Courier New" w:hAnsi="Courier New"/>
          <w:sz w:val="18"/>
          <w:szCs w:val="18"/>
          <w:color w:val="auto"/>
        </w:rPr>
      </w:pPr>
    </w:p>
    <w:p>
      <w:pPr>
        <w:ind w:left="1160" w:right="335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ectPr>
          <w:pgSz w:w="11900" w:h="16838" w:orient="portrait"/>
          <w:cols w:equalWidth="0" w:num="1">
            <w:col w:w="10219"/>
          </w:cols>
          <w:pgMar w:left="240" w:top="136" w:right="1440" w:bottom="0" w:gutter="0" w:footer="0" w:header="0"/>
        </w:sectPr>
      </w:pPr>
    </w:p>
    <w:bookmarkStart w:id="3" w:name="page4"/>
    <w:bookmarkEnd w:id="3"/>
    <w:p>
      <w:pPr>
        <w:ind w:left="1160" w:right="3479"/>
        <w:spacing w:after="0" w:line="237" w:lineRule="auto"/>
        <w:rPr>
          <w:sz w:val="20"/>
          <w:szCs w:val="20"/>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11" w:lineRule="exact"/>
        <w:rPr>
          <w:sz w:val="20"/>
          <w:szCs w:val="20"/>
          <w:color w:val="auto"/>
        </w:rPr>
      </w:pPr>
    </w:p>
    <w:p>
      <w:pPr>
        <w:ind w:left="1160" w:right="3479" w:hanging="415"/>
        <w:spacing w:after="0" w:line="237" w:lineRule="auto"/>
        <w:tabs>
          <w:tab w:leader="none" w:pos="11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State Street Bank and Trust Company, as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14" w:lineRule="exact"/>
        <w:rPr>
          <w:sz w:val="20"/>
          <w:szCs w:val="20"/>
          <w:color w:val="auto"/>
        </w:rPr>
      </w:pPr>
    </w:p>
    <w:p>
      <w:pPr>
        <w:ind w:left="740" w:right="3479" w:hanging="736"/>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8 Identification and Classification of Members of the Group.</w:t>
      </w:r>
    </w:p>
    <w:p>
      <w:pPr>
        <w:spacing w:after="0" w:line="218"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Not Applicable.</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PAGE 6 OF 6</w:t>
      </w:r>
    </w:p>
    <w:p>
      <w:pPr>
        <w:spacing w:after="0" w:line="20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960" w:right="3359"/>
        <w:spacing w:after="0" w:line="238" w:lineRule="auto"/>
        <w:rPr>
          <w:sz w:val="20"/>
          <w:szCs w:val="20"/>
          <w:color w:val="auto"/>
        </w:rPr>
      </w:pPr>
      <w:r>
        <w:rPr>
          <w:rFonts w:ascii="Courier New" w:cs="Courier New" w:eastAsia="Courier New" w:hAnsi="Courier New"/>
          <w:sz w:val="18"/>
          <w:szCs w:val="18"/>
          <w:color w:val="auto"/>
        </w:rPr>
        <w:t>By signing below I (we) certify that, to the best of my (our)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0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960" w:right="3779"/>
        <w:spacing w:after="0" w:line="237" w:lineRule="auto"/>
        <w:rPr>
          <w:sz w:val="20"/>
          <w:szCs w:val="20"/>
          <w:color w:val="auto"/>
        </w:rPr>
      </w:pPr>
      <w:r>
        <w:rPr>
          <w:rFonts w:ascii="Courier New" w:cs="Courier New" w:eastAsia="Courier New" w:hAnsi="Courier New"/>
          <w:sz w:val="18"/>
          <w:szCs w:val="18"/>
          <w:color w:val="auto"/>
        </w:rPr>
        <w:t>After reasonable inquiry and to the best of my (our) knowledge and belief, I (we) certify that the information set forth in this statement is true, complete and correct.</w:t>
      </w:r>
    </w:p>
    <w:p>
      <w:pPr>
        <w:sectPr>
          <w:pgSz w:w="11900" w:h="16838" w:orient="portrait"/>
          <w:cols w:equalWidth="0" w:num="1">
            <w:col w:w="10219"/>
          </w:cols>
          <w:pgMar w:left="240" w:top="142"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2008</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4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2008</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p>
      <w:pPr>
        <w:spacing w:after="0" w:line="227" w:lineRule="exact"/>
        <w:rPr>
          <w:sz w:val="20"/>
          <w:szCs w:val="20"/>
          <w:color w:val="auto"/>
        </w:rPr>
      </w:pPr>
    </w:p>
    <w:p>
      <w:pPr>
        <w:sectPr>
          <w:pgSz w:w="11900" w:h="16838" w:orient="portrait"/>
          <w:cols w:equalWidth="0" w:num="2">
            <w:col w:w="2980" w:space="720"/>
            <w:col w:w="6519"/>
          </w:cols>
          <w:pgMar w:left="240" w:top="142" w:right="1440" w:bottom="0" w:gutter="0" w:footer="0" w:header="0"/>
          <w:type w:val="continuous"/>
        </w:sectPr>
      </w:pPr>
    </w:p>
    <w:p>
      <w:pPr>
        <w:spacing w:after="0" w:line="181" w:lineRule="exact"/>
        <w:rPr>
          <w:sz w:val="20"/>
          <w:szCs w:val="20"/>
          <w:color w:val="auto"/>
        </w:rPr>
      </w:pPr>
    </w:p>
    <w:p>
      <w:pPr>
        <w:ind w:left="960" w:right="3359" w:hanging="959"/>
        <w:spacing w:after="0" w:line="272" w:lineRule="auto"/>
        <w:tabs>
          <w:tab w:leader="none" w:pos="940" w:val="left"/>
        </w:tabs>
        <w:rPr>
          <w:sz w:val="20"/>
          <w:szCs w:val="20"/>
          <w:color w:val="auto"/>
        </w:rPr>
      </w:pPr>
      <w:r>
        <w:rPr>
          <w:rFonts w:ascii="Courier New" w:cs="Courier New" w:eastAsia="Courier New" w:hAnsi="Courier New"/>
          <w:sz w:val="16"/>
          <w:szCs w:val="16"/>
          <w:color w:val="auto"/>
        </w:rPr>
        <w:t>Note:</w:t>
      </w:r>
      <w:r>
        <w:rPr>
          <w:sz w:val="20"/>
          <w:szCs w:val="20"/>
          <w:color w:val="auto"/>
        </w:rPr>
        <w:tab/>
      </w:r>
      <w:r>
        <w:rPr>
          <w:rFonts w:ascii="Courier New" w:cs="Courier New" w:eastAsia="Courier New" w:hAnsi="Courier New"/>
          <w:sz w:val="16"/>
          <w:szCs w:val="16"/>
          <w:color w:val="auto"/>
        </w:rPr>
        <w:t>This Schedule 13G, including all exhibits, must be filed with the Securities and Exchange Commission, and a copy hereof must be sent to the issuer by registered or certified mail not later than February 14th following the calendar year covered by the statement or within the time specified in Rule 13d-1(b)(2), if applicable.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12/31/2007</w:t>
      </w:r>
    </w:p>
    <w:p>
      <w:pPr>
        <w:ind w:left="5280"/>
        <w:spacing w:after="0" w:line="238" w:lineRule="auto"/>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42"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AGREEMENT</w:t>
      </w:r>
    </w:p>
    <w:p>
      <w:pPr>
        <w:sectPr>
          <w:pgSz w:w="11900" w:h="16838" w:orient="portrait"/>
          <w:cols w:equalWidth="0" w:num="1">
            <w:col w:w="10219"/>
          </w:cols>
          <w:pgMar w:left="240" w:top="142" w:right="1440" w:bottom="0" w:gutter="0" w:footer="0" w:header="0"/>
          <w:type w:val="continuous"/>
        </w:sectPr>
      </w:pPr>
    </w:p>
    <w:bookmarkStart w:id="4" w:name="page5"/>
    <w:bookmarkEnd w:id="4"/>
    <w:p>
      <w:pPr>
        <w:ind w:left="1900"/>
        <w:spacing w:after="0"/>
        <w:rPr>
          <w:sz w:val="20"/>
          <w:szCs w:val="20"/>
          <w:color w:val="auto"/>
        </w:rPr>
      </w:pPr>
      <w:r>
        <w:rPr>
          <w:rFonts w:ascii="Courier New" w:cs="Courier New" w:eastAsia="Courier New" w:hAnsi="Courier New"/>
          <w:sz w:val="18"/>
          <w:szCs w:val="18"/>
          <w:color w:val="auto"/>
        </w:rPr>
        <w:t>JOINT FILING OF SCHEDULE 13G</w:t>
      </w:r>
    </w:p>
    <w:p>
      <w:pPr>
        <w:spacing w:after="0" w:line="200" w:lineRule="exact"/>
        <w:rPr>
          <w:sz w:val="20"/>
          <w:szCs w:val="20"/>
          <w:color w:val="auto"/>
        </w:rPr>
      </w:pPr>
    </w:p>
    <w:p>
      <w:pPr>
        <w:spacing w:after="0" w:line="209"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T. Rowe Price Associates, Inc. (an investment adviser registered under the Investment Advisers Act of 1940) and T. Rowe Price Small-Cap Value Fund, Inc., a Maryland corporation, hereby agree to file jointly the statement on Schedule 13G to which this Agreement is attached, and any amendments thereto which may be deemed necessary, pursuant to Regulation 13D-G under the Securities Exchange Act of 1934.</w:t>
      </w:r>
    </w:p>
    <w:p>
      <w:pPr>
        <w:spacing w:after="0" w:line="211"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It is understood and agreed that each of the parties hereto is responsible for the timely filing of such statement and any amendments thereto, and for the completeness and accuracy of the information concerning such party contained therein, but such party is not responsible for the completeness or accuracy of information concerning the other party unless such party knows or has reason to believe that such information is inaccurate.</w:t>
      </w:r>
    </w:p>
    <w:p>
      <w:pPr>
        <w:spacing w:after="0" w:line="188"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It is understood and agreed that a copy of this Agreement shall be attached as an exhibit to the statement on Schedule 13G, and any amendments hereto, filed on behalf of each of the parties hereto.</w:t>
      </w:r>
    </w:p>
    <w:p>
      <w:pPr>
        <w:sectPr>
          <w:pgSz w:w="11900" w:h="16838" w:orient="portrait"/>
          <w:cols w:equalWidth="0" w:num="1">
            <w:col w:w="10219"/>
          </w:cols>
          <w:pgMar w:left="240" w:top="339"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February 14, 2008</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SMALL-CAP</w:t>
      </w:r>
    </w:p>
    <w:p>
      <w:pPr>
        <w:ind w:left="320"/>
        <w:spacing w:after="0" w:line="238" w:lineRule="auto"/>
        <w:rPr>
          <w:sz w:val="20"/>
          <w:szCs w:val="20"/>
          <w:color w:val="auto"/>
        </w:rPr>
      </w:pPr>
      <w:r>
        <w:rPr>
          <w:rFonts w:ascii="Courier New" w:cs="Courier New" w:eastAsia="Courier New" w:hAnsi="Courier New"/>
          <w:sz w:val="18"/>
          <w:szCs w:val="18"/>
          <w:color w:val="auto"/>
        </w:rPr>
        <w:t>VALUE FUND, INC.</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440" w:hanging="419"/>
        <w:spacing w:after="0" w:line="279" w:lineRule="auto"/>
        <w:tabs>
          <w:tab w:leader="none" w:pos="400" w:val="left"/>
        </w:tabs>
        <w:rPr>
          <w:sz w:val="20"/>
          <w:szCs w:val="20"/>
          <w:color w:val="auto"/>
        </w:rPr>
      </w:pPr>
      <w:r>
        <w:rPr>
          <w:rFonts w:ascii="Courier New" w:cs="Courier New" w:eastAsia="Courier New" w:hAnsi="Courier New"/>
          <w:sz w:val="16"/>
          <w:szCs w:val="16"/>
          <w:color w:val="auto"/>
        </w:rPr>
        <w:t>By:</w:t>
        <w:tab/>
        <w:t>/s/ Henry H. Hopkins Henry H. Hopkins, Vice President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14, 2008</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 ROWE PRICE ASSOCIATES,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Henry H. Hopkins</w:t>
      </w:r>
    </w:p>
    <w:p>
      <w:pPr>
        <w:ind w:left="420"/>
        <w:spacing w:after="0" w:line="238" w:lineRule="auto"/>
        <w:rPr>
          <w:sz w:val="20"/>
          <w:szCs w:val="20"/>
          <w:color w:val="auto"/>
        </w:rPr>
      </w:pPr>
      <w:r>
        <w:rPr>
          <w:rFonts w:ascii="Courier New" w:cs="Courier New" w:eastAsia="Courier New" w:hAnsi="Courier New"/>
          <w:sz w:val="18"/>
          <w:szCs w:val="18"/>
          <w:color w:val="auto"/>
        </w:rPr>
        <w:t>Henry H. Hopkins,</w:t>
      </w:r>
    </w:p>
    <w:p>
      <w:pPr>
        <w:ind w:left="420"/>
        <w:spacing w:after="0"/>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2">
        <w:col w:w="2980" w:space="720"/>
        <w:col w:w="6519"/>
      </w:cols>
      <w:pgMar w:left="240" w:top="3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bullet"/>
      <w:start w:val="1"/>
    </w:lvl>
  </w:abstractNum>
  <w:abstractNum w:abstractNumId="1">
    <w:nsid w:val="79E2A9E3"/>
    <w:multiLevelType w:val="hybridMultilevel"/>
    <w:lvl w:ilvl="0">
      <w:lvlJc w:val="left"/>
      <w:lvlText w:val="4"/>
      <w:numFmt w:val="bullet"/>
      <w:start w:val="1"/>
    </w:lvl>
  </w:abstractNum>
  <w:abstractNum w:abstractNumId="2">
    <w:nsid w:val="7545E146"/>
    <w:multiLevelType w:val="hybridMultilevel"/>
    <w:lvl w:ilvl="0">
      <w:lvlJc w:val="left"/>
      <w:lvlText w:val="9"/>
      <w:numFmt w:val="bullet"/>
      <w:start w:val="1"/>
    </w:lvl>
  </w:abstractNum>
  <w:abstractNum w:abstractNumId="3">
    <w:nsid w:val="515F007C"/>
    <w:multiLevelType w:val="hybridMultilevel"/>
    <w:lvl w:ilvl="0">
      <w:lvlJc w:val="left"/>
      <w:lvlText w:val="1"/>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9"/>
      <w:numFmt w:val="bullet"/>
      <w:start w:val="1"/>
    </w:lvl>
  </w:abstractNum>
  <w:abstractNum w:abstractNumId="6">
    <w:nsid w:val="4DB127F8"/>
    <w:multiLevelType w:val="hybridMultilevel"/>
    <w:lvl w:ilvl="0">
      <w:lvlJc w:val="left"/>
      <w:lvlText w:val="(%1)"/>
      <w:numFmt w:val="decimal"/>
      <w:start w:val="1"/>
    </w:lvl>
  </w:abstractNum>
  <w:abstractNum w:abstractNumId="7">
    <w:nsid w:val="216231B"/>
    <w:multiLevelType w:val="hybridMultilevel"/>
    <w:lvl w:ilvl="0">
      <w:lvlJc w:val="left"/>
      <w:lvlText w:val="X"/>
      <w:numFmt w:val="bullet"/>
      <w:start w:val="1"/>
    </w:lvl>
  </w:abstractNum>
  <w:abstractNum w:abstractNumId="8">
    <w:nsid w:val="1F16E9E8"/>
    <w:multiLevelType w:val="hybridMultilevel"/>
    <w:lvl w:ilvl="0">
      <w:lvlJc w:val="left"/>
      <w:lvlText w:val="(%1)"/>
      <w:numFmt w:val="decimal"/>
      <w:start w:val="1"/>
    </w:lvl>
  </w:abstractNum>
  <w:abstractNum w:abstractNumId="9">
    <w:nsid w:val="1190CDE7"/>
    <w:multiLevelType w:val="hybridMultilevel"/>
    <w:lvl w:ilvl="0">
      <w:lvlJc w:val="left"/>
      <w:lvlText w:val="X"/>
      <w:numFmt w:val="bullet"/>
      <w:start w:val="1"/>
    </w:lvl>
  </w:abstractNum>
  <w:abstractNum w:abstractNumId="10">
    <w:nsid w:val="66EF438D"/>
    <w:multiLevelType w:val="hybridMultilevel"/>
    <w:lvl w:ilvl="0">
      <w:lvlJc w:val="left"/>
      <w:lvlText w:val="X"/>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2019-12-11T14:42:39Z</dcterms:created>
  <dcterms:modified xsi:type="dcterms:W3CDTF">2019-12-11T14:42:39Z</dcterms:modified>
</cp:coreProperties>
</file>