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HANSON JOHN V</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3"/>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ind w:left="420"/>
              <w:spacing w:after="0" w:line="139"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3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12/19/2007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480"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0000FF"/>
              </w:rPr>
              <w:t>12/19/2007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0000FF"/>
                <w:w w:val="98"/>
              </w:rPr>
              <w:t>1,500</w:t>
            </w:r>
          </w:p>
        </w:tc>
        <w:tc>
          <w:tcPr>
            <w:tcW w:w="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gridSpan w:val="3"/>
          </w:tcPr>
          <w:p>
            <w:pPr>
              <w:jc w:val="right"/>
              <w:ind w:right="5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3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0000FF"/>
                <w:w w:val="98"/>
              </w:rPr>
              <w:t>2,560</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54"/>
              <w:spacing w:after="0"/>
              <w:rPr>
                <w:sz w:val="20"/>
                <w:szCs w:val="20"/>
                <w:color w:val="auto"/>
              </w:rPr>
            </w:pPr>
            <w:r>
              <w:rPr>
                <w:rFonts w:ascii="Times New Roman" w:cs="Times New Roman" w:eastAsia="Times New Roman" w:hAnsi="Times New Roman"/>
                <w:sz w:val="18"/>
                <w:szCs w:val="18"/>
                <w:color w:val="0000FF"/>
                <w:w w:val="96"/>
              </w:rPr>
              <w:t>200</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1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center"/>
              <w:ind w:left="114"/>
              <w:spacing w:after="0"/>
              <w:rPr>
                <w:sz w:val="20"/>
                <w:szCs w:val="20"/>
                <w:color w:val="auto"/>
              </w:rPr>
            </w:pPr>
            <w:r>
              <w:rPr>
                <w:rFonts w:ascii="Times New Roman" w:cs="Times New Roman" w:eastAsia="Times New Roman" w:hAnsi="Times New Roman"/>
                <w:sz w:val="18"/>
                <w:szCs w:val="18"/>
                <w:color w:val="0000FF"/>
                <w:w w:val="95"/>
              </w:rPr>
              <w:t>780,512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80" w:type="dxa"/>
            <w:vAlign w:val="bottom"/>
            <w:tcBorders>
              <w:bottom w:val="single" w:sz="8" w:color="2C2C2C"/>
            </w:tcBorders>
          </w:tcPr>
          <w:p>
            <w:pPr>
              <w:ind w:left="60"/>
              <w:spacing w:after="0" w:line="324" w:lineRule="exact"/>
              <w:rPr>
                <w:sz w:val="20"/>
                <w:szCs w:val="20"/>
                <w:color w:val="auto"/>
              </w:rPr>
            </w:pPr>
            <w:r>
              <w:rPr>
                <w:rFonts w:ascii="Times New Roman" w:cs="Times New Roman" w:eastAsia="Times New Roman" w:hAnsi="Times New Roman"/>
                <w:sz w:val="35"/>
                <w:szCs w:val="35"/>
                <w:color w:val="0000FF"/>
                <w:vertAlign w:val="subscript"/>
              </w:rPr>
              <w:t>(1)</w:t>
            </w: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29"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are beneficially owned by Hanson Capital Partners, L.L.C. ("HCP"),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John V. Hanson, Mary Joan Boman, Paul D. Hanson and Bessemer Trust Company, N.A. are co-trustees under the QTIP Trust and the Revocable Trust which have a 34.8% and 64.6% membership interest in HCP, respectively. John V. Hanson, Mary Joan Boman and Paul D. Hanson each have, in their individual capacity, a .2% membership interest in HCP.</w:t>
      </w:r>
    </w:p>
    <w:p>
      <w:pPr>
        <w:sectPr>
          <w:pgSz w:w="11900" w:h="16838" w:orient="portrait"/>
          <w:cols w:equalWidth="0" w:num="1">
            <w:col w:w="11420"/>
          </w:cols>
          <w:pgMar w:left="240" w:top="220" w:right="239" w:bottom="1440" w:gutter="0" w:footer="0" w:header="0"/>
          <w:type w:val="continuous"/>
        </w:sectPr>
      </w:pP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12/20/2007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2019-12-16T07:50:03Z</dcterms:created>
  <dcterms:modified xsi:type="dcterms:W3CDTF">2019-12-16T07:50:03Z</dcterms:modified>
</cp:coreProperties>
</file>