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May 31, 2014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26, 2014 was 27,054,190.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gridSpan w:val="9"/>
          </w:tcPr>
          <w:p>
            <w:pPr>
              <w:jc w:val="center"/>
              <w:ind w:right="62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gridSpan w:val="7"/>
          </w:tcPr>
          <w:p>
            <w:pPr>
              <w:jc w:val="center"/>
              <w:ind w:right="92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20"/>
        </w:trPr>
        <w:tc>
          <w:tcPr>
            <w:tcW w:w="520" w:type="dxa"/>
            <w:vAlign w:val="bottom"/>
          </w:tcPr>
          <w:p>
            <w:pPr>
              <w:spacing w:after="0"/>
              <w:rPr>
                <w:sz w:val="20"/>
                <w:szCs w:val="20"/>
                <w:color w:val="auto"/>
              </w:rPr>
            </w:pPr>
            <w:r>
              <w:rPr>
                <w:rFonts w:ascii="Arial" w:cs="Arial" w:eastAsia="Arial" w:hAnsi="Arial"/>
                <w:sz w:val="16"/>
                <w:szCs w:val="16"/>
                <w:b w:val="1"/>
                <w:bCs w:val="1"/>
                <w:color w:val="0000EE"/>
                <w:w w:val="95"/>
              </w:rPr>
              <w:t>PART I</w:t>
            </w:r>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gridSpan w:val="3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Financial Statements (Unaudited</w:t>
              </w:r>
            </w:hyperlink>
            <w:r>
              <w:rPr>
                <w:rFonts w:ascii="Arial" w:cs="Arial" w:eastAsia="Arial" w:hAnsi="Arial"/>
                <w:sz w:val="16"/>
                <w:szCs w:val="16"/>
                <w:color w:val="000000"/>
              </w:rPr>
              <w:t>)</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Borders>
              <w:bottom w:val="single" w:sz="8" w:color="0000EE"/>
            </w:tcBorders>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Operations and Comprehensive Income</w:t>
              </w:r>
            </w:hyperlink>
          </w:p>
        </w:tc>
        <w:tc>
          <w:tcPr>
            <w:tcW w:w="1720" w:type="dxa"/>
            <w:vAlign w:val="bottom"/>
            <w:gridSpan w:val="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20" w:type="dxa"/>
            <w:vAlign w:val="bottom"/>
            <w:gridSpan w:val="2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8"/>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w:t>
              </w:r>
            </w:hyperlink>
          </w:p>
        </w:tc>
        <w:tc>
          <w:tcPr>
            <w:tcW w:w="374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20" w:type="dxa"/>
            <w:vAlign w:val="bottom"/>
            <w:gridSpan w:val="2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820" w:type="dxa"/>
            <w:vAlign w:val="bottom"/>
            <w:tcBorders>
              <w:top w:val="single" w:sz="8" w:color="0000EE"/>
            </w:tcBorders>
            <w:gridSpan w:val="5"/>
          </w:tcPr>
          <w:p>
            <w:pPr>
              <w:spacing w:after="0"/>
              <w:rPr>
                <w:sz w:val="21"/>
                <w:szCs w:val="21"/>
                <w:color w:val="auto"/>
              </w:rPr>
            </w:pPr>
          </w:p>
        </w:tc>
        <w:tc>
          <w:tcPr>
            <w:tcW w:w="348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3: Investments and Fair Value Measurements</w:t>
              </w:r>
            </w:hyperlink>
          </w:p>
        </w:tc>
        <w:tc>
          <w:tcPr>
            <w:tcW w:w="2760" w:type="dxa"/>
            <w:vAlign w:val="bottom"/>
            <w:gridSpan w:val="5"/>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4: Inventories</w:t>
              </w:r>
            </w:hyperlink>
          </w:p>
        </w:tc>
        <w:tc>
          <w:tcPr>
            <w:tcW w:w="5040" w:type="dxa"/>
            <w:vAlign w:val="bottom"/>
            <w:gridSpan w:val="2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tcBorders>
              <w:bottom w:val="single" w:sz="8" w:color="0000EE"/>
            </w:tcBorders>
            <w:gridSpan w:val="2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Net Investment in Operating Leases and Operating Lease Repurchase Obligation</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tcBorders>
              <w:bottom w:val="single" w:sz="8" w:color="0000EE"/>
            </w:tcBorders>
            <w:gridSpan w:val="1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6: Property, Plant and Equipment</w:t>
              </w:r>
            </w:hyperlink>
          </w:p>
        </w:tc>
        <w:tc>
          <w:tcPr>
            <w:tcW w:w="362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0000EE"/>
            </w:tcBorders>
            <w:gridSpan w:val="10"/>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7: Credit Facilities</w:t>
              </w:r>
            </w:hyperlink>
          </w:p>
        </w:tc>
        <w:tc>
          <w:tcPr>
            <w:tcW w:w="4720" w:type="dxa"/>
            <w:vAlign w:val="bottom"/>
            <w:gridSpan w:val="1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Note 8: Warranty</w:t>
              </w:r>
            </w:hyperlink>
          </w:p>
        </w:tc>
        <w:tc>
          <w:tcPr>
            <w:tcW w:w="5180" w:type="dxa"/>
            <w:vAlign w:val="bottom"/>
            <w:gridSpan w:val="2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9: Employee and Retiree Benefits</w:t>
              </w:r>
            </w:hyperlink>
          </w:p>
        </w:tc>
        <w:tc>
          <w:tcPr>
            <w:tcW w:w="360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10: Stock-Based Compensation Plans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11: Contingent Liabilities and Commitments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12: Income Taxes</w:t>
              </w:r>
            </w:hyperlink>
          </w:p>
        </w:tc>
        <w:tc>
          <w:tcPr>
            <w:tcW w:w="1840" w:type="dxa"/>
            <w:vAlign w:val="bottom"/>
            <w:tcBorders>
              <w:top w:val="single" w:sz="8" w:color="0000EE"/>
            </w:tcBorders>
            <w:gridSpan w:val="13"/>
          </w:tcPr>
          <w:p>
            <w:pPr>
              <w:spacing w:after="0"/>
              <w:rPr>
                <w:sz w:val="21"/>
                <w:szCs w:val="21"/>
                <w:color w:val="auto"/>
              </w:rPr>
            </w:pPr>
          </w:p>
        </w:tc>
        <w:tc>
          <w:tcPr>
            <w:tcW w:w="290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0" w:type="dxa"/>
            <w:vAlign w:val="bottom"/>
            <w:gridSpan w:val="2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14: Comprehensive Income</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top w:val="single" w:sz="8" w:color="0000EE"/>
              <w:bottom w:val="single" w:sz="8" w:color="0000EE"/>
            </w:tcBorders>
            <w:gridSpan w:val="13"/>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15: Subsequent Event</w:t>
              </w:r>
            </w:hyperlink>
          </w:p>
        </w:tc>
        <w:tc>
          <w:tcPr>
            <w:tcW w:w="380" w:type="dxa"/>
            <w:vAlign w:val="bottom"/>
            <w:tcBorders>
              <w:top w:val="single" w:sz="8" w:color="0000EE"/>
            </w:tcBorders>
            <w:gridSpan w:val="3"/>
          </w:tcPr>
          <w:p>
            <w:pPr>
              <w:spacing w:after="0"/>
              <w:rPr>
                <w:sz w:val="21"/>
                <w:szCs w:val="21"/>
                <w:color w:val="auto"/>
              </w:rPr>
            </w:pPr>
          </w:p>
        </w:tc>
        <w:tc>
          <w:tcPr>
            <w:tcW w:w="4040" w:type="dxa"/>
            <w:vAlign w:val="bottom"/>
            <w:gridSpan w:val="12"/>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860" w:type="dxa"/>
            <w:vAlign w:val="bottom"/>
            <w:gridSpan w:val="30"/>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top w:val="single" w:sz="8" w:color="0000EE"/>
              <w:bottom w:val="single" w:sz="8" w:color="0000EE"/>
            </w:tcBorders>
            <w:gridSpan w:val="2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500" w:type="dxa"/>
            <w:vAlign w:val="bottom"/>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4">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4">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5080" w:type="dxa"/>
            <w:vAlign w:val="bottom"/>
            <w:gridSpan w:val="22"/>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4">
              <w:r>
                <w:rPr>
                  <w:rFonts w:ascii="Arial" w:cs="Arial" w:eastAsia="Arial" w:hAnsi="Arial"/>
                  <w:sz w:val="16"/>
                  <w:szCs w:val="16"/>
                  <w:color w:val="0000EE"/>
                  <w:w w:val="99"/>
                </w:rPr>
                <w:t>Legal Proceedings</w:t>
              </w:r>
            </w:hyperlink>
          </w:p>
        </w:tc>
        <w:tc>
          <w:tcPr>
            <w:tcW w:w="5520" w:type="dxa"/>
            <w:vAlign w:val="bottom"/>
            <w:gridSpan w:val="25"/>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4">
              <w:r>
                <w:rPr>
                  <w:rFonts w:ascii="Arial" w:cs="Arial" w:eastAsia="Arial" w:hAnsi="Arial"/>
                  <w:sz w:val="16"/>
                  <w:szCs w:val="16"/>
                  <w:color w:val="0000EE"/>
                  <w:w w:val="98"/>
                </w:rPr>
                <w:t>Risk Factors</w:t>
              </w:r>
            </w:hyperlink>
          </w:p>
        </w:tc>
        <w:tc>
          <w:tcPr>
            <w:tcW w:w="5960" w:type="dxa"/>
            <w:vAlign w:val="bottom"/>
            <w:gridSpan w:val="26"/>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860" w:type="dxa"/>
            <w:vAlign w:val="bottom"/>
            <w:gridSpan w:val="30"/>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7"/>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Exhibits</w:t>
              </w:r>
            </w:hyperlink>
          </w:p>
        </w:tc>
        <w:tc>
          <w:tcPr>
            <w:tcW w:w="2500" w:type="dxa"/>
            <w:vAlign w:val="bottom"/>
            <w:gridSpan w:val="3"/>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5">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1</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2</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2</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3</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4</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5</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13</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22</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23</w:t>
        </w:r>
      </w:hyperlink>
    </w:p>
    <w:p>
      <w:pPr>
        <w:spacing w:after="0" w:line="59"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23</w:t>
        </w:r>
      </w:hyperlink>
    </w:p>
    <w:p>
      <w:pPr>
        <w:spacing w:after="0" w:line="356"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24</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3M</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3M Company</w:t>
            </w:r>
          </w:p>
        </w:tc>
        <w:tc>
          <w:tcPr>
            <w:tcW w:w="0" w:type="dxa"/>
            <w:vAlign w:val="bottom"/>
          </w:tcPr>
          <w:p>
            <w:pPr>
              <w:spacing w:after="0"/>
              <w:rPr>
                <w:sz w:val="1"/>
                <w:szCs w:val="1"/>
                <w:color w:val="auto"/>
              </w:rPr>
            </w:pPr>
          </w:p>
        </w:tc>
      </w:tr>
      <w:tr>
        <w:trPr>
          <w:trHeight w:val="233"/>
        </w:trPr>
        <w:tc>
          <w:tcPr>
            <w:tcW w:w="2360" w:type="dxa"/>
            <w:vAlign w:val="bottom"/>
          </w:tcPr>
          <w:p>
            <w:pPr>
              <w:ind w:left="40"/>
              <w:spacing w:after="0"/>
              <w:rPr>
                <w:sz w:val="20"/>
                <w:szCs w:val="20"/>
                <w:color w:val="auto"/>
              </w:rPr>
            </w:pPr>
            <w:r>
              <w:rPr>
                <w:rFonts w:ascii="Arial" w:cs="Arial" w:eastAsia="Arial" w:hAnsi="Arial"/>
                <w:sz w:val="16"/>
                <w:szCs w:val="16"/>
                <w:color w:val="auto"/>
              </w:rPr>
              <w:t>AOCI</w:t>
            </w:r>
          </w:p>
        </w:tc>
        <w:tc>
          <w:tcPr>
            <w:tcW w:w="9060" w:type="dxa"/>
            <w:vAlign w:val="bottom"/>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c>
          <w:tcPr>
            <w:tcW w:w="0" w:type="dxa"/>
            <w:vAlign w:val="bottom"/>
          </w:tcPr>
          <w:p>
            <w:pPr>
              <w:spacing w:after="0"/>
              <w:rPr>
                <w:sz w:val="1"/>
                <w:szCs w:val="1"/>
                <w:color w:val="auto"/>
              </w:rPr>
            </w:pPr>
          </w:p>
        </w:tc>
      </w:tr>
      <w:tr>
        <w:trPr>
          <w:trHeight w:val="195"/>
        </w:trPr>
        <w:tc>
          <w:tcPr>
            <w:tcW w:w="2360" w:type="dxa"/>
            <w:vAlign w:val="bottom"/>
            <w:shd w:val="clear" w:color="auto" w:fill="CCEEFF"/>
          </w:tcPr>
          <w:p>
            <w:pPr>
              <w:spacing w:after="0"/>
              <w:rPr>
                <w:sz w:val="16"/>
                <w:szCs w:val="16"/>
                <w:color w:val="auto"/>
              </w:rPr>
            </w:pP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as Borrowers, and General Electric Capital Corporation, as Agent</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Apollo</w:t>
            </w:r>
          </w:p>
        </w:tc>
        <w:tc>
          <w:tcPr>
            <w:tcW w:w="9060" w:type="dxa"/>
            <w:vAlign w:val="bottom"/>
          </w:tcPr>
          <w:p>
            <w:pPr>
              <w:ind w:left="30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ARS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COLI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6"/>
                <w:szCs w:val="16"/>
                <w:color w:val="auto"/>
              </w:rPr>
              <w:t>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LLC, as Borrowers, and General Electric Capital Corporation, as Agent (was amended May 28, 2014)</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DCF</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GECC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IRS</w:t>
            </w:r>
          </w:p>
        </w:tc>
        <w:tc>
          <w:tcPr>
            <w:tcW w:w="9060" w:type="dxa"/>
            <w:vAlign w:val="bottom"/>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tcPr>
          <w:p>
            <w:pPr>
              <w:ind w:left="30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9060" w:type="dxa"/>
            <w:vAlign w:val="bottom"/>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NYSE</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OCI</w:t>
            </w:r>
          </w:p>
        </w:tc>
        <w:tc>
          <w:tcPr>
            <w:tcW w:w="9060" w:type="dxa"/>
            <w:vAlign w:val="bottom"/>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RVIA</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9060" w:type="dxa"/>
            <w:vAlign w:val="bottom"/>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060" w:type="dxa"/>
            <w:vAlign w:val="bottom"/>
          </w:tcPr>
          <w:p>
            <w:pPr>
              <w:ind w:left="30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US</w:t>
            </w:r>
          </w:p>
        </w:tc>
        <w:tc>
          <w:tcPr>
            <w:tcW w:w="90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1,</w:t>
            </w: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w:t>
            </w:r>
          </w:p>
        </w:tc>
        <w:tc>
          <w:tcPr>
            <w:tcW w:w="30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1,</w:t>
            </w: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247,747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218,199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699,228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588,919</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221,266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197,002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623,940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529,784</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26,481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21,197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75,288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59,135</w:t>
            </w: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4,857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13,709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13,649</w:t>
            </w: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16,577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16,392</w:t>
            </w: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(Gain) loss on sale of real estate</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w:t>
            </w: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10,892</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10,949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29,657</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30,069</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15,589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10,248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45,631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29,066</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739</w:t>
            </w: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16,324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46,383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29,805</w:t>
            </w: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4,939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14,259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8,468</w:t>
            </w: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11,385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32,124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21,337</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4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0.76</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0.76</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27,209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27,987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27,552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28,128</w:t>
            </w: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27,319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28,087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27,666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28,218</w:t>
            </w: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11,385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7,661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32,124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21,337</w:t>
            </w: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$557, $514, $1,567 and $1,430</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(2,373)</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$103, $(90), $304 and $206)</w:t>
            </w:r>
          </w:p>
        </w:tc>
        <w:tc>
          <w:tcPr>
            <w:tcW w:w="34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1,006</w:t>
            </w: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$0, $0, $1,346 and $1,613)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2,676</w:t>
            </w: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Unrealized appreciation of investments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8"/>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$0, $96, $91 and $63)</w:t>
            </w:r>
          </w:p>
        </w:tc>
        <w:tc>
          <w:tcPr>
            <w:tcW w:w="34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104</w:t>
            </w:r>
          </w:p>
        </w:tc>
      </w:tr>
      <w:tr>
        <w:trPr>
          <w:trHeight w:val="250"/>
        </w:trPr>
        <w:tc>
          <w:tcPr>
            <w:tcW w:w="464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1,413</w:t>
            </w:r>
          </w:p>
        </w:tc>
      </w:tr>
      <w:tr>
        <w:trPr>
          <w:trHeight w:val="24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10,633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7,471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32,413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22,750</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31,</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2013</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50,490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64,277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($150 and $152)</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56,333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29,145</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117,735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Net investment in operating leases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16,479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8,277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receivable and prepaid</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1,868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7,348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7,742</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255,891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223,850</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22,665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20,266</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Long-term investments</w:t>
            </w:r>
          </w:p>
        </w:tc>
        <w:tc>
          <w:tcPr>
            <w:tcW w:w="38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2,108</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24,793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25,051</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24,540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25,649</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10,993</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340,334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31,229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28,142</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19,067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22,101</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16,050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8,918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4,531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1,287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3,424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1,910</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8,363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3,940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93,397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70,354</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3,988</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59,219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long-term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62,447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68,062</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Contingent liabilities and commitments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Capital stock common, par value $0.50;</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72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25,888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31,410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29,334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541,567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509,443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849</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at cost (24,644 and 23,917 shares)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(415,513)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(394,785)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184,490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170,729</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340,334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1"/>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12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17"/>
                <w:szCs w:val="17"/>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1,</w:t>
            </w:r>
          </w:p>
        </w:tc>
      </w:tr>
      <w:tr>
        <w:trPr>
          <w:trHeight w:val="228"/>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2013</w:t>
            </w: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32,124</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21,337</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3,190</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1,258</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(1,243)</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259</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Gain on disposal of property</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 on life insurance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(536)</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(853)</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(6,128)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(26,295)</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(26,349)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(10,819)</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(234)</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8,851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9,895</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(3,080)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(3,359)</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10,189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(6,934)</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 at par</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1,004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(7,005)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(3,322)</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637</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COLI borrowings</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(1,371)</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692</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(1,638)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(2,110)</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(24,324)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(11,123)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(22,338)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(11,217)</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(13,787)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(20,261)</w:t>
            </w:r>
          </w:p>
        </w:tc>
      </w:tr>
      <w:tr>
        <w:trPr>
          <w:trHeight w:val="264"/>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64,277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62,683</w:t>
            </w:r>
          </w:p>
        </w:tc>
      </w:tr>
      <w:tr>
        <w:trPr>
          <w:trHeight w:val="24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50,490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42,422</w:t>
            </w:r>
          </w:p>
        </w:tc>
      </w:tr>
      <w:tr>
        <w:trPr>
          <w:trHeight w:val="20"/>
        </w:trPr>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51"/>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11,814</w:t>
            </w:r>
          </w:p>
        </w:tc>
        <w:tc>
          <w:tcPr>
            <w:tcW w:w="1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9,946</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our consolidated financial position as of May 31, 2014 and the consolidated results of operations and comprehensive income and consolidated cash flows for the first nine months of Fiscal 2014 and 2013. The consolidated statement of operations and comprehensive income for the first nine months of Fiscal 2014 is not necessarily indicative of the results to be expected for the full year. The consolidated balance sheet data as of August 31, 2013 was derived from audited financial statements, but does not include all of the information and footnotes required by GAAP for complete financial statements. These interim financial statements should be read in conjunction with the audited consolidated financial statements and notes thereto appearing in our Annual Report on Form 10-K for the fiscal year ended August 31, 2013.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jc w:val="both"/>
        <w:ind w:right="340"/>
        <w:spacing w:after="0" w:line="253" w:lineRule="auto"/>
        <w:rPr>
          <w:sz w:val="20"/>
          <w:szCs w:val="20"/>
          <w:color w:val="auto"/>
        </w:rPr>
      </w:pPr>
      <w:r>
        <w:rPr>
          <w:rFonts w:ascii="Arial" w:cs="Arial" w:eastAsia="Arial" w:hAnsi="Arial"/>
          <w:sz w:val="16"/>
          <w:szCs w:val="16"/>
          <w:color w:val="auto"/>
        </w:rPr>
        <w:t>We follow a 52-/53-week fiscal year, ending the last Saturday in August. Fiscal 2014 is a 52-week year; the first quarter ending November 30, 2013 had 13 weeks; the first nine months ending May 31, 2014 had 39 weeks. Fiscal 2013 was a 53-week fiscal year; the first quarter ending December 1, 2012 had 14 weeks; the first nine months ending June 1, 2013 had 40 weeks.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July 2013, the FASB issued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requires entities to present unrecognized tax benefits as a liability and not combine it with deferred tax assets to the extent a net operating loss carryforward, a similar tax loss, or a tax credit carryforward is not available at the reporting date. ASU 2013-11 will become effective for fiscal years beginning after December 15, 2013 (our Fiscal 2015). We are currently evaluating the impact on our consolidated financial statements.</w:t>
      </w:r>
    </w:p>
    <w:p>
      <w:pPr>
        <w:spacing w:after="0" w:line="1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ASU 2014-09 will become effective for fiscal years beginning after December 15, 2016 (our Fiscal 2018). We are currently evaluating the impact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color w:val="auto"/>
        </w:rPr>
        <w:t>:</w:t>
      </w:r>
      <w:r>
        <w:rPr>
          <w:rFonts w:ascii="Arial" w:cs="Arial" w:eastAsia="Arial" w:hAnsi="Arial"/>
          <w:sz w:val="16"/>
          <w:szCs w:val="16"/>
          <w:b w:val="1"/>
          <w:bCs w:val="1"/>
          <w:color w:val="auto"/>
        </w:rPr>
        <w:t xml:space="preserve"> Concentration Risk</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One of our dealer organizations accounted for 18.4% and 26.9% of our consolidated net revenue for the first nine months of Fiscal 2014 and Fiscal 2013, respectively. A second dealer organization accounted for 11.9% and 13.6% of our consolidated net revenue for the first nine months of Fiscal 2014 and Fiscal 2013,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May 31, 2014 and August 31, 2013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31,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5,529</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Student loan 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2,108</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7"/>
                <w:szCs w:val="17"/>
                <w:color w:val="auto"/>
              </w:rPr>
            </w:pPr>
          </w:p>
        </w:tc>
        <w:tc>
          <w:tcPr>
            <w:tcW w:w="132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1,</w:t>
            </w:r>
          </w:p>
        </w:tc>
      </w:tr>
      <w:tr>
        <w:trPr>
          <w:trHeight w:val="228"/>
        </w:trPr>
        <w:tc>
          <w:tcPr>
            <w:tcW w:w="4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r>
      <w:tr>
        <w:trPr>
          <w:trHeight w:val="25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8,735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2,108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9,074</w:t>
            </w:r>
          </w:p>
        </w:tc>
      </w:tr>
      <w:tr>
        <w:trPr>
          <w:trHeight w:val="260"/>
        </w:trPr>
        <w:tc>
          <w:tcPr>
            <w:tcW w:w="4780" w:type="dxa"/>
            <w:vAlign w:val="bottom"/>
            <w:gridSpan w:val="2"/>
          </w:tcPr>
          <w:p>
            <w:pPr>
              <w:ind w:left="40"/>
              <w:spacing w:after="0"/>
              <w:rPr>
                <w:sz w:val="20"/>
                <w:szCs w:val="20"/>
                <w:color w:val="auto"/>
              </w:rPr>
            </w:pPr>
            <w:r>
              <w:rPr>
                <w:rFonts w:ascii="Arial" w:cs="Arial" w:eastAsia="Arial" w:hAnsi="Arial"/>
                <w:sz w:val="16"/>
                <w:szCs w:val="16"/>
                <w:color w:val="auto"/>
              </w:rPr>
              <w:t>Transfer to Level 2</w:t>
            </w:r>
          </w:p>
        </w:tc>
        <w:tc>
          <w:tcPr>
            <w:tcW w:w="108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(4,855)</w:t>
            </w:r>
          </w:p>
        </w:tc>
      </w:tr>
      <w:tr>
        <w:trPr>
          <w:trHeight w:val="280"/>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10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166</w:t>
            </w:r>
          </w:p>
        </w:tc>
      </w:tr>
      <w:tr>
        <w:trPr>
          <w:trHeight w:val="264"/>
        </w:trPr>
        <w:tc>
          <w:tcPr>
            <w:tcW w:w="4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Sales</w:t>
            </w: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40"/>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4,385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Investments</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long-term investments were comprised of ARS. Our long-term ARS investments were classified as Level 3, as quoted prices were unavailable and there was insufficient observable ARS market information available to determine the fair value of our ARS investments. Due to limited market information, we utilized a DCF model to derive an estimate of fair value for the ARS for prior periods.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During the first quarter of Fiscal 2014 we redeemed our last ARS holding at par value of $2.4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They are classified as Level 1 as they are traded in an active market for which closing stock prices are readily available. These securities fund the Executive Share Option Plan (see Note 9), a deferred compensation program, and are presented as other assets in the accompanying balance sheets.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nine months of Fiscal 2014, no impairments were recorded for non-financial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4: Inventories</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31,</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34,458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43,927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44,993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46,257</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69,063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52,201</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148,514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142,385</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(30,779)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(29,844)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117,735</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112,541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Of the $148.5 million and $142.4 million inventory at May 31, 2014 and August 31, 2013, respectively, $142.0 million and $136.1 million is valued on a LIFO basis. Towables inventory of $6.5 million and $6.3 million at May 31, 2014 and August 31, 2013, respectively, is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Investment in Operating Leases and Operating Lease Repurchase Obligation</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are met. As a result, the units subject to repurchase are accounted for as operating leases and are recorded in the balance sheet as net investment in operating leases of $16.5 million at May 31, 2014. The original cost of these units is being depreciated down to the estimated net realizable value of the rental units during the time frame that the units are in rental use. Also, we recorded in the balance sheet operating lease repurchase obligations of $16.1 million at May 31, 2014 which represents our estimated repurchase obligation per the terms of the sales agreement.</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Estimated net lease revenue is being recorded ratably over the rental period that Apollo holds the units based upon the difference between the proceeds received and the estimated repurchase obligation less the estimated depreciation expense of the unit. When we sell the repurchased units we will record a gain or loss for the difference, if any, between the estimated residual value of the unit and the actual resale value as a component of net lease revenue. We recorded $100,000 of net lease revenue during the third quarter of Fiscal 2014.</w:t>
      </w:r>
    </w:p>
    <w:p>
      <w:pPr>
        <w:spacing w:after="0" w:line="176"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We anticipate repurchasing most of the units subject to repurchase during the first quarter of Fiscal 2015 and for any units subject to repurchase which are not returned we will remove the remaining net investment in lease and repurchase obligation balance for such units and record a net gain or loss for the difference between these two balances.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31,</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9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47,132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50,297</w:t>
            </w:r>
          </w:p>
        </w:tc>
        <w:tc>
          <w:tcPr>
            <w:tcW w:w="0" w:type="dxa"/>
            <w:vAlign w:val="bottom"/>
          </w:tcPr>
          <w:p>
            <w:pPr>
              <w:spacing w:after="0"/>
              <w:rPr>
                <w:sz w:val="1"/>
                <w:szCs w:val="1"/>
                <w:color w:val="auto"/>
              </w:rPr>
            </w:pPr>
          </w:p>
        </w:tc>
      </w:tr>
      <w:tr>
        <w:trPr>
          <w:trHeight w:val="28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91,412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88,280</w:t>
            </w:r>
          </w:p>
        </w:tc>
        <w:tc>
          <w:tcPr>
            <w:tcW w:w="0" w:type="dxa"/>
            <w:vAlign w:val="bottom"/>
          </w:tcPr>
          <w:p>
            <w:pPr>
              <w:spacing w:after="0"/>
              <w:rPr>
                <w:sz w:val="1"/>
                <w:szCs w:val="1"/>
                <w:color w:val="auto"/>
              </w:rPr>
            </w:pP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2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9,063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9,044</w:t>
            </w:r>
          </w:p>
        </w:tc>
        <w:tc>
          <w:tcPr>
            <w:tcW w:w="0" w:type="dxa"/>
            <w:vAlign w:val="bottom"/>
          </w:tcPr>
          <w:p>
            <w:pPr>
              <w:spacing w:after="0"/>
              <w:rPr>
                <w:sz w:val="1"/>
                <w:szCs w:val="1"/>
                <w:color w:val="auto"/>
              </w:rPr>
            </w:pPr>
          </w:p>
        </w:tc>
      </w:tr>
      <w:tr>
        <w:trPr>
          <w:trHeight w:val="247"/>
        </w:trPr>
        <w:tc>
          <w:tcPr>
            <w:tcW w:w="4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151,899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151,322</w:t>
            </w:r>
          </w:p>
        </w:tc>
        <w:tc>
          <w:tcPr>
            <w:tcW w:w="0" w:type="dxa"/>
            <w:vAlign w:val="bottom"/>
          </w:tcPr>
          <w:p>
            <w:pPr>
              <w:spacing w:after="0"/>
              <w:rPr>
                <w:sz w:val="1"/>
                <w:szCs w:val="1"/>
                <w:color w:val="auto"/>
              </w:rPr>
            </w:pP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(129,234)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(131,056)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9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22,665</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20,266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20" w:type="dxa"/>
            <w:vAlign w:val="bottom"/>
            <w:vMerge w:val="restart"/>
          </w:tcPr>
          <w:p>
            <w:pPr>
              <w:jc w:val="right"/>
              <w:ind w:right="8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the second quarter of Fiscal 2014, 3M exercised an option to purchase warehouse facilities that they had leased from us since 1980. Net proceeds from the sale were $2.3 million, resulting in a gain of $629,000. We received lease payments of $860,000 and recorded depreciation charges of $148,000 in Fiscal 2013 related to these warehouse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87"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On October 31, 2012, we entered into the Credit Agreement with GECC. The Credit Agreement provides for an initial $35.0 million revolving credit facility based on the Company's eligible inventory and was to expire on October 31, 2015, unless terminated earlier in accordance with its terms. There is no termination fee associated with the Credit Agreement.</w:t>
      </w:r>
    </w:p>
    <w:p>
      <w:pPr>
        <w:spacing w:after="0" w:line="17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76"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report, we are in compliance with all terms of the Amended Credit Agreement, and no borrowings have been made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also incurred costs for certain warranty-type expenses which occurred after the normal warranty period. We have voluntarily agreed to pay such costs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40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7"/>
                <w:szCs w:val="17"/>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1,</w:t>
            </w:r>
          </w:p>
        </w:tc>
      </w:tr>
      <w:tr>
        <w:trPr>
          <w:trHeight w:val="228"/>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57"/>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8,781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6,990</w:t>
            </w:r>
          </w:p>
        </w:tc>
      </w:tr>
      <w:tr>
        <w:trPr>
          <w:trHeight w:val="26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30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7,874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7,032</w:t>
            </w:r>
          </w:p>
        </w:tc>
      </w:tr>
      <w:tr>
        <w:trPr>
          <w:trHeight w:val="27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(1,742)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(7,399)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(5,581)</w:t>
            </w:r>
          </w:p>
        </w:tc>
      </w:tr>
      <w:tr>
        <w:trPr>
          <w:trHeight w:val="240"/>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8,918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8,441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8,918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8,441</w:t>
            </w: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12"/>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47"/>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1"/>
        </w:trPr>
        <w:tc>
          <w:tcPr>
            <w:tcW w:w="740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24"/>
                <w:szCs w:val="24"/>
                <w:color w:val="auto"/>
              </w:rPr>
            </w:pPr>
          </w:p>
        </w:tc>
        <w:tc>
          <w:tcPr>
            <w:tcW w:w="162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2013</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33,342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21,338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22,366</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6,959</w:t>
            </w:r>
          </w:p>
        </w:tc>
      </w:tr>
      <w:tr>
        <w:trPr>
          <w:trHeight w:val="260"/>
        </w:trPr>
        <w:tc>
          <w:tcPr>
            <w:tcW w:w="740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2,760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2,876</w:t>
            </w:r>
          </w:p>
        </w:tc>
      </w:tr>
      <w:tr>
        <w:trPr>
          <w:trHeight w:val="280"/>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543</w:t>
            </w:r>
          </w:p>
        </w:tc>
      </w:tr>
      <w:tr>
        <w:trPr>
          <w:trHeight w:val="257"/>
        </w:trPr>
        <w:tc>
          <w:tcPr>
            <w:tcW w:w="74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63,805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69,093</w:t>
            </w:r>
          </w:p>
        </w:tc>
      </w:tr>
      <w:tr>
        <w:trPr>
          <w:trHeight w:val="264"/>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(4,586)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(5,019)</w:t>
            </w:r>
          </w:p>
        </w:tc>
      </w:tr>
      <w:tr>
        <w:trPr>
          <w:trHeight w:val="24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59,219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Changes in the postretirement benefit plan include:</w:t>
      </w:r>
    </w:p>
    <w:p>
      <w:pPr>
        <w:spacing w:after="0" w:line="1" w:lineRule="exact"/>
        <w:rPr>
          <w:sz w:val="20"/>
          <w:szCs w:val="20"/>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w:t>
      </w:r>
    </w:p>
    <w:p>
      <w:pPr>
        <w:spacing w:after="0" w:line="1" w:lineRule="exact"/>
        <w:rPr>
          <w:rFonts w:ascii="Arial" w:cs="Arial" w:eastAsia="Arial" w:hAnsi="Arial"/>
          <w:sz w:val="16"/>
          <w:szCs w:val="16"/>
          <w:color w:val="auto"/>
        </w:rPr>
      </w:pPr>
    </w:p>
    <w:p>
      <w:pPr>
        <w:ind w:left="340" w:right="12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2012 the employer-established dollar caps were reduced by 10%, which reduced our liability for postretirement health care by $4.6 million and is being amortized as prior service credit over 7.8 years.</w:t>
      </w:r>
    </w:p>
    <w:p>
      <w:pPr>
        <w:ind w:left="340" w:right="80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2013 the employer-established dollar caps were further reduced by 10%, which reduced our liability for postretirement health care by approximately $4.3 million and is being amortized as prior service credit over 7.5 years.</w:t>
      </w:r>
    </w:p>
    <w:p>
      <w:pPr>
        <w:ind w:left="340" w:right="800" w:hanging="332"/>
        <w:spacing w:after="0" w:line="260"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2014 the employer-established dollar caps were further reduced by 10%, which reduced our liability for postretirement health care by approximately $3.6 million and is being amortized as prior service credit over 7.3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1,</w:t>
            </w:r>
          </w:p>
        </w:tc>
        <w:tc>
          <w:tcPr>
            <w:tcW w:w="32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31,</w:t>
            </w:r>
          </w:p>
        </w:tc>
        <w:tc>
          <w:tcPr>
            <w:tcW w:w="340" w:type="dxa"/>
            <w:vAlign w:val="bottom"/>
          </w:tcPr>
          <w:p>
            <w:pPr>
              <w:spacing w:after="0"/>
              <w:rPr>
                <w:sz w:val="17"/>
                <w:szCs w:val="17"/>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1,</w:t>
            </w:r>
          </w:p>
        </w:tc>
      </w:tr>
      <w:tr>
        <w:trPr>
          <w:trHeight w:val="228"/>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57"/>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1,136</w:t>
            </w:r>
          </w:p>
        </w:tc>
      </w:tr>
      <w:tr>
        <w:trPr>
          <w:trHeight w:val="260"/>
        </w:trPr>
        <w:tc>
          <w:tcPr>
            <w:tcW w:w="442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433</w:t>
            </w:r>
          </w:p>
        </w:tc>
      </w:tr>
      <w:tr>
        <w:trPr>
          <w:trHeight w:val="280"/>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(3,803)</w:t>
            </w:r>
          </w:p>
        </w:tc>
      </w:tr>
      <w:tr>
        <w:trPr>
          <w:trHeight w:val="264"/>
        </w:trPr>
        <w:tc>
          <w:tcPr>
            <w:tcW w:w="4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1,195</w:t>
            </w:r>
          </w:p>
        </w:tc>
      </w:tr>
      <w:tr>
        <w:trPr>
          <w:trHeight w:val="24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(1,909)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(1,039)</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7"/>
        </w:trPr>
        <w:tc>
          <w:tcPr>
            <w:tcW w:w="4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836</w:t>
            </w: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Stock-Based Compensation Plans</w:t>
      </w:r>
    </w:p>
    <w:p>
      <w:pPr>
        <w:spacing w:after="0" w:line="18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October 2013, we adopted the 2014 Omnibus Equity, Performance Award, and Incentive Compensation Plan (as amended, the "Plan"). It was approved by shareholders in December 2013 and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The Plan replaced the 2004 Incentive Compensation Plan which had a ten-year term. No new grants may be made from the 2004 Incentive Compensation Plan on or after January 1, 2014. Any stock awards previously granted under the 2004 Incentive Compensation Plan shall continue to vest and /or be exercisable in accordance with their original terms and conditions.</w:t>
      </w:r>
    </w:p>
    <w:p>
      <w:pPr>
        <w:spacing w:after="0" w:line="147"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On October 16, 2013 and October 10, 2012 the Board of Directors granted an aggregate of 84,200 and 155,600 shares, respectively, of restricted common stock to our key employees and non-employee directors under the 2004 Plan. The value of the restricted stock award is determined using the intrinsic value method which, in this case, is based on the number of shares granted and the closing price of our common stock on the date of grant.</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Stock-based compensation expense was $305,000 and $262,000 during the third quarters of Fiscal 2014 and 2013, respectively. Stock-based compensation expense was $1.7 million and $1.3 million during the nine months of Fiscal 2014 and 2013, respectively. Of the $1.7 million in Fiscal 2014, $1.1 million related to the October 16, 2013 grant of 84,200 shares. The remainder is related to the amortization of previously granted restricted stock awards, as well as non-employee director stock units issued in</w:t>
      </w:r>
    </w:p>
    <w:p>
      <w:pPr>
        <w:sectPr>
          <w:pgSz w:w="11900" w:h="16838" w:orient="portrait"/>
          <w:cols w:equalWidth="0" w:num="1">
            <w:col w:w="11420"/>
          </w:cols>
          <w:pgMar w:left="240" w:top="118"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18"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lieu of director fees. Compensation expense is recognized over the requisite service period of the award or over a period ending with the employee's eligible retirement date, if earlier.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$361.4 million and $232.9 million at May 31, 2014 and August 31, 2013,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$7.0 million and $8.0 million at May 31, 2014 and August 31, 2013, respectively.</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$1.4 million as of May 31, 2014 and $1.3 million as of August 31, 2013.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May 31,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1,</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Units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2"/>
                <w:szCs w:val="22"/>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Inventory resold:</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60"/>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Cash collected</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207</w:t>
            </w:r>
          </w:p>
        </w:tc>
      </w:tr>
      <w:tr>
        <w:trPr>
          <w:trHeight w:val="280"/>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Units in ending inventory</w:t>
            </w:r>
          </w:p>
        </w:tc>
        <w:tc>
          <w:tcPr>
            <w:tcW w:w="112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repurchase commitment assumptions at May 31, 2014 would have affected net income by approximately $366,000.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ASC 740 requires that companies assess whether valuation allowances should be established against their deferred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Based on ASC 740 guidelines, as of May 31, 2014 and August 31, 2013, we have applied a valuation allowance of $1.4 million and $1.6 million, respectively, against our deferred tax assets.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7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net operating loss carryforwards generated in those years may still be adjusted upon examination by the IRS or state taxing authorities if they either have been or will be used in a future period. Due to such carryback claims, our federal returns from Fiscal 2004 to present continue to be subject to review by the IRS. Periodically, various state and local jurisdictions conduct audits, therefore, a variety of years are subject to state and local jurisdiction review.</w:t>
      </w:r>
    </w:p>
    <w:p>
      <w:pPr>
        <w:spacing w:after="0" w:line="176"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As of May 31, 2014, our unrecognized tax benefits were $1.7 million and accrued interest and penalties of $1.5 million, of which if all were realized $2.3 million could have a positive impact on the overall effective tax rate. It is our policy to recognize interest and penalties accrued relative to unrecognized tax benefits as tax expense. We do not anticipate any significant changes in unrecognized tax benefits within the next twelve months. Actual results may differ materially from this estimate.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1,</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1,</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11,385</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7,661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32,124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21,337</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28,128</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0.76</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21,337</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27,209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27,987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28,128</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27,319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27,666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28,218</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At the end of the third quarters of Fiscal 2014 and Fiscal 2013, there were options outstanding to purchase 457,421 shares and 669,494 shares, respectively, of common stock at an average price of $30.38 and $29.83, respectively, which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May 31, 2014</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June 1, 2013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Gains and</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Gains and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6"/>
                <w:szCs w:val="16"/>
                <w:b w:val="1"/>
                <w:bCs w:val="1"/>
                <w:color w:val="auto"/>
              </w:rPr>
              <w:t>Defined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Losses on</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rPr>
              <w:t>Defined</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Benefit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Available-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80"/>
              <w:spacing w:after="0"/>
              <w:rPr>
                <w:sz w:val="20"/>
                <w:szCs w:val="20"/>
                <w:color w:val="auto"/>
              </w:rPr>
            </w:pPr>
            <w:r>
              <w:rPr>
                <w:rFonts w:ascii="Arial" w:cs="Arial" w:eastAsia="Arial" w:hAnsi="Arial"/>
                <w:sz w:val="16"/>
                <w:szCs w:val="16"/>
                <w:b w:val="1"/>
                <w:bCs w:val="1"/>
                <w:color w:val="auto"/>
              </w:rPr>
              <w:t>Pension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for-Sale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Items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Securities</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(1,667)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(2,083)</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w:t>
            </w:r>
          </w:p>
        </w:tc>
      </w:tr>
      <w:tr>
        <w:trPr>
          <w:trHeight w:val="26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(752)</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(350)</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(350)</w:t>
            </w:r>
          </w:p>
        </w:tc>
      </w:tr>
      <w:tr>
        <w:trPr>
          <w:trHeight w:val="25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(752)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(350)</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160</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(190)</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1,138</w:t>
            </w: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1,138</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(2,273)</w:t>
            </w: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98"/>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May 31, 2014</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1, 2013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8"/>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Unrealized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Gains and</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Arial" w:cs="Arial" w:eastAsia="Arial" w:hAnsi="Arial"/>
                <w:sz w:val="16"/>
                <w:szCs w:val="16"/>
                <w:b w:val="1"/>
                <w:bCs w:val="1"/>
                <w:color w:val="auto"/>
              </w:rPr>
              <w:t>Defined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Losses on</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Defined</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and Losses on</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6"/>
                <w:szCs w:val="16"/>
                <w:b w:val="1"/>
                <w:bCs w:val="1"/>
                <w:color w:val="auto"/>
              </w:rPr>
              <w:t>Benefit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Benefit</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rPr>
              <w:t>Available-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6"/>
                <w:szCs w:val="16"/>
                <w:b w:val="1"/>
                <w:bCs w:val="1"/>
                <w:color w:val="auto"/>
              </w:rPr>
              <w:t>Pension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Pension</w:t>
            </w:r>
          </w:p>
        </w:tc>
        <w:tc>
          <w:tcPr>
            <w:tcW w:w="260" w:type="dxa"/>
            <w:vAlign w:val="bottom"/>
          </w:tcPr>
          <w:p>
            <w:pPr>
              <w:spacing w:after="0"/>
              <w:rPr>
                <w:sz w:val="16"/>
                <w:szCs w:val="16"/>
                <w:color w:val="auto"/>
              </w:rPr>
            </w:pPr>
          </w:p>
        </w:tc>
        <w:tc>
          <w:tcPr>
            <w:tcW w:w="1260" w:type="dxa"/>
            <w:vAlign w:val="bottom"/>
          </w:tcPr>
          <w:p>
            <w:pPr>
              <w:jc w:val="center"/>
              <w:ind w:right="19"/>
              <w:spacing w:after="0"/>
              <w:rPr>
                <w:sz w:val="20"/>
                <w:szCs w:val="20"/>
                <w:color w:val="auto"/>
              </w:rPr>
            </w:pPr>
            <w:r>
              <w:rPr>
                <w:rFonts w:ascii="Arial" w:cs="Arial" w:eastAsia="Arial" w:hAnsi="Arial"/>
                <w:sz w:val="16"/>
                <w:szCs w:val="16"/>
                <w:b w:val="1"/>
                <w:bCs w:val="1"/>
                <w:color w:val="auto"/>
              </w:rPr>
              <w:t>for-Sale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Items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Securities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Items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57"/>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(151)</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(3,326)</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2,234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2,385</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2,676</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104</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2,780</w:t>
            </w:r>
          </w:p>
        </w:tc>
      </w:tr>
      <w:tr>
        <w:trPr>
          <w:trHeight w:val="264"/>
        </w:trPr>
        <w:tc>
          <w:tcPr>
            <w:tcW w:w="3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(2,096)</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(2,096)</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(1,367)</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(1,367)</w:t>
            </w:r>
          </w:p>
        </w:tc>
      </w:tr>
      <w:tr>
        <w:trPr>
          <w:trHeight w:val="25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138</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151</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289</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1,309</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104</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1,413</w:t>
            </w:r>
          </w:p>
        </w:tc>
      </w:tr>
      <w:tr>
        <w:trPr>
          <w:trHeight w:val="270"/>
        </w:trPr>
        <w:tc>
          <w:tcPr>
            <w:tcW w:w="3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4"/>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1,138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(2,273)</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gridSpan w:val="4"/>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1"/>
        </w:trPr>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26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184"/>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 on Consolidated</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Operations and</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31,</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1,</w:t>
            </w:r>
          </w:p>
        </w:tc>
        <w:tc>
          <w:tcPr>
            <w:tcW w:w="2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31,</w:t>
            </w:r>
          </w:p>
        </w:tc>
        <w:tc>
          <w:tcPr>
            <w:tcW w:w="260" w:type="dxa"/>
            <w:vAlign w:val="bottom"/>
          </w:tcPr>
          <w:p>
            <w:pPr>
              <w:spacing w:after="0"/>
              <w:rPr>
                <w:sz w:val="16"/>
                <w:szCs w:val="16"/>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1,</w:t>
            </w:r>
          </w:p>
        </w:tc>
      </w:tr>
      <w:tr>
        <w:trPr>
          <w:trHeight w:val="22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257"/>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(2,061)</w:t>
            </w:r>
          </w:p>
        </w:tc>
      </w:tr>
      <w:tr>
        <w:trPr>
          <w:trHeight w:val="264"/>
        </w:trPr>
        <w:tc>
          <w:tcPr>
            <w:tcW w:w="2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(312)</w:t>
            </w:r>
          </w:p>
        </w:tc>
      </w:tr>
      <w:tr>
        <w:trPr>
          <w:trHeight w:val="257"/>
        </w:trPr>
        <w:tc>
          <w:tcPr>
            <w:tcW w:w="2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(2,373)</w:t>
            </w:r>
          </w:p>
        </w:tc>
      </w:tr>
      <w:tr>
        <w:trPr>
          <w:trHeight w:val="270"/>
        </w:trPr>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648</w:t>
            </w:r>
          </w:p>
        </w:tc>
      </w:tr>
      <w:tr>
        <w:trPr>
          <w:trHeight w:val="264"/>
        </w:trPr>
        <w:tc>
          <w:tcPr>
            <w:tcW w:w="2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358</w:t>
            </w:r>
          </w:p>
        </w:tc>
      </w:tr>
      <w:tr>
        <w:trPr>
          <w:trHeight w:val="257"/>
        </w:trPr>
        <w:tc>
          <w:tcPr>
            <w:tcW w:w="2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1,006</w:t>
            </w:r>
          </w:p>
        </w:tc>
      </w:tr>
      <w:tr>
        <w:trPr>
          <w:trHeight w:val="270"/>
        </w:trPr>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4"/>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(1,367)</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Subsequent Event</w:t>
      </w:r>
    </w:p>
    <w:p>
      <w:pPr>
        <w:spacing w:after="0" w:line="2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evaluated all events or transactions occurring between the balance sheet date for the quarterly period ended May 31, 2014 and the date of issuance of the financial statements that would require recognition or disclosure in the financial statements. There were no material subsequent events.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Condensed Unaudited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availability of chassis and other key component parts, increases in interest rates, availability of credit, low consumer confidence, significant increase in repurchase obligations, inadequate liquidity or capital resources, availability and price of fuel, a slowdown in the economy, increased material and component costs, sales order cancellations, slower than anticipated sales of new or existing products, new product introductions by competitors, a breach of our information technology systems, the effect of global tensions, integration of operations relating to mergers and acquisitions activities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of our travel trailer and fifth wheels in Indiana. We distribute our products primarily through independent dealers throughout the US and Canada, who then retail the products to the end consumer.</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41"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Our motorized and towable retail unit market share, as reported by Stat Surveys based on state records, is illustrated below. Note that this data is subject to adjustment and is continuously updated.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Motorized</w:t>
            </w:r>
          </w:p>
        </w:tc>
        <w:tc>
          <w:tcPr>
            <w:tcW w:w="1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6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Through April 30</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22"/>
                <w:szCs w:val="22"/>
                <w:color w:val="auto"/>
              </w:rPr>
            </w:pPr>
          </w:p>
        </w:tc>
      </w:tr>
      <w:tr>
        <w:trPr>
          <w:trHeight w:val="250"/>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gridSpan w:val="2"/>
          </w:tcPr>
          <w:p>
            <w:pPr>
              <w:spacing w:after="0"/>
              <w:rPr>
                <w:sz w:val="21"/>
                <w:szCs w:val="21"/>
                <w:color w:val="auto"/>
              </w:rPr>
            </w:pPr>
          </w:p>
        </w:tc>
        <w:tc>
          <w:tcPr>
            <w:tcW w:w="1380" w:type="dxa"/>
            <w:vAlign w:val="bottom"/>
            <w:tcBorders>
              <w:top w:val="single" w:sz="8" w:color="auto"/>
              <w:bottom w:val="single" w:sz="8" w:color="auto"/>
            </w:tcBorders>
            <w:gridSpan w:val="2"/>
          </w:tcPr>
          <w:p>
            <w:pPr>
              <w:jc w:val="right"/>
              <w:ind w:right="52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19.8%</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22.4%</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24.2%</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22.2%</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6"/>
                <w:szCs w:val="16"/>
                <w:color w:val="auto"/>
              </w:rPr>
              <w:t>19.5%</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17.5%</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18.0%</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19.4%</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17.6%</w:t>
            </w:r>
          </w:p>
        </w:tc>
      </w:tr>
      <w:tr>
        <w:trPr>
          <w:trHeight w:val="257"/>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19.7%</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20.8%</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20.7%</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22.2%</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20.2%</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6"/>
                <w:szCs w:val="16"/>
                <w:color w:val="auto"/>
              </w:rPr>
              <w:t>20.1%</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17.5%</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18.3%</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17.4%</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80" w:type="dxa"/>
            <w:vAlign w:val="bottom"/>
            <w:tcBorders>
              <w:bottom w:val="single" w:sz="8" w:color="auto"/>
            </w:tcBorders>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19.9%</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18.1%</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19.2%</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20.5%</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19.0%</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Borders>
              <w:bottom w:val="single" w:sz="8" w:color="auto"/>
            </w:tcBorders>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20.4%</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17.0%</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17.6%</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7.9%</w:t>
            </w:r>
          </w:p>
        </w:tc>
      </w:tr>
      <w:tr>
        <w:trPr>
          <w:trHeight w:val="20"/>
        </w:trPr>
        <w:tc>
          <w:tcPr>
            <w:tcW w:w="4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Canadian</w:t>
            </w:r>
          </w:p>
        </w:tc>
        <w:tc>
          <w:tcPr>
            <w:tcW w:w="100" w:type="dxa"/>
            <w:vAlign w:val="bottom"/>
            <w:tcBorders>
              <w:bottom w:val="single" w:sz="8" w:color="CCEEFF"/>
            </w:tcBorders>
            <w:gridSpan w:val="2"/>
          </w:tcPr>
          <w:p>
            <w:pPr>
              <w:spacing w:after="0"/>
              <w:rPr>
                <w:sz w:val="24"/>
                <w:szCs w:val="24"/>
                <w:color w:val="auto"/>
              </w:rPr>
            </w:pPr>
          </w:p>
        </w:tc>
        <w:tc>
          <w:tcPr>
            <w:tcW w:w="1380" w:type="dxa"/>
            <w:vAlign w:val="bottom"/>
            <w:tcBorders>
              <w:bottom w:val="single" w:sz="8" w:color="auto"/>
            </w:tcBorders>
            <w:gridSpan w:val="2"/>
          </w:tcPr>
          <w:p>
            <w:pPr>
              <w:jc w:val="right"/>
              <w:ind w:right="52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16.8%</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12.0%</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13.9%</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15.3%</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16.5%</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6"/>
                <w:szCs w:val="16"/>
                <w:color w:val="auto"/>
              </w:rPr>
              <w:t>17.2%</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16.4%</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15.6%</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17.3%</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18.0%</w:t>
            </w:r>
          </w:p>
        </w:tc>
      </w:tr>
      <w:tr>
        <w:trPr>
          <w:trHeight w:val="257"/>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380" w:type="dxa"/>
            <w:vAlign w:val="bottom"/>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16.9%</w:t>
            </w:r>
          </w:p>
        </w:tc>
        <w:tc>
          <w:tcPr>
            <w:tcW w:w="10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14.5%</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16.1%</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17.1%</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gridSpan w:val="2"/>
          </w:tcPr>
          <w:p>
            <w:pPr>
              <w:jc w:val="right"/>
              <w:ind w:right="244"/>
              <w:spacing w:after="0"/>
              <w:rPr>
                <w:sz w:val="20"/>
                <w:szCs w:val="20"/>
                <w:color w:val="auto"/>
              </w:rPr>
            </w:pPr>
            <w:r>
              <w:rPr>
                <w:rFonts w:ascii="Arial" w:cs="Arial" w:eastAsia="Arial" w:hAnsi="Arial"/>
                <w:sz w:val="16"/>
                <w:szCs w:val="16"/>
                <w:color w:val="auto"/>
              </w:rPr>
              <w:t>12.8%</w:t>
            </w: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84"/>
              <w:spacing w:after="0"/>
              <w:rPr>
                <w:sz w:val="20"/>
                <w:szCs w:val="20"/>
                <w:color w:val="auto"/>
              </w:rPr>
            </w:pPr>
            <w:r>
              <w:rPr>
                <w:rFonts w:ascii="Arial" w:cs="Arial" w:eastAsia="Arial" w:hAnsi="Arial"/>
                <w:sz w:val="16"/>
                <w:szCs w:val="16"/>
                <w:color w:val="auto"/>
              </w:rPr>
              <w:t>11.9%</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14.9%</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15.9%</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380" w:type="dxa"/>
            <w:vAlign w:val="bottom"/>
            <w:tcBorders>
              <w:bottom w:val="single" w:sz="8" w:color="auto"/>
            </w:tcBorders>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14.9%</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14.5%</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13.1%</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15.5%</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16.5%</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4"/>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Borders>
              <w:bottom w:val="single" w:sz="8" w:color="auto"/>
            </w:tcBorders>
            <w:gridSpan w:val="2"/>
            <w:shd w:val="clear" w:color="auto" w:fill="CCEEFF"/>
          </w:tcPr>
          <w:p>
            <w:pPr>
              <w:jc w:val="right"/>
              <w:ind w:right="244"/>
              <w:spacing w:after="0"/>
              <w:rPr>
                <w:sz w:val="20"/>
                <w:szCs w:val="20"/>
                <w:color w:val="auto"/>
              </w:rPr>
            </w:pPr>
            <w:r>
              <w:rPr>
                <w:rFonts w:ascii="Arial" w:cs="Arial" w:eastAsia="Arial" w:hAnsi="Arial"/>
                <w:sz w:val="16"/>
                <w:szCs w:val="16"/>
                <w:color w:val="auto"/>
              </w:rPr>
              <w:t>13.7%</w:t>
            </w: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17.5%</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20.1%</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12.7%</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7.1%</w:t>
            </w: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83"/>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Towables</w:t>
            </w: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4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Through April 30</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Borders>
              <w:bottom w:val="single" w:sz="8" w:color="auto"/>
            </w:tcBorders>
          </w:tcPr>
          <w:p>
            <w:pPr>
              <w:spacing w:after="0"/>
              <w:rPr>
                <w:sz w:val="22"/>
                <w:szCs w:val="22"/>
                <w:color w:val="auto"/>
              </w:rPr>
            </w:pPr>
          </w:p>
        </w:tc>
      </w:tr>
      <w:tr>
        <w:trPr>
          <w:trHeight w:val="250"/>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0.9%</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0.8%</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0.6%</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0.8%</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1.1%</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0.5%</w:t>
            </w:r>
          </w:p>
        </w:tc>
      </w:tr>
      <w:tr>
        <w:trPr>
          <w:trHeight w:val="24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0.8%</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0.9%</w:t>
            </w:r>
          </w:p>
        </w:tc>
        <w:tc>
          <w:tcPr>
            <w:tcW w:w="1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0.9%</w:t>
            </w:r>
          </w:p>
        </w:tc>
        <w:tc>
          <w:tcPr>
            <w:tcW w:w="11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0.6%</w:t>
            </w:r>
          </w:p>
        </w:tc>
      </w:tr>
      <w:tr>
        <w:trPr>
          <w:trHeight w:val="20"/>
        </w:trPr>
        <w:tc>
          <w:tcPr>
            <w:tcW w:w="4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18"/>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Canadian</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2013</w:t>
            </w:r>
          </w:p>
        </w:tc>
        <w:tc>
          <w:tcPr>
            <w:tcW w:w="15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2011</w:t>
            </w:r>
          </w:p>
        </w:tc>
      </w:tr>
      <w:tr>
        <w:trPr>
          <w:trHeight w:val="256"/>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0.6%</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0.9%</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0.6%</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64"/>
        </w:trPr>
        <w:tc>
          <w:tcPr>
            <w:tcW w:w="4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Fifth wheel</w:t>
            </w: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1.1%</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1.4%</w:t>
            </w:r>
          </w:p>
        </w:tc>
        <w:tc>
          <w:tcPr>
            <w:tcW w:w="1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1.5%</w:t>
            </w:r>
          </w:p>
        </w:tc>
        <w:tc>
          <w:tcPr>
            <w:tcW w:w="11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0.6%</w:t>
            </w:r>
          </w:p>
        </w:tc>
      </w:tr>
      <w:tr>
        <w:trPr>
          <w:trHeight w:val="240"/>
        </w:trPr>
        <w:tc>
          <w:tcPr>
            <w:tcW w:w="4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138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0.7%</w:t>
            </w: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w:t>
            </w:r>
          </w:p>
        </w:tc>
        <w:tc>
          <w:tcPr>
            <w:tcW w:w="1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0.9%</w:t>
            </w:r>
          </w:p>
        </w:tc>
        <w:tc>
          <w:tcPr>
            <w:tcW w:w="11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Class A, B &amp; C Motorhomes</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Travel Trailers &amp; Fifth Wheels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6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Quarter End</w:t>
            </w: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16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20" w:type="dxa"/>
            <w:vAlign w:val="bottom"/>
          </w:tcPr>
          <w:p>
            <w:pPr>
              <w:jc w:val="right"/>
              <w:ind w:right="361"/>
              <w:spacing w:after="0"/>
              <w:rPr>
                <w:sz w:val="20"/>
                <w:szCs w:val="20"/>
                <w:color w:val="auto"/>
              </w:rPr>
            </w:pPr>
            <w:r>
              <w:rPr>
                <w:rFonts w:ascii="Arial" w:cs="Arial" w:eastAsia="Arial" w:hAnsi="Arial"/>
                <w:sz w:val="14"/>
                <w:szCs w:val="14"/>
                <w:b w:val="1"/>
                <w:bCs w:val="1"/>
                <w:color w:val="auto"/>
              </w:rPr>
              <w:t>Dealer</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260" w:type="dxa"/>
            <w:vAlign w:val="bottom"/>
          </w:tcPr>
          <w:p>
            <w:pPr>
              <w:jc w:val="right"/>
              <w:ind w:right="360"/>
              <w:spacing w:after="0"/>
              <w:rPr>
                <w:sz w:val="20"/>
                <w:szCs w:val="20"/>
                <w:color w:val="auto"/>
              </w:rPr>
            </w:pPr>
            <w:r>
              <w:rPr>
                <w:rFonts w:ascii="Arial" w:cs="Arial" w:eastAsia="Arial" w:hAnsi="Arial"/>
                <w:sz w:val="14"/>
                <w:szCs w:val="14"/>
                <w:b w:val="1"/>
                <w:bCs w:val="1"/>
                <w:color w:val="auto"/>
              </w:rPr>
              <w:t>Retail</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auto"/>
              </w:rPr>
              <w:t>Dealer</w:t>
            </w: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Order</w:t>
            </w:r>
          </w:p>
        </w:tc>
        <w:tc>
          <w:tcPr>
            <w:tcW w:w="0" w:type="dxa"/>
            <w:vAlign w:val="bottom"/>
          </w:tcPr>
          <w:p>
            <w:pPr>
              <w:spacing w:after="0"/>
              <w:rPr>
                <w:sz w:val="1"/>
                <w:szCs w:val="1"/>
                <w:color w:val="auto"/>
              </w:rPr>
            </w:pPr>
          </w:p>
        </w:tc>
      </w:tr>
      <w:tr>
        <w:trPr>
          <w:trHeight w:val="276"/>
        </w:trPr>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units)</w:t>
            </w:r>
          </w:p>
        </w:tc>
        <w:tc>
          <w:tcPr>
            <w:tcW w:w="1180" w:type="dxa"/>
            <w:vAlign w:val="bottom"/>
          </w:tcPr>
          <w:p>
            <w:pPr>
              <w:jc w:val="right"/>
              <w:ind w:right="18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20" w:type="dxa"/>
            <w:vAlign w:val="bottom"/>
          </w:tcPr>
          <w:p>
            <w:pPr>
              <w:jc w:val="right"/>
              <w:ind w:right="261"/>
              <w:spacing w:after="0"/>
              <w:rPr>
                <w:sz w:val="20"/>
                <w:szCs w:val="20"/>
                <w:color w:val="auto"/>
              </w:rPr>
            </w:pPr>
            <w:r>
              <w:rPr>
                <w:rFonts w:ascii="Arial" w:cs="Arial" w:eastAsia="Arial" w:hAnsi="Arial"/>
                <w:sz w:val="14"/>
                <w:szCs w:val="14"/>
                <w:b w:val="1"/>
                <w:bCs w:val="1"/>
                <w:color w:val="auto"/>
              </w:rPr>
              <w:t>Inventory</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Backlog</w:t>
            </w:r>
          </w:p>
        </w:tc>
        <w:tc>
          <w:tcPr>
            <w:tcW w:w="1120" w:type="dxa"/>
            <w:vAlign w:val="bottom"/>
          </w:tcPr>
          <w:p>
            <w:pPr>
              <w:jc w:val="right"/>
              <w:ind w:right="140"/>
              <w:spacing w:after="0"/>
              <w:rPr>
                <w:sz w:val="20"/>
                <w:szCs w:val="20"/>
                <w:color w:val="auto"/>
              </w:rPr>
            </w:pPr>
            <w:r>
              <w:rPr>
                <w:rFonts w:ascii="Arial" w:cs="Arial" w:eastAsia="Arial" w:hAnsi="Arial"/>
                <w:sz w:val="14"/>
                <w:szCs w:val="14"/>
                <w:b w:val="1"/>
                <w:bCs w:val="1"/>
                <w:color w:val="auto"/>
              </w:rPr>
              <w:t>Deliveries</w:t>
            </w:r>
          </w:p>
        </w:tc>
        <w:tc>
          <w:tcPr>
            <w:tcW w:w="1260" w:type="dxa"/>
            <w:vAlign w:val="bottom"/>
          </w:tcPr>
          <w:p>
            <w:pPr>
              <w:jc w:val="right"/>
              <w:ind w:right="100"/>
              <w:spacing w:after="0"/>
              <w:rPr>
                <w:sz w:val="20"/>
                <w:szCs w:val="20"/>
                <w:color w:val="auto"/>
              </w:rPr>
            </w:pPr>
            <w:r>
              <w:rPr>
                <w:rFonts w:ascii="Arial" w:cs="Arial" w:eastAsia="Arial" w:hAnsi="Arial"/>
                <w:sz w:val="14"/>
                <w:szCs w:val="14"/>
                <w:b w:val="1"/>
                <w:bCs w:val="1"/>
                <w:color w:val="auto"/>
              </w:rPr>
              <w:t>Registrations</w:t>
            </w:r>
          </w:p>
        </w:tc>
        <w:tc>
          <w:tcPr>
            <w:tcW w:w="1240" w:type="dxa"/>
            <w:vAlign w:val="bottom"/>
          </w:tcPr>
          <w:p>
            <w:pPr>
              <w:jc w:val="right"/>
              <w:ind w:right="281"/>
              <w:spacing w:after="0"/>
              <w:rPr>
                <w:sz w:val="20"/>
                <w:szCs w:val="20"/>
                <w:color w:val="auto"/>
              </w:rPr>
            </w:pPr>
            <w:r>
              <w:rPr>
                <w:rFonts w:ascii="Arial" w:cs="Arial" w:eastAsia="Arial" w:hAnsi="Arial"/>
                <w:sz w:val="14"/>
                <w:szCs w:val="14"/>
                <w:b w:val="1"/>
                <w:bCs w:val="1"/>
                <w:color w:val="auto"/>
              </w:rPr>
              <w:t>Inventory</w:t>
            </w:r>
          </w:p>
        </w:tc>
        <w:tc>
          <w:tcPr>
            <w:tcW w:w="1020" w:type="dxa"/>
            <w:vAlign w:val="bottom"/>
          </w:tcPr>
          <w:p>
            <w:pPr>
              <w:jc w:val="right"/>
              <w:ind w:right="201"/>
              <w:spacing w:after="0"/>
              <w:rPr>
                <w:sz w:val="20"/>
                <w:szCs w:val="20"/>
                <w:color w:val="auto"/>
              </w:rPr>
            </w:pPr>
            <w:r>
              <w:rPr>
                <w:rFonts w:ascii="Arial" w:cs="Arial" w:eastAsia="Arial" w:hAnsi="Arial"/>
                <w:sz w:val="14"/>
                <w:szCs w:val="14"/>
                <w:b w:val="1"/>
                <w:bCs w:val="1"/>
                <w:color w:val="auto"/>
              </w:rPr>
              <w:t>Backlog</w:t>
            </w:r>
          </w:p>
        </w:tc>
        <w:tc>
          <w:tcPr>
            <w:tcW w:w="0" w:type="dxa"/>
            <w:vAlign w:val="bottom"/>
          </w:tcPr>
          <w:p>
            <w:pPr>
              <w:spacing w:after="0"/>
              <w:rPr>
                <w:sz w:val="1"/>
                <w:szCs w:val="1"/>
                <w:color w:val="auto"/>
              </w:rPr>
            </w:pPr>
          </w:p>
        </w:tc>
      </w:tr>
      <w:tr>
        <w:trPr>
          <w:trHeight w:val="256"/>
        </w:trPr>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1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1,321</w:t>
            </w: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1,334</w:t>
            </w:r>
          </w:p>
        </w:tc>
        <w:tc>
          <w:tcPr>
            <w:tcW w:w="12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1,927</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1,473</w:t>
            </w: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12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700</w:t>
            </w:r>
          </w:p>
        </w:tc>
        <w:tc>
          <w:tcPr>
            <w:tcW w:w="12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1,365</w:t>
            </w:r>
          </w:p>
        </w:tc>
        <w:tc>
          <w:tcPr>
            <w:tcW w:w="10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Q1</w:t>
            </w:r>
          </w:p>
        </w:tc>
        <w:tc>
          <w:tcPr>
            <w:tcW w:w="1560" w:type="dxa"/>
            <w:vAlign w:val="bottom"/>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1,534</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1,416</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2,045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557</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367</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1,555</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1,419</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1,072</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2,392</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2,752</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548</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Q3</w:t>
            </w:r>
          </w:p>
        </w:tc>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1,978</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2,634</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2,846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713</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1,642</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6,252</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5,558</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2,513</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2,241</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Jun 2012-May 2013</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1,890</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1,870</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2,654</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3,409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717</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748</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1,611</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60"/>
        </w:trPr>
        <w:tc>
          <w:tcPr>
            <w:tcW w:w="280" w:type="dxa"/>
            <w:vAlign w:val="bottom"/>
          </w:tcPr>
          <w:p>
            <w:pPr>
              <w:ind w:left="40"/>
              <w:spacing w:after="0"/>
              <w:rPr>
                <w:sz w:val="20"/>
                <w:szCs w:val="20"/>
                <w:color w:val="auto"/>
              </w:rPr>
            </w:pPr>
            <w:r>
              <w:rPr>
                <w:rFonts w:ascii="Arial" w:cs="Arial" w:eastAsia="Arial" w:hAnsi="Arial"/>
                <w:sz w:val="16"/>
                <w:szCs w:val="16"/>
                <w:color w:val="auto"/>
              </w:rPr>
              <w:t>Q1</w:t>
            </w:r>
          </w:p>
        </w:tc>
        <w:tc>
          <w:tcPr>
            <w:tcW w:w="1560" w:type="dxa"/>
            <w:vAlign w:val="bottom"/>
          </w:tcPr>
          <w:p>
            <w:pPr>
              <w:ind w:left="2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2"/>
                <w:szCs w:val="22"/>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2,005</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1,524</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3,135</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504</w:t>
            </w: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1,591</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80"/>
        </w:trPr>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2,055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1,283</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3,907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575</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394</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1,772</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70"/>
        </w:trPr>
        <w:tc>
          <w:tcPr>
            <w:tcW w:w="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Q3</w:t>
            </w:r>
          </w:p>
        </w:tc>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2014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2,331</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2,783</w:t>
            </w:r>
          </w:p>
        </w:tc>
        <w:tc>
          <w:tcPr>
            <w:tcW w:w="1220" w:type="dxa"/>
            <w:vAlign w:val="bottom"/>
            <w:tcBorders>
              <w:bottom w:val="single" w:sz="8" w:color="CCEEFF"/>
            </w:tcBorders>
          </w:tcPr>
          <w:p>
            <w:pPr>
              <w:jc w:val="right"/>
              <w:ind w:right="121"/>
              <w:spacing w:after="0"/>
              <w:rPr>
                <w:sz w:val="20"/>
                <w:szCs w:val="20"/>
                <w:color w:val="auto"/>
              </w:rPr>
            </w:pPr>
            <w:r>
              <w:rPr>
                <w:rFonts w:ascii="Arial" w:cs="Arial" w:eastAsia="Arial" w:hAnsi="Arial"/>
                <w:sz w:val="16"/>
                <w:szCs w:val="16"/>
                <w:color w:val="auto"/>
              </w:rPr>
              <w:t>3,798</w:t>
            </w:r>
          </w:p>
        </w:tc>
        <w:tc>
          <w:tcPr>
            <w:tcW w:w="104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2,357</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727</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w:t>
            </w:r>
          </w:p>
        </w:tc>
        <w:tc>
          <w:tcPr>
            <w:tcW w:w="1240" w:type="dxa"/>
            <w:vAlign w:val="bottom"/>
            <w:tcBorders>
              <w:bottom w:val="single" w:sz="8" w:color="CCEEFF"/>
            </w:tcBorders>
          </w:tcPr>
          <w:p>
            <w:pPr>
              <w:jc w:val="right"/>
              <w:ind w:right="141"/>
              <w:spacing w:after="0"/>
              <w:rPr>
                <w:sz w:val="20"/>
                <w:szCs w:val="20"/>
                <w:color w:val="auto"/>
              </w:rPr>
            </w:pPr>
            <w:r>
              <w:rPr>
                <w:rFonts w:ascii="Arial" w:cs="Arial" w:eastAsia="Arial" w:hAnsi="Arial"/>
                <w:sz w:val="16"/>
                <w:szCs w:val="16"/>
                <w:color w:val="auto"/>
              </w:rPr>
              <w:t>1,775</w:t>
            </w:r>
          </w:p>
        </w:tc>
        <w:tc>
          <w:tcPr>
            <w:tcW w:w="102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Rolling 12 months</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8,281</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7,460</w:t>
            </w:r>
          </w:p>
        </w:tc>
        <w:tc>
          <w:tcPr>
            <w:tcW w:w="1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2,503</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2,370</w:t>
            </w:r>
          </w:p>
        </w:tc>
        <w:tc>
          <w:tcPr>
            <w:tcW w:w="1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gridSpan w:val="3"/>
            <w:vMerge w:val="restart"/>
          </w:tcPr>
          <w:p>
            <w:pPr>
              <w:ind w:left="40"/>
              <w:spacing w:after="0"/>
              <w:rPr>
                <w:sz w:val="20"/>
                <w:szCs w:val="20"/>
                <w:color w:val="auto"/>
              </w:rPr>
            </w:pPr>
            <w:r>
              <w:rPr>
                <w:rFonts w:ascii="Arial" w:cs="Arial" w:eastAsia="Arial" w:hAnsi="Arial"/>
                <w:sz w:val="16"/>
                <w:szCs w:val="16"/>
                <w:color w:val="auto"/>
              </w:rPr>
              <w:t>Jun 2013-May 2014</w:t>
            </w: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960" w:type="dxa"/>
            <w:vAlign w:val="bottom"/>
            <w:gridSpan w:val="3"/>
            <w:vMerge w:val="continue"/>
          </w:tcPr>
          <w:p>
            <w:pPr>
              <w:spacing w:after="0"/>
              <w:rPr>
                <w:sz w:val="20"/>
                <w:szCs w:val="20"/>
                <w:color w:val="auto"/>
              </w:rPr>
            </w:pPr>
          </w:p>
        </w:tc>
        <w:tc>
          <w:tcPr>
            <w:tcW w:w="1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right="60" w:firstLine="8"/>
        <w:spacing w:after="0" w:line="253"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additional 343 units were delivered but not included in Q3 2014 motorhome wholesale deliveries as presented in the table above as the units are subject to repurchase option. These units were included as retail registrations, not in dealer inventory, as the units were immediately placed into rental service once delivered. See Note 5 to the financial statements.</w:t>
      </w:r>
    </w:p>
    <w:p>
      <w:pPr>
        <w:sectPr>
          <w:pgSz w:w="11900" w:h="16838" w:orient="portrait"/>
          <w:cols w:equalWidth="0" w:num="1">
            <w:col w:w="11420"/>
          </w:cols>
          <w:pgMar w:left="240" w:top="141" w:right="239" w:bottom="431"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431"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4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US and Canada Industry Class A, B &amp; C Motorhomes</w:t>
            </w: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10"/>
        </w:trPr>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4"/>
                <w:szCs w:val="14"/>
                <w:b w:val="1"/>
                <w:bCs w:val="1"/>
                <w:color w:val="auto"/>
              </w:rPr>
              <w:t>Calendar Year</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481"/>
              <w:spacing w:after="0"/>
              <w:rPr>
                <w:sz w:val="20"/>
                <w:szCs w:val="20"/>
                <w:color w:val="auto"/>
              </w:rPr>
            </w:pPr>
            <w:r>
              <w:rPr>
                <w:rFonts w:ascii="Arial" w:cs="Arial" w:eastAsia="Arial" w:hAnsi="Arial"/>
                <w:sz w:val="14"/>
                <w:szCs w:val="14"/>
                <w:b w:val="1"/>
                <w:bCs w:val="1"/>
                <w:color w:val="auto"/>
              </w:rPr>
              <w:t>Calendar Year</w:t>
            </w:r>
          </w:p>
        </w:tc>
        <w:tc>
          <w:tcPr>
            <w:tcW w:w="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Increase</w:t>
            </w: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Q1</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8,500</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6,869</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1,631</w:t>
            </w: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auto"/>
              </w:rPr>
              <w:t>7,145</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5,706</w:t>
            </w:r>
          </w:p>
        </w:tc>
        <w:tc>
          <w:tcPr>
            <w:tcW w:w="440" w:type="dxa"/>
            <w:vAlign w:val="bottom"/>
          </w:tcPr>
          <w:p>
            <w:pPr>
              <w:spacing w:after="0"/>
              <w:rPr>
                <w:sz w:val="22"/>
                <w:szCs w:val="22"/>
                <w:color w:val="auto"/>
              </w:rPr>
            </w:pP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1,439</w:t>
            </w:r>
          </w:p>
        </w:tc>
        <w:tc>
          <w:tcPr>
            <w:tcW w:w="940" w:type="dxa"/>
            <w:vAlign w:val="bottom"/>
          </w:tcPr>
          <w:p>
            <w:pPr>
              <w:jc w:val="right"/>
              <w:spacing w:after="0"/>
              <w:rPr>
                <w:sz w:val="20"/>
                <w:szCs w:val="20"/>
                <w:color w:val="auto"/>
              </w:rPr>
            </w:pPr>
            <w:r>
              <w:rPr>
                <w:rFonts w:ascii="Arial" w:cs="Arial" w:eastAsia="Arial" w:hAnsi="Arial"/>
                <w:sz w:val="16"/>
                <w:szCs w:val="16"/>
                <w:color w:val="auto"/>
              </w:rPr>
              <w:t>25.2%</w:t>
            </w:r>
          </w:p>
        </w:tc>
        <w:tc>
          <w:tcPr>
            <w:tcW w:w="20" w:type="dxa"/>
            <w:vAlign w:val="bottom"/>
          </w:tcPr>
          <w:p>
            <w:pPr>
              <w:spacing w:after="0"/>
              <w:rPr>
                <w:sz w:val="22"/>
                <w:szCs w:val="22"/>
                <w:color w:val="auto"/>
              </w:rPr>
            </w:pPr>
          </w:p>
        </w:tc>
      </w:tr>
      <w:tr>
        <w:trPr>
          <w:trHeight w:val="28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10,972</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7,707</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3,265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20" w:type="dxa"/>
            <w:vAlign w:val="bottom"/>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10,898</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8,206</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2,692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24"/>
                <w:szCs w:val="24"/>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Q3</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9,469</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6,678</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2,791</w:t>
            </w:r>
          </w:p>
        </w:tc>
        <w:tc>
          <w:tcPr>
            <w:tcW w:w="900" w:type="dxa"/>
            <w:vAlign w:val="bottom"/>
          </w:tcPr>
          <w:p>
            <w:pPr>
              <w:jc w:val="right"/>
              <w:spacing w:after="0"/>
              <w:rPr>
                <w:sz w:val="20"/>
                <w:szCs w:val="20"/>
                <w:color w:val="auto"/>
              </w:rPr>
            </w:pPr>
            <w:r>
              <w:rPr>
                <w:rFonts w:ascii="Arial" w:cs="Arial" w:eastAsia="Arial" w:hAnsi="Arial"/>
                <w:sz w:val="16"/>
                <w:szCs w:val="16"/>
                <w:color w:val="auto"/>
              </w:rPr>
              <w:t>41.8%</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auto"/>
              </w:rPr>
              <w:t>9,111</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6,916</w:t>
            </w:r>
          </w:p>
        </w:tc>
        <w:tc>
          <w:tcPr>
            <w:tcW w:w="440" w:type="dxa"/>
            <w:vAlign w:val="bottom"/>
          </w:tcPr>
          <w:p>
            <w:pPr>
              <w:spacing w:after="0"/>
              <w:rPr>
                <w:sz w:val="22"/>
                <w:szCs w:val="22"/>
                <w:color w:val="auto"/>
              </w:rPr>
            </w:pP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2,195</w:t>
            </w:r>
          </w:p>
        </w:tc>
        <w:tc>
          <w:tcPr>
            <w:tcW w:w="940" w:type="dxa"/>
            <w:vAlign w:val="bottom"/>
          </w:tcPr>
          <w:p>
            <w:pPr>
              <w:jc w:val="right"/>
              <w:spacing w:after="0"/>
              <w:rPr>
                <w:sz w:val="20"/>
                <w:szCs w:val="20"/>
                <w:color w:val="auto"/>
              </w:rPr>
            </w:pPr>
            <w:r>
              <w:rPr>
                <w:rFonts w:ascii="Arial" w:cs="Arial" w:eastAsia="Arial" w:hAnsi="Arial"/>
                <w:sz w:val="16"/>
                <w:szCs w:val="16"/>
                <w:color w:val="auto"/>
              </w:rPr>
              <w:t>31.7%</w:t>
            </w:r>
          </w:p>
        </w:tc>
        <w:tc>
          <w:tcPr>
            <w:tcW w:w="20" w:type="dxa"/>
            <w:vAlign w:val="bottom"/>
          </w:tcPr>
          <w:p>
            <w:pPr>
              <w:spacing w:after="0"/>
              <w:rPr>
                <w:sz w:val="22"/>
                <w:szCs w:val="22"/>
                <w:color w:val="auto"/>
              </w:rPr>
            </w:pPr>
          </w:p>
        </w:tc>
      </w:tr>
      <w:tr>
        <w:trPr>
          <w:trHeight w:val="273"/>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9,391</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6,944</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2,447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6,276</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4,922</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1,354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23"/>
                <w:szCs w:val="23"/>
                <w:color w:val="auto"/>
              </w:rPr>
            </w:pPr>
          </w:p>
        </w:tc>
      </w:tr>
      <w:tr>
        <w:trPr>
          <w:trHeight w:val="307"/>
        </w:trPr>
        <w:tc>
          <w:tcPr>
            <w:tcW w:w="2460" w:type="dxa"/>
            <w:vAlign w:val="bottom"/>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38,332</w:t>
            </w:r>
          </w:p>
        </w:tc>
        <w:tc>
          <w:tcPr>
            <w:tcW w:w="340" w:type="dxa"/>
            <w:vAlign w:val="bottom"/>
          </w:tcPr>
          <w:p>
            <w:pPr>
              <w:spacing w:after="0"/>
              <w:rPr>
                <w:sz w:val="24"/>
                <w:szCs w:val="24"/>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28,198</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10,134</w:t>
            </w:r>
          </w:p>
        </w:tc>
        <w:tc>
          <w:tcPr>
            <w:tcW w:w="900" w:type="dxa"/>
            <w:vAlign w:val="bottom"/>
          </w:tcPr>
          <w:p>
            <w:pPr>
              <w:jc w:val="right"/>
              <w:spacing w:after="0"/>
              <w:rPr>
                <w:sz w:val="20"/>
                <w:szCs w:val="20"/>
                <w:color w:val="auto"/>
              </w:rPr>
            </w:pPr>
            <w:r>
              <w:rPr>
                <w:rFonts w:ascii="Arial" w:cs="Arial" w:eastAsia="Arial" w:hAnsi="Arial"/>
                <w:sz w:val="16"/>
                <w:szCs w:val="16"/>
                <w:color w:val="auto"/>
              </w:rPr>
              <w:t>35.9%</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auto"/>
              </w:rPr>
              <w:t>33,430</w:t>
            </w:r>
          </w:p>
        </w:tc>
        <w:tc>
          <w:tcPr>
            <w:tcW w:w="3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25,750</w:t>
            </w:r>
          </w:p>
        </w:tc>
        <w:tc>
          <w:tcPr>
            <w:tcW w:w="440" w:type="dxa"/>
            <w:vAlign w:val="bottom"/>
          </w:tcPr>
          <w:p>
            <w:pPr>
              <w:spacing w:after="0"/>
              <w:rPr>
                <w:sz w:val="24"/>
                <w:szCs w:val="24"/>
                <w:color w:val="auto"/>
              </w:rPr>
            </w:pP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7,680</w:t>
            </w:r>
          </w:p>
        </w:tc>
        <w:tc>
          <w:tcPr>
            <w:tcW w:w="940" w:type="dxa"/>
            <w:vAlign w:val="bottom"/>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24"/>
                <w:szCs w:val="24"/>
                <w:color w:val="auto"/>
              </w:rPr>
            </w:pPr>
          </w:p>
        </w:tc>
      </w:tr>
      <w:tr>
        <w:trPr>
          <w:trHeight w:val="254"/>
        </w:trPr>
        <w:tc>
          <w:tcPr>
            <w:tcW w:w="2460" w:type="dxa"/>
            <w:vAlign w:val="bottom"/>
            <w:tcBorders>
              <w:top w:val="single" w:sz="8" w:color="CCEEFF"/>
              <w:left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4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920" w:type="dxa"/>
            <w:vAlign w:val="bottom"/>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4"/>
                <w:szCs w:val="14"/>
                <w:b w:val="1"/>
                <w:bCs w:val="1"/>
                <w:color w:val="auto"/>
              </w:rPr>
              <w:t>2013</w:t>
            </w:r>
          </w:p>
        </w:tc>
        <w:tc>
          <w:tcPr>
            <w:tcW w:w="1040" w:type="dxa"/>
            <w:vAlign w:val="bottom"/>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900" w:type="dxa"/>
            <w:vAlign w:val="bottom"/>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22"/>
                <w:szCs w:val="22"/>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w:t>
            </w:r>
          </w:p>
        </w:tc>
        <w:tc>
          <w:tcPr>
            <w:tcW w:w="940" w:type="dxa"/>
            <w:vAlign w:val="bottom"/>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r>
      <w:tr>
        <w:trPr>
          <w:trHeight w:val="270"/>
        </w:trPr>
        <w:tc>
          <w:tcPr>
            <w:tcW w:w="246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11,125</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8,500</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2,625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2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rPr>
              <w:t>8,026</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7,145</w:t>
            </w:r>
          </w:p>
        </w:tc>
        <w:tc>
          <w:tcPr>
            <w:tcW w:w="4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881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 w:type="dxa"/>
            <w:vAlign w:val="bottom"/>
            <w:tcBorders>
              <w:bottom w:val="single" w:sz="8" w:color="auto"/>
            </w:tcBorders>
          </w:tcPr>
          <w:p>
            <w:pPr>
              <w:spacing w:after="0"/>
              <w:rPr>
                <w:sz w:val="23"/>
                <w:szCs w:val="23"/>
                <w:color w:val="auto"/>
              </w:rPr>
            </w:pPr>
          </w:p>
        </w:tc>
      </w:tr>
      <w:tr>
        <w:trPr>
          <w:trHeight w:val="260"/>
        </w:trPr>
        <w:tc>
          <w:tcPr>
            <w:tcW w:w="24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April</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4,092</w:t>
            </w:r>
          </w:p>
        </w:tc>
        <w:tc>
          <w:tcPr>
            <w:tcW w:w="340" w:type="dxa"/>
            <w:vAlign w:val="bottom"/>
          </w:tcPr>
          <w:p>
            <w:pPr>
              <w:spacing w:after="0"/>
              <w:rPr>
                <w:sz w:val="22"/>
                <w:szCs w:val="22"/>
                <w:color w:val="auto"/>
              </w:rPr>
            </w:pP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3,780</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312</w:t>
            </w: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auto"/>
              </w:rPr>
              <w:t>4,108</w:t>
            </w:r>
          </w:p>
        </w:tc>
        <w:tc>
          <w:tcPr>
            <w:tcW w:w="34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3,512</w:t>
            </w:r>
          </w:p>
        </w:tc>
        <w:tc>
          <w:tcPr>
            <w:tcW w:w="440" w:type="dxa"/>
            <w:vAlign w:val="bottom"/>
          </w:tcPr>
          <w:p>
            <w:pPr>
              <w:spacing w:after="0"/>
              <w:rPr>
                <w:sz w:val="22"/>
                <w:szCs w:val="22"/>
                <w:color w:val="auto"/>
              </w:rPr>
            </w:pP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596</w:t>
            </w: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c>
          <w:tcPr>
            <w:tcW w:w="20" w:type="dxa"/>
            <w:vAlign w:val="bottom"/>
            <w:shd w:val="clear" w:color="auto" w:fill="000000"/>
          </w:tcPr>
          <w:p>
            <w:pPr>
              <w:spacing w:after="0"/>
              <w:rPr>
                <w:sz w:val="22"/>
                <w:szCs w:val="22"/>
                <w:color w:val="auto"/>
              </w:rPr>
            </w:pPr>
          </w:p>
        </w:tc>
      </w:tr>
      <w:tr>
        <w:trPr>
          <w:trHeight w:val="280"/>
        </w:trPr>
        <w:tc>
          <w:tcPr>
            <w:tcW w:w="24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4,486</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3,698</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788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3,787</w:t>
            </w: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64"/>
        </w:trPr>
        <w:tc>
          <w:tcPr>
            <w:tcW w:w="24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June</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4,391</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3,494</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897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3,599</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70"/>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12,969</w:t>
            </w:r>
          </w:p>
        </w:tc>
        <w:tc>
          <w:tcPr>
            <w:tcW w:w="3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10,972</w:t>
            </w: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1,997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10,898</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0"/>
        </w:trPr>
        <w:tc>
          <w:tcPr>
            <w:tcW w:w="2460" w:type="dxa"/>
            <w:vAlign w:val="bottom"/>
          </w:tcPr>
          <w:p>
            <w:pPr>
              <w:ind w:left="40"/>
              <w:spacing w:after="0"/>
              <w:rPr>
                <w:sz w:val="20"/>
                <w:szCs w:val="20"/>
                <w:color w:val="auto"/>
              </w:rPr>
            </w:pPr>
            <w:r>
              <w:rPr>
                <w:rFonts w:ascii="Arial" w:cs="Arial" w:eastAsia="Arial" w:hAnsi="Arial"/>
                <w:sz w:val="16"/>
                <w:szCs w:val="16"/>
                <w:color w:val="auto"/>
              </w:rPr>
              <w:t>Q3</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11,300</w:t>
            </w:r>
          </w:p>
        </w:tc>
        <w:tc>
          <w:tcPr>
            <w:tcW w:w="34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9,469</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1,831</w:t>
            </w:r>
          </w:p>
        </w:tc>
        <w:tc>
          <w:tcPr>
            <w:tcW w:w="9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9,111</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3"/>
        </w:trPr>
        <w:tc>
          <w:tcPr>
            <w:tcW w:w="246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10,600</w:t>
            </w:r>
          </w:p>
        </w:tc>
        <w:tc>
          <w:tcPr>
            <w:tcW w:w="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9,391</w:t>
            </w:r>
          </w:p>
        </w:tc>
        <w:tc>
          <w:tcPr>
            <w:tcW w:w="10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1,209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6,276</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40"/>
        </w:trPr>
        <w:tc>
          <w:tcPr>
            <w:tcW w:w="2460" w:type="dxa"/>
            <w:vAlign w:val="bottom"/>
          </w:tcPr>
          <w:p>
            <w:pPr>
              <w:ind w:left="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45,994</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38,332</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7,662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33,430</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right="220" w:hanging="332"/>
        <w:spacing w:after="0" w:line="220"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Class A, B and C wholesale shipments are based upon the forecast prepared by Dr. Richard Curtin of the University of Michigan Consumer Survey Research Center for RVIA and reported in the Roadsigns RV Summer 2014 Industry Forecast Issue. The revised RVIA annual 2014 wholesale shipment forecast is 46,500 and the annual forecast for 2015 is 47,300.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2014 retail demand for this period.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6"/>
          </w:tcPr>
          <w:p>
            <w:pPr>
              <w:jc w:val="right"/>
              <w:ind w:right="341"/>
              <w:spacing w:after="0"/>
              <w:rPr>
                <w:sz w:val="20"/>
                <w:szCs w:val="20"/>
                <w:color w:val="auto"/>
              </w:rPr>
            </w:pPr>
            <w:r>
              <w:rPr>
                <w:rFonts w:ascii="Arial" w:cs="Arial" w:eastAsia="Arial" w:hAnsi="Arial"/>
                <w:sz w:val="14"/>
                <w:szCs w:val="14"/>
                <w:b w:val="1"/>
                <w:bCs w:val="1"/>
                <w:color w:val="auto"/>
              </w:rPr>
              <w:t>US and Canada Travel Trailer &amp; Fifth Wheel Industry</w:t>
            </w:r>
          </w:p>
        </w:tc>
        <w:tc>
          <w:tcPr>
            <w:tcW w:w="1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2"/>
          </w:tcPr>
          <w:p>
            <w:pPr>
              <w:jc w:val="right"/>
              <w:ind w:right="422"/>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Calendar Year</w:t>
            </w: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2"/>
          </w:tcPr>
          <w:p>
            <w:pPr>
              <w:jc w:val="right"/>
              <w:ind w:right="682"/>
              <w:spacing w:after="0"/>
              <w:rPr>
                <w:sz w:val="20"/>
                <w:szCs w:val="20"/>
                <w:color w:val="auto"/>
              </w:rPr>
            </w:pPr>
            <w:r>
              <w:rPr>
                <w:rFonts w:ascii="Arial" w:cs="Arial" w:eastAsia="Arial" w:hAnsi="Arial"/>
                <w:sz w:val="14"/>
                <w:szCs w:val="14"/>
                <w:b w:val="1"/>
                <w:bCs w:val="1"/>
                <w:color w:val="auto"/>
              </w:rPr>
              <w:t>Calendar Year</w:t>
            </w: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2012</w:t>
            </w: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Increase</w:t>
            </w: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66,745</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60,402</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6,343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42,987</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39,093</w:t>
            </w:r>
          </w:p>
        </w:tc>
        <w:tc>
          <w:tcPr>
            <w:tcW w:w="13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3,894</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40"/>
              <w:spacing w:after="0"/>
              <w:rPr>
                <w:sz w:val="20"/>
                <w:szCs w:val="20"/>
                <w:color w:val="auto"/>
              </w:rPr>
            </w:pPr>
            <w:r>
              <w:rPr>
                <w:rFonts w:ascii="Arial" w:cs="Arial" w:eastAsia="Arial" w:hAnsi="Arial"/>
                <w:sz w:val="16"/>
                <w:szCs w:val="16"/>
                <w:color w:val="auto"/>
              </w:rPr>
              <w:t>Q2</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79,935</w:t>
            </w:r>
          </w:p>
        </w:tc>
        <w:tc>
          <w:tcPr>
            <w:tcW w:w="320" w:type="dxa"/>
            <w:vAlign w:val="bottom"/>
          </w:tcPr>
          <w:p>
            <w:pPr>
              <w:spacing w:after="0"/>
              <w:rPr>
                <w:sz w:val="22"/>
                <w:szCs w:val="22"/>
                <w:color w:val="auto"/>
              </w:rPr>
            </w:pP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71,095</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8,840</w:t>
            </w: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auto"/>
              </w:rPr>
              <w:t>94,670</w:t>
            </w:r>
          </w:p>
        </w:tc>
        <w:tc>
          <w:tcPr>
            <w:tcW w:w="3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83,990</w:t>
            </w:r>
          </w:p>
        </w:tc>
        <w:tc>
          <w:tcPr>
            <w:tcW w:w="1380" w:type="dxa"/>
            <w:vAlign w:val="bottom"/>
          </w:tcPr>
          <w:p>
            <w:pPr>
              <w:jc w:val="right"/>
              <w:ind w:right="282"/>
              <w:spacing w:after="0"/>
              <w:rPr>
                <w:sz w:val="20"/>
                <w:szCs w:val="20"/>
                <w:color w:val="auto"/>
              </w:rPr>
            </w:pPr>
            <w:r>
              <w:rPr>
                <w:rFonts w:ascii="Arial" w:cs="Arial" w:eastAsia="Arial" w:hAnsi="Arial"/>
                <w:sz w:val="16"/>
                <w:szCs w:val="16"/>
                <w:color w:val="auto"/>
              </w:rPr>
              <w:t>10,680</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12.7 %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8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61,251</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56,601</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4,650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79,758</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67,344</w:t>
            </w:r>
          </w:p>
        </w:tc>
        <w:tc>
          <w:tcPr>
            <w:tcW w:w="13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12,414</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18.4 %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60,104</w:t>
            </w: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54,782</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5,322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37,011</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32,469</w:t>
            </w:r>
          </w:p>
        </w:tc>
        <w:tc>
          <w:tcPr>
            <w:tcW w:w="13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4,542</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8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268,035</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242,880</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25,155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254,426</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222,896</w:t>
            </w:r>
          </w:p>
        </w:tc>
        <w:tc>
          <w:tcPr>
            <w:tcW w:w="138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rPr>
              <w:t>31,530</w:t>
            </w:r>
          </w:p>
        </w:tc>
        <w:tc>
          <w:tcPr>
            <w:tcW w:w="12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14.1 %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jc w:val="right"/>
              <w:ind w:right="282"/>
              <w:spacing w:after="0"/>
              <w:rPr>
                <w:sz w:val="20"/>
                <w:szCs w:val="20"/>
                <w:color w:val="auto"/>
              </w:rPr>
            </w:pPr>
            <w:r>
              <w:rPr>
                <w:rFonts w:ascii="Arial" w:cs="Arial" w:eastAsia="Arial" w:hAnsi="Arial"/>
                <w:sz w:val="14"/>
                <w:szCs w:val="14"/>
                <w:b w:val="1"/>
                <w:bCs w:val="1"/>
                <w:color w:val="auto"/>
              </w:rPr>
              <w:t>Increase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1100" w:type="dxa"/>
            <w:vAlign w:val="bottom"/>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7"/>
                <w:szCs w:val="17"/>
                <w:color w:val="auto"/>
              </w:rPr>
            </w:pPr>
          </w:p>
        </w:tc>
        <w:tc>
          <w:tcPr>
            <w:tcW w:w="1420" w:type="dxa"/>
            <w:vAlign w:val="bottom"/>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138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1200" w:type="dxa"/>
            <w:vAlign w:val="bottom"/>
          </w:tcPr>
          <w:p>
            <w:pPr>
              <w:jc w:val="right"/>
              <w:ind w:right="281"/>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40" w:type="dxa"/>
            <w:vAlign w:val="bottom"/>
            <w:tcBorders>
              <w:left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75,458</w:t>
            </w:r>
          </w:p>
        </w:tc>
        <w:tc>
          <w:tcPr>
            <w:tcW w:w="3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66,745</w:t>
            </w: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8,713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45,477</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42,987</w:t>
            </w:r>
          </w:p>
        </w:tc>
        <w:tc>
          <w:tcPr>
            <w:tcW w:w="138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2,490</w:t>
            </w:r>
          </w:p>
        </w:tc>
        <w:tc>
          <w:tcPr>
            <w:tcW w:w="12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5.8 %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April</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28,269</w:t>
            </w:r>
          </w:p>
        </w:tc>
        <w:tc>
          <w:tcPr>
            <w:tcW w:w="320" w:type="dxa"/>
            <w:vAlign w:val="bottom"/>
          </w:tcPr>
          <w:p>
            <w:pPr>
              <w:spacing w:after="0"/>
              <w:rPr>
                <w:sz w:val="22"/>
                <w:szCs w:val="22"/>
                <w:color w:val="auto"/>
              </w:rPr>
            </w:pP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26,716</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1,553</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auto"/>
              </w:rPr>
              <w:t>27,814</w:t>
            </w:r>
          </w:p>
        </w:tc>
        <w:tc>
          <w:tcPr>
            <w:tcW w:w="3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28,325</w:t>
            </w:r>
          </w:p>
        </w:tc>
        <w:tc>
          <w:tcPr>
            <w:tcW w:w="1380" w:type="dxa"/>
            <w:vAlign w:val="bottom"/>
          </w:tcPr>
          <w:p>
            <w:pPr>
              <w:jc w:val="right"/>
              <w:ind w:right="242"/>
              <w:spacing w:after="0"/>
              <w:rPr>
                <w:sz w:val="20"/>
                <w:szCs w:val="20"/>
                <w:color w:val="auto"/>
              </w:rPr>
            </w:pPr>
            <w:r>
              <w:rPr>
                <w:rFonts w:ascii="Arial" w:cs="Arial" w:eastAsia="Arial" w:hAnsi="Arial"/>
                <w:sz w:val="16"/>
                <w:szCs w:val="16"/>
                <w:color w:val="auto"/>
              </w:rPr>
              <w:t>(511)</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8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May</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29,467</w:t>
            </w:r>
          </w:p>
        </w:tc>
        <w:tc>
          <w:tcPr>
            <w:tcW w:w="3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27,179</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2,288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34,610</w:t>
            </w:r>
          </w:p>
        </w:tc>
        <w:tc>
          <w:tcPr>
            <w:tcW w:w="1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June</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29,000</w:t>
            </w:r>
          </w:p>
        </w:tc>
        <w:tc>
          <w:tcPr>
            <w:tcW w:w="3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26,040</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2,960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31,735</w:t>
            </w:r>
          </w:p>
        </w:tc>
        <w:tc>
          <w:tcPr>
            <w:tcW w:w="1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86,736</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79,935</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6,801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94,670</w:t>
            </w:r>
          </w:p>
        </w:tc>
        <w:tc>
          <w:tcPr>
            <w:tcW w:w="1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1840" w:type="dxa"/>
            <w:vAlign w:val="bottom"/>
          </w:tcPr>
          <w:p>
            <w:pPr>
              <w:ind w:left="40"/>
              <w:spacing w:after="0"/>
              <w:rPr>
                <w:sz w:val="20"/>
                <w:szCs w:val="20"/>
                <w:color w:val="auto"/>
              </w:rPr>
            </w:pPr>
            <w:r>
              <w:rPr>
                <w:rFonts w:ascii="Arial" w:cs="Arial" w:eastAsia="Arial" w:hAnsi="Arial"/>
                <w:sz w:val="16"/>
                <w:szCs w:val="16"/>
                <w:color w:val="auto"/>
              </w:rPr>
              <w:t>Q3</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66,200</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Pr>
          <w:p>
            <w:pPr>
              <w:jc w:val="right"/>
              <w:ind w:right="361"/>
              <w:spacing w:after="0"/>
              <w:rPr>
                <w:sz w:val="20"/>
                <w:szCs w:val="20"/>
                <w:color w:val="auto"/>
              </w:rPr>
            </w:pPr>
            <w:r>
              <w:rPr>
                <w:rFonts w:ascii="Arial" w:cs="Arial" w:eastAsia="Arial" w:hAnsi="Arial"/>
                <w:sz w:val="16"/>
                <w:szCs w:val="16"/>
                <w:color w:val="auto"/>
              </w:rPr>
              <w:t>61,251</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4,949</w:t>
            </w: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79,758</w:t>
            </w: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18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61,000</w:t>
            </w:r>
          </w:p>
        </w:tc>
        <w:tc>
          <w:tcPr>
            <w:tcW w:w="3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60,104</w:t>
            </w: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896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37,011</w:t>
            </w:r>
          </w:p>
        </w:tc>
        <w:tc>
          <w:tcPr>
            <w:tcW w:w="1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184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auto"/>
              </w:rPr>
              <w:t>289,394</w:t>
            </w: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420" w:type="dxa"/>
            <w:vAlign w:val="bottom"/>
            <w:vMerge w:val="restart"/>
          </w:tcPr>
          <w:p>
            <w:pPr>
              <w:jc w:val="right"/>
              <w:ind w:right="361"/>
              <w:spacing w:after="0"/>
              <w:rPr>
                <w:sz w:val="20"/>
                <w:szCs w:val="20"/>
                <w:color w:val="auto"/>
              </w:rPr>
            </w:pPr>
            <w:r>
              <w:rPr>
                <w:rFonts w:ascii="Arial" w:cs="Arial" w:eastAsia="Arial" w:hAnsi="Arial"/>
                <w:sz w:val="16"/>
                <w:szCs w:val="16"/>
                <w:color w:val="auto"/>
              </w:rPr>
              <w:t>268,035</w:t>
            </w:r>
          </w:p>
        </w:tc>
        <w:tc>
          <w:tcPr>
            <w:tcW w:w="840" w:type="dxa"/>
            <w:vAlign w:val="bottom"/>
            <w:vMerge w:val="restart"/>
          </w:tcPr>
          <w:p>
            <w:pPr>
              <w:jc w:val="right"/>
              <w:ind w:right="101"/>
              <w:spacing w:after="0"/>
              <w:rPr>
                <w:sz w:val="20"/>
                <w:szCs w:val="20"/>
                <w:color w:val="auto"/>
              </w:rPr>
            </w:pPr>
            <w:r>
              <w:rPr>
                <w:rFonts w:ascii="Arial" w:cs="Arial" w:eastAsia="Arial" w:hAnsi="Arial"/>
                <w:sz w:val="16"/>
                <w:szCs w:val="16"/>
                <w:color w:val="auto"/>
              </w:rPr>
              <w:t>21,359</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21"/>
              <w:spacing w:after="0"/>
              <w:rPr>
                <w:sz w:val="20"/>
                <w:szCs w:val="20"/>
                <w:color w:val="auto"/>
              </w:rPr>
            </w:pPr>
            <w:r>
              <w:rPr>
                <w:rFonts w:ascii="Arial" w:cs="Arial" w:eastAsia="Arial" w:hAnsi="Arial"/>
                <w:sz w:val="16"/>
                <w:szCs w:val="16"/>
                <w:color w:val="auto"/>
              </w:rPr>
              <w:t>254,426</w:t>
            </w: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840" w:type="dxa"/>
            <w:vAlign w:val="bottom"/>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160" w:hanging="332"/>
        <w:spacing w:after="0" w:line="22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towable wholesale shipments are based upon the forecast prepared by Dr. Richard Curtin of the University of Michigan Consumer Survey Research Center for RVIA and reported in the Roadsigns RV Summer 2014 Industry Forecast Issue. The revised RVIA annual 2014 wholesale shipment forecast is 288,500 and the annual forecast for 2015 is 298,400.</w:t>
      </w:r>
    </w:p>
    <w:p>
      <w:pPr>
        <w:spacing w:after="0" w:line="1"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6"/>
        </w:numPr>
        <w:rPr>
          <w:rFonts w:ascii="Arial" w:cs="Arial" w:eastAsia="Arial" w:hAnsi="Arial"/>
          <w:sz w:val="11"/>
          <w:szCs w:val="11"/>
          <w:color w:val="auto"/>
        </w:rPr>
      </w:pPr>
      <w:r>
        <w:rPr>
          <w:rFonts w:ascii="Arial" w:cs="Arial" w:eastAsia="Arial" w:hAnsi="Arial"/>
          <w:sz w:val="14"/>
          <w:szCs w:val="14"/>
          <w:color w:val="auto"/>
        </w:rPr>
        <w:t>Stat Surveys has not issued a projection for retail demand for this period.</w:t>
      </w:r>
    </w:p>
    <w:p>
      <w:pPr>
        <w:sectPr>
          <w:pgSz w:w="11900" w:h="16838" w:orient="portrait"/>
          <w:cols w:equalWidth="0" w:num="1">
            <w:col w:w="11440"/>
          </w:cols>
          <w:pgMar w:left="240" w:top="141" w:right="219" w:bottom="1038"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141" w:right="219" w:bottom="1038"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motorized dealer backlog is an indicator of demand for our product in the current marketplace. We believe that the decrease in our backlog (as noted in the table below) is a result of more timely delivery through increased production rates and improved chassis supply. We have been increasing our production rates throughout the fiscal year and leased an additional production facility in which production began late in the second quarter of Fiscal 2014.</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Our motorized sales order backlog of 2,357 as of May 31, 2014 represents orders to be shipped in the next two quarters: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c>
          <w:tcPr>
            <w:tcW w:w="1340" w:type="dxa"/>
            <w:vAlign w:val="bottom"/>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19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units)</w:t>
            </w: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May 31, 2014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1, 2013</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752</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1,397</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(645)</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(46.2)%</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280</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499</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(219)</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(43.9)%</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1,032</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1,896</w:t>
            </w:r>
          </w:p>
        </w:tc>
        <w:tc>
          <w:tcPr>
            <w:tcW w:w="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(864)</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(45.6)%</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Class B</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264</w:t>
            </w:r>
          </w:p>
        </w:tc>
        <w:tc>
          <w:tcPr>
            <w:tcW w:w="58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149</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115</w:t>
            </w:r>
          </w:p>
        </w:tc>
        <w:tc>
          <w:tcPr>
            <w:tcW w:w="1340" w:type="dxa"/>
            <w:vAlign w:val="bottom"/>
          </w:tcPr>
          <w:p>
            <w:pPr>
              <w:jc w:val="right"/>
              <w:ind w:right="100"/>
              <w:spacing w:after="0"/>
              <w:rPr>
                <w:sz w:val="20"/>
                <w:szCs w:val="20"/>
                <w:color w:val="auto"/>
              </w:rPr>
            </w:pPr>
            <w:r>
              <w:rPr>
                <w:rFonts w:ascii="Arial" w:cs="Arial" w:eastAsia="Arial" w:hAnsi="Arial"/>
                <w:sz w:val="16"/>
                <w:szCs w:val="16"/>
                <w:color w:val="auto"/>
              </w:rPr>
              <w:t>77.2 %</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1,061</w:t>
            </w:r>
          </w:p>
        </w:tc>
        <w:tc>
          <w:tcPr>
            <w:tcW w:w="5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801</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260</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32.5 %</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2,357</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2,846</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(489)</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(17.2)%</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2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580" w:type="dxa"/>
            <w:vAlign w:val="bottom"/>
          </w:tcPr>
          <w:p>
            <w:pPr>
              <w:spacing w:after="0"/>
              <w:rPr>
                <w:sz w:val="22"/>
                <w:szCs w:val="22"/>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359</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(135)</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(37.6)%</w:t>
            </w:r>
          </w:p>
        </w:tc>
      </w:tr>
      <w:tr>
        <w:trPr>
          <w:trHeight w:val="273"/>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5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6"/>
                <w:szCs w:val="16"/>
                <w:color w:val="auto"/>
              </w:rPr>
              <w:t>84</w:t>
            </w:r>
          </w:p>
        </w:tc>
        <w:tc>
          <w:tcPr>
            <w:tcW w:w="7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(5)</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(6.0)%</w:t>
            </w:r>
          </w:p>
        </w:tc>
      </w:tr>
      <w:tr>
        <w:trPr>
          <w:trHeight w:val="283"/>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303</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color w:val="auto"/>
              </w:rPr>
              <w:t>443</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(140)</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(31.6)%</w:t>
            </w:r>
          </w:p>
        </w:tc>
      </w:tr>
      <w:tr>
        <w:trPr>
          <w:trHeight w:val="251"/>
        </w:trPr>
        <w:tc>
          <w:tcPr>
            <w:tcW w:w="3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Approximate backlog revenue in thousands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r>
      <w:tr>
        <w:trPr>
          <w:trHeight w:val="256"/>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219,676</w:t>
            </w:r>
          </w:p>
        </w:tc>
        <w:tc>
          <w:tcPr>
            <w:tcW w:w="5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292,307</w:t>
            </w: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(72,631)</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(24.8)%</w:t>
            </w:r>
          </w:p>
        </w:tc>
      </w:tr>
      <w:tr>
        <w:trPr>
          <w:trHeight w:val="251"/>
        </w:trPr>
        <w:tc>
          <w:tcPr>
            <w:tcW w:w="3260" w:type="dxa"/>
            <w:vAlign w:val="bottom"/>
          </w:tcPr>
          <w:p>
            <w:pPr>
              <w:ind w:left="40"/>
              <w:spacing w:after="0"/>
              <w:rPr>
                <w:sz w:val="20"/>
                <w:szCs w:val="20"/>
                <w:color w:val="auto"/>
              </w:rPr>
            </w:pPr>
            <w:r>
              <w:rPr>
                <w:rFonts w:ascii="Arial" w:cs="Arial" w:eastAsia="Arial" w:hAnsi="Arial"/>
                <w:sz w:val="16"/>
                <w:szCs w:val="16"/>
                <w:color w:val="auto"/>
              </w:rPr>
              <w:t>Towable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6,072</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00"/>
              <w:spacing w:after="0"/>
              <w:rPr>
                <w:sz w:val="20"/>
                <w:szCs w:val="20"/>
                <w:color w:val="auto"/>
              </w:rPr>
            </w:pPr>
            <w:r>
              <w:rPr>
                <w:rFonts w:ascii="Arial" w:cs="Arial" w:eastAsia="Arial" w:hAnsi="Arial"/>
                <w:sz w:val="16"/>
                <w:szCs w:val="16"/>
                <w:color w:val="auto"/>
              </w:rPr>
              <w:t>9,562</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(3,490)</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(36.5)%</w:t>
            </w:r>
          </w:p>
        </w:tc>
      </w:tr>
    </w:tbl>
    <w:p>
      <w:pPr>
        <w:ind w:left="240" w:hanging="232"/>
        <w:spacing w:after="0" w:line="216" w:lineRule="auto"/>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240" w:right="80" w:hanging="232"/>
        <w:spacing w:after="0" w:line="218" w:lineRule="auto"/>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purchase orders from dealers to be shipped within the next six months. Orders in backlog can be cancelled or postponed at the option of the purchaser and, therefore, backlog may not necessarily be an accurate measure of future sales.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unit dealer inventory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3780" w:type="dxa"/>
            <w:vAlign w:val="bottom"/>
          </w:tcPr>
          <w:p>
            <w:pPr>
              <w:jc w:val="right"/>
              <w:ind w:right="423"/>
              <w:spacing w:after="0"/>
              <w:rPr>
                <w:sz w:val="20"/>
                <w:szCs w:val="20"/>
                <w:color w:val="auto"/>
              </w:rPr>
            </w:pPr>
            <w:r>
              <w:rPr>
                <w:rFonts w:ascii="Arial" w:cs="Arial" w:eastAsia="Arial" w:hAnsi="Arial"/>
                <w:sz w:val="14"/>
                <w:szCs w:val="14"/>
                <w:b w:val="1"/>
                <w:bCs w:val="1"/>
                <w:color w:val="auto"/>
              </w:rPr>
              <w:t>May 31,</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1,</w:t>
            </w:r>
          </w:p>
        </w:tc>
        <w:tc>
          <w:tcPr>
            <w:tcW w:w="1420" w:type="dxa"/>
            <w:vAlign w:val="bottom"/>
          </w:tcPr>
          <w:p>
            <w:pPr>
              <w:spacing w:after="0"/>
              <w:rPr>
                <w:sz w:val="14"/>
                <w:szCs w:val="14"/>
                <w:color w:val="auto"/>
              </w:rPr>
            </w:pP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r>
      <w:tr>
        <w:trPr>
          <w:trHeight w:val="196"/>
        </w:trPr>
        <w:tc>
          <w:tcPr>
            <w:tcW w:w="37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56"/>
        </w:trPr>
        <w:tc>
          <w:tcPr>
            <w:tcW w:w="3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37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3,798</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2,634</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1,164</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44.2%</w:t>
            </w:r>
          </w:p>
        </w:tc>
      </w:tr>
      <w:tr>
        <w:trPr>
          <w:trHeight w:val="251"/>
        </w:trPr>
        <w:tc>
          <w:tcPr>
            <w:tcW w:w="3720" w:type="dxa"/>
            <w:vAlign w:val="bottom"/>
          </w:tcPr>
          <w:p>
            <w:pPr>
              <w:ind w:left="40"/>
              <w:spacing w:after="0"/>
              <w:rPr>
                <w:sz w:val="20"/>
                <w:szCs w:val="20"/>
                <w:color w:val="auto"/>
              </w:rPr>
            </w:pPr>
            <w:r>
              <w:rPr>
                <w:rFonts w:ascii="Arial" w:cs="Arial" w:eastAsia="Arial" w:hAnsi="Arial"/>
                <w:sz w:val="16"/>
                <w:szCs w:val="16"/>
                <w:color w:val="auto"/>
              </w:rPr>
              <w:t>Towables</w:t>
            </w:r>
          </w:p>
        </w:tc>
        <w:tc>
          <w:tcPr>
            <w:tcW w:w="3780" w:type="dxa"/>
            <w:vAlign w:val="bottom"/>
          </w:tcPr>
          <w:p>
            <w:pPr>
              <w:jc w:val="right"/>
              <w:ind w:right="143"/>
              <w:spacing w:after="0"/>
              <w:rPr>
                <w:sz w:val="20"/>
                <w:szCs w:val="20"/>
                <w:color w:val="auto"/>
              </w:rPr>
            </w:pPr>
            <w:r>
              <w:rPr>
                <w:rFonts w:ascii="Arial" w:cs="Arial" w:eastAsia="Arial" w:hAnsi="Arial"/>
                <w:sz w:val="16"/>
                <w:szCs w:val="16"/>
                <w:color w:val="auto"/>
              </w:rPr>
              <w:t>1,775</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1,642</w:t>
            </w:r>
          </w:p>
        </w:tc>
        <w:tc>
          <w:tcPr>
            <w:tcW w:w="120" w:type="dxa"/>
            <w:vAlign w:val="bottom"/>
          </w:tcPr>
          <w:p>
            <w:pPr>
              <w:spacing w:after="0"/>
              <w:rPr>
                <w:sz w:val="21"/>
                <w:szCs w:val="21"/>
                <w:color w:val="auto"/>
              </w:rPr>
            </w:pPr>
          </w:p>
        </w:tc>
        <w:tc>
          <w:tcPr>
            <w:tcW w:w="1420" w:type="dxa"/>
            <w:vAlign w:val="bottom"/>
          </w:tcPr>
          <w:p>
            <w:pPr>
              <w:jc w:val="right"/>
              <w:ind w:right="222"/>
              <w:spacing w:after="0"/>
              <w:rPr>
                <w:sz w:val="20"/>
                <w:szCs w:val="20"/>
                <w:color w:val="auto"/>
              </w:rPr>
            </w:pPr>
            <w:r>
              <w:rPr>
                <w:rFonts w:ascii="Arial" w:cs="Arial" w:eastAsia="Arial" w:hAnsi="Arial"/>
                <w:sz w:val="16"/>
                <w:szCs w:val="16"/>
                <w:color w:val="auto"/>
              </w:rPr>
              <w:t>133</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8.1%</w:t>
            </w:r>
          </w:p>
        </w:tc>
      </w:tr>
    </w:tbl>
    <w:p>
      <w:pPr>
        <w:spacing w:after="0" w:line="210"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We believe that the increased level of our motorized dealer inventory at the end of the third quarter of Fiscal 2014 is aligned with current market conditions given the improved retail demand and the strong sales order backlog of our product. We have introduced a number of new products in the past nine months (Class B: Travato; Class C: Trend, Viva; Class A diesel: Forza, Solei), many of these products were delivered to the dealers during Fiscal 2014 for their initial stocking. We believe that these innovative products will generate additional retail demand in the coming quarters. We have also expanded our points of distribution for these new product offerings in the past year as our dealer locations have increased 9.5%, which is another factor contributing to our dealer inventory growth.</w:t>
      </w:r>
    </w:p>
    <w:p>
      <w:pPr>
        <w:spacing w:after="0" w:line="70"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recreation vehicle industry has, from time to time, experienced shortages of chassis due to various causes such as component shortages and/or production delays due to quality issues at the chassis manufacturers. In the first half of Fiscal 2014 we have experienced shortages of certain motorized RV chassis which has negatively affected our sales and earnings. Conditions improved during the third quarter of Fiscal 2014 with Ford’s improved Class A chassis supply and resolution of their Class A chassis quality issues which had caused a supply constraint. We continue to closely monitor our chassis suppliers and work with them to minimize impact to our production.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1,</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247,747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218,199</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29,548</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221,266</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197,002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24,264</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12.3 %</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26,481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21,197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5,284</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24.9 %</w:t>
            </w:r>
          </w:p>
        </w:tc>
      </w:tr>
      <w:tr>
        <w:trPr>
          <w:trHeight w:val="28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4,887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4,857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6,005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6,092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10,892</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10,949</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r>
      <w:tr>
        <w:trPr>
          <w:trHeight w:val="28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15,589</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10,248</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5,341</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52.1 %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735</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144</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591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410.4 %</w:t>
            </w:r>
          </w:p>
        </w:tc>
      </w:tr>
      <w:tr>
        <w:trPr>
          <w:trHeight w:val="257"/>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16,324</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10,392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5,932</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57.1 %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4,939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2,731</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2,208</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80.8 %</w:t>
            </w:r>
          </w:p>
        </w:tc>
      </w:tr>
      <w:tr>
        <w:trPr>
          <w:trHeight w:val="24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11,385</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7,661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3,724</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48.6 %</w:t>
            </w:r>
          </w:p>
        </w:tc>
      </w:tr>
      <w:tr>
        <w:trPr>
          <w:trHeight w:val="20"/>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0.42</w:t>
            </w: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0.27</w:t>
            </w: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0.15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55.6 %</w:t>
            </w:r>
          </w:p>
        </w:tc>
      </w:tr>
      <w:tr>
        <w:trPr>
          <w:trHeight w:val="251"/>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tcPr>
          <w:p>
            <w:pPr>
              <w:spacing w:after="0"/>
              <w:rPr>
                <w:sz w:val="21"/>
                <w:szCs w:val="21"/>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27,319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28,087</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(768)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(2.7)%</w:t>
            </w:r>
          </w:p>
        </w:tc>
      </w:tr>
    </w:tbl>
    <w:p>
      <w:pPr>
        <w:spacing w:after="0" w:line="4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31,</w:t>
            </w: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60" w:type="dxa"/>
            <w:vAlign w:val="bottom"/>
          </w:tcPr>
          <w:p>
            <w:pPr>
              <w:spacing w:after="0"/>
              <w:rPr>
                <w:sz w:val="17"/>
                <w:szCs w:val="17"/>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786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656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130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19.8 %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280</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323</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(43)</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w:t>
            </w:r>
          </w:p>
        </w:tc>
      </w:tr>
      <w:tr>
        <w:trPr>
          <w:trHeight w:val="24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40" w:type="dxa"/>
            <w:vAlign w:val="bottom"/>
          </w:tcPr>
          <w:p>
            <w:pPr>
              <w:spacing w:after="0"/>
              <w:rPr>
                <w:sz w:val="21"/>
                <w:szCs w:val="21"/>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1,066</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979</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87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8.9 %</w:t>
            </w:r>
          </w:p>
        </w:tc>
      </w:tr>
      <w:tr>
        <w:trPr>
          <w:trHeight w:val="28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224</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187.2 %</w:t>
            </w:r>
          </w:p>
        </w:tc>
      </w:tr>
      <w:tr>
        <w:trPr>
          <w:trHeight w:val="264"/>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1,041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120</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13.0 %</w:t>
            </w:r>
          </w:p>
        </w:tc>
      </w:tr>
      <w:tr>
        <w:trPr>
          <w:trHeight w:val="243"/>
        </w:trPr>
        <w:tc>
          <w:tcPr>
            <w:tcW w:w="2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Total motorhome deliveries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2,331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1,978</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353</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17.8 %</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93.9</w:t>
            </w: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97.9</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(4.0)</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598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587</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1.9 %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2.4 %</w:t>
            </w:r>
          </w:p>
        </w:tc>
      </w:tr>
      <w:tr>
        <w:trPr>
          <w:trHeight w:val="280"/>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727</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713</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14</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2.0 %</w:t>
            </w:r>
          </w:p>
        </w:tc>
      </w:tr>
      <w:tr>
        <w:trPr>
          <w:trHeight w:val="267"/>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1"/>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23.9</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21.5</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11.5 %</w:t>
            </w:r>
          </w:p>
        </w:tc>
      </w:tr>
    </w:tbl>
    <w:p>
      <w:pPr>
        <w:ind w:left="160" w:hanging="152"/>
        <w:spacing w:after="0" w:line="22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4" w:lineRule="exact"/>
        <w:rPr>
          <w:rFonts w:ascii="Arial" w:cs="Arial" w:eastAsia="Arial" w:hAnsi="Arial"/>
          <w:sz w:val="18"/>
          <w:szCs w:val="18"/>
          <w:color w:val="auto"/>
          <w:vertAlign w:val="superscript"/>
        </w:rPr>
      </w:pPr>
    </w:p>
    <w:p>
      <w:pPr>
        <w:ind w:left="180" w:right="360" w:hanging="172"/>
        <w:spacing w:after="0" w:line="215"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are subject to repurchase option. See Note 5 to the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7"/>
        </w:trPr>
        <w:tc>
          <w:tcPr>
            <w:tcW w:w="308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rPr>
              <w:t>June 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28"/>
        </w:trPr>
        <w:tc>
          <w:tcPr>
            <w:tcW w:w="2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221,191</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194,796</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26,395</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r>
      <w:tr>
        <w:trPr>
          <w:trHeight w:val="270"/>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17,174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15,345</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1,829</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11.9%</w:t>
            </w:r>
          </w:p>
        </w:tc>
      </w:tr>
      <w:tr>
        <w:trPr>
          <w:trHeight w:val="264"/>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9,382</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8,058</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1,324</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16.4%</w:t>
            </w:r>
          </w:p>
        </w:tc>
      </w:tr>
      <w:tr>
        <w:trPr>
          <w:trHeight w:val="237"/>
        </w:trPr>
        <w:tc>
          <w:tcPr>
            <w:tcW w:w="308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39"/>
              <w:spacing w:after="0"/>
              <w:rPr>
                <w:sz w:val="20"/>
                <w:szCs w:val="20"/>
                <w:color w:val="auto"/>
              </w:rPr>
            </w:pPr>
            <w:r>
              <w:rPr>
                <w:rFonts w:ascii="Arial" w:cs="Arial" w:eastAsia="Arial" w:hAnsi="Arial"/>
                <w:sz w:val="16"/>
                <w:szCs w:val="16"/>
                <w:color w:val="auto"/>
              </w:rPr>
              <w:t>247,747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99"/>
              <w:spacing w:after="0"/>
              <w:rPr>
                <w:sz w:val="20"/>
                <w:szCs w:val="20"/>
                <w:color w:val="auto"/>
              </w:rPr>
            </w:pPr>
            <w:r>
              <w:rPr>
                <w:rFonts w:ascii="Arial" w:cs="Arial" w:eastAsia="Arial" w:hAnsi="Arial"/>
                <w:sz w:val="16"/>
                <w:szCs w:val="16"/>
                <w:color w:val="auto"/>
              </w:rPr>
              <w:t>218,199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29,548</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3810</wp:posOffset>
            </wp:positionV>
            <wp:extent cx="52914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91455" cy="26035"/>
                    </a:xfrm>
                    <a:prstGeom prst="rect">
                      <a:avLst/>
                    </a:prstGeom>
                    <a:noFill/>
                  </pic:spPr>
                </pic:pic>
              </a:graphicData>
            </a:graphic>
          </wp:anchor>
        </w:drawing>
      </w:r>
    </w:p>
    <w:p>
      <w:pPr>
        <w:ind w:left="260" w:hanging="238"/>
        <w:spacing w:after="0"/>
        <w:tabs>
          <w:tab w:leader="none" w:pos="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Motorhome net revenues increased $26.4 million or 13.6% in the third quarter of Fiscal 2014. The increase was attributed primarily to a 17.8% increase in unit deliveries driven by higher dealer and retail consumer demand, partially offset by a decrease in motorhome ASP of 4.1% as compared to the same period a year ago. The decrease in ASP was primarily due to a shift in class A diesel product to lower price points and a higher percent of Class B unit sales in the third quarter of Fiscal 2014.</w:t>
      </w:r>
    </w:p>
    <w:p>
      <w:pPr>
        <w:spacing w:after="0" w:line="17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During the third quarter of Fiscal 2014 we delivered 520 rental units to Apollo, a US RV rental company. According to repurchase conditions in the sales agreement, only 177 were reported as motorhome sales in the quarter. See Note 5 to the financial statements.</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increase in Towables revenues of $1.8 million or 11.9% was attributed to an increase in ASP of 11.5% and a 2.0% increase in unit deliveries as compared to the third quarter of Fiscal 2013.</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$221.3 million, or 89.3% of net revenues for the third quarter of Fiscal 2014 compared to $197.0 million, or 90.3% of net revenues for the same period a year ago due to the following:</w:t>
      </w:r>
    </w:p>
    <w:p>
      <w:pPr>
        <w:spacing w:after="0" w:line="1" w:lineRule="exact"/>
        <w:rPr>
          <w:sz w:val="20"/>
          <w:szCs w:val="20"/>
          <w:color w:val="auto"/>
        </w:rPr>
      </w:pPr>
    </w:p>
    <w:p>
      <w:pPr>
        <w:ind w:left="340" w:right="68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84.0% compared to 84.6%. The decrease is due to favorable product mix and year-over-year price changes in Fiscal 2014.</w:t>
      </w:r>
    </w:p>
    <w:p>
      <w:pPr>
        <w:ind w:left="340" w:right="380" w:hanging="332"/>
        <w:spacing w:after="0" w:line="246"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5.3% of net revenues compared to 5.7% for Fiscal 2013. This difference was primarily due to significantly higher production levels in Fiscal 2014 which resulted in higher absorption of fixed overhead costs.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factors considered, gross profit increased to 10.7% from 9.7% of net revenues.</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Selling expenses were 2.0% and 2.2% of net revenues in the third quarter of Fiscal 2014 and Fiscal 2013, respectively, as expenses were essentially flat as compared to the prior year.</w:t>
      </w:r>
    </w:p>
    <w:p>
      <w:pPr>
        <w:spacing w:after="0" w:line="14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General and administrative expenses were 2.4% and 2.8% of net revenues in the third quarter of Fiscal 2014 and Fiscal 2013, respectively. General and administrative expenses decreased $87,000, or 1.4% in the third quarter of Fiscal 2014 compared to the same period in Fiscal 2013.</w:t>
      </w:r>
    </w:p>
    <w:p>
      <w:pPr>
        <w:spacing w:after="0" w:line="14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Non-operating income was $735,000 and $144,000 in the third quarter of Fiscal 2014 and Fiscal 2013, respectively. The increase was primarily due to proceeds from our COLI policies in the third quarter of Fiscal 2014.</w:t>
      </w:r>
    </w:p>
    <w:p>
      <w:pPr>
        <w:spacing w:after="0" w:line="22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overall effective income tax rate for the third quarter of Fiscal 2014 was 30.3% compared to the effective tax rate of 26.3% for the same period in Fiscal 2013. The increase in tax rate for the third quarter of Fiscal 2014 is primarily a result of the increased level of pretax book income earned during the quarter and a reduced level (in comparison to book income) of benefits recorded for tax credits and tax free and dividend income during the quarter. The legislation for various applicable tax credits expired on December 31, 2013; therefore our projected benefits for these credits are limited to four months of our fiscal year.</w:t>
      </w:r>
    </w:p>
    <w:p>
      <w:pPr>
        <w:spacing w:after="0" w:line="14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Net income and diluted income per share were $11.4 million and $0.42 per share, respectively, for the third quarter of Fiscal 2014. In the third quarter of Fiscal 2013, net income was $7.7 million and diluted income was $0.27 per share. The impact of stock repurchases in the last twelve months on diluted net income per share was an increase of $0.01 for the third quarter of Fiscal 2014. See Part II, Item 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of Fiscal 2014 Compared to the Comparable Nine Months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98"/>
        </w:trPr>
        <w:tc>
          <w:tcPr>
            <w:tcW w:w="29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6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1,</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28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00" w:type="dxa"/>
            <w:vAlign w:val="bottom"/>
          </w:tcPr>
          <w:p>
            <w:pPr>
              <w:ind w:left="480"/>
              <w:spacing w:after="0"/>
              <w:rPr>
                <w:sz w:val="20"/>
                <w:szCs w:val="20"/>
                <w:color w:val="auto"/>
              </w:rPr>
            </w:pPr>
            <w:r>
              <w:rPr>
                <w:rFonts w:ascii="Arial" w:cs="Arial" w:eastAsia="Arial" w:hAnsi="Arial"/>
                <w:sz w:val="16"/>
                <w:szCs w:val="16"/>
                <w:b w:val="1"/>
                <w:bCs w:val="1"/>
                <w:color w:val="auto"/>
              </w:rPr>
              <w:t>%</w:t>
            </w:r>
          </w:p>
        </w:tc>
      </w:tr>
      <w:tr>
        <w:trPr>
          <w:trHeight w:val="23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tcPr>
          <w:p>
            <w:pPr>
              <w:jc w:val="right"/>
              <w:ind w:right="1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699,228</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588,919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110,309</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18.7 %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623,940</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89.2 %</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529,784</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94,156</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17.8 %</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75,288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10.8 %</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59,135</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16,153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27.3 %</w:t>
            </w:r>
          </w:p>
        </w:tc>
      </w:tr>
      <w:tr>
        <w:trPr>
          <w:trHeight w:val="28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13,709</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13,649</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2"/>
                <w:szCs w:val="22"/>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16,577</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16,392</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185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1.1 %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on sale of real estate</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(629)</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(657)</w:t>
            </w:r>
          </w:p>
        </w:tc>
        <w:tc>
          <w:tcPr>
            <w:tcW w:w="1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NMF</w:t>
            </w:r>
          </w:p>
        </w:tc>
      </w:tr>
      <w:tr>
        <w:trPr>
          <w:trHeight w:val="25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29,657</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30,069</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(412)</w:t>
            </w: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r>
      <w:tr>
        <w:trPr>
          <w:trHeight w:val="284"/>
        </w:trPr>
        <w:tc>
          <w:tcPr>
            <w:tcW w:w="2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2"/>
                <w:szCs w:val="22"/>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45,631</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29,066</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16,565</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57.0 %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752</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739</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r>
      <w:tr>
        <w:trPr>
          <w:trHeight w:val="247"/>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46,383</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29,805</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16,578</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55.6 %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14,259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8,468</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5,791</w:t>
            </w: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68.4 %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32,124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21,337</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10,787</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50.6 %</w:t>
            </w:r>
          </w:p>
        </w:tc>
      </w:tr>
      <w:tr>
        <w:trPr>
          <w:trHeight w:val="267"/>
        </w:trPr>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0.76</w:t>
            </w: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0.40</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52.6 %</w:t>
            </w:r>
          </w:p>
        </w:tc>
      </w:tr>
      <w:tr>
        <w:trPr>
          <w:trHeight w:val="28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27,666</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28,218</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bl>
    <w:p>
      <w:pPr>
        <w:spacing w:after="0" w:line="2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June 1,</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8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28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2,085</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1,779</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306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17.2 %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1,133</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989</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144</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14.6 %</w:t>
            </w:r>
          </w:p>
        </w:tc>
      </w:tr>
      <w:tr>
        <w:trPr>
          <w:trHeight w:val="247"/>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3,218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2,768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450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16.3 %</w:t>
            </w:r>
          </w:p>
        </w:tc>
      </w:tr>
      <w:tr>
        <w:trPr>
          <w:trHeight w:val="28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524</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263</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261</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99.2 %</w:t>
            </w:r>
          </w:p>
        </w:tc>
      </w:tr>
      <w:tr>
        <w:trPr>
          <w:trHeight w:val="264"/>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2,649</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1,900</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749</w:t>
            </w: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39.4 %</w:t>
            </w:r>
          </w:p>
        </w:tc>
      </w:tr>
      <w:tr>
        <w:trPr>
          <w:trHeight w:val="243"/>
        </w:trPr>
        <w:tc>
          <w:tcPr>
            <w:tcW w:w="2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Total motorhome deliveries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6,391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4,931</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1,460</w:t>
            </w:r>
          </w:p>
        </w:tc>
        <w:tc>
          <w:tcPr>
            <w:tcW w:w="12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29.6 %</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98.1</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106.2</w:t>
            </w: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(8.1)</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Pr>
          <w:p>
            <w:pPr>
              <w:spacing w:after="0"/>
              <w:rPr>
                <w:sz w:val="22"/>
                <w:szCs w:val="22"/>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1,468</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1,433</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35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2.4 %</w:t>
            </w:r>
          </w:p>
        </w:tc>
      </w:tr>
      <w:tr>
        <w:trPr>
          <w:trHeight w:val="273"/>
        </w:trPr>
        <w:tc>
          <w:tcPr>
            <w:tcW w:w="2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318</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385</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(67)</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r>
      <w:tr>
        <w:trPr>
          <w:trHeight w:val="280"/>
        </w:trPr>
        <w:tc>
          <w:tcPr>
            <w:tcW w:w="2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 towable deliveries</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1,786</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1,818</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(32)</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r>
      <w:tr>
        <w:trPr>
          <w:trHeight w:val="267"/>
        </w:trPr>
        <w:tc>
          <w:tcPr>
            <w:tcW w:w="2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51"/>
        </w:trPr>
        <w:tc>
          <w:tcPr>
            <w:tcW w:w="29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23.3</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21.6</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8.1 %</w:t>
            </w:r>
          </w:p>
        </w:tc>
      </w:tr>
    </w:tbl>
    <w:p>
      <w:pPr>
        <w:ind w:left="160" w:hanging="152"/>
        <w:spacing w:after="0" w:line="227"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4" w:lineRule="exact"/>
        <w:rPr>
          <w:rFonts w:ascii="Arial" w:cs="Arial" w:eastAsia="Arial" w:hAnsi="Arial"/>
          <w:sz w:val="18"/>
          <w:szCs w:val="18"/>
          <w:color w:val="auto"/>
          <w:vertAlign w:val="superscript"/>
        </w:rPr>
      </w:pPr>
    </w:p>
    <w:p>
      <w:pPr>
        <w:ind w:left="180" w:right="360" w:hanging="172"/>
        <w:spacing w:after="0" w:line="215" w:lineRule="auto"/>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 above as the units are subject to repurchase option. See Note 5 to the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288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288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May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1,</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2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632,982</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526,786</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89.4%</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106,196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w:t>
            </w:r>
          </w:p>
        </w:tc>
      </w:tr>
      <w:tr>
        <w:trPr>
          <w:trHeight w:val="270"/>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41,431</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39,309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2,122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264"/>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24,815</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22,824</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1,991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79"/>
              <w:spacing w:after="0"/>
              <w:rPr>
                <w:sz w:val="20"/>
                <w:szCs w:val="20"/>
                <w:color w:val="auto"/>
              </w:rPr>
            </w:pPr>
            <w:r>
              <w:rPr>
                <w:rFonts w:ascii="Arial" w:cs="Arial" w:eastAsia="Arial" w:hAnsi="Arial"/>
                <w:sz w:val="16"/>
                <w:szCs w:val="16"/>
                <w:color w:val="auto"/>
              </w:rPr>
              <w:t>699,228</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79"/>
              <w:spacing w:after="0"/>
              <w:rPr>
                <w:sz w:val="20"/>
                <w:szCs w:val="20"/>
                <w:color w:val="auto"/>
              </w:rPr>
            </w:pPr>
            <w:r>
              <w:rPr>
                <w:rFonts w:ascii="Arial" w:cs="Arial" w:eastAsia="Arial" w:hAnsi="Arial"/>
                <w:sz w:val="16"/>
                <w:szCs w:val="16"/>
                <w:color w:val="auto"/>
              </w:rPr>
              <w:t>588,919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110,309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3810</wp:posOffset>
            </wp:positionV>
            <wp:extent cx="52914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91455" cy="26035"/>
                    </a:xfrm>
                    <a:prstGeom prst="rect">
                      <a:avLst/>
                    </a:prstGeom>
                    <a:noFill/>
                  </pic:spPr>
                </pic:pic>
              </a:graphicData>
            </a:graphic>
          </wp:anchor>
        </w:drawing>
      </w:r>
    </w:p>
    <w:p>
      <w:pPr>
        <w:ind w:left="260" w:hanging="238"/>
        <w:spacing w:after="0"/>
        <w:tabs>
          <w:tab w:leader="none" w:pos="2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increase in motorhome net revenues of $106.2 million or 20.2% was attributed primarily to a 29.6% increase in unit deliveries in the first nine months of Fiscal 2014 driven by higher dealer and retail consumer demand as compared to the first nine months of Fiscal 2013, partially offset by a decrease in motorhome ASP of 7.6% as compared to the first nine months of Fiscal 2013. The decrease in ASP was primarily due to a lower percentage of class A gas and diesel unit sales in the first nine months of Fiscal 2014.</w:t>
      </w:r>
    </w:p>
    <w:p>
      <w:pPr>
        <w:spacing w:after="0" w:line="176"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During the third quarter of Fiscal 2014 we delivered 520 rental units to Apollo, a US RV rental company. According to repurchase conditions in the sales agreement, only 177 were reported as motorhome sales in the quarter. See Note 5 to the financial statements.</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Towables revenues were $41.4 million in the first nine months of Fiscal 2014, compared to $39.3 million in the first nine months of Fiscal 2013. The increase in revenues was a result of the an 8.1% increase in ASP offset by a 1.8% decrease in unit deliveries.</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contributing factor to the increase in unit deliveries during Fiscal 2014 relates to revised shipping terms with our dealers. Effective in the first quarter of Fiscal 2014, we entered into revised dealer agreements to change our shipping terms so that title and risk of loss passes to our dealers upon acceptance of the unit by an independent transportation company for delivery which is standard industry practice. As a result of this term change, an additional $25.3 million of revenue was recognized in the first nine months of Fiscal 2014, which represented units in possession of the transportation company in-transit to the dealer. In Fiscal 2013, such revenues would have been recognized in the fourth fiscal quarter. Conversely, due to our 52/53 week fiscal year convention, the first nine months of Fiscal 2013 had an extra week in the first quarter as compared to the first nine months of Fiscal 2014 resulting in an additional $13.8 million of revenue recognized in the prior year first quarter. The net effect of these two timing items resulted in a positive impact of $11.5 million when comparing the first nine months of Fiscal 2014 to the first nine months of Fiscal 2013.</w:t>
      </w:r>
    </w:p>
    <w:p>
      <w:pPr>
        <w:spacing w:after="0" w:line="181"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Cost of goods sold was $623.9 million, or 89.2% of net revenues for the first nine months of Fiscal 2014 compared to $529.8 million, or 90.0% of net revenues for the first nine months of Fiscal 2013 due to the following:</w:t>
      </w:r>
    </w:p>
    <w:p>
      <w:pPr>
        <w:spacing w:after="0" w:line="1" w:lineRule="exact"/>
        <w:rPr>
          <w:sz w:val="20"/>
          <w:szCs w:val="20"/>
          <w:color w:val="auto"/>
        </w:rPr>
      </w:pPr>
    </w:p>
    <w:p>
      <w:pPr>
        <w:ind w:left="340" w:right="20" w:hanging="332"/>
        <w:spacing w:after="0" w:line="262"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decreased to 83.9% </w:t>
      </w:r>
      <w:r>
        <w:rPr>
          <w:rFonts w:ascii="Arial" w:cs="Arial" w:eastAsia="Arial" w:hAnsi="Arial"/>
          <w:sz w:val="18"/>
          <w:szCs w:val="18"/>
          <w:color w:val="auto"/>
        </w:rPr>
        <w:t>in</w:t>
      </w:r>
      <w:r>
        <w:rPr>
          <w:rFonts w:ascii="Arial" w:cs="Arial" w:eastAsia="Arial" w:hAnsi="Arial"/>
          <w:sz w:val="16"/>
          <w:szCs w:val="16"/>
          <w:color w:val="auto"/>
        </w:rPr>
        <w:t xml:space="preserve"> Fiscal 2014 compared to 84.2% in Fiscal 2013.</w:t>
      </w:r>
    </w:p>
    <w:p>
      <w:pPr>
        <w:spacing w:after="0" w:line="21" w:lineRule="exact"/>
        <w:rPr>
          <w:rFonts w:ascii="Arial" w:cs="Arial" w:eastAsia="Arial" w:hAnsi="Arial"/>
          <w:sz w:val="18"/>
          <w:szCs w:val="18"/>
          <w:color w:val="auto"/>
        </w:rPr>
      </w:pPr>
    </w:p>
    <w:p>
      <w:pPr>
        <w:ind w:left="340" w:right="38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5.3% of net revenues compared to 5.8% for Fiscal 2013. This difference was primarily due to significantly higher production levels in Fiscal 2014 which resulted in higher absorption of fixed overhead costs.</w:t>
      </w:r>
    </w:p>
    <w:p>
      <w:pPr>
        <w:spacing w:after="0" w:line="1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6"/>
          <w:szCs w:val="16"/>
          <w:color w:val="auto"/>
        </w:rPr>
        <w:t>All factors considered, gross profit increased to 10.8% from 10.0% of net revenues.</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Selling expenses decreased to 2.0% from 2.3% of net revenues in the first nine months of Fiscal 2014 and Fiscal 2013, respectively. Overall, selling expenses were essentially flat when comparing the first nine months of Fiscal 2014 to the same period in Fiscal 2013. Increases in advertising expenses of $150,000 were offset by decreases in various other selling expenses.</w:t>
      </w:r>
    </w:p>
    <w:p>
      <w:pPr>
        <w:spacing w:after="0" w:line="147"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General and administrative expenses were 2.4% and 2.8% of net revenues in the first nine months of Fiscal 2014 and Fiscal 2013, respectively. General and administrative expenses increased $185,000, or 1.1% in the first nine months of Fiscal 2014 compared to the same period in Fiscal 2013. Increases in IT expenses were partially offset by decreases in product liability and wage-related expenses.</w:t>
      </w:r>
    </w:p>
    <w:p>
      <w:pPr>
        <w:spacing w:after="0" w:line="147"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During the second quarter of Fiscal 2014 we realized a gain of $629,000 on the sale of a leased warehouse facility (3M). See Note 6 to the financial statements. During the first quarter of Fiscal 2013 we realized a loss of $28,000 on the sale of an idled manufacturing facility (Hampton).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Non-operating income was flat in the first nine months of Fiscal 2014 compared to the same period in Fiscal 2013. We received COLI proceeds in both periods.</w:t>
      </w:r>
    </w:p>
    <w:p>
      <w:pPr>
        <w:spacing w:after="0" w:line="24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overall effective income tax rate for the first nine months of Fiscal 2014 was 30.7% compared to the effective income tax rate of 28.4% for the first nine months of Fiscal 2013. The tax rate for the first nine months of Fiscal 2014 is primarily a result of the higher level of pretax book income earned during Fiscal 2014. We also had a reduced level (in comparison to book income)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benefits recorded for tax credits and other tax planning initiatives in Fiscal 2014 in relation to the same period in Fiscal 2013. The legislation for various applicable tax credits expired on December 31, 2013; therefore our projected benefits for these credits are limited to four months of our fiscal year.</w:t>
      </w:r>
    </w:p>
    <w:p>
      <w:pPr>
        <w:spacing w:after="0" w:line="14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Net income and diluted income per share were $32.1 million and $1.16 per share, respectively, for the first nine months of Fiscal 2014. In the first nine months of Fiscal 2013, the net income was $21.3 million and diluted income was $0.76 per share. The impact of stock repurchases in the last twelve months on diluted net income per share was an increase of $0.02 for the first nine months of Fiscal 2014. See Part II, Item 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Cash and cash equivalents decreased $13.8 million during the first nine months of Fiscal 2014 and totaled $50.5 million as of May 31, 2014. Significant liquidity events that occurred during the first nine months of Fiscal 2014 were:</w:t>
      </w:r>
    </w:p>
    <w:p>
      <w:pPr>
        <w:spacing w:after="0" w:line="14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Generation of net income of $32.1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in receivables and prepaid assets of $26.3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 repurchases of $24.3 million</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noted in Note 7, through our Amended Credit Agreement with GECC, we have the ability to borrow $35.0 million through a revolving credit facility based on our eligible inventory and certain receivables. In addition, the Amended Credit Agreement also includes a framework to expand the size of the facility up to $50.0 million, based on mutually agreeable terms at the time of the expansion.</w:t>
      </w:r>
    </w:p>
    <w:p>
      <w:pPr>
        <w:spacing w:after="0" w:line="22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Working capital at May 31, 2014 and August 31, 2013 was $162.5 million and $153.5 million, respectively, an increase of $9.0 million. We currently expect cash on hand, cash collected on receivables, funds generated from operations and the availability under a credit facility to be sufficient to cover both short-term and long-term operating requirements for Fiscal 2014. We anticipate capital expenditures during the balance of Fiscal 2014 of approximately $4.0 million, primarily for manufacturing equipment and facilities and IT upgrades.</w:t>
      </w:r>
    </w:p>
    <w:p>
      <w:pPr>
        <w:spacing w:after="0" w:line="230"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made share repurchases of $24.3 million in the first nine months of Fiscal 2014. Under SEC Rule 10b5-1, we made additional share repurchases of $1.9 million between May 31, 2014 and the date of this filing. If we believe the common stock is trading at attractive levels and reflects a prudent use of our capital, we may purchase additional shares in the remainder of Fiscal 2014. See Part II, Item 2 of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Cash provided by operating activities was $10.2 million for the nine months ended May 31, 2014 compared to cash used in operating activities of $6.9 million for the nine months ended June 1, 2013. In Fiscal 2014 the combination of net income of $32.1 million and changes in non-cash charges (e.g., depreciation, LIFO, stock-based compensation, deferred income taxes) provided $35.3 million of operating cash. Changes in assets and liabilities (primarily an increase in receivables and operating leases and partially offset by an increase in accrued expenses) used $25.1 million of operating cash. In the first nine months of Fiscal 2013, the combination of net income of $21.3 million and changes in non-cash charges (e.g., depreciation, LIFO, stock-based compensation, deferred income taxes) provided $23.9 million of operating cash. Changes in assets and liabilities (primarily an increase in inventories) used $30.8 million of operating cash.</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Cash used in investing activities of $1.6 million for the nine months ended May 31, 2014 was due primarily to capital spending of $7.0 million partially offset by proceeds from the sale of property of $2.4 million, proceeds from the sale of investments of $2.4 million, and proceeds of $1.7 million from COLI policies. In the nine months ended June 1, 2013, cash used in investing activities of $2.1 million was due primarily to capital spending of $3.3 million and payments of COLI borrowings of $1.4 million, and was partially offset by proceeds of $1.0 million from COLI policies and proceeds of $637,000 from the sale of property.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jc w:val="both"/>
        <w:ind w:right="520"/>
        <w:spacing w:after="0" w:line="253" w:lineRule="auto"/>
        <w:rPr>
          <w:sz w:val="20"/>
          <w:szCs w:val="20"/>
          <w:color w:val="auto"/>
        </w:rPr>
      </w:pPr>
      <w:r>
        <w:rPr>
          <w:rFonts w:ascii="Arial" w:cs="Arial" w:eastAsia="Arial" w:hAnsi="Arial"/>
          <w:sz w:val="16"/>
          <w:szCs w:val="16"/>
          <w:color w:val="auto"/>
        </w:rPr>
        <w:t>Cash used in financing activities of $22.3 million for the nine months ended May 31, 2014 was primarily due to $24.3 million in repurchases of our stock partially offset by proceeds of $2.1 million from the exercise of stock options. Cash used in financing activities of $11.2 million for the nine months ended June 1, 2013 was primarily due to $11.1 million in repurchases of our stock.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31, 2013.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31, 2013.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2013, except as noted below.</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Beginning in the third quarter of Fiscal 2014 we began to sell recreation vehicles to a rental company that are subject to repurchase options, which are accounted for as operating leases. At the time of sale, the proceeds are recorded as deferred revenue in other current liabilities. The difference between the proceeds and the repurchase amount is recognized in net revenues over the term which the rental company holds the vehicle, using a straight-line</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method. The cost of the vehicles is recorded in net investment in operating leases and the difference between the cost of the vehicle and the estimated resale value is depreciated in net revenue over the term of the lease. Net proceeds or losses from the sale of the vehicle at resale, if any, are recognized in net revenue at the time of sale.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jc w:val="both"/>
        <w:ind w:right="740"/>
        <w:spacing w:after="0" w:line="253"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0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31, 2013 except as noted below.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Lower-than-anticipated residual values for rental motorhomes sold with repurchase option</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project expected residual values and return volumes for the motorhomes we sold with a repurchase option. Actual proceeds realized upon the sale of repurchased rental motorhomes may be lower than the amount projected, which would reduce the profitability of the transaction. Among the factors that can affect the value of repurchased rental motorhomes are the volume of motorhomes returned, economic conditions, and quality or perceived quality, or reliability of the units. Each of these factors, alone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41"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or in combination, has the potential to adversely affect our profitability if actual results were to differ significantly from our projections.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2014, approximately 118,000 shares were repurchased under the authorization, at an aggregate cost of $2.8 million. Of these shares, approximately 10,400 were repurchased from employees who vested in Winnebago Industries shares during the third quarter of Fiscal 2014 and elected to pay their payroll tax via shares as opposed to cash. As of May 31, 2014, there was approximately $15.6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third quarter of Fiscal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03/02/14 - 04/05/14</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10,407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26.80</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10,407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18,159,000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04/06/14 - 05/03/14</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28,645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24.12</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28,645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17,468,000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05/04/14 - 05/31/14</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78,617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23.79</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78,617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15,598,000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117,669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24.14</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117,669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15,598,000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Agreement contains covenants that limit our ability, among other things, to pay cash dividends. See Note 7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June 27, 2014.</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June 27, 2014.</w:t>
      </w:r>
    </w:p>
    <w:p>
      <w:pPr>
        <w:spacing w:after="0" w:line="167"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June 27, 2014.</w:t>
      </w:r>
    </w:p>
    <w:p>
      <w:pPr>
        <w:spacing w:after="0" w:line="142" w:lineRule="exact"/>
        <w:rPr>
          <w:sz w:val="20"/>
          <w:szCs w:val="20"/>
          <w:color w:val="auto"/>
        </w:rPr>
      </w:pPr>
    </w:p>
    <w:p>
      <w:pPr>
        <w:ind w:left="980" w:right="44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June 27, 2014.</w:t>
      </w:r>
    </w:p>
    <w:p>
      <w:pPr>
        <w:sectPr>
          <w:pgSz w:w="11900" w:h="16838" w:orient="portrait"/>
          <w:cols w:equalWidth="0" w:num="1">
            <w:col w:w="11420"/>
          </w:cols>
          <w:pgMar w:left="240" w:top="384"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3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3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3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3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3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384" w:right="239" w:bottom="1440" w:gutter="0" w:footer="0" w:header="0"/>
          <w:type w:val="continuous"/>
        </w:sectPr>
      </w:pPr>
    </w:p>
    <w:p>
      <w:pPr>
        <w:ind w:right="6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31, 2014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84"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WINNEBAGO INDUSTRIES, INC.</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27, 2014</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Randy J. Potts</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Randy J. Potts</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27, 2014</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Sarah N. Nielsen</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Sarah N. Nielsen</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24</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J.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420"/>
          </w:cols>
          <w:pgMar w:left="240" w:top="630"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31, 2014, I, Randy J. Potts,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31,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300" w:val="left"/>
          <w:tab w:leader="none" w:pos="72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29210</wp:posOffset>
            </wp:positionV>
            <wp:extent cx="2675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8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31, 2014,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31,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6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27,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2019-12-05T16:11:38Z</dcterms:created>
  <dcterms:modified xsi:type="dcterms:W3CDTF">2019-12-05T16:11:38Z</dcterms:modified>
</cp:coreProperties>
</file>