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October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945515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293370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9" w:right="239" w:bottom="1440" w:gutter="0" w:footer="0" w:header="0"/>
        </w:sectPr>
      </w:pPr>
    </w:p>
    <w:bookmarkStart w:id="1" w:name="page2"/>
    <w:bookmarkEnd w:id="1"/>
    <w:p>
      <w:pPr>
        <w:ind w:left="1140" w:right="44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8"/>
        <w:spacing w:after="0" w:line="218" w:lineRule="exact"/>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On October 11, 2016 the Human Resources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of the Board of Directors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approved to be effective August 28, 2016, which is the beginning of the Company's 2017 fiscal year, (i) the Officers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Compensation Plan-Fiscal Period 2017 (the </w:t>
      </w:r>
      <w:r>
        <w:rPr>
          <w:rFonts w:ascii="Arial" w:cs="Arial" w:eastAsia="Arial" w:hAnsi="Arial"/>
          <w:sz w:val="18"/>
          <w:szCs w:val="18"/>
          <w:i w:val="1"/>
          <w:iCs w:val="1"/>
          <w:color w:val="auto"/>
        </w:rPr>
        <w:t>“2017 Incentive Compensation Plan”</w:t>
      </w:r>
      <w:r>
        <w:rPr>
          <w:rFonts w:ascii="Arial" w:cs="Arial" w:eastAsia="Arial" w:hAnsi="Arial"/>
          <w:sz w:val="18"/>
          <w:szCs w:val="18"/>
          <w:color w:val="auto"/>
        </w:rPr>
        <w:t>) and (ii) the Officers Long</w:t>
      </w:r>
      <w:r>
        <w:rPr>
          <w:rFonts w:ascii="MS PGothic" w:cs="MS PGothic" w:eastAsia="MS PGothic" w:hAnsi="MS PGothic"/>
          <w:sz w:val="18"/>
          <w:szCs w:val="18"/>
          <w:color w:val="auto"/>
        </w:rPr>
        <w:t>‑</w:t>
      </w:r>
      <w:r>
        <w:rPr>
          <w:rFonts w:ascii="Arial" w:cs="Arial" w:eastAsia="Arial" w:hAnsi="Arial"/>
          <w:sz w:val="18"/>
          <w:szCs w:val="18"/>
          <w:color w:val="auto"/>
        </w:rPr>
        <w:t>Term Incentive Plan-Fiscal Three</w:t>
      </w:r>
      <w:r>
        <w:rPr>
          <w:rFonts w:ascii="MS PGothic" w:cs="MS PGothic" w:eastAsia="MS PGothic" w:hAnsi="MS PGothic"/>
          <w:sz w:val="18"/>
          <w:szCs w:val="18"/>
          <w:color w:val="auto"/>
        </w:rPr>
        <w:t>‑</w:t>
      </w:r>
      <w:r>
        <w:rPr>
          <w:rFonts w:ascii="Arial" w:cs="Arial" w:eastAsia="Arial" w:hAnsi="Arial"/>
          <w:sz w:val="18"/>
          <w:szCs w:val="18"/>
          <w:color w:val="auto"/>
        </w:rPr>
        <w:t xml:space="preserve">Year Period 2017, 2018 and 2019 (the </w:t>
      </w:r>
      <w:r>
        <w:rPr>
          <w:rFonts w:ascii="Arial" w:cs="Arial" w:eastAsia="Arial" w:hAnsi="Arial"/>
          <w:sz w:val="18"/>
          <w:szCs w:val="18"/>
          <w:i w:val="1"/>
          <w:iCs w:val="1"/>
          <w:color w:val="auto"/>
        </w:rPr>
        <w:t>“LTIP 2017</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2019”</w:t>
      </w:r>
      <w:r>
        <w:rPr>
          <w:rFonts w:ascii="Arial" w:cs="Arial" w:eastAsia="Arial" w:hAnsi="Arial"/>
          <w:sz w:val="18"/>
          <w:szCs w:val="18"/>
          <w:color w:val="auto"/>
        </w:rPr>
        <w:t xml:space="preserve">). Michael J. Happe (President, Chief Executive Officer and Director), Sarah N. Nielsen (Vice President, Chief Financial Officer), S. Scott Degnan (Vice President and General Manager, Towables) and Scott C. Folkers (Vice President, General Counsel and Secretary), each currently employed by the Company unless otherwise noted and a “named executive officer” as determined by Securities and Exchange Commission reporting rules (collectively, the </w:t>
      </w:r>
      <w:r>
        <w:rPr>
          <w:rFonts w:ascii="Arial" w:cs="Arial" w:eastAsia="Arial" w:hAnsi="Arial"/>
          <w:sz w:val="18"/>
          <w:szCs w:val="18"/>
          <w:i w:val="1"/>
          <w:iCs w:val="1"/>
          <w:color w:val="auto"/>
        </w:rPr>
        <w:t>“Named Executive Officers”</w:t>
      </w:r>
      <w:r>
        <w:rPr>
          <w:rFonts w:ascii="Arial" w:cs="Arial" w:eastAsia="Arial" w:hAnsi="Arial"/>
          <w:sz w:val="18"/>
          <w:szCs w:val="18"/>
          <w:color w:val="auto"/>
        </w:rPr>
        <w:t>), together with other executive officers of the Company, are eligible for awards under both the 2017 Incentive Compensation Plan and the LTIP 2017</w:t>
      </w:r>
      <w:r>
        <w:rPr>
          <w:rFonts w:ascii="MS PGothic" w:cs="MS PGothic" w:eastAsia="MS PGothic" w:hAnsi="MS PGothic"/>
          <w:sz w:val="18"/>
          <w:szCs w:val="18"/>
          <w:color w:val="auto"/>
        </w:rPr>
        <w:t>‑</w:t>
      </w:r>
      <w:r>
        <w:rPr>
          <w:rFonts w:ascii="Arial" w:cs="Arial" w:eastAsia="Arial" w:hAnsi="Arial"/>
          <w:sz w:val="18"/>
          <w:szCs w:val="18"/>
          <w:color w:val="auto"/>
        </w:rPr>
        <w:t>2019 subject to the terms of the plans.</w:t>
      </w:r>
    </w:p>
    <w:p>
      <w:pPr>
        <w:spacing w:after="0" w:line="25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2017 Incentive Compensation Plan provides for an annual incentive award based upon the financial performance of the Company. The purpose of the 2017 Incentive Compensation Plan is to promote the growth and profitability of the Company by providing its officers with an incentive to achieve shorter-term corporate profit objectives and to attract and retain officers who will contribute to the achievement of growth and profitability of the Company. The 2017 Incentive Compensation Plan is an annual program that provides for annual measurements of financial performance and an opportunity for an annual incentive payment based on financial results measured against predetermined financial performance targets established by the Committee (these measures are set annually and may include earnings, return on equity, return on invested capital, increased sales, balance sheet management targets or other applicable measures) which were established at the Human Resources Committee meeting on October 11, 2016. Under the 2017 Incentive Compensation Plan, the amount of the Named Executive Officers' incentive compensation for the fiscal year shall be in direct proportion to the Company's financial performance expressed as a percentage (Financial Factor) against the base salary bonus (Target) for each participant. The Named Executive Officers must be employed by the Company at the end of the fiscal year to be eligible for any incentive payment, except for pro-rated payments made at the discretion of the Committee in the event of retirement, disability or death or upon a Change in Control as described below.</w:t>
      </w:r>
    </w:p>
    <w:p>
      <w:pPr>
        <w:spacing w:after="0" w:line="23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2017 Incentive Compensation Plan provides for a bonus (Target) of 100% (for the Chief Executive Officer) and 60% (in the case of the other Named Executive Officers) of base salary, respectively, paid in cash, at 100% achievement of the financial objectives.</w:t>
      </w:r>
    </w:p>
    <w:p>
      <w:pPr>
        <w:spacing w:after="0" w:line="223"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In the event of a “Change in Control” (as defined in the 2017 Incentive Compensation Plan) participants are entitled to receive full annual awards within 15 days of the effective date of the Change of Control based on the Committee's estimate of the Company's financial performance through the end of the year in which such Change in Control occurs.</w:t>
      </w:r>
    </w:p>
    <w:p>
      <w:pPr>
        <w:spacing w:after="0" w:line="216" w:lineRule="exact"/>
        <w:rPr>
          <w:sz w:val="20"/>
          <w:szCs w:val="20"/>
          <w:color w:val="auto"/>
        </w:rPr>
      </w:pPr>
    </w:p>
    <w:p>
      <w:pPr>
        <w:ind w:right="20"/>
        <w:spacing w:after="0" w:line="218" w:lineRule="exact"/>
        <w:rPr>
          <w:sz w:val="20"/>
          <w:szCs w:val="20"/>
          <w:color w:val="auto"/>
        </w:rPr>
      </w:pPr>
      <w:r>
        <w:rPr>
          <w:rFonts w:ascii="Arial" w:cs="Arial" w:eastAsia="Arial" w:hAnsi="Arial"/>
          <w:sz w:val="18"/>
          <w:szCs w:val="18"/>
          <w:color w:val="auto"/>
        </w:rPr>
        <w:t>The Named Executive Officers and other executive officers are also eligible for incentive awards under the LTIP 2017</w:t>
      </w:r>
      <w:r>
        <w:rPr>
          <w:rFonts w:ascii="MS PGothic" w:cs="MS PGothic" w:eastAsia="MS PGothic" w:hAnsi="MS PGothic"/>
          <w:sz w:val="18"/>
          <w:szCs w:val="18"/>
          <w:color w:val="auto"/>
        </w:rPr>
        <w:t>‑</w:t>
      </w:r>
      <w:r>
        <w:rPr>
          <w:rFonts w:ascii="Arial" w:cs="Arial" w:eastAsia="Arial" w:hAnsi="Arial"/>
          <w:sz w:val="18"/>
          <w:szCs w:val="18"/>
          <w:color w:val="auto"/>
        </w:rPr>
        <w:t>2019. The purpose of the LTIP 2017</w:t>
      </w:r>
      <w:r>
        <w:rPr>
          <w:rFonts w:ascii="MS PGothic" w:cs="MS PGothic" w:eastAsia="MS PGothic" w:hAnsi="MS PGothic"/>
          <w:sz w:val="18"/>
          <w:szCs w:val="18"/>
          <w:color w:val="auto"/>
        </w:rPr>
        <w:t>‑</w:t>
      </w:r>
      <w:r>
        <w:rPr>
          <w:rFonts w:ascii="Arial" w:cs="Arial" w:eastAsia="Arial" w:hAnsi="Arial"/>
          <w:sz w:val="18"/>
          <w:szCs w:val="18"/>
          <w:color w:val="auto"/>
        </w:rPr>
        <w:t>2019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 2017</w:t>
      </w:r>
      <w:r>
        <w:rPr>
          <w:rFonts w:ascii="MS PGothic" w:cs="MS PGothic" w:eastAsia="MS PGothic" w:hAnsi="MS PGothic"/>
          <w:sz w:val="18"/>
          <w:szCs w:val="18"/>
          <w:color w:val="auto"/>
        </w:rPr>
        <w:t>‑</w:t>
      </w:r>
      <w:r>
        <w:rPr>
          <w:rFonts w:ascii="Arial" w:cs="Arial" w:eastAsia="Arial" w:hAnsi="Arial"/>
          <w:sz w:val="18"/>
          <w:szCs w:val="18"/>
          <w:color w:val="auto"/>
        </w:rPr>
        <w:t>2019 provides for incentive awards consisting of performance stock grants made in restricted shares of the Company's Common Stock. The awards under the LTIP 2017</w:t>
      </w:r>
      <w:r>
        <w:rPr>
          <w:rFonts w:ascii="MS PGothic" w:cs="MS PGothic" w:eastAsia="MS PGothic" w:hAnsi="MS PGothic"/>
          <w:sz w:val="18"/>
          <w:szCs w:val="18"/>
          <w:color w:val="auto"/>
        </w:rPr>
        <w:t>‑</w:t>
      </w:r>
      <w:r>
        <w:rPr>
          <w:rFonts w:ascii="Arial" w:cs="Arial" w:eastAsia="Arial" w:hAnsi="Arial"/>
          <w:sz w:val="18"/>
          <w:szCs w:val="18"/>
          <w:color w:val="auto"/>
        </w:rPr>
        <w:t>2019 are based upon the Company's financial performance as measured against the Company's financial results at the end of the three year fiscal period. The Named Executive Officers must be employed by the Company at the end of fiscal 2019 to be eligible for an incentive award under the LTIP 2017</w:t>
      </w:r>
      <w:r>
        <w:rPr>
          <w:rFonts w:ascii="MS PGothic" w:cs="MS PGothic" w:eastAsia="MS PGothic" w:hAnsi="MS PGothic"/>
          <w:sz w:val="18"/>
          <w:szCs w:val="18"/>
          <w:color w:val="auto"/>
        </w:rPr>
        <w:t>‑</w:t>
      </w:r>
      <w:r>
        <w:rPr>
          <w:rFonts w:ascii="Arial" w:cs="Arial" w:eastAsia="Arial" w:hAnsi="Arial"/>
          <w:sz w:val="18"/>
          <w:szCs w:val="18"/>
          <w:color w:val="auto"/>
        </w:rPr>
        <w:t>2019, except upon a Change in Control as described below.</w:t>
      </w:r>
    </w:p>
    <w:p>
      <w:pPr>
        <w:spacing w:after="0" w:line="233"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Under the LTIP 2017-2019, the amount of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is in direct proportion to the Company's financial performance expressed as a percentage (Financial Factor) against award targets for each participant predetermined by the Committee (these measures are set annually and may include earnings, return on equity, return on invested capital, increased sales, balance sheet</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580" w:right="239" w:bottom="1440" w:gutter="0" w:footer="0" w:header="0"/>
        </w:sectPr>
      </w:pPr>
    </w:p>
    <w:bookmarkStart w:id="2" w:name="page3"/>
    <w:bookmarkEnd w:id="2"/>
    <w:p>
      <w:pPr>
        <w:spacing w:after="0" w:line="219" w:lineRule="exact"/>
        <w:rPr>
          <w:sz w:val="20"/>
          <w:szCs w:val="20"/>
          <w:color w:val="auto"/>
        </w:rPr>
      </w:pPr>
      <w:r>
        <w:rPr>
          <w:rFonts w:ascii="Arial" w:cs="Arial" w:eastAsia="Arial" w:hAnsi="Arial"/>
          <w:sz w:val="18"/>
          <w:szCs w:val="18"/>
          <w:color w:val="auto"/>
        </w:rPr>
        <w:t>management targets or other applicable measures). The Company's financial results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are used in determining the Financial Factor to be used for that plan period when calculating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Restricted stock earned under the LTIP 2017-2019 and approved by the Committee will be awarded as soon as practical after the Company's year-end accounting following the 2019 fiscal year end. The price of any restricted stock award will be the closing market price of the Company's Common Stock on the date on which the grant is approved by the Committee. The stock award restriction will be removed one year after the grant date.</w:t>
      </w:r>
    </w:p>
    <w:p>
      <w:pPr>
        <w:spacing w:after="0" w:line="233"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The long</w:t>
      </w:r>
      <w:r>
        <w:rPr>
          <w:rFonts w:ascii="MS PGothic" w:cs="MS PGothic" w:eastAsia="MS PGothic" w:hAnsi="MS PGothic"/>
          <w:sz w:val="18"/>
          <w:szCs w:val="18"/>
          <w:color w:val="auto"/>
        </w:rPr>
        <w:t>‑</w:t>
      </w:r>
      <w:r>
        <w:rPr>
          <w:rFonts w:ascii="Arial" w:cs="Arial" w:eastAsia="Arial" w:hAnsi="Arial"/>
          <w:sz w:val="18"/>
          <w:szCs w:val="18"/>
          <w:color w:val="auto"/>
        </w:rPr>
        <w:t>term incentive for the Chief Executive Officer provides for an opportunity of 100% of the annualized base salary and for Named Executive Officers 50% of the annualized base salary (Target) to be awarded in restricted stock at 100% achievement of the financial long-term objectives. The annualized base salary figure used is the salary in place for each participant as of September 2016. The resultant incentive award (at 100% of the three</w:t>
      </w:r>
      <w:r>
        <w:rPr>
          <w:rFonts w:ascii="MS PGothic" w:cs="MS PGothic" w:eastAsia="MS PGothic" w:hAnsi="MS PGothic"/>
          <w:sz w:val="18"/>
          <w:szCs w:val="18"/>
          <w:color w:val="auto"/>
        </w:rPr>
        <w:t>‑</w:t>
      </w:r>
      <w:r>
        <w:rPr>
          <w:rFonts w:ascii="Arial" w:cs="Arial" w:eastAsia="Arial" w:hAnsi="Arial"/>
          <w:sz w:val="18"/>
          <w:szCs w:val="18"/>
          <w:color w:val="auto"/>
        </w:rPr>
        <w:t>year fiscal management plan) will be adjusted up or down as determined by actual financial performance expressed as a percentage (Financial Factor) at the end of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6" w:lineRule="exact"/>
        <w:rPr>
          <w:sz w:val="20"/>
          <w:szCs w:val="20"/>
          <w:color w:val="auto"/>
        </w:rPr>
      </w:pPr>
    </w:p>
    <w:p>
      <w:pPr>
        <w:ind w:right="440"/>
        <w:spacing w:after="0" w:line="216" w:lineRule="exact"/>
        <w:rPr>
          <w:sz w:val="20"/>
          <w:szCs w:val="20"/>
          <w:color w:val="auto"/>
        </w:rPr>
      </w:pPr>
      <w:r>
        <w:rPr>
          <w:rFonts w:ascii="Arial" w:cs="Arial" w:eastAsia="Arial" w:hAnsi="Arial"/>
          <w:sz w:val="18"/>
          <w:szCs w:val="18"/>
          <w:color w:val="auto"/>
        </w:rPr>
        <w:t>The financial performance measurement or measurements and the threshold, target and maximum performance levels for which incentive awards will be paid pursuant to the LTIP 2017-2019 were established at the October 11, 2016 Human Resources Committee meeting. Financial performance achievement levels may be adjusted to include or exclude specific items of an unusual nature or non</w:t>
      </w:r>
      <w:r>
        <w:rPr>
          <w:rFonts w:ascii="MS PGothic" w:cs="MS PGothic" w:eastAsia="MS PGothic" w:hAnsi="MS PGothic"/>
          <w:sz w:val="18"/>
          <w:szCs w:val="18"/>
          <w:color w:val="auto"/>
        </w:rPr>
        <w:t>‑</w:t>
      </w:r>
      <w:r>
        <w:rPr>
          <w:rFonts w:ascii="Arial" w:cs="Arial" w:eastAsia="Arial" w:hAnsi="Arial"/>
          <w:sz w:val="18"/>
          <w:szCs w:val="18"/>
          <w:color w:val="auto"/>
        </w:rPr>
        <w:t>operating or significant events not anticipated by the Committee when financial performance measurements were established, as determined by the Committee in its sole discretion and as permitted by the LTIP 2017</w:t>
      </w:r>
      <w:r>
        <w:rPr>
          <w:rFonts w:ascii="MS PGothic" w:cs="MS PGothic" w:eastAsia="MS PGothic" w:hAnsi="MS PGothic"/>
          <w:sz w:val="18"/>
          <w:szCs w:val="18"/>
          <w:color w:val="auto"/>
        </w:rPr>
        <w:t>‑</w:t>
      </w:r>
      <w:r>
        <w:rPr>
          <w:rFonts w:ascii="Arial" w:cs="Arial" w:eastAsia="Arial" w:hAnsi="Arial"/>
          <w:sz w:val="18"/>
          <w:szCs w:val="18"/>
          <w:color w:val="auto"/>
        </w:rPr>
        <w:t>2019.</w:t>
      </w:r>
    </w:p>
    <w:p>
      <w:pPr>
        <w:spacing w:after="0" w:line="232" w:lineRule="exact"/>
        <w:rPr>
          <w:sz w:val="20"/>
          <w:szCs w:val="20"/>
          <w:color w:val="auto"/>
        </w:rPr>
      </w:pPr>
    </w:p>
    <w:p>
      <w:pPr>
        <w:ind w:right="200"/>
        <w:spacing w:after="0" w:line="221" w:lineRule="exact"/>
        <w:rPr>
          <w:sz w:val="20"/>
          <w:szCs w:val="20"/>
          <w:color w:val="auto"/>
        </w:rPr>
      </w:pPr>
      <w:r>
        <w:rPr>
          <w:rFonts w:ascii="Arial" w:cs="Arial" w:eastAsia="Arial" w:hAnsi="Arial"/>
          <w:sz w:val="18"/>
          <w:szCs w:val="18"/>
          <w:color w:val="auto"/>
        </w:rPr>
        <w:t>In the event of a “Change in Control” (as defined in the LTIP 2017-2019) participants are entitled to receive a full three</w:t>
      </w:r>
      <w:r>
        <w:rPr>
          <w:rFonts w:ascii="MS PGothic" w:cs="MS PGothic" w:eastAsia="MS PGothic" w:hAnsi="MS PGothic"/>
          <w:sz w:val="18"/>
          <w:szCs w:val="18"/>
          <w:color w:val="auto"/>
        </w:rPr>
        <w:t>‑</w:t>
      </w:r>
      <w:r>
        <w:rPr>
          <w:rFonts w:ascii="Arial" w:cs="Arial" w:eastAsia="Arial" w:hAnsi="Arial"/>
          <w:sz w:val="18"/>
          <w:szCs w:val="18"/>
          <w:color w:val="auto"/>
        </w:rPr>
        <w:t>year plan award within 15 days of the effective date based on the Committee's estimate of the Company's financial performance through the end of the LTIP 2017-2019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the event the Committee reasonably determines that the performance certified by the Committee, and any payment made to a participant with respect to the 2017 Incentive Compensation Plan or the LTIP 2017-2019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 the Company such amounts required under any rules or regulations adopted by the Securities and Exchange Commission under Section 10D(b)(2) of the Securities Exchange Act of 1934, as amended,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240" w:lineRule="exact"/>
        <w:rPr>
          <w:sz w:val="20"/>
          <w:szCs w:val="20"/>
          <w:color w:val="auto"/>
        </w:rPr>
      </w:pPr>
    </w:p>
    <w:p>
      <w:pPr>
        <w:jc w:val="both"/>
        <w:ind w:right="200"/>
        <w:spacing w:after="0" w:line="216" w:lineRule="exact"/>
        <w:rPr>
          <w:sz w:val="20"/>
          <w:szCs w:val="20"/>
          <w:color w:val="auto"/>
        </w:rPr>
      </w:pPr>
      <w:r>
        <w:rPr>
          <w:rFonts w:ascii="Arial" w:cs="Arial" w:eastAsia="Arial" w:hAnsi="Arial"/>
          <w:sz w:val="18"/>
          <w:szCs w:val="18"/>
          <w:color w:val="auto"/>
        </w:rPr>
        <w:t>The foregoing description of the 2017 Incentive Compensation Plan and the LTIP 2017-2019 is a summary. Reference is made to each of the 2017 Incentive Compensation Plan and the LTIP 2017</w:t>
      </w:r>
      <w:r>
        <w:rPr>
          <w:rFonts w:ascii="MS PGothic" w:cs="MS PGothic" w:eastAsia="MS PGothic" w:hAnsi="MS PGothic"/>
          <w:sz w:val="18"/>
          <w:szCs w:val="18"/>
          <w:color w:val="auto"/>
        </w:rPr>
        <w:t>‑</w:t>
      </w:r>
      <w:r>
        <w:rPr>
          <w:rFonts w:ascii="Arial" w:cs="Arial" w:eastAsia="Arial" w:hAnsi="Arial"/>
          <w:sz w:val="18"/>
          <w:szCs w:val="18"/>
          <w:color w:val="auto"/>
        </w:rPr>
        <w:t>2019 filed as Exhibits 99.1 and 99.2, respectively, to this Report and are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827" w:right="239" w:bottom="1440" w:gutter="0" w:footer="0" w:header="0"/>
        </w:sectPr>
      </w:pPr>
    </w:p>
    <w:bookmarkStart w:id="3" w:name="page4"/>
    <w:bookmarkEnd w:id="3"/>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65" w:lineRule="exact"/>
        <w:rPr>
          <w:sz w:val="20"/>
          <w:szCs w:val="20"/>
          <w:color w:val="auto"/>
        </w:rPr>
      </w:pPr>
    </w:p>
    <w:p>
      <w:pPr>
        <w:ind w:left="1520" w:hanging="864"/>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Exhibit</w:t>
      </w:r>
    </w:p>
    <w:p>
      <w:pPr>
        <w:spacing w:after="0" w:line="63" w:lineRule="exact"/>
        <w:rPr>
          <w:sz w:val="20"/>
          <w:szCs w:val="20"/>
          <w:color w:val="auto"/>
        </w:rPr>
      </w:pPr>
    </w:p>
    <w:p>
      <w:pPr>
        <w:ind w:left="1200"/>
        <w:spacing w:after="0"/>
        <w:tabs>
          <w:tab w:leader="none" w:pos="206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28575</wp:posOffset>
            </wp:positionV>
            <wp:extent cx="5780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95"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Officers Incentive Compensation Plan Fiscal Period 2017</w:t>
      </w:r>
    </w:p>
    <w:p>
      <w:pPr>
        <w:spacing w:after="0" w:line="387"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Long-Term Incentive Plan Fiscal Three-Year Period 2017, 2018 and 2019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IGNATURE</w:t>
      </w:r>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40"/>
        <w:spacing w:after="0"/>
        <w:tabs>
          <w:tab w:leader="none" w:pos="700" w:val="left"/>
          <w:tab w:leader="none" w:pos="4560" w:val="left"/>
        </w:tabs>
        <w:rPr>
          <w:sz w:val="20"/>
          <w:szCs w:val="20"/>
          <w:color w:val="auto"/>
        </w:rPr>
      </w:pPr>
      <w:r>
        <w:rPr>
          <w:rFonts w:ascii="Arial" w:cs="Arial" w:eastAsia="Arial" w:hAnsi="Arial"/>
          <w:sz w:val="18"/>
          <w:szCs w:val="18"/>
          <w:color w:val="auto"/>
        </w:rPr>
        <w:t>Date:</w:t>
        <w:tab/>
        <w:t>October 13, 2016</w:t>
      </w:r>
      <w:r>
        <w:rPr>
          <w:sz w:val="20"/>
          <w:szCs w:val="20"/>
          <w:color w:val="auto"/>
        </w:rPr>
        <w:tab/>
      </w:r>
      <w:r>
        <w:rPr>
          <w:rFonts w:ascii="Arial" w:cs="Arial" w:eastAsia="Arial" w:hAnsi="Arial"/>
          <w:sz w:val="18"/>
          <w:szCs w:val="18"/>
          <w:color w:val="auto"/>
        </w:rPr>
        <w:t>W</w:t>
      </w:r>
      <w:r>
        <w:rPr>
          <w:rFonts w:ascii="Arial" w:cs="Arial" w:eastAsia="Arial" w:hAnsi="Arial"/>
          <w:sz w:val="14"/>
          <w:szCs w:val="14"/>
          <w:color w:val="auto"/>
        </w:rPr>
        <w:t>INNEBAGO</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I</w:t>
      </w:r>
      <w:r>
        <w:rPr>
          <w:rFonts w:ascii="Arial" w:cs="Arial" w:eastAsia="Arial" w:hAnsi="Arial"/>
          <w:sz w:val="14"/>
          <w:szCs w:val="14"/>
          <w:color w:val="auto"/>
        </w:rPr>
        <w:t>NC.</w:t>
      </w:r>
    </w:p>
    <w:p>
      <w:pPr>
        <w:spacing w:after="0" w:line="200" w:lineRule="exact"/>
        <w:rPr>
          <w:sz w:val="20"/>
          <w:szCs w:val="20"/>
          <w:color w:val="auto"/>
        </w:rPr>
      </w:pPr>
    </w:p>
    <w:p>
      <w:pPr>
        <w:spacing w:after="0" w:line="399" w:lineRule="exact"/>
        <w:rPr>
          <w:sz w:val="20"/>
          <w:szCs w:val="20"/>
          <w:color w:val="auto"/>
        </w:rPr>
      </w:pPr>
    </w:p>
    <w:tbl>
      <w:tblPr>
        <w:tblLayout w:type="fixed"/>
        <w:tblInd w:w="462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Scott C. Folkers</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Scott C. Folkers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General Counsel and Secretary</w:t>
            </w:r>
          </w:p>
        </w:tc>
      </w:tr>
      <w:tr>
        <w:trPr>
          <w:trHeight w:val="434"/>
        </w:trPr>
        <w:tc>
          <w:tcPr>
            <w:tcW w:w="880" w:type="dxa"/>
            <w:vAlign w:val="bottom"/>
          </w:tcPr>
          <w:p>
            <w:pPr>
              <w:spacing w:after="0"/>
              <w:rPr>
                <w:sz w:val="24"/>
                <w:szCs w:val="24"/>
                <w:color w:val="auto"/>
              </w:rPr>
            </w:pPr>
          </w:p>
        </w:tc>
        <w:tc>
          <w:tcPr>
            <w:tcW w:w="5360" w:type="dxa"/>
            <w:vAlign w:val="bottom"/>
          </w:tcPr>
          <w:p>
            <w:pPr>
              <w:jc w:val="right"/>
              <w:ind w:right="5014"/>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00"/>
          </w:cols>
          <w:pgMar w:left="240" w:top="580" w:right="2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Officers Incentive Compensation Plan Fiscal Period 2017</w:t>
      </w:r>
    </w:p>
    <w:p>
      <w:pPr>
        <w:spacing w:after="0" w:line="374"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Long-Term Incentive Plan Fiscal Three-Year Period 2017, 2018 and 2019</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576"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2146935</wp:posOffset>
            </wp:positionH>
            <wp:positionV relativeFrom="page">
              <wp:posOffset>963930</wp:posOffset>
            </wp:positionV>
            <wp:extent cx="326707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OFFICERS INCENTIVE COMPENSATION PLAN</w:t>
      </w:r>
    </w:p>
    <w:p>
      <w:pPr>
        <w:sectPr>
          <w:pgSz w:w="11900" w:h="16838" w:orient="portrait"/>
          <w:cols w:equalWidth="0" w:num="1">
            <w:col w:w="9019"/>
          </w:cols>
          <w:pgMar w:left="1440" w:top="1440" w:right="1440" w:bottom="1440" w:gutter="0" w:footer="0" w:header="0"/>
        </w:sectPr>
      </w:pPr>
    </w:p>
    <w:p>
      <w:pPr>
        <w:spacing w:after="0" w:line="234" w:lineRule="exact"/>
        <w:rPr>
          <w:sz w:val="20"/>
          <w:szCs w:val="20"/>
          <w:color w:val="auto"/>
        </w:rPr>
      </w:pPr>
    </w:p>
    <w:p>
      <w:pPr>
        <w:ind w:left="2620"/>
        <w:spacing w:after="0"/>
        <w:rPr>
          <w:sz w:val="20"/>
          <w:szCs w:val="20"/>
          <w:color w:val="auto"/>
        </w:rPr>
      </w:pPr>
      <w:r>
        <w:rPr>
          <w:rFonts w:ascii="Arial" w:cs="Arial" w:eastAsia="Arial" w:hAnsi="Arial"/>
          <w:sz w:val="35"/>
          <w:szCs w:val="35"/>
          <w:b w:val="1"/>
          <w:bCs w:val="1"/>
          <w:color w:val="auto"/>
        </w:rPr>
        <w:t>GROUP A - OFFICERS</w:t>
      </w:r>
    </w:p>
    <w:p>
      <w:pPr>
        <w:spacing w:after="0" w:line="246" w:lineRule="exact"/>
        <w:rPr>
          <w:sz w:val="20"/>
          <w:szCs w:val="20"/>
          <w:color w:val="auto"/>
        </w:rPr>
      </w:pPr>
    </w:p>
    <w:p>
      <w:pPr>
        <w:ind w:left="2700"/>
        <w:spacing w:after="0"/>
        <w:rPr>
          <w:sz w:val="20"/>
          <w:szCs w:val="20"/>
          <w:color w:val="auto"/>
        </w:rPr>
      </w:pPr>
      <w:r>
        <w:rPr>
          <w:rFonts w:ascii="Arial" w:cs="Arial" w:eastAsia="Arial" w:hAnsi="Arial"/>
          <w:sz w:val="36"/>
          <w:szCs w:val="36"/>
          <w:b w:val="1"/>
          <w:bCs w:val="1"/>
          <w:color w:val="auto"/>
        </w:rPr>
        <w:t>FISCAL PERIOD 2017</w:t>
      </w:r>
    </w:p>
    <w:p>
      <w:pPr>
        <w:sectPr>
          <w:pgSz w:w="11900" w:h="16838" w:orient="portrait"/>
          <w:cols w:equalWidth="0" w:num="1">
            <w:col w:w="9019"/>
          </w:cols>
          <w:pgMar w:left="1440" w:top="1440" w:right="1440" w:bottom="1440" w:gutter="0" w:footer="0" w:header="0"/>
          <w:type w:val="continuous"/>
        </w:sectPr>
      </w:pPr>
    </w:p>
    <w:bookmarkStart w:id="6" w:name="page7"/>
    <w:bookmarkEnd w:id="6"/>
    <w:p>
      <w:pPr>
        <w:jc w:val="center"/>
        <w:ind w:right="-3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31"/>
        <w:spacing w:after="0"/>
        <w:rPr>
          <w:sz w:val="20"/>
          <w:szCs w:val="20"/>
          <w:color w:val="auto"/>
        </w:rPr>
      </w:pPr>
      <w:r>
        <w:rPr>
          <w:rFonts w:ascii="Arial" w:cs="Arial" w:eastAsia="Arial" w:hAnsi="Arial"/>
          <w:sz w:val="25"/>
          <w:szCs w:val="25"/>
          <w:b w:val="1"/>
          <w:bCs w:val="1"/>
          <w:color w:val="auto"/>
        </w:rPr>
        <w:t>OFFICERS INCENTIVE COMPENSATION PLAN</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25"/>
          <w:szCs w:val="25"/>
          <w:b w:val="1"/>
          <w:bCs w:val="1"/>
          <w:color w:val="auto"/>
        </w:rPr>
        <w:t>Fiscal Period 2017</w:t>
      </w:r>
    </w:p>
    <w:p>
      <w:pPr>
        <w:spacing w:after="0" w:line="235" w:lineRule="exact"/>
        <w:rPr>
          <w:sz w:val="20"/>
          <w:szCs w:val="20"/>
          <w:color w:val="auto"/>
        </w:rPr>
      </w:pPr>
    </w:p>
    <w:p>
      <w:pPr>
        <w:jc w:val="both"/>
        <w:ind w:left="652" w:right="220" w:hanging="652"/>
        <w:spacing w:after="0" w:line="252" w:lineRule="auto"/>
        <w:tabs>
          <w:tab w:leader="none" w:pos="65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Incentive Compensation Plan (the “Plan”) is to promote</w:t>
      </w:r>
      <w:r>
        <w:rPr>
          <w:rFonts w:ascii="Arial" w:cs="Arial" w:eastAsia="Arial" w:hAnsi="Arial"/>
          <w:sz w:val="22"/>
          <w:szCs w:val="22"/>
          <w:b w:val="1"/>
          <w:bCs w:val="1"/>
          <w:color w:val="auto"/>
        </w:rPr>
        <w:t xml:space="preserve"> </w:t>
      </w:r>
      <w:r>
        <w:rPr>
          <w:rFonts w:ascii="Arial" w:cs="Arial" w:eastAsia="Arial" w:hAnsi="Arial"/>
          <w:sz w:val="22"/>
          <w:szCs w:val="22"/>
          <w:color w:val="auto"/>
        </w:rPr>
        <w:t>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180" w:lineRule="exact"/>
        <w:rPr>
          <w:rFonts w:ascii="Arial" w:cs="Arial" w:eastAsia="Arial" w:hAnsi="Arial"/>
          <w:sz w:val="22"/>
          <w:szCs w:val="22"/>
          <w:color w:val="auto"/>
        </w:rPr>
      </w:pPr>
    </w:p>
    <w:p>
      <w:pPr>
        <w:ind w:left="652" w:hanging="652"/>
        <w:spacing w:after="0"/>
        <w:tabs>
          <w:tab w:leader="none" w:pos="65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60" w:hanging="644"/>
        <w:spacing w:after="0" w:line="298" w:lineRule="auto"/>
        <w:tabs>
          <w:tab w:leader="none" w:pos="1292" w:val="left"/>
        </w:tabs>
        <w:numPr>
          <w:ilvl w:val="1"/>
          <w:numId w:val="4"/>
        </w:numPr>
        <w:rPr>
          <w:rFonts w:ascii="Arial" w:cs="Arial" w:eastAsia="Arial" w:hAnsi="Arial"/>
          <w:sz w:val="19"/>
          <w:szCs w:val="19"/>
          <w:color w:val="auto"/>
        </w:rPr>
      </w:pPr>
      <w:r>
        <w:rPr>
          <w:rFonts w:ascii="Arial" w:cs="Arial" w:eastAsia="Arial" w:hAnsi="Arial"/>
          <w:sz w:val="19"/>
          <w:szCs w:val="19"/>
          <w:b w:val="1"/>
          <w:bCs w:val="1"/>
          <w:u w:val="single" w:color="auto"/>
          <w:color w:val="auto"/>
        </w:rPr>
        <w:t>2014 Omnibus Equity, Performance Award, and Incentive Compensation Plan.</w:t>
      </w:r>
      <w:r>
        <w:rPr>
          <w:rFonts w:ascii="Arial" w:cs="Arial" w:eastAsia="Arial" w:hAnsi="Arial"/>
          <w:sz w:val="19"/>
          <w:szCs w:val="19"/>
          <w:b w:val="1"/>
          <w:bCs w:val="1"/>
          <w:color w:val="auto"/>
        </w:rPr>
        <w:t xml:space="preserve"> </w:t>
      </w:r>
      <w:r>
        <w:rPr>
          <w:rFonts w:ascii="Arial" w:cs="Arial" w:eastAsia="Arial" w:hAnsi="Arial"/>
          <w:sz w:val="19"/>
          <w:szCs w:val="19"/>
          <w:color w:val="auto"/>
        </w:rPr>
        <w:t>Any awards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under this Plan shall be issued under and pursuant to the terms of the Company’s 2014 Omnibus Equity, Performance Award, and Incentive Compensation Plan (the “Stock Plan”), and the terms of this Plan and any determinations made hereunder shall constitute terms and conditions of the award of common stock under the Stock Plan. Terms not otherwise defined in this Plan shall have the meaning set forth in the Stock Plan.</w:t>
      </w:r>
    </w:p>
    <w:p>
      <w:pPr>
        <w:spacing w:after="0" w:line="142" w:lineRule="exact"/>
        <w:rPr>
          <w:rFonts w:ascii="Arial" w:cs="Arial" w:eastAsia="Arial" w:hAnsi="Arial"/>
          <w:sz w:val="19"/>
          <w:szCs w:val="19"/>
          <w:color w:val="auto"/>
        </w:rPr>
      </w:pPr>
    </w:p>
    <w:p>
      <w:pPr>
        <w:ind w:left="1292" w:right="180" w:hanging="644"/>
        <w:spacing w:after="0" w:line="267" w:lineRule="auto"/>
        <w:tabs>
          <w:tab w:leader="none" w:pos="1292" w:val="left"/>
        </w:tabs>
        <w:numPr>
          <w:ilvl w:val="1"/>
          <w:numId w:val="4"/>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Plan shall be administered by the Human Resources Committee (the “Committee”)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Board of Directors, or a subset of such Committee that satisfies the requirements of Section 162(m) of the Internal Revenue Code of 1986, as amended, and regulations promulgated thereunder (the “Code”) with respect to any incentive compensation subject to Code §162(m).</w:t>
      </w:r>
    </w:p>
    <w:p>
      <w:pPr>
        <w:spacing w:after="0" w:line="167" w:lineRule="exact"/>
        <w:rPr>
          <w:rFonts w:ascii="Arial" w:cs="Arial" w:eastAsia="Arial" w:hAnsi="Arial"/>
          <w:sz w:val="21"/>
          <w:szCs w:val="21"/>
          <w:color w:val="auto"/>
        </w:rPr>
      </w:pPr>
    </w:p>
    <w:p>
      <w:pPr>
        <w:ind w:left="1292" w:right="80" w:hanging="644"/>
        <w:spacing w:after="0" w:line="252" w:lineRule="auto"/>
        <w:tabs>
          <w:tab w:leader="none" w:pos="1292"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80" w:lineRule="exact"/>
        <w:rPr>
          <w:rFonts w:ascii="Arial" w:cs="Arial" w:eastAsia="Arial" w:hAnsi="Arial"/>
          <w:sz w:val="22"/>
          <w:szCs w:val="22"/>
          <w:color w:val="auto"/>
        </w:rPr>
      </w:pPr>
    </w:p>
    <w:p>
      <w:pPr>
        <w:ind w:left="1292" w:hanging="644"/>
        <w:spacing w:after="0" w:line="269" w:lineRule="auto"/>
        <w:tabs>
          <w:tab w:leader="none" w:pos="1292"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Approval</w:t>
      </w:r>
      <w:r>
        <w:rPr>
          <w:rFonts w:ascii="Arial" w:cs="Arial" w:eastAsia="Arial" w:hAnsi="Arial"/>
          <w:sz w:val="22"/>
          <w:szCs w:val="22"/>
          <w:color w:val="auto"/>
        </w:rPr>
        <w:t>. The Board must approve the Plan and specific target metrics within the first 90 days of each new</w:t>
      </w:r>
      <w:r>
        <w:rPr>
          <w:rFonts w:ascii="Arial" w:cs="Arial" w:eastAsia="Arial" w:hAnsi="Arial"/>
          <w:sz w:val="22"/>
          <w:szCs w:val="22"/>
          <w:b w:val="1"/>
          <w:bCs w:val="1"/>
          <w:color w:val="auto"/>
        </w:rPr>
        <w:t xml:space="preserve"> </w:t>
      </w:r>
      <w:r>
        <w:rPr>
          <w:rFonts w:ascii="Arial" w:cs="Arial" w:eastAsia="Arial" w:hAnsi="Arial"/>
          <w:sz w:val="22"/>
          <w:szCs w:val="22"/>
          <w:color w:val="auto"/>
        </w:rPr>
        <w:t>fiscal year.</w:t>
      </w:r>
    </w:p>
    <w:p>
      <w:pPr>
        <w:spacing w:after="0" w:line="162" w:lineRule="exact"/>
        <w:rPr>
          <w:rFonts w:ascii="Arial" w:cs="Arial" w:eastAsia="Arial" w:hAnsi="Arial"/>
          <w:sz w:val="22"/>
          <w:szCs w:val="22"/>
          <w:color w:val="auto"/>
        </w:rPr>
      </w:pPr>
    </w:p>
    <w:p>
      <w:pPr>
        <w:ind w:left="652" w:hanging="652"/>
        <w:spacing w:after="0"/>
        <w:tabs>
          <w:tab w:leader="none" w:pos="65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292" w:right="20" w:hanging="644"/>
        <w:spacing w:after="0" w:line="263" w:lineRule="auto"/>
        <w:tabs>
          <w:tab w:leader="none" w:pos="1292" w:val="left"/>
        </w:tabs>
        <w:numPr>
          <w:ilvl w:val="1"/>
          <w:numId w:val="4"/>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w:t>
      </w:r>
    </w:p>
    <w:p>
      <w:pPr>
        <w:spacing w:after="0" w:line="219" w:lineRule="exact"/>
        <w:rPr>
          <w:rFonts w:ascii="Arial" w:cs="Arial" w:eastAsia="Arial" w:hAnsi="Arial"/>
          <w:sz w:val="22"/>
          <w:szCs w:val="22"/>
          <w:color w:val="auto"/>
        </w:rPr>
      </w:pPr>
    </w:p>
    <w:p>
      <w:pPr>
        <w:ind w:left="1292" w:right="140" w:hanging="644"/>
        <w:spacing w:after="0" w:line="263" w:lineRule="auto"/>
        <w:tabs>
          <w:tab w:leader="none" w:pos="1292"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and for any pro-rated payment of earned incentives due to retirement, disability or</w:t>
      </w:r>
    </w:p>
    <w:p>
      <w:pPr>
        <w:spacing w:after="0" w:line="200" w:lineRule="exact"/>
        <w:rPr>
          <w:sz w:val="20"/>
          <w:szCs w:val="20"/>
          <w:color w:val="auto"/>
        </w:rPr>
      </w:pPr>
    </w:p>
    <w:p>
      <w:pPr>
        <w:spacing w:after="0" w:line="2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92"/>
          </w:cols>
          <w:pgMar w:left="248" w:top="832" w:right="259" w:bottom="1440" w:gutter="0" w:footer="0" w:header="0"/>
        </w:sectPr>
      </w:pPr>
    </w:p>
    <w:bookmarkStart w:id="7" w:name="page8"/>
    <w:bookmarkEnd w:id="7"/>
    <w:p>
      <w:pPr>
        <w:ind w:left="1292" w:right="300"/>
        <w:spacing w:after="0" w:line="263" w:lineRule="auto"/>
        <w:rPr>
          <w:sz w:val="20"/>
          <w:szCs w:val="20"/>
          <w:color w:val="auto"/>
        </w:rPr>
      </w:pPr>
      <w:r>
        <w:rPr>
          <w:rFonts w:ascii="Arial" w:cs="Arial" w:eastAsia="Arial" w:hAnsi="Arial"/>
          <w:sz w:val="22"/>
          <w:szCs w:val="22"/>
          <w:color w:val="auto"/>
        </w:rPr>
        <w:t>death. Unless otherwise specified, participants must be employed as of the end of the fiscal year to be eligible for any incentive payment.</w:t>
      </w:r>
    </w:p>
    <w:p>
      <w:pPr>
        <w:spacing w:after="0" w:line="169" w:lineRule="exact"/>
        <w:rPr>
          <w:sz w:val="20"/>
          <w:szCs w:val="20"/>
          <w:color w:val="auto"/>
        </w:rPr>
      </w:pPr>
    </w:p>
    <w:p>
      <w:pPr>
        <w:ind w:left="652" w:right="120" w:hanging="652"/>
        <w:spacing w:after="0" w:line="315" w:lineRule="auto"/>
        <w:tabs>
          <w:tab w:leader="none" w:pos="652" w:val="left"/>
        </w:tabs>
        <w:numPr>
          <w:ilvl w:val="0"/>
          <w:numId w:val="5"/>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the Plan</w:t>
      </w:r>
      <w:r>
        <w:rPr>
          <w:rFonts w:ascii="Arial" w:cs="Arial" w:eastAsia="Arial" w:hAnsi="Arial"/>
          <w:sz w:val="19"/>
          <w:szCs w:val="19"/>
          <w:color w:val="auto"/>
        </w:rPr>
        <w:t>. The incentive award is based upon financial performance of the Corporation and certain measurable</w:t>
      </w:r>
      <w:r>
        <w:rPr>
          <w:rFonts w:ascii="Arial" w:cs="Arial" w:eastAsia="Arial" w:hAnsi="Arial"/>
          <w:sz w:val="19"/>
          <w:szCs w:val="19"/>
          <w:b w:val="1"/>
          <w:bCs w:val="1"/>
          <w:color w:val="auto"/>
        </w:rPr>
        <w:t xml:space="preserve"> </w:t>
      </w:r>
      <w:r>
        <w:rPr>
          <w:rFonts w:ascii="Arial" w:cs="Arial" w:eastAsia="Arial" w:hAnsi="Arial"/>
          <w:sz w:val="19"/>
          <w:szCs w:val="19"/>
          <w:color w:val="auto"/>
        </w:rPr>
        <w:t>strategic performance objectives. The Plan is an annual program that provides for annual measurements of financial and/or strategic performance and an opportunity for an annual incentive payment based on performance results.</w:t>
      </w:r>
    </w:p>
    <w:p>
      <w:pPr>
        <w:spacing w:after="0" w:line="131" w:lineRule="exact"/>
        <w:rPr>
          <w:rFonts w:ascii="Arial" w:cs="Arial" w:eastAsia="Arial" w:hAnsi="Arial"/>
          <w:sz w:val="19"/>
          <w:szCs w:val="19"/>
          <w:color w:val="auto"/>
        </w:rPr>
      </w:pPr>
    </w:p>
    <w:p>
      <w:pPr>
        <w:ind w:left="652"/>
        <w:spacing w:after="0" w:line="290" w:lineRule="auto"/>
        <w:rPr>
          <w:rFonts w:ascii="Arial" w:cs="Arial" w:eastAsia="Arial" w:hAnsi="Arial"/>
          <w:sz w:val="19"/>
          <w:szCs w:val="19"/>
          <w:color w:val="auto"/>
        </w:rPr>
      </w:pPr>
      <w:r>
        <w:rPr>
          <w:rFonts w:ascii="Arial" w:cs="Arial" w:eastAsia="Arial" w:hAnsi="Arial"/>
          <w:sz w:val="19"/>
          <w:szCs w:val="19"/>
          <w:color w:val="auto"/>
        </w:rPr>
        <w:t>The performance measurements for this Plan will be based upon one or more pre-established financial and strategic performance measurements. These performance measurements will provide an appropriate balance between quality and quantity of earnings or other financial criteria. The Committee will establish the financial measurements and strategic performance objectives for each participant including a Target, a minimum threshold below which an incentive will not be paid, and a maximum incentive level within the first 90 days of the fiscal year. Financial and strategic performance achievement levels may be adjusted to include or exclude specific items of an unusual nature or non-operating or significant events not anticipated by the Committee when the financial and strategic performance measurements were established, as determined by the Committee in its sole discretion and as permitted by the Plan.</w:t>
      </w:r>
    </w:p>
    <w:p>
      <w:pPr>
        <w:spacing w:after="0" w:line="156" w:lineRule="exact"/>
        <w:rPr>
          <w:rFonts w:ascii="Arial" w:cs="Arial" w:eastAsia="Arial" w:hAnsi="Arial"/>
          <w:sz w:val="19"/>
          <w:szCs w:val="19"/>
          <w:color w:val="auto"/>
        </w:rPr>
      </w:pPr>
    </w:p>
    <w:p>
      <w:pPr>
        <w:ind w:left="652" w:right="260"/>
        <w:spacing w:after="0" w:line="253" w:lineRule="auto"/>
        <w:rPr>
          <w:rFonts w:ascii="Arial" w:cs="Arial" w:eastAsia="Arial" w:hAnsi="Arial"/>
          <w:sz w:val="19"/>
          <w:szCs w:val="19"/>
          <w:color w:val="auto"/>
        </w:rPr>
      </w:pPr>
      <w:r>
        <w:rPr>
          <w:rFonts w:ascii="Arial" w:cs="Arial" w:eastAsia="Arial" w:hAnsi="Arial"/>
          <w:sz w:val="22"/>
          <w:szCs w:val="22"/>
          <w:color w:val="auto"/>
        </w:rPr>
        <w:t>The Board of Directors has determined that the following strategic performance criteria may be taken into account by the Committee, along with other measurable strategic performance criteria that they identify, when they are determining the strategic performance objectives for the Plan:</w:t>
      </w:r>
    </w:p>
    <w:p>
      <w:pPr>
        <w:sectPr>
          <w:pgSz w:w="11900" w:h="16838" w:orient="portrait"/>
          <w:cols w:equalWidth="0" w:num="1">
            <w:col w:w="11392"/>
          </w:cols>
          <w:pgMar w:left="248" w:top="591" w:right="259" w:bottom="1440" w:gutter="0" w:footer="0" w:header="0"/>
        </w:sectPr>
      </w:pPr>
    </w:p>
    <w:p>
      <w:pPr>
        <w:spacing w:after="0" w:line="334" w:lineRule="exact"/>
        <w:rPr>
          <w:sz w:val="20"/>
          <w:szCs w:val="20"/>
          <w:color w:val="auto"/>
        </w:rPr>
      </w:pPr>
    </w:p>
    <w:p>
      <w:pPr>
        <w:ind w:left="1732"/>
        <w:spacing w:after="0"/>
        <w:rPr>
          <w:sz w:val="20"/>
          <w:szCs w:val="20"/>
          <w:color w:val="auto"/>
        </w:rPr>
      </w:pPr>
      <w:r>
        <w:rPr>
          <w:rFonts w:ascii="Arial" w:cs="Arial" w:eastAsia="Arial" w:hAnsi="Arial"/>
          <w:sz w:val="19"/>
          <w:szCs w:val="19"/>
          <w:color w:val="auto"/>
        </w:rPr>
        <w:t>Revenue Growth</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color w:val="auto"/>
        </w:rPr>
        <w:t>Customer/Employee Satisfaction</w:t>
      </w:r>
    </w:p>
    <w:p>
      <w:pPr>
        <w:spacing w:after="0" w:line="79" w:lineRule="exact"/>
        <w:rPr>
          <w:sz w:val="20"/>
          <w:szCs w:val="20"/>
          <w:color w:val="auto"/>
        </w:rPr>
      </w:pPr>
    </w:p>
    <w:p>
      <w:pPr>
        <w:sectPr>
          <w:pgSz w:w="11900" w:h="16838" w:orient="portrait"/>
          <w:cols w:equalWidth="0" w:num="2">
            <w:col w:w="4612" w:space="720"/>
            <w:col w:w="6060"/>
          </w:cols>
          <w:pgMar w:left="248" w:top="591" w:right="259" w:bottom="1440" w:gutter="0" w:footer="0" w:header="0"/>
          <w:type w:val="continuous"/>
        </w:sectPr>
      </w:pPr>
    </w:p>
    <w:p>
      <w:pPr>
        <w:ind w:left="1732"/>
        <w:spacing w:after="0"/>
        <w:rPr>
          <w:sz w:val="20"/>
          <w:szCs w:val="20"/>
          <w:color w:val="auto"/>
        </w:rPr>
      </w:pPr>
      <w:r>
        <w:rPr>
          <w:rFonts w:ascii="Arial" w:cs="Arial" w:eastAsia="Arial" w:hAnsi="Arial"/>
          <w:sz w:val="19"/>
          <w:szCs w:val="19"/>
          <w:color w:val="auto"/>
        </w:rPr>
        <w:t>Market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Inventory Management</w:t>
      </w:r>
    </w:p>
    <w:p>
      <w:pPr>
        <w:spacing w:after="0" w:line="79" w:lineRule="exact"/>
        <w:rPr>
          <w:sz w:val="20"/>
          <w:szCs w:val="20"/>
          <w:color w:val="auto"/>
        </w:rPr>
      </w:pPr>
    </w:p>
    <w:p>
      <w:pPr>
        <w:sectPr>
          <w:pgSz w:w="11900" w:h="16838" w:orient="portrait"/>
          <w:cols w:equalWidth="0" w:num="2">
            <w:col w:w="4612" w:space="720"/>
            <w:col w:w="6060"/>
          </w:cols>
          <w:pgMar w:left="248" w:top="591" w:right="259" w:bottom="1440" w:gutter="0" w:footer="0" w:header="0"/>
          <w:type w:val="continuous"/>
        </w:sectPr>
      </w:pPr>
    </w:p>
    <w:p>
      <w:pPr>
        <w:ind w:left="1732"/>
        <w:spacing w:after="0"/>
        <w:rPr>
          <w:sz w:val="20"/>
          <w:szCs w:val="20"/>
          <w:color w:val="auto"/>
        </w:rPr>
      </w:pPr>
      <w:r>
        <w:rPr>
          <w:rFonts w:ascii="Arial" w:cs="Arial" w:eastAsia="Arial" w:hAnsi="Arial"/>
          <w:sz w:val="19"/>
          <w:szCs w:val="19"/>
          <w:color w:val="auto"/>
        </w:rPr>
        <w:t>Product Quality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Technical Innovation</w:t>
      </w:r>
    </w:p>
    <w:p>
      <w:pPr>
        <w:spacing w:after="0" w:line="79" w:lineRule="exact"/>
        <w:rPr>
          <w:sz w:val="20"/>
          <w:szCs w:val="20"/>
          <w:color w:val="auto"/>
        </w:rPr>
      </w:pPr>
    </w:p>
    <w:p>
      <w:pPr>
        <w:sectPr>
          <w:pgSz w:w="11900" w:h="16838" w:orient="portrait"/>
          <w:cols w:equalWidth="0" w:num="2">
            <w:col w:w="4612" w:space="720"/>
            <w:col w:w="6060"/>
          </w:cols>
          <w:pgMar w:left="248" w:top="591" w:right="259" w:bottom="1440" w:gutter="0" w:footer="0" w:header="0"/>
          <w:type w:val="continuous"/>
        </w:sectPr>
      </w:pPr>
    </w:p>
    <w:p>
      <w:pPr>
        <w:jc w:val="center"/>
        <w:ind w:left="652"/>
        <w:spacing w:after="0"/>
        <w:rPr>
          <w:sz w:val="20"/>
          <w:szCs w:val="20"/>
          <w:color w:val="auto"/>
        </w:rPr>
      </w:pPr>
      <w:r>
        <w:rPr>
          <w:rFonts w:ascii="Arial" w:cs="Arial" w:eastAsia="Arial" w:hAnsi="Arial"/>
          <w:sz w:val="19"/>
          <w:szCs w:val="19"/>
          <w:color w:val="auto"/>
        </w:rPr>
        <w:t>Product Introduction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Ethical Business Practices</w:t>
      </w:r>
    </w:p>
    <w:p>
      <w:pPr>
        <w:spacing w:after="0" w:line="79" w:lineRule="exact"/>
        <w:rPr>
          <w:sz w:val="20"/>
          <w:szCs w:val="20"/>
          <w:color w:val="auto"/>
        </w:rPr>
      </w:pPr>
    </w:p>
    <w:p>
      <w:pPr>
        <w:sectPr>
          <w:pgSz w:w="11900" w:h="16838" w:orient="portrait"/>
          <w:cols w:equalWidth="0" w:num="2">
            <w:col w:w="4612" w:space="720"/>
            <w:col w:w="6060"/>
          </w:cols>
          <w:pgMar w:left="248" w:top="591" w:right="259" w:bottom="1440" w:gutter="0" w:footer="0" w:header="0"/>
          <w:type w:val="continuous"/>
        </w:sectPr>
      </w:pPr>
    </w:p>
    <w:p>
      <w:pPr>
        <w:ind w:left="1732"/>
        <w:spacing w:after="0"/>
        <w:rPr>
          <w:sz w:val="20"/>
          <w:szCs w:val="20"/>
          <w:color w:val="auto"/>
        </w:rPr>
      </w:pPr>
      <w:r>
        <w:rPr>
          <w:rFonts w:ascii="Arial" w:cs="Arial" w:eastAsia="Arial" w:hAnsi="Arial"/>
          <w:sz w:val="19"/>
          <w:szCs w:val="19"/>
          <w:color w:val="auto"/>
        </w:rPr>
        <w:t>Planning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Business Diversity Initiatives</w:t>
      </w:r>
    </w:p>
    <w:p>
      <w:pPr>
        <w:spacing w:after="0" w:line="200" w:lineRule="exact"/>
        <w:rPr>
          <w:sz w:val="20"/>
          <w:szCs w:val="20"/>
          <w:color w:val="auto"/>
        </w:rPr>
      </w:pPr>
    </w:p>
    <w:p>
      <w:pPr>
        <w:sectPr>
          <w:pgSz w:w="11900" w:h="16838" w:orient="portrait"/>
          <w:cols w:equalWidth="0" w:num="2">
            <w:col w:w="4612" w:space="720"/>
            <w:col w:w="6060"/>
          </w:cols>
          <w:pgMar w:left="248" w:top="591" w:right="259" w:bottom="1440" w:gutter="0" w:footer="0" w:header="0"/>
          <w:type w:val="continuous"/>
        </w:sectPr>
      </w:pPr>
    </w:p>
    <w:p>
      <w:pPr>
        <w:spacing w:after="0" w:line="332" w:lineRule="exact"/>
        <w:rPr>
          <w:sz w:val="20"/>
          <w:szCs w:val="20"/>
          <w:color w:val="auto"/>
        </w:rPr>
      </w:pPr>
    </w:p>
    <w:p>
      <w:pPr>
        <w:ind w:left="652" w:right="220" w:hanging="652"/>
        <w:spacing w:after="0" w:line="295" w:lineRule="auto"/>
        <w:tabs>
          <w:tab w:leader="none" w:pos="652" w:val="left"/>
        </w:tabs>
        <w:numPr>
          <w:ilvl w:val="0"/>
          <w:numId w:val="6"/>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Payment</w:t>
      </w:r>
      <w:r>
        <w:rPr>
          <w:rFonts w:ascii="Arial" w:cs="Arial" w:eastAsia="Arial" w:hAnsi="Arial"/>
          <w:sz w:val="19"/>
          <w:szCs w:val="19"/>
          <w:color w:val="auto"/>
        </w:rPr>
        <w:t>. The amount of the participants’ incentive compensation for the fiscal year shall be in direct</w:t>
      </w:r>
      <w:r>
        <w:rPr>
          <w:rFonts w:ascii="Arial" w:cs="Arial" w:eastAsia="Arial" w:hAnsi="Arial"/>
          <w:sz w:val="19"/>
          <w:szCs w:val="19"/>
          <w:b w:val="1"/>
          <w:bCs w:val="1"/>
          <w:color w:val="auto"/>
        </w:rPr>
        <w:t xml:space="preserve"> </w:t>
      </w:r>
      <w:r>
        <w:rPr>
          <w:rFonts w:ascii="Arial" w:cs="Arial" w:eastAsia="Arial" w:hAnsi="Arial"/>
          <w:sz w:val="19"/>
          <w:szCs w:val="19"/>
          <w:color w:val="auto"/>
        </w:rPr>
        <w:t>proportion to the financial performance expressed as a percentage (Financial Factor) against predetermined compensation targets for each participant. The results for the fiscal year will be used in identifying the Financial Factor to be used when calculating the participants’ incentive compensation. The cash payment, if any, shall be awarded as soon as practical after the final measurement of financial and strategic criteria has been approved by the Committee in October following fiscal year end, but in no event later than 2 ½ months after the end of the fiscal year.</w:t>
      </w:r>
    </w:p>
    <w:p>
      <w:pPr>
        <w:spacing w:after="0" w:line="150" w:lineRule="exact"/>
        <w:rPr>
          <w:rFonts w:ascii="Arial" w:cs="Arial" w:eastAsia="Arial" w:hAnsi="Arial"/>
          <w:sz w:val="19"/>
          <w:szCs w:val="19"/>
          <w:color w:val="auto"/>
        </w:rPr>
      </w:pPr>
    </w:p>
    <w:p>
      <w:pPr>
        <w:ind w:left="652" w:right="420"/>
        <w:spacing w:after="0" w:line="312" w:lineRule="auto"/>
        <w:rPr>
          <w:rFonts w:ascii="Arial" w:cs="Arial" w:eastAsia="Arial" w:hAnsi="Arial"/>
          <w:sz w:val="19"/>
          <w:szCs w:val="19"/>
          <w:color w:val="auto"/>
        </w:rPr>
      </w:pPr>
      <w:r>
        <w:rPr>
          <w:rFonts w:ascii="Arial" w:cs="Arial" w:eastAsia="Arial" w:hAnsi="Arial"/>
          <w:sz w:val="19"/>
          <w:szCs w:val="19"/>
          <w:color w:val="auto"/>
        </w:rPr>
        <w:t>The incentive for the executive officers except for the Chief Executive Officer, provides for a 60% incentive (Target) opportunity of base salary, paid in cash at 100% achievement of the financial and strategic performance objectives. The incentive for the Chief Executive Officer provides for a 100% incentive (Target) opportunity expressed as</w:t>
      </w:r>
    </w:p>
    <w:p>
      <w:pPr>
        <w:spacing w:after="0" w:line="3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591" w:right="259" w:bottom="1440" w:gutter="0" w:footer="0" w:header="0"/>
          <w:type w:val="continuous"/>
        </w:sectPr>
      </w:pPr>
    </w:p>
    <w:bookmarkStart w:id="8" w:name="page9"/>
    <w:bookmarkEnd w:id="8"/>
    <w:p>
      <w:pPr>
        <w:ind w:left="660" w:right="300"/>
        <w:spacing w:after="0" w:line="253" w:lineRule="auto"/>
        <w:rPr>
          <w:sz w:val="20"/>
          <w:szCs w:val="20"/>
          <w:color w:val="auto"/>
        </w:rPr>
      </w:pPr>
      <w:r>
        <w:rPr>
          <w:rFonts w:ascii="Arial" w:cs="Arial" w:eastAsia="Arial" w:hAnsi="Arial"/>
          <w:sz w:val="22"/>
          <w:szCs w:val="22"/>
          <w:color w:val="auto"/>
        </w:rPr>
        <w:t>a percentage of base salary, paid in cash at 100% achievement of the financial and strategic performance objectives respectively. The Committee delegates to the CEO the authority to establish the incentive (Target) for officers/employees other than executive officers subject to the provisions set forth in this Plan.</w:t>
      </w:r>
    </w:p>
    <w:p>
      <w:pPr>
        <w:spacing w:after="0" w:line="186" w:lineRule="exact"/>
        <w:rPr>
          <w:sz w:val="20"/>
          <w:szCs w:val="20"/>
          <w:color w:val="auto"/>
        </w:rPr>
      </w:pPr>
    </w:p>
    <w:p>
      <w:pPr>
        <w:ind w:left="660" w:right="100"/>
        <w:spacing w:after="0" w:line="271" w:lineRule="auto"/>
        <w:rPr>
          <w:sz w:val="20"/>
          <w:szCs w:val="20"/>
          <w:color w:val="auto"/>
        </w:rPr>
      </w:pPr>
      <w:r>
        <w:rPr>
          <w:rFonts w:ascii="Arial" w:cs="Arial" w:eastAsia="Arial" w:hAnsi="Arial"/>
          <w:sz w:val="21"/>
          <w:szCs w:val="21"/>
          <w:color w:val="auto"/>
        </w:rPr>
        <w:t>A participant must be employed by Winnebago Industries, Inc. at the end of the fiscal year to be eligible for any incentive payment except as waived by the Committee for retirement, disability or death. Any payment made under this Plan shall be subject to any employment and income tax withholding and other deductions as required by law.</w:t>
      </w:r>
    </w:p>
    <w:p>
      <w:pPr>
        <w:spacing w:after="0" w:line="162" w:lineRule="exact"/>
        <w:rPr>
          <w:sz w:val="20"/>
          <w:szCs w:val="20"/>
          <w:color w:val="auto"/>
        </w:rPr>
      </w:pPr>
    </w:p>
    <w:p>
      <w:pPr>
        <w:ind w:left="660" w:hanging="652"/>
        <w:spacing w:after="0" w:line="247"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the Company undergoes a “Change in Control” as defined in the Stock Plan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year, the Committee shall, prior to the effective date of the Change in Control (the “Effective Date”), make a good faith estimate with respect to the achievement of the financial performance through the end of the Plan year in which the Effective Date occurs. In making such estimate, the Committee may compare the achievement of the financial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w:t>
      </w:r>
    </w:p>
    <w:p>
      <w:pPr>
        <w:spacing w:after="0" w:line="186" w:lineRule="exact"/>
        <w:rPr>
          <w:rFonts w:ascii="Arial" w:cs="Arial" w:eastAsia="Arial" w:hAnsi="Arial"/>
          <w:sz w:val="22"/>
          <w:szCs w:val="22"/>
          <w:color w:val="auto"/>
        </w:rPr>
      </w:pPr>
    </w:p>
    <w:p>
      <w:pPr>
        <w:ind w:left="660" w:right="220" w:hanging="652"/>
        <w:spacing w:after="0" w:line="256"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Recoupment of Incentive Compensation</w:t>
      </w:r>
      <w:r>
        <w:rPr>
          <w:rFonts w:ascii="Arial" w:cs="Arial" w:eastAsia="Arial" w:hAnsi="Arial"/>
          <w:sz w:val="22"/>
          <w:szCs w:val="22"/>
          <w:color w:val="auto"/>
        </w:rPr>
        <w:t>. Notwithstanding anything herein to the contrary, cash payments and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 paid in connection with the Plan shall be subject to forfeiture and recoupment to the extent required under federal law and in accordance with Section 14 of the Stock Plan.</w:t>
      </w:r>
    </w:p>
    <w:p>
      <w:pPr>
        <w:spacing w:after="0" w:line="176" w:lineRule="exact"/>
        <w:rPr>
          <w:rFonts w:ascii="Arial" w:cs="Arial" w:eastAsia="Arial" w:hAnsi="Arial"/>
          <w:sz w:val="22"/>
          <w:szCs w:val="22"/>
          <w:color w:val="auto"/>
        </w:rPr>
      </w:pPr>
    </w:p>
    <w:p>
      <w:pPr>
        <w:ind w:left="660" w:right="700" w:hanging="652"/>
        <w:spacing w:after="0" w:line="269"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2" w:lineRule="exact"/>
        <w:rPr>
          <w:rFonts w:ascii="Arial" w:cs="Arial" w:eastAsia="Arial" w:hAnsi="Arial"/>
          <w:sz w:val="22"/>
          <w:szCs w:val="22"/>
          <w:color w:val="auto"/>
        </w:rPr>
      </w:pPr>
    </w:p>
    <w:p>
      <w:pPr>
        <w:ind w:left="660" w:right="320" w:hanging="652"/>
        <w:spacing w:after="0" w:line="350"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Human Resources Committee October 11, 2016.</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2146935</wp:posOffset>
            </wp:positionH>
            <wp:positionV relativeFrom="page">
              <wp:posOffset>2515870</wp:posOffset>
            </wp:positionV>
            <wp:extent cx="326707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36"/>
          <w:szCs w:val="36"/>
          <w:b w:val="1"/>
          <w:bCs w:val="1"/>
          <w:color w:val="auto"/>
        </w:rPr>
        <w:t>OFFICERS LONG-TERM INCENTIVE PLAN</w:t>
      </w:r>
    </w:p>
    <w:p>
      <w:pPr>
        <w:sectPr>
          <w:pgSz w:w="11900" w:h="16838" w:orient="portrait"/>
          <w:cols w:equalWidth="0" w:num="1">
            <w:col w:w="9019"/>
          </w:cols>
          <w:pgMar w:left="1440" w:top="1440" w:right="1440"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FISCAL THREE-YEAR PERIOD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2017, 2018 and 2019</w:t>
      </w:r>
    </w:p>
    <w:p>
      <w:pPr>
        <w:sectPr>
          <w:pgSz w:w="11900" w:h="16838" w:orient="portrait"/>
          <w:cols w:equalWidth="0" w:num="1">
            <w:col w:w="9019"/>
          </w:cols>
          <w:pgMar w:left="1440" w:top="1440" w:right="1440" w:bottom="1440" w:gutter="0" w:footer="0" w:header="0"/>
          <w:type w:val="continuous"/>
        </w:sectPr>
      </w:pPr>
    </w:p>
    <w:bookmarkStart w:id="10" w:name="page11"/>
    <w:bookmarkEnd w:id="10"/>
    <w:p>
      <w:pPr>
        <w:jc w:val="center"/>
        <w:ind w:right="-3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31"/>
        <w:spacing w:after="0"/>
        <w:rPr>
          <w:sz w:val="20"/>
          <w:szCs w:val="20"/>
          <w:color w:val="auto"/>
        </w:rPr>
      </w:pPr>
      <w:r>
        <w:rPr>
          <w:rFonts w:ascii="Arial" w:cs="Arial" w:eastAsia="Arial" w:hAnsi="Arial"/>
          <w:sz w:val="25"/>
          <w:szCs w:val="25"/>
          <w:b w:val="1"/>
          <w:bCs w:val="1"/>
          <w:color w:val="auto"/>
        </w:rPr>
        <w:t>OFFICERS LONG-TERM INCENTIVE PLAN</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25"/>
          <w:szCs w:val="25"/>
          <w:b w:val="1"/>
          <w:bCs w:val="1"/>
          <w:color w:val="auto"/>
        </w:rPr>
        <w:t>Fiscal Three-Year Period 2017, 2018 and 2019</w:t>
      </w:r>
    </w:p>
    <w:p>
      <w:pPr>
        <w:spacing w:after="0" w:line="235" w:lineRule="exact"/>
        <w:rPr>
          <w:sz w:val="20"/>
          <w:szCs w:val="20"/>
          <w:color w:val="auto"/>
        </w:rPr>
      </w:pPr>
    </w:p>
    <w:p>
      <w:pPr>
        <w:ind w:left="652" w:right="160" w:hanging="652"/>
        <w:spacing w:after="0" w:line="252"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Long-Term Incentive Plan (the “Plan”) is to promote the</w:t>
      </w:r>
      <w:r>
        <w:rPr>
          <w:rFonts w:ascii="Arial" w:cs="Arial" w:eastAsia="Arial" w:hAnsi="Arial"/>
          <w:sz w:val="22"/>
          <w:szCs w:val="22"/>
          <w:b w:val="1"/>
          <w:bCs w:val="1"/>
          <w:color w:val="auto"/>
        </w:rPr>
        <w:t xml:space="preserve"> </w:t>
      </w:r>
      <w:r>
        <w:rPr>
          <w:rFonts w:ascii="Arial" w:cs="Arial" w:eastAsia="Arial" w:hAnsi="Arial"/>
          <w:sz w:val="22"/>
          <w:szCs w:val="22"/>
          <w:color w:val="auto"/>
        </w:rPr>
        <w:t>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80"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40" w:hanging="644"/>
        <w:spacing w:after="0" w:line="298" w:lineRule="auto"/>
        <w:tabs>
          <w:tab w:leader="none" w:pos="1292" w:val="left"/>
        </w:tabs>
        <w:numPr>
          <w:ilvl w:val="1"/>
          <w:numId w:val="8"/>
        </w:numPr>
        <w:rPr>
          <w:rFonts w:ascii="Arial" w:cs="Arial" w:eastAsia="Arial" w:hAnsi="Arial"/>
          <w:sz w:val="19"/>
          <w:szCs w:val="19"/>
          <w:color w:val="auto"/>
        </w:rPr>
      </w:pPr>
      <w:r>
        <w:rPr>
          <w:rFonts w:ascii="Arial" w:cs="Arial" w:eastAsia="Arial" w:hAnsi="Arial"/>
          <w:sz w:val="19"/>
          <w:szCs w:val="19"/>
          <w:b w:val="1"/>
          <w:bCs w:val="1"/>
          <w:u w:val="single" w:color="auto"/>
          <w:color w:val="auto"/>
        </w:rPr>
        <w:t>2014 Omnibus Equity, Performance Award, and Incentive Compensation Plan.</w:t>
      </w:r>
      <w:r>
        <w:rPr>
          <w:rFonts w:ascii="Arial" w:cs="Arial" w:eastAsia="Arial" w:hAnsi="Arial"/>
          <w:sz w:val="19"/>
          <w:szCs w:val="19"/>
          <w:b w:val="1"/>
          <w:bCs w:val="1"/>
          <w:color w:val="auto"/>
        </w:rPr>
        <w:t xml:space="preserve"> </w:t>
      </w:r>
      <w:r>
        <w:rPr>
          <w:rFonts w:ascii="Arial" w:cs="Arial" w:eastAsia="Arial" w:hAnsi="Arial"/>
          <w:sz w:val="19"/>
          <w:szCs w:val="19"/>
          <w:color w:val="auto"/>
        </w:rPr>
        <w:t>Any awards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under this Plan shall be issued under and pursuant to the terms of the Company’s 2014 Omnibus Equity, Performance Award, and Incentive Compensation Plan (the “Stock Plan”), and the terms of this Plan and any determinations made hereunder shall constitute terms and conditions of the award of common stock under the Stock Plan. Terms not otherwise defined in this Plan shall have the meaning set forth in the Stock Plan.</w:t>
      </w:r>
    </w:p>
    <w:p>
      <w:pPr>
        <w:spacing w:after="0" w:line="142" w:lineRule="exact"/>
        <w:rPr>
          <w:rFonts w:ascii="Arial" w:cs="Arial" w:eastAsia="Arial" w:hAnsi="Arial"/>
          <w:sz w:val="19"/>
          <w:szCs w:val="19"/>
          <w:color w:val="auto"/>
        </w:rPr>
      </w:pPr>
    </w:p>
    <w:p>
      <w:pPr>
        <w:ind w:left="1292" w:right="160" w:hanging="644"/>
        <w:spacing w:after="0" w:line="267" w:lineRule="auto"/>
        <w:tabs>
          <w:tab w:leader="none" w:pos="1292" w:val="left"/>
        </w:tabs>
        <w:numPr>
          <w:ilvl w:val="1"/>
          <w:numId w:val="8"/>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Plan shall be administered by the Human Resources Committee (the “Committee”)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Board of Directors, or a subset of such Committee that satisfies the requirements of Section 162(m) of the Internal Revenue Code of 1986, as amended, and regulations promulgated thereunder (the “Code”) with respect to any incentive compensation subject to Code §162(m).</w:t>
      </w:r>
    </w:p>
    <w:p>
      <w:pPr>
        <w:spacing w:after="0" w:line="167" w:lineRule="exact"/>
        <w:rPr>
          <w:rFonts w:ascii="Arial" w:cs="Arial" w:eastAsia="Arial" w:hAnsi="Arial"/>
          <w:sz w:val="21"/>
          <w:szCs w:val="21"/>
          <w:color w:val="auto"/>
        </w:rPr>
      </w:pPr>
    </w:p>
    <w:p>
      <w:pPr>
        <w:ind w:left="1292" w:right="60" w:hanging="644"/>
        <w:spacing w:after="0" w:line="252" w:lineRule="auto"/>
        <w:tabs>
          <w:tab w:leader="none" w:pos="1292" w:val="left"/>
        </w:tabs>
        <w:numPr>
          <w:ilvl w:val="1"/>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80" w:lineRule="exact"/>
        <w:rPr>
          <w:rFonts w:ascii="Arial" w:cs="Arial" w:eastAsia="Arial" w:hAnsi="Arial"/>
          <w:sz w:val="22"/>
          <w:szCs w:val="22"/>
          <w:color w:val="auto"/>
        </w:rPr>
      </w:pPr>
    </w:p>
    <w:p>
      <w:pPr>
        <w:ind w:left="1292" w:hanging="644"/>
        <w:spacing w:after="0" w:line="293" w:lineRule="auto"/>
        <w:tabs>
          <w:tab w:leader="none" w:pos="1292" w:val="left"/>
        </w:tabs>
        <w:numPr>
          <w:ilvl w:val="1"/>
          <w:numId w:val="8"/>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Approval</w:t>
      </w:r>
      <w:r>
        <w:rPr>
          <w:rFonts w:ascii="Arial" w:cs="Arial" w:eastAsia="Arial" w:hAnsi="Arial"/>
          <w:sz w:val="21"/>
          <w:szCs w:val="21"/>
          <w:color w:val="auto"/>
        </w:rPr>
        <w:t>. The Board must approve the Plan and specific metrics within the first 90 days of each new fiscal</w:t>
      </w:r>
      <w:r>
        <w:rPr>
          <w:rFonts w:ascii="Arial" w:cs="Arial" w:eastAsia="Arial" w:hAnsi="Arial"/>
          <w:sz w:val="21"/>
          <w:szCs w:val="21"/>
          <w:b w:val="1"/>
          <w:bCs w:val="1"/>
          <w:color w:val="auto"/>
        </w:rPr>
        <w:t xml:space="preserve"> </w:t>
      </w:r>
      <w:r>
        <w:rPr>
          <w:rFonts w:ascii="Arial" w:cs="Arial" w:eastAsia="Arial" w:hAnsi="Arial"/>
          <w:sz w:val="21"/>
          <w:szCs w:val="21"/>
          <w:color w:val="auto"/>
        </w:rPr>
        <w:t>three (3) year plan period. Each year a new plan will be established for a new three-year period.</w:t>
      </w:r>
    </w:p>
    <w:p>
      <w:pPr>
        <w:spacing w:after="0" w:line="139" w:lineRule="exact"/>
        <w:rPr>
          <w:rFonts w:ascii="Arial" w:cs="Arial" w:eastAsia="Arial" w:hAnsi="Arial"/>
          <w:sz w:val="21"/>
          <w:szCs w:val="21"/>
          <w:color w:val="auto"/>
        </w:rPr>
      </w:pPr>
    </w:p>
    <w:p>
      <w:pPr>
        <w:ind w:left="652" w:hanging="652"/>
        <w:spacing w:after="0"/>
        <w:tabs>
          <w:tab w:leader="none" w:pos="652"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8"/>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w:t>
      </w:r>
    </w:p>
    <w:p>
      <w:pPr>
        <w:spacing w:after="0" w:line="200" w:lineRule="exact"/>
        <w:rPr>
          <w:sz w:val="20"/>
          <w:szCs w:val="20"/>
          <w:color w:val="auto"/>
        </w:rPr>
      </w:pPr>
    </w:p>
    <w:p>
      <w:pPr>
        <w:spacing w:after="0" w:line="25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72"/>
          </w:cols>
          <w:pgMar w:left="248" w:top="576" w:right="279" w:bottom="1440" w:gutter="0" w:footer="0" w:header="0"/>
        </w:sectPr>
      </w:pPr>
    </w:p>
    <w:bookmarkStart w:id="11" w:name="page12"/>
    <w:bookmarkEnd w:id="11"/>
    <w:p>
      <w:pPr>
        <w:ind w:left="1292" w:right="580" w:hanging="644"/>
        <w:spacing w:after="0" w:line="253" w:lineRule="auto"/>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Unless otherwise specified, participants must be actively employed as of the end of the three (3) year fiscal period to be eligible for any incentive award.</w:t>
      </w:r>
    </w:p>
    <w:p>
      <w:pPr>
        <w:spacing w:after="0" w:line="179" w:lineRule="exact"/>
        <w:rPr>
          <w:rFonts w:ascii="Arial" w:cs="Arial" w:eastAsia="Arial" w:hAnsi="Arial"/>
          <w:sz w:val="22"/>
          <w:szCs w:val="22"/>
          <w:color w:val="auto"/>
        </w:rPr>
      </w:pPr>
    </w:p>
    <w:p>
      <w:pPr>
        <w:ind w:left="652" w:right="200" w:hanging="652"/>
        <w:spacing w:after="0" w:line="274" w:lineRule="auto"/>
        <w:tabs>
          <w:tab w:leader="none" w:pos="652" w:val="left"/>
        </w:tabs>
        <w:numPr>
          <w:ilvl w:val="0"/>
          <w:numId w:val="10"/>
        </w:numPr>
        <w:rPr>
          <w:rFonts w:ascii="Arial" w:cs="Arial" w:eastAsia="Arial" w:hAnsi="Arial"/>
          <w:sz w:val="21"/>
          <w:szCs w:val="21"/>
          <w:color w:val="auto"/>
        </w:rPr>
      </w:pPr>
      <w:r>
        <w:rPr>
          <w:rFonts w:ascii="Arial" w:cs="Arial" w:eastAsia="Arial" w:hAnsi="Arial"/>
          <w:sz w:val="21"/>
          <w:szCs w:val="21"/>
          <w:b w:val="1"/>
          <w:bCs w:val="1"/>
          <w:u w:val="single" w:color="auto"/>
          <w:color w:val="auto"/>
        </w:rPr>
        <w:t>Nature of the Plan</w:t>
      </w:r>
      <w:r>
        <w:rPr>
          <w:rFonts w:ascii="Arial" w:cs="Arial" w:eastAsia="Arial" w:hAnsi="Arial"/>
          <w:sz w:val="21"/>
          <w:szCs w:val="21"/>
          <w:color w:val="auto"/>
        </w:rPr>
        <w:t>. The long-term incentive award is based upon financial performance of the Corporation. The Plan is a</w:t>
      </w:r>
      <w:r>
        <w:rPr>
          <w:rFonts w:ascii="Arial" w:cs="Arial" w:eastAsia="Arial" w:hAnsi="Arial"/>
          <w:sz w:val="21"/>
          <w:szCs w:val="21"/>
          <w:b w:val="1"/>
          <w:bCs w:val="1"/>
          <w:color w:val="auto"/>
        </w:rPr>
        <w:t xml:space="preserve"> </w:t>
      </w:r>
      <w:r>
        <w:rPr>
          <w:rFonts w:ascii="Arial" w:cs="Arial" w:eastAsia="Arial" w:hAnsi="Arial"/>
          <w:sz w:val="21"/>
          <w:szCs w:val="21"/>
          <w:color w:val="auto"/>
        </w:rPr>
        <w:t>three (3) year (fiscal) program that provides for an opportunity for an incentive award based on the achievement of long-term financial performance results as measured at the end of the three (3) year fiscal period.</w:t>
      </w:r>
    </w:p>
    <w:p>
      <w:pPr>
        <w:spacing w:after="0" w:line="164" w:lineRule="exact"/>
        <w:rPr>
          <w:rFonts w:ascii="Arial" w:cs="Arial" w:eastAsia="Arial" w:hAnsi="Arial"/>
          <w:sz w:val="21"/>
          <w:szCs w:val="21"/>
          <w:color w:val="auto"/>
        </w:rPr>
      </w:pPr>
    </w:p>
    <w:p>
      <w:pPr>
        <w:ind w:left="652"/>
        <w:spacing w:after="0" w:line="292" w:lineRule="auto"/>
        <w:rPr>
          <w:rFonts w:ascii="Arial" w:cs="Arial" w:eastAsia="Arial" w:hAnsi="Arial"/>
          <w:sz w:val="21"/>
          <w:szCs w:val="21"/>
          <w:color w:val="auto"/>
        </w:rPr>
      </w:pPr>
      <w:r>
        <w:rPr>
          <w:rFonts w:ascii="Arial" w:cs="Arial" w:eastAsia="Arial" w:hAnsi="Arial"/>
          <w:sz w:val="19"/>
          <w:szCs w:val="19"/>
          <w:color w:val="auto"/>
        </w:rPr>
        <w:t>The performance measurements for this Plan will be based upon one or more pre-established financial and strategic criteria. These financial performance measurements will provide an appropriate balance between quality and quantity of earnings or other financial criteria. The Committee will establish the financial measurements including a Target, a minimum threshold below which an incentive will not be paid and a maximum incentive level within the first 90 days of the fiscal year in which the Plan is established. Financial performance achievement levels may be adjusted to include or exclude specific items of an unusual nature or non-operating or significant events not anticipated by the Committee when financial performance measurements were established, as determined by the Committee in its sole discretion and as permitted by the Plan.</w:t>
      </w:r>
    </w:p>
    <w:p>
      <w:pPr>
        <w:spacing w:after="0" w:line="145" w:lineRule="exact"/>
        <w:rPr>
          <w:rFonts w:ascii="Arial" w:cs="Arial" w:eastAsia="Arial" w:hAnsi="Arial"/>
          <w:sz w:val="21"/>
          <w:szCs w:val="21"/>
          <w:color w:val="auto"/>
        </w:rPr>
      </w:pPr>
    </w:p>
    <w:p>
      <w:pPr>
        <w:ind w:left="652" w:hanging="652"/>
        <w:spacing w:after="0" w:line="298" w:lineRule="auto"/>
        <w:tabs>
          <w:tab w:leader="none" w:pos="652"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Payment</w:t>
      </w:r>
      <w:r>
        <w:rPr>
          <w:rFonts w:ascii="Arial" w:cs="Arial" w:eastAsia="Arial" w:hAnsi="Arial"/>
          <w:sz w:val="19"/>
          <w:szCs w:val="19"/>
          <w:color w:val="auto"/>
        </w:rPr>
        <w:t>. The long-term incentive award will be a stock grant made in restricted shares of the common stock of</w:t>
      </w:r>
      <w:r>
        <w:rPr>
          <w:rFonts w:ascii="Arial" w:cs="Arial" w:eastAsia="Arial" w:hAnsi="Arial"/>
          <w:sz w:val="19"/>
          <w:szCs w:val="19"/>
          <w:b w:val="1"/>
          <w:bCs w:val="1"/>
          <w:color w:val="auto"/>
        </w:rPr>
        <w:t xml:space="preserve"> </w:t>
      </w:r>
      <w:r>
        <w:rPr>
          <w:rFonts w:ascii="Arial" w:cs="Arial" w:eastAsia="Arial" w:hAnsi="Arial"/>
          <w:sz w:val="19"/>
          <w:szCs w:val="19"/>
          <w:color w:val="auto"/>
        </w:rPr>
        <w:t>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48" w:lineRule="exact"/>
        <w:rPr>
          <w:rFonts w:ascii="Arial" w:cs="Arial" w:eastAsia="Arial" w:hAnsi="Arial"/>
          <w:sz w:val="19"/>
          <w:szCs w:val="19"/>
          <w:color w:val="auto"/>
        </w:rPr>
      </w:pPr>
    </w:p>
    <w:p>
      <w:pPr>
        <w:ind w:left="652" w:right="40"/>
        <w:spacing w:after="0" w:line="246" w:lineRule="auto"/>
        <w:rPr>
          <w:rFonts w:ascii="Arial" w:cs="Arial" w:eastAsia="Arial" w:hAnsi="Arial"/>
          <w:sz w:val="19"/>
          <w:szCs w:val="19"/>
          <w:color w:val="auto"/>
        </w:rPr>
      </w:pPr>
      <w:r>
        <w:rPr>
          <w:rFonts w:ascii="Arial" w:cs="Arial" w:eastAsia="Arial" w:hAnsi="Arial"/>
          <w:sz w:val="22"/>
          <w:szCs w:val="22"/>
          <w:color w:val="auto"/>
        </w:rPr>
        <w:t>The long-term incentive for the executive officers except for the Chief Executive Officer, provides for an opportunity of 50% of the annualized base salary (Target) converted to a set number of performance shares based on stock price at the beginning of the three (3) year plan to be awarded at 100% (Target) achievement of the financial long-term objectives at the end of the three (3) year plan. The incentive for the Chief Executive Officer provides for an opportunity of 100% of the annualized base salary (Target), converted to a set number of performance shares based on stock price at the beginning of the three (3) year plan to be awarded at 100% (Target) achievement of the financial long-term objectives at the end of the three (3) year plan.</w:t>
      </w:r>
    </w:p>
    <w:p>
      <w:pPr>
        <w:spacing w:after="0" w:line="197" w:lineRule="exact"/>
        <w:rPr>
          <w:rFonts w:ascii="Arial" w:cs="Arial" w:eastAsia="Arial" w:hAnsi="Arial"/>
          <w:sz w:val="19"/>
          <w:szCs w:val="19"/>
          <w:color w:val="auto"/>
        </w:rPr>
      </w:pPr>
    </w:p>
    <w:p>
      <w:pPr>
        <w:ind w:left="652" w:right="120"/>
        <w:spacing w:after="0" w:line="250" w:lineRule="auto"/>
        <w:rPr>
          <w:rFonts w:ascii="Arial" w:cs="Arial" w:eastAsia="Arial" w:hAnsi="Arial"/>
          <w:sz w:val="19"/>
          <w:szCs w:val="19"/>
          <w:color w:val="auto"/>
        </w:rPr>
      </w:pPr>
      <w:r>
        <w:rPr>
          <w:rFonts w:ascii="Arial" w:cs="Arial" w:eastAsia="Arial" w:hAnsi="Arial"/>
          <w:sz w:val="22"/>
          <w:szCs w:val="22"/>
          <w:color w:val="auto"/>
        </w:rPr>
        <w:t>The Committee delegates to the CEO the authority to establish the incentive (Target) opportunity for officers other than executive officers subject to the limitations set forth in this Plan. The resultant stock unit share opportunity (Target) will be adjusted up or down as determined by actual financial performance expressed as a percentage (Financial Factor) at the end of the three (3) year fiscal period.</w:t>
      </w:r>
    </w:p>
    <w:p>
      <w:pPr>
        <w:spacing w:after="0" w:line="200" w:lineRule="exact"/>
        <w:rPr>
          <w:sz w:val="20"/>
          <w:szCs w:val="20"/>
          <w:color w:val="auto"/>
        </w:rPr>
      </w:pP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591" w:right="259" w:bottom="1440" w:gutter="0" w:footer="0" w:header="0"/>
        </w:sectPr>
      </w:pPr>
    </w:p>
    <w:bookmarkStart w:id="12" w:name="page13"/>
    <w:bookmarkEnd w:id="12"/>
    <w:p>
      <w:pPr>
        <w:ind w:left="660" w:right="60" w:hanging="652"/>
        <w:spacing w:after="0" w:line="289" w:lineRule="auto"/>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Restricted Stock</w:t>
      </w:r>
      <w:r>
        <w:rPr>
          <w:rFonts w:ascii="Arial" w:cs="Arial" w:eastAsia="Arial" w:hAnsi="Arial"/>
          <w:sz w:val="19"/>
          <w:szCs w:val="19"/>
          <w:color w:val="auto"/>
        </w:rPr>
        <w:t>. The earned incentive for the three year performance period will be awarded in the form of a grant made</w:t>
      </w:r>
      <w:r>
        <w:rPr>
          <w:rFonts w:ascii="Arial" w:cs="Arial" w:eastAsia="Arial" w:hAnsi="Arial"/>
          <w:sz w:val="19"/>
          <w:szCs w:val="19"/>
          <w:b w:val="1"/>
          <w:bCs w:val="1"/>
          <w:color w:val="auto"/>
        </w:rPr>
        <w:t xml:space="preserve"> </w:t>
      </w:r>
      <w:r>
        <w:rPr>
          <w:rFonts w:ascii="Arial" w:cs="Arial" w:eastAsia="Arial" w:hAnsi="Arial"/>
          <w:sz w:val="19"/>
          <w:szCs w:val="19"/>
          <w:color w:val="auto"/>
        </w:rPr>
        <w:t>in restricted shares of common stock to encourage stock ownership and promote the long-term growth and profitability of Winnebago Industries, Inc. A participant must actively be employed by Winnebago Industries, Inc. at the end of the fiscal three (3) year period to be eligible for any long-term incentive award. The long-term restricted stock grant shall be awarded as soon as practical after the final measurement of the financial criteria has been approved by the Committee in October following fiscal year end, but in no event later than 2 ½ months after the end of the fiscal year. The price of the stock shall be the closing market price of the Company’s common stock on the date in which the grant is approved by the Committee. The stock grant will be considered vested and taxable on the date of such grant. A sufficient amount of stock may be withheld to pay any employment and income taxes applicable thereto. The transfer restriction on the remaining stock award shall be removed one year following date of grant.</w:t>
      </w:r>
    </w:p>
    <w:p>
      <w:pPr>
        <w:spacing w:after="0" w:line="151" w:lineRule="exact"/>
        <w:rPr>
          <w:rFonts w:ascii="Arial" w:cs="Arial" w:eastAsia="Arial" w:hAnsi="Arial"/>
          <w:sz w:val="19"/>
          <w:szCs w:val="19"/>
          <w:color w:val="auto"/>
        </w:rPr>
      </w:pPr>
    </w:p>
    <w:p>
      <w:pPr>
        <w:ind w:left="660" w:hanging="652"/>
        <w:spacing w:after="0" w:line="247"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the Company undergoes a “Change in Control” as defined in the Stock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86" w:lineRule="exact"/>
        <w:rPr>
          <w:rFonts w:ascii="Arial" w:cs="Arial" w:eastAsia="Arial" w:hAnsi="Arial"/>
          <w:sz w:val="22"/>
          <w:szCs w:val="22"/>
          <w:color w:val="auto"/>
        </w:rPr>
      </w:pPr>
    </w:p>
    <w:p>
      <w:pPr>
        <w:ind w:left="660" w:right="200" w:hanging="652"/>
        <w:spacing w:after="0" w:line="256"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Recoupment of Incentive Compensation</w:t>
      </w:r>
      <w:r>
        <w:rPr>
          <w:rFonts w:ascii="Arial" w:cs="Arial" w:eastAsia="Arial" w:hAnsi="Arial"/>
          <w:sz w:val="22"/>
          <w:szCs w:val="22"/>
          <w:color w:val="auto"/>
        </w:rPr>
        <w:t>. Notwithstanding anything herein to the contrary, cash payments and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 paid in connection with the Plan shall be subject to forfeiture and recoupment to the extent required under federal law and in accordance with Section 14 of the Stock Plan.</w:t>
      </w:r>
    </w:p>
    <w:p>
      <w:pPr>
        <w:spacing w:after="0" w:line="176" w:lineRule="exact"/>
        <w:rPr>
          <w:rFonts w:ascii="Arial" w:cs="Arial" w:eastAsia="Arial" w:hAnsi="Arial"/>
          <w:sz w:val="22"/>
          <w:szCs w:val="22"/>
          <w:color w:val="auto"/>
        </w:rPr>
      </w:pPr>
    </w:p>
    <w:p>
      <w:pPr>
        <w:ind w:left="660" w:right="680" w:hanging="652"/>
        <w:spacing w:after="0" w:line="269"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2" w:lineRule="exact"/>
        <w:rPr>
          <w:rFonts w:ascii="Arial" w:cs="Arial" w:eastAsia="Arial" w:hAnsi="Arial"/>
          <w:sz w:val="22"/>
          <w:szCs w:val="22"/>
          <w:color w:val="auto"/>
        </w:rPr>
      </w:pPr>
    </w:p>
    <w:p>
      <w:pPr>
        <w:ind w:left="660" w:right="300" w:hanging="652"/>
        <w:spacing w:after="0" w:line="350" w:lineRule="auto"/>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Approved October 11, 2016, by the Human Resources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58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Letter"/>
      <w:start w:val="5"/>
    </w:lvl>
  </w:abstractNum>
  <w:abstractNum w:abstractNumId="2">
    <w:nsid w:val="41B71EFB"/>
    <w:multiLevelType w:val="hybridMultilevel"/>
    <w:lvl w:ilvl="0">
      <w:lvlJc w:val="left"/>
      <w:lvlText w:val="(%1)"/>
      <w:numFmt w:val="lowerLetter"/>
      <w:start w:val="3"/>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3"/>
    </w:lvl>
  </w:abstractNum>
  <w:abstractNum w:abstractNumId="9">
    <w:nsid w:val="216231B"/>
    <w:multiLevelType w:val="hybridMultilevel"/>
    <w:lvl w:ilvl="0">
      <w:lvlJc w:val="left"/>
      <w:lvlText w:val="%1."/>
      <w:numFmt w:val="decimal"/>
      <w:start w:val="4"/>
    </w:lvl>
    <w:lvl w:ilvl="1">
      <w:lvlJc w:val="left"/>
      <w:lvlText w:val="%2"/>
      <w:numFmt w:val="lowerLetter"/>
      <w:start w:val="1"/>
    </w:lvl>
  </w:abstractNum>
  <w:abstractNum w:abstractNumId="10">
    <w:nsid w:val="1F16E9E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2019-12-05T12:35:49Z</dcterms:created>
  <dcterms:modified xsi:type="dcterms:W3CDTF">2019-12-05T12:35:49Z</dcterms:modified>
</cp:coreProperties>
</file>