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723265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January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816610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147955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52"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Iowa</w:t>
            </w:r>
          </w:p>
        </w:tc>
        <w:tc>
          <w:tcPr>
            <w:tcW w:w="2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001-06403</w:t>
            </w:r>
          </w:p>
        </w:tc>
        <w:tc>
          <w:tcPr>
            <w:tcW w:w="326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1"/>
              <w:spacing w:after="0"/>
              <w:rPr>
                <w:sz w:val="20"/>
                <w:szCs w:val="20"/>
                <w:color w:val="auto"/>
              </w:rPr>
            </w:pPr>
            <w:r>
              <w:rPr>
                <w:rFonts w:ascii="Arial" w:cs="Arial" w:eastAsia="Arial" w:hAnsi="Arial"/>
                <w:sz w:val="18"/>
                <w:szCs w:val="18"/>
                <w:color w:val="auto"/>
                <w:w w:val="99"/>
              </w:rPr>
              <w:t>(State or Other Jurisdiction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1"/>
              <w:spacing w:after="0"/>
              <w:rPr>
                <w:sz w:val="20"/>
                <w:szCs w:val="20"/>
                <w:color w:val="auto"/>
              </w:rPr>
            </w:pPr>
            <w:r>
              <w:rPr>
                <w:rFonts w:ascii="Arial" w:cs="Arial" w:eastAsia="Arial" w:hAnsi="Arial"/>
                <w:sz w:val="18"/>
                <w:szCs w:val="18"/>
                <w:color w:val="auto"/>
              </w:rPr>
              <w:t>of Incorporation)</w:t>
            </w:r>
          </w:p>
        </w:tc>
        <w:tc>
          <w:tcPr>
            <w:tcW w:w="2520" w:type="dxa"/>
            <w:vAlign w:val="bottom"/>
          </w:tcPr>
          <w:p>
            <w:pPr>
              <w:spacing w:after="0"/>
              <w:rPr>
                <w:sz w:val="18"/>
                <w:szCs w:val="18"/>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8"/>
              </w:rPr>
              <w:t>P.O. Box 152, Forest City, Iowa</w:t>
            </w:r>
          </w:p>
        </w:tc>
        <w:tc>
          <w:tcPr>
            <w:tcW w:w="25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1"/>
              <w:spacing w:after="0"/>
              <w:rPr>
                <w:sz w:val="20"/>
                <w:szCs w:val="20"/>
                <w:color w:val="auto"/>
              </w:rPr>
            </w:pPr>
            <w:r>
              <w:rPr>
                <w:rFonts w:ascii="Arial" w:cs="Arial" w:eastAsia="Arial" w:hAnsi="Arial"/>
                <w:sz w:val="18"/>
                <w:szCs w:val="18"/>
                <w:color w:val="auto"/>
                <w:w w:val="99"/>
              </w:rPr>
              <w:t>(Address of Principal Executive Offices)</w:t>
            </w:r>
          </w:p>
        </w:tc>
        <w:tc>
          <w:tcPr>
            <w:tcW w:w="2520" w:type="dxa"/>
            <w:vAlign w:val="bottom"/>
          </w:tcPr>
          <w:p>
            <w:pPr>
              <w:spacing w:after="0"/>
              <w:rPr>
                <w:sz w:val="21"/>
                <w:szCs w:val="21"/>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8"/>
              </w:rPr>
              <w:t>(Zip Code)</w:t>
            </w:r>
          </w:p>
        </w:tc>
      </w:tr>
      <w:tr>
        <w:trPr>
          <w:trHeight w:val="467"/>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1"/>
              <w:spacing w:after="0"/>
              <w:rPr>
                <w:sz w:val="20"/>
                <w:szCs w:val="20"/>
                <w:color w:val="auto"/>
              </w:rPr>
            </w:pPr>
            <w:r>
              <w:rPr>
                <w:rFonts w:ascii="Arial" w:cs="Arial" w:eastAsia="Arial" w:hAnsi="Arial"/>
                <w:sz w:val="16"/>
                <w:szCs w:val="16"/>
                <w:b w:val="1"/>
                <w:bCs w:val="1"/>
                <w:color w:val="auto"/>
              </w:rPr>
              <w:t>641-585-3535</w:t>
            </w:r>
          </w:p>
        </w:tc>
      </w:tr>
    </w:tbl>
    <w:p>
      <w:pPr>
        <w:spacing w:after="0" w:line="2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293370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207645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311" w:right="239" w:bottom="1440" w:gutter="0" w:footer="0" w:header="0"/>
        </w:sectPr>
      </w:pPr>
    </w:p>
    <w:bookmarkStart w:id="1" w:name="page2"/>
    <w:bookmarkEnd w:id="1"/>
    <w:p>
      <w:pPr>
        <w:ind w:left="980" w:right="1360" w:hanging="971"/>
        <w:spacing w:after="0" w:line="27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Winnebago Industries, Inc. (“Company”) recently announced the appointment of two vice presidents, Steve Dummett Vice President of Product Development and Bret Woodson Vice President of Administration. As part of their compensation packages, both Mr. Dummett and Mr. Woodson entered into Executive Change of Control Agreements on January 12, 2015. The Agreements provide for compensation to be paid to the executives in certain situations specified in the Agreements when a change of control occurs. A change of control for purposes of the Agreements means the time when (i) any Person becomes an Acquiring Person, which generally means an acquisition of 20% or more the Company's common stock, or (ii) individuals who shall qualify as Continuing Directors of the Company shall have ceased for any reason to constitute at least a majority of the Board of Directors of the Company. In the event a change of control occurs, the Executive shall be entitled to a payment of three times the average aggregate compensation paid to the Executive during the three fiscal years immediately preceding the change of control if the Executive is terminated within three years of the change in control. The Agreements are designed to both retain the services of the Executives during the change of control process and to assure that the executive’s interests are closely aligned with the interests of shareholders. The Agreements do not provide for gross up of any payment made for applicable excise taxes. The foregoing discussion is a summary of the Agreements and is qualified entirely by reference to the terms of the Agreements, copies of which are attached as exhibits 99.1 and 99.2.</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9420" w:type="dxa"/>
            <w:vAlign w:val="bottom"/>
          </w:tcPr>
          <w:p>
            <w:pPr>
              <w:spacing w:after="0"/>
              <w:rPr>
                <w:sz w:val="16"/>
                <w:szCs w:val="16"/>
                <w:color w:val="auto"/>
              </w:rPr>
            </w:pPr>
          </w:p>
        </w:tc>
      </w:tr>
      <w:tr>
        <w:trPr>
          <w:trHeight w:val="339"/>
        </w:trPr>
        <w:tc>
          <w:tcPr>
            <w:tcW w:w="3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9420" w:type="dxa"/>
            <w:vAlign w:val="bottom"/>
          </w:tcPr>
          <w:p>
            <w:pPr>
              <w:spacing w:after="0"/>
              <w:rPr>
                <w:sz w:val="24"/>
                <w:szCs w:val="24"/>
                <w:color w:val="auto"/>
              </w:rPr>
            </w:pPr>
          </w:p>
        </w:tc>
      </w:tr>
      <w:tr>
        <w:trPr>
          <w:trHeight w:val="228"/>
        </w:trPr>
        <w:tc>
          <w:tcPr>
            <w:tcW w:w="360" w:type="dxa"/>
            <w:vAlign w:val="bottom"/>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9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237"/>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99.1</w:t>
            </w:r>
          </w:p>
        </w:tc>
        <w:tc>
          <w:tcPr>
            <w:tcW w:w="9420" w:type="dxa"/>
            <w:vAlign w:val="bottom"/>
          </w:tcPr>
          <w:p>
            <w:pPr>
              <w:ind w:left="220"/>
              <w:spacing w:after="0"/>
              <w:rPr>
                <w:sz w:val="20"/>
                <w:szCs w:val="20"/>
                <w:color w:val="auto"/>
              </w:rPr>
            </w:pPr>
            <w:r>
              <w:rPr>
                <w:rFonts w:ascii="Arial" w:cs="Arial" w:eastAsia="Arial" w:hAnsi="Arial"/>
                <w:sz w:val="16"/>
                <w:szCs w:val="16"/>
                <w:color w:val="auto"/>
              </w:rPr>
              <w:t>Executive Change of Control Agreement between Winnebago Industries, Inc. and Steve Dummett</w:t>
            </w:r>
          </w:p>
        </w:tc>
      </w:tr>
      <w:tr>
        <w:trPr>
          <w:trHeight w:val="270"/>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99.2</w:t>
            </w:r>
          </w:p>
        </w:tc>
        <w:tc>
          <w:tcPr>
            <w:tcW w:w="9420" w:type="dxa"/>
            <w:vAlign w:val="bottom"/>
          </w:tcPr>
          <w:p>
            <w:pPr>
              <w:ind w:left="220"/>
              <w:spacing w:after="0"/>
              <w:rPr>
                <w:sz w:val="20"/>
                <w:szCs w:val="20"/>
                <w:color w:val="auto"/>
              </w:rPr>
            </w:pPr>
            <w:r>
              <w:rPr>
                <w:rFonts w:ascii="Arial" w:cs="Arial" w:eastAsia="Arial" w:hAnsi="Arial"/>
                <w:sz w:val="16"/>
                <w:szCs w:val="16"/>
                <w:color w:val="auto"/>
              </w:rPr>
              <w:t>Executive Change of Control Agreement between Winnebago Industries, Inc. and Bret Woodson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1120"/>
        <w:spacing w:after="0"/>
        <w:tabs>
          <w:tab w:leader="none" w:pos="1780" w:val="left"/>
          <w:tab w:leader="none" w:pos="4960" w:val="left"/>
          <w:tab w:leader="none" w:pos="5680" w:val="left"/>
        </w:tabs>
        <w:rPr>
          <w:sz w:val="20"/>
          <w:szCs w:val="20"/>
          <w:color w:val="auto"/>
        </w:rPr>
      </w:pPr>
      <w:r>
        <w:rPr>
          <w:rFonts w:ascii="Arial" w:cs="Arial" w:eastAsia="Arial" w:hAnsi="Arial"/>
          <w:sz w:val="16"/>
          <w:szCs w:val="16"/>
          <w:color w:val="auto"/>
        </w:rPr>
        <w:t>Dated:</w:t>
        <w:tab/>
        <w:t>January 16,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19050</wp:posOffset>
            </wp:positionV>
            <wp:extent cx="2958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66" w:lineRule="exact"/>
        <w:rPr>
          <w:sz w:val="20"/>
          <w:szCs w:val="20"/>
          <w:color w:val="auto"/>
        </w:rPr>
      </w:pPr>
    </w:p>
    <w:p>
      <w:pPr>
        <w:ind w:left="4980"/>
        <w:spacing w:after="0"/>
        <w:tabs>
          <w:tab w:leader="none" w:pos="568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4980"/>
        <w:spacing w:after="0"/>
        <w:tabs>
          <w:tab w:leader="none" w:pos="56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400"/>
          </w:cols>
          <w:pgMar w:left="240" w:top="73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EXECUTIVE CHANGE OF CONTROL AGREEMENT is made as of January 12, 2015 by and between </w:t>
      </w:r>
      <w:r>
        <w:rPr>
          <w:rFonts w:ascii="Arial" w:cs="Arial" w:eastAsia="Arial" w:hAnsi="Arial"/>
          <w:sz w:val="22"/>
          <w:szCs w:val="22"/>
          <w:b w:val="1"/>
          <w:bCs w:val="1"/>
          <w:color w:val="auto"/>
        </w:rPr>
        <w:t>WINNEBAGO INDUSTRIES, INC.</w:t>
      </w:r>
      <w:r>
        <w:rPr>
          <w:rFonts w:ascii="Arial" w:cs="Arial" w:eastAsia="Arial" w:hAnsi="Arial"/>
          <w:sz w:val="22"/>
          <w:szCs w:val="22"/>
          <w:color w:val="auto"/>
        </w:rPr>
        <w:t>, an Iowa corporation (the "Company"), and Steve Dummett (the "Executive").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60" w:lineRule="exact"/>
        <w:rPr>
          <w:sz w:val="20"/>
          <w:szCs w:val="20"/>
          <w:color w:val="auto"/>
        </w:rPr>
      </w:pPr>
    </w:p>
    <w:p>
      <w:pPr>
        <w:jc w:val="both"/>
        <w:ind w:firstLine="656"/>
        <w:spacing w:after="0" w:line="249" w:lineRule="auto"/>
        <w:tabs>
          <w:tab w:leader="none" w:pos="87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27" w:lineRule="exact"/>
        <w:rPr>
          <w:rFonts w:ascii="Arial" w:cs="Arial" w:eastAsia="Arial" w:hAnsi="Arial"/>
          <w:sz w:val="22"/>
          <w:szCs w:val="22"/>
          <w:b w:val="1"/>
          <w:bCs w:val="1"/>
          <w:color w:val="auto"/>
        </w:rPr>
      </w:pPr>
    </w:p>
    <w:p>
      <w:pPr>
        <w:jc w:val="both"/>
        <w:ind w:firstLine="656"/>
        <w:spacing w:after="0" w:line="259" w:lineRule="auto"/>
        <w:tabs>
          <w:tab w:leader="none" w:pos="864"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w:t>
      </w:r>
    </w:p>
    <w:p>
      <w:pPr>
        <w:sectPr>
          <w:pgSz w:w="11900" w:h="16838" w:orient="portrait"/>
          <w:cols w:equalWidth="0" w:num="1">
            <w:col w:w="11420"/>
          </w:cols>
          <w:pgMar w:left="240" w:top="882" w:right="2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stock held by such a plan shall not be treated as outstanding in determining ownership percentages for purposes of this definition.)</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 of the foregoing definition of “Change of Control”, the capitalized terms shall have the following meanings:</w:t>
      </w:r>
    </w:p>
    <w:p>
      <w:pPr>
        <w:spacing w:after="0" w:line="272" w:lineRule="exact"/>
        <w:rPr>
          <w:sz w:val="20"/>
          <w:szCs w:val="20"/>
          <w:color w:val="auto"/>
        </w:rPr>
      </w:pPr>
    </w:p>
    <w:p>
      <w:pPr>
        <w:jc w:val="both"/>
        <w:ind w:left="1300" w:hanging="644"/>
        <w:spacing w:after="0" w:line="292"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2" w:lineRule="exact"/>
        <w:rPr>
          <w:rFonts w:ascii="Arial" w:cs="Arial" w:eastAsia="Arial" w:hAnsi="Arial"/>
          <w:sz w:val="19"/>
          <w:szCs w:val="19"/>
          <w:color w:val="auto"/>
        </w:rPr>
      </w:pPr>
    </w:p>
    <w:p>
      <w:pPr>
        <w:jc w:val="both"/>
        <w:ind w:left="1300" w:hanging="644"/>
        <w:spacing w:after="0" w:line="271" w:lineRule="auto"/>
        <w:tabs>
          <w:tab w:leader="none" w:pos="1300" w:val="left"/>
        </w:tabs>
        <w:numPr>
          <w:ilvl w:val="1"/>
          <w:numId w:val="3"/>
        </w:numPr>
        <w:rPr>
          <w:rFonts w:ascii="Arial" w:cs="Arial" w:eastAsia="Arial" w:hAnsi="Arial"/>
          <w:sz w:val="21"/>
          <w:szCs w:val="21"/>
          <w:color w:val="auto"/>
        </w:rPr>
      </w:pPr>
      <w:r>
        <w:rPr>
          <w:rFonts w:ascii="Arial" w:cs="Arial" w:eastAsia="Arial" w:hAnsi="Arial"/>
          <w:sz w:val="21"/>
          <w:szCs w:val="21"/>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208" w:lineRule="exact"/>
        <w:rPr>
          <w:rFonts w:ascii="Arial" w:cs="Arial" w:eastAsia="Arial" w:hAnsi="Arial"/>
          <w:sz w:val="21"/>
          <w:szCs w:val="21"/>
          <w:color w:val="auto"/>
        </w:rPr>
      </w:pPr>
    </w:p>
    <w:p>
      <w:pPr>
        <w:ind w:left="1300" w:right="20" w:hanging="644"/>
        <w:spacing w:after="0" w:line="263"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37"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rFonts w:ascii="Arial" w:cs="Arial" w:eastAsia="Arial" w:hAnsi="Arial"/>
          <w:sz w:val="22"/>
          <w:szCs w:val="22"/>
          <w:color w:val="auto"/>
        </w:rPr>
      </w:pPr>
    </w:p>
    <w:p>
      <w:pPr>
        <w:jc w:val="both"/>
        <w:ind w:firstLine="8"/>
        <w:spacing w:after="0" w:line="249" w:lineRule="auto"/>
        <w:tabs>
          <w:tab w:leader="none" w:pos="54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Following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a change of Control shall have occurred while the Executive is still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w:t>
      </w:r>
    </w:p>
    <w:p>
      <w:pPr>
        <w:sectPr>
          <w:pgSz w:w="11900" w:h="16838" w:orient="portrait"/>
          <w:cols w:equalWidth="0" w:num="1">
            <w:col w:w="11420"/>
          </w:cols>
          <w:pgMar w:left="240" w:top="631" w:right="239" w:bottom="1440" w:gutter="0" w:footer="0" w:header="0"/>
        </w:sectPr>
      </w:pPr>
    </w:p>
    <w:bookmarkStart w:id="4" w:name="page5"/>
    <w:bookmarkEnd w:id="4"/>
    <w:p>
      <w:pPr>
        <w:spacing w:after="0" w:line="263" w:lineRule="auto"/>
        <w:rPr>
          <w:sz w:val="20"/>
          <w:szCs w:val="20"/>
          <w:color w:val="auto"/>
        </w:rPr>
      </w:pPr>
      <w:r>
        <w:rPr>
          <w:rFonts w:ascii="Arial" w:cs="Arial" w:eastAsia="Arial" w:hAnsi="Arial"/>
          <w:sz w:val="22"/>
          <w:szCs w:val="22"/>
          <w:color w:val="auto"/>
        </w:rPr>
        <w:t>below); (d) the Executive’s termination by the Company for Cause (as defined in Section 3(c) below); or (e) the Executive’s decision to terminate employment other than for Good Reason (as defined in Section 3(d) below).</w:t>
      </w:r>
    </w:p>
    <w:p>
      <w:pPr>
        <w:spacing w:after="0" w:line="215" w:lineRule="exact"/>
        <w:rPr>
          <w:sz w:val="20"/>
          <w:szCs w:val="20"/>
          <w:color w:val="auto"/>
        </w:rPr>
      </w:pPr>
    </w:p>
    <w:p>
      <w:pPr>
        <w:jc w:val="both"/>
        <w:ind w:firstLine="1305"/>
        <w:spacing w:after="0" w:line="250" w:lineRule="auto"/>
        <w:tabs>
          <w:tab w:leader="none" w:pos="1590"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228" w:lineRule="exact"/>
        <w:rPr>
          <w:rFonts w:ascii="Arial" w:cs="Arial" w:eastAsia="Arial" w:hAnsi="Arial"/>
          <w:sz w:val="22"/>
          <w:szCs w:val="22"/>
          <w:color w:val="auto"/>
        </w:rPr>
      </w:pPr>
    </w:p>
    <w:p>
      <w:pPr>
        <w:jc w:val="both"/>
        <w:ind w:firstLine="1305"/>
        <w:spacing w:after="0" w:line="271" w:lineRule="auto"/>
        <w:tabs>
          <w:tab w:leader="none" w:pos="1616" w:val="left"/>
        </w:tabs>
        <w:numPr>
          <w:ilvl w:val="0"/>
          <w:numId w:val="5"/>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The term “Retirement” as used in this Agreement shall mean termination by the Company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the Executive’s employment based on the Executive having attained the age of 65 or such other age as shall have been fixed in any arrangement established with the Executive’s consent with respect to the Executive.</w:t>
      </w:r>
    </w:p>
    <w:p>
      <w:pPr>
        <w:spacing w:after="0" w:line="208" w:lineRule="exact"/>
        <w:rPr>
          <w:rFonts w:ascii="Arial" w:cs="Arial" w:eastAsia="Arial" w:hAnsi="Arial"/>
          <w:sz w:val="21"/>
          <w:szCs w:val="21"/>
          <w:color w:val="auto"/>
        </w:rPr>
      </w:pPr>
    </w:p>
    <w:p>
      <w:pPr>
        <w:jc w:val="both"/>
        <w:ind w:firstLine="1305"/>
        <w:spacing w:after="0" w:line="258" w:lineRule="auto"/>
        <w:tabs>
          <w:tab w:leader="none" w:pos="1604" w:val="left"/>
        </w:tabs>
        <w:numPr>
          <w:ilvl w:val="0"/>
          <w:numId w:val="5"/>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2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226"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ectPr>
          <w:pgSz w:w="11900" w:h="16838" w:orient="portrait"/>
          <w:cols w:equalWidth="0" w:num="1">
            <w:col w:w="11420"/>
          </w:cols>
          <w:pgMar w:left="240" w:top="631" w:right="239" w:bottom="1440" w:gutter="0" w:footer="0" w:header="0"/>
        </w:sectPr>
      </w:pPr>
    </w:p>
    <w:bookmarkStart w:id="5" w:name="page6"/>
    <w:bookmarkEnd w:id="5"/>
    <w:p>
      <w:pPr>
        <w:jc w:val="both"/>
        <w:ind w:left="-380" w:firstLine="647"/>
        <w:spacing w:after="0" w:line="248" w:lineRule="auto"/>
        <w:tabs>
          <w:tab w:leader="none" w:pos="586" w:val="left"/>
        </w:tabs>
        <w:numPr>
          <w:ilvl w:val="0"/>
          <w:numId w:val="6"/>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32" w:lineRule="exact"/>
        <w:rPr>
          <w:rFonts w:ascii="Arial" w:cs="Arial" w:eastAsia="Arial" w:hAnsi="Arial"/>
          <w:sz w:val="22"/>
          <w:szCs w:val="22"/>
          <w:color w:val="auto"/>
        </w:rPr>
      </w:pPr>
    </w:p>
    <w:p>
      <w:pPr>
        <w:jc w:val="both"/>
        <w:ind w:left="-380" w:firstLine="647"/>
        <w:spacing w:after="0" w:line="292" w:lineRule="auto"/>
        <w:tabs>
          <w:tab w:leader="none" w:pos="699"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92" w:lineRule="exact"/>
        <w:rPr>
          <w:rFonts w:ascii="Arial" w:cs="Arial" w:eastAsia="Arial" w:hAnsi="Arial"/>
          <w:sz w:val="19"/>
          <w:szCs w:val="19"/>
          <w:color w:val="auto"/>
        </w:rPr>
      </w:pPr>
    </w:p>
    <w:p>
      <w:pPr>
        <w:jc w:val="both"/>
        <w:ind w:left="-380" w:firstLine="647"/>
        <w:spacing w:after="0" w:line="246" w:lineRule="auto"/>
        <w:tabs>
          <w:tab w:leader="none" w:pos="676"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32" w:lineRule="exact"/>
        <w:rPr>
          <w:rFonts w:ascii="Arial" w:cs="Arial" w:eastAsia="Arial" w:hAnsi="Arial"/>
          <w:sz w:val="22"/>
          <w:szCs w:val="22"/>
          <w:color w:val="auto"/>
        </w:rPr>
      </w:pPr>
    </w:p>
    <w:p>
      <w:pPr>
        <w:jc w:val="both"/>
        <w:ind w:left="-380" w:firstLine="647"/>
        <w:spacing w:after="0" w:line="248" w:lineRule="auto"/>
        <w:tabs>
          <w:tab w:leader="none" w:pos="578"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32" w:lineRule="exact"/>
        <w:rPr>
          <w:rFonts w:ascii="Arial" w:cs="Arial" w:eastAsia="Arial" w:hAnsi="Arial"/>
          <w:sz w:val="22"/>
          <w:szCs w:val="22"/>
          <w:color w:val="auto"/>
        </w:rPr>
      </w:pPr>
    </w:p>
    <w:p>
      <w:pPr>
        <w:ind w:left="-380" w:firstLine="647"/>
        <w:spacing w:after="0" w:line="263" w:lineRule="auto"/>
        <w:tabs>
          <w:tab w:leader="none" w:pos="659" w:val="left"/>
        </w:tabs>
        <w:numPr>
          <w:ilvl w:val="0"/>
          <w:numId w:val="6"/>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Forest City, Iowa, or the Executive’s relocation to any place other than the location at which the Executive performed the</w:t>
      </w:r>
    </w:p>
    <w:p>
      <w:pPr>
        <w:sectPr>
          <w:pgSz w:w="11900" w:h="16838" w:orient="portrait"/>
          <w:cols w:equalWidth="0" w:num="1">
            <w:col w:w="10220"/>
          </w:cols>
          <w:pgMar w:left="1440" w:top="631" w:right="239" w:bottom="1440" w:gutter="0" w:footer="0" w:header="0"/>
        </w:sectPr>
      </w:pPr>
    </w:p>
    <w:bookmarkStart w:id="6" w:name="page7"/>
    <w:bookmarkEnd w:id="6"/>
    <w:p>
      <w:pPr>
        <w:jc w:val="both"/>
        <w:ind w:left="164"/>
        <w:spacing w:after="0" w:line="253" w:lineRule="auto"/>
        <w:rPr>
          <w:sz w:val="20"/>
          <w:szCs w:val="20"/>
          <w:color w:val="auto"/>
        </w:rPr>
      </w:pPr>
      <w:r>
        <w:rPr>
          <w:rFonts w:ascii="Arial" w:cs="Arial" w:eastAsia="Arial" w:hAnsi="Arial"/>
          <w:sz w:val="22"/>
          <w:szCs w:val="22"/>
          <w:color w:val="auto"/>
        </w:rPr>
        <w:t>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26" w:lineRule="exact"/>
        <w:rPr>
          <w:sz w:val="20"/>
          <w:szCs w:val="20"/>
          <w:color w:val="auto"/>
        </w:rPr>
      </w:pPr>
    </w:p>
    <w:p>
      <w:pPr>
        <w:ind w:left="164" w:firstLine="647"/>
        <w:spacing w:after="0" w:line="263" w:lineRule="auto"/>
        <w:tabs>
          <w:tab w:leader="none" w:pos="1262"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215" w:lineRule="exact"/>
        <w:rPr>
          <w:rFonts w:ascii="Arial" w:cs="Arial" w:eastAsia="Arial" w:hAnsi="Arial"/>
          <w:sz w:val="22"/>
          <w:szCs w:val="22"/>
          <w:color w:val="auto"/>
        </w:rPr>
      </w:pPr>
    </w:p>
    <w:p>
      <w:pPr>
        <w:ind w:left="1304" w:hanging="493"/>
        <w:spacing w:after="0"/>
        <w:tabs>
          <w:tab w:leader="none" w:pos="1304"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164" w:firstLine="647"/>
        <w:spacing w:after="0" w:line="263" w:lineRule="auto"/>
        <w:tabs>
          <w:tab w:leader="none" w:pos="1204"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215" w:lineRule="exact"/>
        <w:rPr>
          <w:rFonts w:ascii="Arial" w:cs="Arial" w:eastAsia="Arial" w:hAnsi="Arial"/>
          <w:sz w:val="22"/>
          <w:szCs w:val="22"/>
          <w:color w:val="auto"/>
        </w:rPr>
      </w:pPr>
    </w:p>
    <w:p>
      <w:pPr>
        <w:ind w:left="164" w:firstLine="647"/>
        <w:spacing w:after="0" w:line="263" w:lineRule="auto"/>
        <w:tabs>
          <w:tab w:leader="none" w:pos="1164"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215" w:lineRule="exact"/>
        <w:rPr>
          <w:rFonts w:ascii="Arial" w:cs="Arial" w:eastAsia="Arial" w:hAnsi="Arial"/>
          <w:sz w:val="22"/>
          <w:szCs w:val="22"/>
          <w:color w:val="auto"/>
        </w:rPr>
      </w:pPr>
    </w:p>
    <w:p>
      <w:pPr>
        <w:jc w:val="both"/>
        <w:ind w:left="-656" w:firstLine="1305"/>
        <w:spacing w:after="0" w:line="247" w:lineRule="auto"/>
        <w:tabs>
          <w:tab w:leader="none" w:pos="1002" w:val="left"/>
        </w:tabs>
        <w:numPr>
          <w:ilvl w:val="1"/>
          <w:numId w:val="8"/>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34" w:lineRule="exact"/>
        <w:rPr>
          <w:rFonts w:ascii="Arial" w:cs="Arial" w:eastAsia="Arial" w:hAnsi="Arial"/>
          <w:sz w:val="22"/>
          <w:szCs w:val="22"/>
          <w:color w:val="auto"/>
        </w:rPr>
      </w:pPr>
    </w:p>
    <w:p>
      <w:pPr>
        <w:jc w:val="both"/>
        <w:ind w:left="-656" w:firstLine="1305"/>
        <w:spacing w:after="0" w:line="259" w:lineRule="auto"/>
        <w:tabs>
          <w:tab w:leader="none" w:pos="924" w:val="left"/>
        </w:tabs>
        <w:numPr>
          <w:ilvl w:val="1"/>
          <w:numId w:val="8"/>
        </w:numPr>
        <w:rPr>
          <w:rFonts w:ascii="Arial" w:cs="Arial" w:eastAsia="Arial" w:hAnsi="Arial"/>
          <w:sz w:val="21"/>
          <w:szCs w:val="21"/>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“Date of Termination” shall mean (a) if this Agreement is terminated by the Company for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18" w:lineRule="exact"/>
        <w:rPr>
          <w:rFonts w:ascii="Arial" w:cs="Arial" w:eastAsia="Arial" w:hAnsi="Arial"/>
          <w:sz w:val="21"/>
          <w:szCs w:val="21"/>
          <w:color w:val="auto"/>
        </w:rPr>
      </w:pPr>
    </w:p>
    <w:p>
      <w:pPr>
        <w:jc w:val="both"/>
        <w:ind w:left="-656" w:firstLine="656"/>
        <w:spacing w:after="0" w:line="248" w:lineRule="auto"/>
        <w:tabs>
          <w:tab w:leader="none" w:pos="262"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Compensation upon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Company shall terminate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w:t>
      </w:r>
    </w:p>
    <w:p>
      <w:pPr>
        <w:sectPr>
          <w:pgSz w:w="11900" w:h="16838" w:orient="portrait"/>
          <w:cols w:equalWidth="0" w:num="1">
            <w:col w:w="10764"/>
          </w:cols>
          <w:pgMar w:left="896" w:top="631" w:right="239" w:bottom="1440" w:gutter="0" w:footer="0" w:header="0"/>
        </w:sectPr>
      </w:pPr>
    </w:p>
    <w:bookmarkStart w:id="7" w:name="page8"/>
    <w:bookmarkEnd w:id="7"/>
    <w:p>
      <w:pPr>
        <w:ind w:right="20"/>
        <w:spacing w:after="0" w:line="263" w:lineRule="auto"/>
        <w:rPr>
          <w:sz w:val="20"/>
          <w:szCs w:val="20"/>
          <w:color w:val="auto"/>
        </w:rPr>
      </w:pPr>
      <w:r>
        <w:rPr>
          <w:rFonts w:ascii="Arial" w:cs="Arial" w:eastAsia="Arial" w:hAnsi="Arial"/>
          <w:sz w:val="22"/>
          <w:szCs w:val="22"/>
          <w:color w:val="auto"/>
        </w:rPr>
        <w:t>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66"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200" w:lineRule="exact"/>
        <w:rPr>
          <w:sz w:val="20"/>
          <w:szCs w:val="20"/>
          <w:color w:val="auto"/>
        </w:rPr>
      </w:pPr>
    </w:p>
    <w:p>
      <w:pPr>
        <w:spacing w:after="0" w:line="262"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643"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ectPr>
          <w:pgSz w:w="11900" w:h="16838" w:orient="portrait"/>
          <w:cols w:equalWidth="0" w:num="1">
            <w:col w:w="11420"/>
          </w:cols>
          <w:pgMar w:left="240" w:top="631" w:right="239" w:bottom="1440" w:gutter="0" w:footer="0" w:header="0"/>
        </w:sectPr>
      </w:pPr>
    </w:p>
    <w:bookmarkStart w:id="8" w:name="page9"/>
    <w:bookmarkEnd w:id="8"/>
    <w:p>
      <w:pPr>
        <w:ind w:left="224" w:hanging="224"/>
        <w:spacing w:after="0"/>
        <w:tabs>
          <w:tab w:leader="none" w:pos="224"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66" w:lineRule="exact"/>
        <w:rPr>
          <w:rFonts w:ascii="Arial" w:cs="Arial" w:eastAsia="Arial" w:hAnsi="Arial"/>
          <w:sz w:val="22"/>
          <w:szCs w:val="22"/>
          <w:b w:val="1"/>
          <w:bCs w:val="1"/>
          <w:color w:val="auto"/>
        </w:rPr>
      </w:pPr>
    </w:p>
    <w:p>
      <w:pPr>
        <w:jc w:val="both"/>
        <w:ind w:left="-656" w:firstLine="1305"/>
        <w:spacing w:after="0" w:line="289" w:lineRule="auto"/>
        <w:tabs>
          <w:tab w:leader="none" w:pos="934"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8" w:lineRule="exact"/>
        <w:rPr>
          <w:rFonts w:ascii="Arial" w:cs="Arial" w:eastAsia="Arial" w:hAnsi="Arial"/>
          <w:sz w:val="19"/>
          <w:szCs w:val="19"/>
          <w:color w:val="auto"/>
        </w:rPr>
      </w:pPr>
    </w:p>
    <w:p>
      <w:pPr>
        <w:jc w:val="both"/>
        <w:ind w:left="-656" w:firstLine="1305"/>
        <w:spacing w:after="0" w:line="248" w:lineRule="auto"/>
        <w:tabs>
          <w:tab w:leader="none" w:pos="10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26" w:lineRule="exact"/>
        <w:rPr>
          <w:rFonts w:ascii="Arial" w:cs="Arial" w:eastAsia="Arial" w:hAnsi="Arial"/>
          <w:sz w:val="22"/>
          <w:szCs w:val="22"/>
          <w:color w:val="auto"/>
        </w:rPr>
      </w:pPr>
    </w:p>
    <w:p>
      <w:pPr>
        <w:jc w:val="both"/>
        <w:ind w:left="-656" w:firstLine="656"/>
        <w:spacing w:after="0" w:line="274" w:lineRule="auto"/>
        <w:tabs>
          <w:tab w:leader="none" w:pos="249" w:val="left"/>
        </w:tabs>
        <w:numPr>
          <w:ilvl w:val="0"/>
          <w:numId w:val="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99" w:lineRule="exact"/>
        <w:rPr>
          <w:rFonts w:ascii="Arial" w:cs="Arial" w:eastAsia="Arial" w:hAnsi="Arial"/>
          <w:sz w:val="21"/>
          <w:szCs w:val="21"/>
          <w:b w:val="1"/>
          <w:bCs w:val="1"/>
          <w:color w:val="auto"/>
        </w:rPr>
      </w:pPr>
    </w:p>
    <w:p>
      <w:pPr>
        <w:jc w:val="both"/>
        <w:ind w:left="-656" w:firstLine="656"/>
        <w:spacing w:after="0" w:line="256" w:lineRule="auto"/>
        <w:tabs>
          <w:tab w:leader="none" w:pos="208"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to have been duly given when delivered or mailed by United States registered mail, return receipt registered, postage prepaid, as follows: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Forest City, Iowa 50436</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Steve Dummett</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106 Sweetgrass Lane</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Forest City, Iowa 50436</w:t>
      </w:r>
    </w:p>
    <w:p>
      <w:pPr>
        <w:sectPr>
          <w:pgSz w:w="11900" w:h="16838" w:orient="portrait"/>
          <w:cols w:equalWidth="0" w:num="1">
            <w:col w:w="10764"/>
          </w:cols>
          <w:pgMar w:left="896" w:top="625" w:right="2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22"/>
          <w:szCs w:val="22"/>
          <w:color w:val="auto"/>
        </w:rPr>
        <w:t>or such other address as either party may have furnished to the other in writing in accordance herewith, except that notices of change of address shall be effective only upon receipt.</w:t>
      </w:r>
    </w:p>
    <w:p>
      <w:pPr>
        <w:spacing w:after="0" w:line="209" w:lineRule="exact"/>
        <w:rPr>
          <w:sz w:val="20"/>
          <w:szCs w:val="20"/>
          <w:color w:val="auto"/>
        </w:rPr>
      </w:pPr>
    </w:p>
    <w:p>
      <w:pPr>
        <w:jc w:val="both"/>
        <w:ind w:firstLine="656"/>
        <w:spacing w:after="0" w:line="261" w:lineRule="auto"/>
        <w:tabs>
          <w:tab w:leader="none" w:pos="1026"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No provisions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14" w:lineRule="exact"/>
        <w:rPr>
          <w:rFonts w:ascii="Arial" w:cs="Arial" w:eastAsia="Arial" w:hAnsi="Arial"/>
          <w:sz w:val="21"/>
          <w:szCs w:val="21"/>
          <w:b w:val="1"/>
          <w:bCs w:val="1"/>
          <w:color w:val="auto"/>
        </w:rPr>
      </w:pPr>
    </w:p>
    <w:p>
      <w:pPr>
        <w:ind w:firstLine="656"/>
        <w:spacing w:after="0" w:line="269" w:lineRule="auto"/>
        <w:tabs>
          <w:tab w:leader="none" w:pos="1014"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202"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86"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216"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7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and the regulations thereunder. This Agreement shall be administered accordingly; and if necessary, amended to ensure satisfaction of the short-term deferral exception.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on the date set out above.</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34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WINNEBAGO INDUSTRIES, INC.</w:t>
      </w:r>
    </w:p>
    <w:p>
      <w:pPr>
        <w:spacing w:after="0" w:line="341"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24765</wp:posOffset>
            </wp:positionV>
            <wp:extent cx="2675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Randy J. Potts</w:t>
      </w:r>
    </w:p>
    <w:p>
      <w:pPr>
        <w:spacing w:after="0" w:line="4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Chairman of the Board</w:t>
      </w:r>
    </w:p>
    <w:p>
      <w:pPr>
        <w:sectPr>
          <w:pgSz w:w="11900" w:h="16838" w:orient="portrait"/>
          <w:cols w:equalWidth="0" w:num="1">
            <w:col w:w="11420"/>
          </w:cols>
          <w:pgMar w:left="240" w:top="1144" w:right="239" w:bottom="1440" w:gutter="0" w:footer="0" w:header="0"/>
        </w:sectPr>
      </w:pPr>
    </w:p>
    <w:bookmarkStart w:id="10" w:name="page11"/>
    <w:bookmarkEnd w:id="10"/>
    <w:p>
      <w:pPr>
        <w:ind w:left="342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/s/ Steve Dummett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46355</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7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Steve Dummett</w:t>
      </w:r>
    </w:p>
    <w:p>
      <w:pPr>
        <w:sectPr>
          <w:pgSz w:w="11900" w:h="16838" w:orient="portrait"/>
          <w:cols w:equalWidth="0" w:num="1">
            <w:col w:w="9019"/>
          </w:cols>
          <w:pgMar w:left="1440" w:top="1036"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EXECUTIVE CHANGE OF CONTROL AGREEMENT is made as of January 12, 2015 by and between </w:t>
      </w:r>
      <w:r>
        <w:rPr>
          <w:rFonts w:ascii="Arial" w:cs="Arial" w:eastAsia="Arial" w:hAnsi="Arial"/>
          <w:sz w:val="22"/>
          <w:szCs w:val="22"/>
          <w:b w:val="1"/>
          <w:bCs w:val="1"/>
          <w:color w:val="auto"/>
        </w:rPr>
        <w:t>WINNEBAGO INDUSTRIES, INC.</w:t>
      </w:r>
      <w:r>
        <w:rPr>
          <w:rFonts w:ascii="Arial" w:cs="Arial" w:eastAsia="Arial" w:hAnsi="Arial"/>
          <w:sz w:val="22"/>
          <w:szCs w:val="22"/>
          <w:color w:val="auto"/>
        </w:rPr>
        <w:t>, an Iowa corporation (the "Company"), and Bret Woodson (the "Executive").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60" w:lineRule="exact"/>
        <w:rPr>
          <w:sz w:val="20"/>
          <w:szCs w:val="20"/>
          <w:color w:val="auto"/>
        </w:rPr>
      </w:pPr>
    </w:p>
    <w:p>
      <w:pPr>
        <w:jc w:val="both"/>
        <w:ind w:firstLine="656"/>
        <w:spacing w:after="0" w:line="249" w:lineRule="auto"/>
        <w:tabs>
          <w:tab w:leader="none" w:pos="878"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27" w:lineRule="exact"/>
        <w:rPr>
          <w:rFonts w:ascii="Arial" w:cs="Arial" w:eastAsia="Arial" w:hAnsi="Arial"/>
          <w:sz w:val="22"/>
          <w:szCs w:val="22"/>
          <w:b w:val="1"/>
          <w:bCs w:val="1"/>
          <w:color w:val="auto"/>
        </w:rPr>
      </w:pPr>
    </w:p>
    <w:p>
      <w:pPr>
        <w:jc w:val="both"/>
        <w:ind w:firstLine="656"/>
        <w:spacing w:after="0" w:line="259" w:lineRule="auto"/>
        <w:tabs>
          <w:tab w:leader="none" w:pos="864"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w:t>
      </w:r>
    </w:p>
    <w:p>
      <w:pPr>
        <w:sectPr>
          <w:pgSz w:w="11900" w:h="16838" w:orient="portrait"/>
          <w:cols w:equalWidth="0" w:num="1">
            <w:col w:w="11420"/>
          </w:cols>
          <w:pgMar w:left="240" w:top="814" w:right="23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stock held by such a plan shall not be treated as outstanding in determining ownership percentages for purposes of this definition.)</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 of the foregoing definition of “Change of Control”, the capitalized terms shall have the following meanings:</w:t>
      </w:r>
    </w:p>
    <w:p>
      <w:pPr>
        <w:spacing w:after="0" w:line="272" w:lineRule="exact"/>
        <w:rPr>
          <w:sz w:val="20"/>
          <w:szCs w:val="20"/>
          <w:color w:val="auto"/>
        </w:rPr>
      </w:pPr>
    </w:p>
    <w:p>
      <w:pPr>
        <w:jc w:val="both"/>
        <w:ind w:left="1300" w:hanging="644"/>
        <w:spacing w:after="0" w:line="292" w:lineRule="auto"/>
        <w:tabs>
          <w:tab w:leader="none" w:pos="13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2" w:lineRule="exact"/>
        <w:rPr>
          <w:rFonts w:ascii="Arial" w:cs="Arial" w:eastAsia="Arial" w:hAnsi="Arial"/>
          <w:sz w:val="19"/>
          <w:szCs w:val="19"/>
          <w:color w:val="auto"/>
        </w:rPr>
      </w:pPr>
    </w:p>
    <w:p>
      <w:pPr>
        <w:jc w:val="both"/>
        <w:ind w:left="1300" w:hanging="644"/>
        <w:spacing w:after="0" w:line="271"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208" w:lineRule="exact"/>
        <w:rPr>
          <w:rFonts w:ascii="Arial" w:cs="Arial" w:eastAsia="Arial" w:hAnsi="Arial"/>
          <w:sz w:val="21"/>
          <w:szCs w:val="21"/>
          <w:color w:val="auto"/>
        </w:rPr>
      </w:pPr>
    </w:p>
    <w:p>
      <w:pPr>
        <w:ind w:left="1300" w:right="20" w:hanging="644"/>
        <w:spacing w:after="0" w:line="263" w:lineRule="auto"/>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37"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rFonts w:ascii="Arial" w:cs="Arial" w:eastAsia="Arial" w:hAnsi="Arial"/>
          <w:sz w:val="22"/>
          <w:szCs w:val="22"/>
          <w:color w:val="auto"/>
        </w:rPr>
      </w:pPr>
    </w:p>
    <w:p>
      <w:pPr>
        <w:jc w:val="both"/>
        <w:ind w:firstLine="8"/>
        <w:spacing w:after="0" w:line="249" w:lineRule="auto"/>
        <w:tabs>
          <w:tab w:leader="none" w:pos="5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Following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a change of Control shall have occurred while the Executive is still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w:t>
      </w:r>
    </w:p>
    <w:p>
      <w:pPr>
        <w:sectPr>
          <w:pgSz w:w="11900" w:h="16838" w:orient="portrait"/>
          <w:cols w:equalWidth="0" w:num="1">
            <w:col w:w="11420"/>
          </w:cols>
          <w:pgMar w:left="240" w:top="564" w:right="239" w:bottom="1440" w:gutter="0" w:footer="0" w:header="0"/>
        </w:sectPr>
      </w:pPr>
    </w:p>
    <w:bookmarkStart w:id="13" w:name="page14"/>
    <w:bookmarkEnd w:id="13"/>
    <w:p>
      <w:pPr>
        <w:spacing w:after="0" w:line="263" w:lineRule="auto"/>
        <w:rPr>
          <w:sz w:val="20"/>
          <w:szCs w:val="20"/>
          <w:color w:val="auto"/>
        </w:rPr>
      </w:pPr>
      <w:r>
        <w:rPr>
          <w:rFonts w:ascii="Arial" w:cs="Arial" w:eastAsia="Arial" w:hAnsi="Arial"/>
          <w:sz w:val="22"/>
          <w:szCs w:val="22"/>
          <w:color w:val="auto"/>
        </w:rPr>
        <w:t>below); (d) the Executive’s termination by the Company for Cause (as defined in Section 3(c) below); or (e) the Executive’s decision to terminate employment other than for Good Reason (as defined in Section 3(d) below).</w:t>
      </w:r>
    </w:p>
    <w:p>
      <w:pPr>
        <w:spacing w:after="0" w:line="215" w:lineRule="exact"/>
        <w:rPr>
          <w:sz w:val="20"/>
          <w:szCs w:val="20"/>
          <w:color w:val="auto"/>
        </w:rPr>
      </w:pPr>
    </w:p>
    <w:p>
      <w:pPr>
        <w:jc w:val="both"/>
        <w:ind w:firstLine="1305"/>
        <w:spacing w:after="0" w:line="250" w:lineRule="auto"/>
        <w:tabs>
          <w:tab w:leader="none" w:pos="1590" w:val="left"/>
        </w:tabs>
        <w:numPr>
          <w:ilvl w:val="0"/>
          <w:numId w:val="17"/>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228" w:lineRule="exact"/>
        <w:rPr>
          <w:rFonts w:ascii="Arial" w:cs="Arial" w:eastAsia="Arial" w:hAnsi="Arial"/>
          <w:sz w:val="22"/>
          <w:szCs w:val="22"/>
          <w:color w:val="auto"/>
        </w:rPr>
      </w:pPr>
    </w:p>
    <w:p>
      <w:pPr>
        <w:jc w:val="both"/>
        <w:ind w:firstLine="1305"/>
        <w:spacing w:after="0" w:line="271" w:lineRule="auto"/>
        <w:tabs>
          <w:tab w:leader="none" w:pos="1616" w:val="left"/>
        </w:tabs>
        <w:numPr>
          <w:ilvl w:val="0"/>
          <w:numId w:val="17"/>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The term “Retirement” as used in this Agreement shall mean termination by the Company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the Executive’s employment based on the Executive having attained the age of 65 or such other age as shall have been fixed in any arrangement established with the Executive’s consent with respect to the Executive.</w:t>
      </w:r>
    </w:p>
    <w:p>
      <w:pPr>
        <w:spacing w:after="0" w:line="208" w:lineRule="exact"/>
        <w:rPr>
          <w:rFonts w:ascii="Arial" w:cs="Arial" w:eastAsia="Arial" w:hAnsi="Arial"/>
          <w:sz w:val="21"/>
          <w:szCs w:val="21"/>
          <w:color w:val="auto"/>
        </w:rPr>
      </w:pPr>
    </w:p>
    <w:p>
      <w:pPr>
        <w:jc w:val="both"/>
        <w:ind w:firstLine="1305"/>
        <w:spacing w:after="0" w:line="258" w:lineRule="auto"/>
        <w:tabs>
          <w:tab w:leader="none" w:pos="1604" w:val="left"/>
        </w:tabs>
        <w:numPr>
          <w:ilvl w:val="0"/>
          <w:numId w:val="17"/>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2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17"/>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226"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ectPr>
          <w:pgSz w:w="11900" w:h="16838" w:orient="portrait"/>
          <w:cols w:equalWidth="0" w:num="1">
            <w:col w:w="11420"/>
          </w:cols>
          <w:pgMar w:left="240" w:top="564" w:right="239" w:bottom="1440" w:gutter="0" w:footer="0" w:header="0"/>
        </w:sectPr>
      </w:pPr>
    </w:p>
    <w:bookmarkStart w:id="14" w:name="page15"/>
    <w:bookmarkEnd w:id="14"/>
    <w:p>
      <w:pPr>
        <w:jc w:val="both"/>
        <w:ind w:left="-380" w:firstLine="647"/>
        <w:spacing w:after="0" w:line="248" w:lineRule="auto"/>
        <w:tabs>
          <w:tab w:leader="none" w:pos="586"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32" w:lineRule="exact"/>
        <w:rPr>
          <w:rFonts w:ascii="Arial" w:cs="Arial" w:eastAsia="Arial" w:hAnsi="Arial"/>
          <w:sz w:val="22"/>
          <w:szCs w:val="22"/>
          <w:color w:val="auto"/>
        </w:rPr>
      </w:pPr>
    </w:p>
    <w:p>
      <w:pPr>
        <w:jc w:val="both"/>
        <w:ind w:left="-380" w:firstLine="647"/>
        <w:spacing w:after="0" w:line="292" w:lineRule="auto"/>
        <w:tabs>
          <w:tab w:leader="none" w:pos="699"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92" w:lineRule="exact"/>
        <w:rPr>
          <w:rFonts w:ascii="Arial" w:cs="Arial" w:eastAsia="Arial" w:hAnsi="Arial"/>
          <w:sz w:val="19"/>
          <w:szCs w:val="19"/>
          <w:color w:val="auto"/>
        </w:rPr>
      </w:pPr>
    </w:p>
    <w:p>
      <w:pPr>
        <w:jc w:val="both"/>
        <w:ind w:left="-380" w:firstLine="647"/>
        <w:spacing w:after="0" w:line="246" w:lineRule="auto"/>
        <w:tabs>
          <w:tab w:leader="none" w:pos="676"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32" w:lineRule="exact"/>
        <w:rPr>
          <w:rFonts w:ascii="Arial" w:cs="Arial" w:eastAsia="Arial" w:hAnsi="Arial"/>
          <w:sz w:val="22"/>
          <w:szCs w:val="22"/>
          <w:color w:val="auto"/>
        </w:rPr>
      </w:pPr>
    </w:p>
    <w:p>
      <w:pPr>
        <w:jc w:val="both"/>
        <w:ind w:left="-380" w:firstLine="647"/>
        <w:spacing w:after="0" w:line="248" w:lineRule="auto"/>
        <w:tabs>
          <w:tab w:leader="none" w:pos="578"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32" w:lineRule="exact"/>
        <w:rPr>
          <w:rFonts w:ascii="Arial" w:cs="Arial" w:eastAsia="Arial" w:hAnsi="Arial"/>
          <w:sz w:val="22"/>
          <w:szCs w:val="22"/>
          <w:color w:val="auto"/>
        </w:rPr>
      </w:pPr>
    </w:p>
    <w:p>
      <w:pPr>
        <w:ind w:left="-380" w:firstLine="647"/>
        <w:spacing w:after="0" w:line="263" w:lineRule="auto"/>
        <w:tabs>
          <w:tab w:leader="none" w:pos="659"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Forest City, Iowa, or the Executive’s relocation to any place other than the location at which the Executive performed the</w:t>
      </w:r>
    </w:p>
    <w:p>
      <w:pPr>
        <w:sectPr>
          <w:pgSz w:w="11900" w:h="16838" w:orient="portrait"/>
          <w:cols w:equalWidth="0" w:num="1">
            <w:col w:w="10220"/>
          </w:cols>
          <w:pgMar w:left="1440" w:top="564" w:right="239" w:bottom="1440" w:gutter="0" w:footer="0" w:header="0"/>
        </w:sectPr>
      </w:pPr>
    </w:p>
    <w:bookmarkStart w:id="15" w:name="page16"/>
    <w:bookmarkEnd w:id="15"/>
    <w:p>
      <w:pPr>
        <w:jc w:val="both"/>
        <w:ind w:left="164"/>
        <w:spacing w:after="0" w:line="253" w:lineRule="auto"/>
        <w:rPr>
          <w:sz w:val="20"/>
          <w:szCs w:val="20"/>
          <w:color w:val="auto"/>
        </w:rPr>
      </w:pPr>
      <w:r>
        <w:rPr>
          <w:rFonts w:ascii="Arial" w:cs="Arial" w:eastAsia="Arial" w:hAnsi="Arial"/>
          <w:sz w:val="22"/>
          <w:szCs w:val="22"/>
          <w:color w:val="auto"/>
        </w:rPr>
        <w:t>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26" w:lineRule="exact"/>
        <w:rPr>
          <w:sz w:val="20"/>
          <w:szCs w:val="20"/>
          <w:color w:val="auto"/>
        </w:rPr>
      </w:pPr>
    </w:p>
    <w:p>
      <w:pPr>
        <w:ind w:left="164" w:firstLine="647"/>
        <w:spacing w:after="0" w:line="263" w:lineRule="auto"/>
        <w:tabs>
          <w:tab w:leader="none" w:pos="1262" w:val="left"/>
        </w:tabs>
        <w:numPr>
          <w:ilvl w:val="2"/>
          <w:numId w:val="19"/>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215" w:lineRule="exact"/>
        <w:rPr>
          <w:rFonts w:ascii="Arial" w:cs="Arial" w:eastAsia="Arial" w:hAnsi="Arial"/>
          <w:sz w:val="22"/>
          <w:szCs w:val="22"/>
          <w:color w:val="auto"/>
        </w:rPr>
      </w:pPr>
    </w:p>
    <w:p>
      <w:pPr>
        <w:ind w:left="1304" w:hanging="493"/>
        <w:spacing w:after="0"/>
        <w:tabs>
          <w:tab w:leader="none" w:pos="1304" w:val="left"/>
        </w:tabs>
        <w:numPr>
          <w:ilvl w:val="2"/>
          <w:numId w:val="19"/>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164" w:firstLine="647"/>
        <w:spacing w:after="0" w:line="263" w:lineRule="auto"/>
        <w:tabs>
          <w:tab w:leader="none" w:pos="1204" w:val="left"/>
        </w:tabs>
        <w:numPr>
          <w:ilvl w:val="2"/>
          <w:numId w:val="19"/>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215" w:lineRule="exact"/>
        <w:rPr>
          <w:rFonts w:ascii="Arial" w:cs="Arial" w:eastAsia="Arial" w:hAnsi="Arial"/>
          <w:sz w:val="22"/>
          <w:szCs w:val="22"/>
          <w:color w:val="auto"/>
        </w:rPr>
      </w:pPr>
    </w:p>
    <w:p>
      <w:pPr>
        <w:ind w:left="164" w:firstLine="647"/>
        <w:spacing w:after="0" w:line="263" w:lineRule="auto"/>
        <w:tabs>
          <w:tab w:leader="none" w:pos="1164" w:val="left"/>
        </w:tabs>
        <w:numPr>
          <w:ilvl w:val="2"/>
          <w:numId w:val="19"/>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215" w:lineRule="exact"/>
        <w:rPr>
          <w:rFonts w:ascii="Arial" w:cs="Arial" w:eastAsia="Arial" w:hAnsi="Arial"/>
          <w:sz w:val="22"/>
          <w:szCs w:val="22"/>
          <w:color w:val="auto"/>
        </w:rPr>
      </w:pPr>
    </w:p>
    <w:p>
      <w:pPr>
        <w:jc w:val="both"/>
        <w:ind w:left="-656" w:firstLine="1305"/>
        <w:spacing w:after="0" w:line="247" w:lineRule="auto"/>
        <w:tabs>
          <w:tab w:leader="none" w:pos="1002"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34" w:lineRule="exact"/>
        <w:rPr>
          <w:rFonts w:ascii="Arial" w:cs="Arial" w:eastAsia="Arial" w:hAnsi="Arial"/>
          <w:sz w:val="22"/>
          <w:szCs w:val="22"/>
          <w:color w:val="auto"/>
        </w:rPr>
      </w:pPr>
    </w:p>
    <w:p>
      <w:pPr>
        <w:jc w:val="both"/>
        <w:ind w:left="-656" w:firstLine="1305"/>
        <w:spacing w:after="0" w:line="259" w:lineRule="auto"/>
        <w:tabs>
          <w:tab w:leader="none" w:pos="924" w:val="left"/>
        </w:tabs>
        <w:numPr>
          <w:ilvl w:val="1"/>
          <w:numId w:val="20"/>
        </w:numPr>
        <w:rPr>
          <w:rFonts w:ascii="Arial" w:cs="Arial" w:eastAsia="Arial" w:hAnsi="Arial"/>
          <w:sz w:val="21"/>
          <w:szCs w:val="21"/>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“Date of Termination” shall mean (a) if this Agreement is terminated by the Company for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18" w:lineRule="exact"/>
        <w:rPr>
          <w:rFonts w:ascii="Arial" w:cs="Arial" w:eastAsia="Arial" w:hAnsi="Arial"/>
          <w:sz w:val="21"/>
          <w:szCs w:val="21"/>
          <w:color w:val="auto"/>
        </w:rPr>
      </w:pPr>
    </w:p>
    <w:p>
      <w:pPr>
        <w:jc w:val="both"/>
        <w:ind w:left="-656" w:firstLine="656"/>
        <w:spacing w:after="0" w:line="248" w:lineRule="auto"/>
        <w:tabs>
          <w:tab w:leader="none" w:pos="262"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Compensation upon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Company shall terminate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w:t>
      </w:r>
    </w:p>
    <w:p>
      <w:pPr>
        <w:sectPr>
          <w:pgSz w:w="11900" w:h="16838" w:orient="portrait"/>
          <w:cols w:equalWidth="0" w:num="1">
            <w:col w:w="10764"/>
          </w:cols>
          <w:pgMar w:left="896" w:top="564" w:right="239" w:bottom="1440" w:gutter="0" w:footer="0" w:header="0"/>
        </w:sectPr>
      </w:pPr>
    </w:p>
    <w:bookmarkStart w:id="16" w:name="page17"/>
    <w:bookmarkEnd w:id="16"/>
    <w:p>
      <w:pPr>
        <w:ind w:right="20"/>
        <w:spacing w:after="0" w:line="263" w:lineRule="auto"/>
        <w:rPr>
          <w:sz w:val="20"/>
          <w:szCs w:val="20"/>
          <w:color w:val="auto"/>
        </w:rPr>
      </w:pPr>
      <w:r>
        <w:rPr>
          <w:rFonts w:ascii="Arial" w:cs="Arial" w:eastAsia="Arial" w:hAnsi="Arial"/>
          <w:sz w:val="22"/>
          <w:szCs w:val="22"/>
          <w:color w:val="auto"/>
        </w:rPr>
        <w:t>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66"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200" w:lineRule="exact"/>
        <w:rPr>
          <w:sz w:val="20"/>
          <w:szCs w:val="20"/>
          <w:color w:val="auto"/>
        </w:rPr>
      </w:pPr>
    </w:p>
    <w:p>
      <w:pPr>
        <w:spacing w:after="0" w:line="262"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643"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ectPr>
          <w:pgSz w:w="11900" w:h="16838" w:orient="portrait"/>
          <w:cols w:equalWidth="0" w:num="1">
            <w:col w:w="11420"/>
          </w:cols>
          <w:pgMar w:left="240" w:top="564" w:right="239" w:bottom="1440" w:gutter="0" w:footer="0" w:header="0"/>
        </w:sectPr>
      </w:pPr>
    </w:p>
    <w:bookmarkStart w:id="17" w:name="page18"/>
    <w:bookmarkEnd w:id="17"/>
    <w:p>
      <w:pPr>
        <w:ind w:left="224" w:hanging="224"/>
        <w:spacing w:after="0"/>
        <w:tabs>
          <w:tab w:leader="none" w:pos="224"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66" w:lineRule="exact"/>
        <w:rPr>
          <w:rFonts w:ascii="Arial" w:cs="Arial" w:eastAsia="Arial" w:hAnsi="Arial"/>
          <w:sz w:val="22"/>
          <w:szCs w:val="22"/>
          <w:b w:val="1"/>
          <w:bCs w:val="1"/>
          <w:color w:val="auto"/>
        </w:rPr>
      </w:pPr>
    </w:p>
    <w:p>
      <w:pPr>
        <w:jc w:val="both"/>
        <w:ind w:left="-656" w:firstLine="1305"/>
        <w:spacing w:after="0" w:line="289" w:lineRule="auto"/>
        <w:tabs>
          <w:tab w:leader="none" w:pos="934"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8" w:lineRule="exact"/>
        <w:rPr>
          <w:rFonts w:ascii="Arial" w:cs="Arial" w:eastAsia="Arial" w:hAnsi="Arial"/>
          <w:sz w:val="19"/>
          <w:szCs w:val="19"/>
          <w:color w:val="auto"/>
        </w:rPr>
      </w:pPr>
    </w:p>
    <w:p>
      <w:pPr>
        <w:jc w:val="both"/>
        <w:ind w:left="-656" w:firstLine="1305"/>
        <w:spacing w:after="0" w:line="248" w:lineRule="auto"/>
        <w:tabs>
          <w:tab w:leader="none" w:pos="10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26" w:lineRule="exact"/>
        <w:rPr>
          <w:rFonts w:ascii="Arial" w:cs="Arial" w:eastAsia="Arial" w:hAnsi="Arial"/>
          <w:sz w:val="22"/>
          <w:szCs w:val="22"/>
          <w:color w:val="auto"/>
        </w:rPr>
      </w:pPr>
    </w:p>
    <w:p>
      <w:pPr>
        <w:jc w:val="both"/>
        <w:ind w:left="-656" w:firstLine="656"/>
        <w:spacing w:after="0" w:line="274" w:lineRule="auto"/>
        <w:tabs>
          <w:tab w:leader="none" w:pos="249"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99" w:lineRule="exact"/>
        <w:rPr>
          <w:rFonts w:ascii="Arial" w:cs="Arial" w:eastAsia="Arial" w:hAnsi="Arial"/>
          <w:sz w:val="21"/>
          <w:szCs w:val="21"/>
          <w:b w:val="1"/>
          <w:bCs w:val="1"/>
          <w:color w:val="auto"/>
        </w:rPr>
      </w:pPr>
    </w:p>
    <w:p>
      <w:pPr>
        <w:jc w:val="both"/>
        <w:ind w:left="-656" w:firstLine="656"/>
        <w:spacing w:after="0" w:line="256" w:lineRule="auto"/>
        <w:tabs>
          <w:tab w:leader="none" w:pos="208"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to have been duly given when delivered or mailed by United States registered mail, return receipt registered, postage prepaid, as follows: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Forest City, Iowa 50436</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Bret Woodson</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____________________</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____________________</w:t>
      </w:r>
    </w:p>
    <w:p>
      <w:pPr>
        <w:sectPr>
          <w:pgSz w:w="11900" w:h="16838" w:orient="portrait"/>
          <w:cols w:equalWidth="0" w:num="1">
            <w:col w:w="10764"/>
          </w:cols>
          <w:pgMar w:left="896" w:top="558" w:right="239" w:bottom="1440" w:gutter="0" w:footer="0" w:header="0"/>
        </w:sectPr>
      </w:pPr>
    </w:p>
    <w:bookmarkStart w:id="18" w:name="page19"/>
    <w:bookmarkEnd w:id="18"/>
    <w:p>
      <w:pPr>
        <w:spacing w:after="0" w:line="263" w:lineRule="auto"/>
        <w:rPr>
          <w:sz w:val="20"/>
          <w:szCs w:val="20"/>
          <w:color w:val="auto"/>
        </w:rPr>
      </w:pPr>
      <w:r>
        <w:rPr>
          <w:rFonts w:ascii="Arial" w:cs="Arial" w:eastAsia="Arial" w:hAnsi="Arial"/>
          <w:sz w:val="22"/>
          <w:szCs w:val="22"/>
          <w:color w:val="auto"/>
        </w:rPr>
        <w:t>or such other address as either party may have furnished to the other in writing in accordance herewith, except that notices of change of address shall be effective only upon receipt.</w:t>
      </w:r>
    </w:p>
    <w:p>
      <w:pPr>
        <w:spacing w:after="0" w:line="209" w:lineRule="exact"/>
        <w:rPr>
          <w:sz w:val="20"/>
          <w:szCs w:val="20"/>
          <w:color w:val="auto"/>
        </w:rPr>
      </w:pPr>
    </w:p>
    <w:p>
      <w:pPr>
        <w:jc w:val="both"/>
        <w:ind w:firstLine="656"/>
        <w:spacing w:after="0" w:line="261" w:lineRule="auto"/>
        <w:tabs>
          <w:tab w:leader="none" w:pos="1026"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No provisions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14" w:lineRule="exact"/>
        <w:rPr>
          <w:rFonts w:ascii="Arial" w:cs="Arial" w:eastAsia="Arial" w:hAnsi="Arial"/>
          <w:sz w:val="21"/>
          <w:szCs w:val="21"/>
          <w:b w:val="1"/>
          <w:bCs w:val="1"/>
          <w:color w:val="auto"/>
        </w:rPr>
      </w:pPr>
    </w:p>
    <w:p>
      <w:pPr>
        <w:ind w:firstLine="656"/>
        <w:spacing w:after="0" w:line="269" w:lineRule="auto"/>
        <w:tabs>
          <w:tab w:leader="none" w:pos="1014"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202"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86"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216"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72"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and the regulations thereunder. This Agreement shall be administered accordingly; and if necessary, amended to ensure satisfaction of the short-term deferral exception.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on the date set out above.</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COMPANY:</w:t>
      </w:r>
    </w:p>
    <w:p>
      <w:pPr>
        <w:spacing w:after="0" w:line="34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WINNEBAGO INDUSTRIES, INC.</w:t>
      </w:r>
    </w:p>
    <w:p>
      <w:pPr>
        <w:spacing w:after="0" w:line="341"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24765</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Randy J. Potts</w:t>
      </w:r>
    </w:p>
    <w:p>
      <w:pPr>
        <w:spacing w:after="0" w:line="4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Chairman of the Board</w:t>
      </w:r>
    </w:p>
    <w:p>
      <w:pPr>
        <w:sectPr>
          <w:pgSz w:w="11900" w:h="16838" w:orient="portrait"/>
          <w:cols w:equalWidth="0" w:num="1">
            <w:col w:w="11420"/>
          </w:cols>
          <w:pgMar w:left="240" w:top="1077" w:right="239" w:bottom="1440" w:gutter="0" w:footer="0" w:header="0"/>
        </w:sectPr>
      </w:pPr>
    </w:p>
    <w:bookmarkStart w:id="19" w:name="page20"/>
    <w:bookmarkEnd w:id="19"/>
    <w:p>
      <w:pPr>
        <w:ind w:left="342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/s/ Bret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46355</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7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Bret Woodson</w:t>
      </w:r>
    </w:p>
    <w:sectPr>
      <w:pgSz w:w="11900" w:h="16838" w:orient="portrait"/>
      <w:cols w:equalWidth="0" w:num="1">
        <w:col w:w="9019"/>
      </w:cols>
      <w:pgMar w:left="1440" w:top="9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lvl w:ilvl="1">
      <w:lvlJc w:val="left"/>
      <w:lvlText w:val="(%2)"/>
      <w:numFmt w:val="lowerLetter"/>
      <w:start w:val="1"/>
    </w:lvl>
  </w:abstractNum>
  <w:abstractNum w:abstractNumId="3">
    <w:nsid w:val="7FDCC233"/>
    <w:multiLevelType w:val="hybridMultilevel"/>
    <w:lvl w:ilvl="0">
      <w:lvlJc w:val="left"/>
      <w:lvlText w:val="%1."/>
      <w:numFmt w:val="decimal"/>
      <w:start w:val="3"/>
    </w:lvl>
    <w:lvl w:ilvl="1">
      <w:lvlJc w:val="left"/>
      <w:lvlText w:val="%2"/>
      <w:numFmt w:val="lowerLetter"/>
      <w:start w:val="1"/>
    </w:lvl>
  </w:abstractNum>
  <w:abstractNum w:abstractNumId="4">
    <w:nsid w:val="1BEFD79F"/>
    <w:multiLevelType w:val="hybridMultilevel"/>
    <w:lvl w:ilvl="0">
      <w:lvlJc w:val="left"/>
      <w:lvlText w:val="(%1)"/>
      <w:numFmt w:val="lowerLetter"/>
      <w:start w:val="1"/>
    </w:lvl>
    <w:lvl w:ilvl="1">
      <w:lvlJc w:val="left"/>
      <w:lvlText w:val="(%2)"/>
      <w:numFmt w:val="lowerLetter"/>
      <w:start w:val="9"/>
    </w:lvl>
  </w:abstractNum>
  <w:abstractNum w:abstractNumId="5">
    <w:nsid w:val="41A7C4C9"/>
    <w:multiLevelType w:val="hybridMultilevel"/>
    <w:lvl w:ilvl="0">
      <w:lvlJc w:val="left"/>
      <w:lvlText w:val="(%1)"/>
      <w:numFmt w:val="lowerRoman"/>
      <w:start w:val="2"/>
    </w:lvl>
  </w:abstractNum>
  <w:abstractNum w:abstractNumId="6">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7">
    <w:nsid w:val="4E6AFB6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
    <w:nsid w:val="25E45D3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lvl w:ilvl="1">
      <w:lvlJc w:val="left"/>
      <w:lvlText w:val="(%2)"/>
      <w:numFmt w:val="lowerLetter"/>
      <w:start w:val="1"/>
    </w:lvl>
  </w:abstractNum>
  <w:abstractNum w:abstractNumId="11">
    <w:nsid w:val="3F2DBA31"/>
    <w:multiLevelType w:val="hybridMultilevel"/>
    <w:lvl w:ilvl="0">
      <w:lvlJc w:val="left"/>
      <w:lvlText w:val="%1."/>
      <w:numFmt w:val="decimal"/>
      <w:start w:val="7"/>
    </w:lvl>
    <w:lvl w:ilvl="1">
      <w:lvlJc w:val="left"/>
      <w:lvlText w:val="(%2)"/>
      <w:numFmt w:val="lowerLetter"/>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decimal"/>
      <w:start w:val="3"/>
    </w:lvl>
    <w:lvl w:ilvl="1">
      <w:lvlJc w:val="left"/>
      <w:lvlText w:val="%2"/>
      <w:numFmt w:val="lowerLetter"/>
      <w:start w:val="1"/>
    </w:lvl>
  </w:abstractNum>
  <w:abstractNum w:abstractNumId="16">
    <w:nsid w:val="628C895D"/>
    <w:multiLevelType w:val="hybridMultilevel"/>
    <w:lvl w:ilvl="0">
      <w:lvlJc w:val="left"/>
      <w:lvlText w:val="(%1)"/>
      <w:numFmt w:val="lowerLetter"/>
      <w:start w:val="1"/>
    </w:lvl>
    <w:lvl w:ilvl="1">
      <w:lvlJc w:val="left"/>
      <w:lvlText w:val="(%2)"/>
      <w:numFmt w:val="lowerLetter"/>
      <w:start w:val="9"/>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9">
    <w:nsid w:val="2443A85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
    <w:nsid w:val="2D1D5A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decimal"/>
      <w:start w:val="6"/>
    </w:lvl>
    <w:lvl w:ilvl="1">
      <w:lvlJc w:val="left"/>
      <w:lvlText w:val="(%2)"/>
      <w:numFmt w:val="lowerLetter"/>
      <w:start w:val="1"/>
    </w:lvl>
  </w:abstractNum>
  <w:abstractNum w:abstractNumId="23">
    <w:nsid w:val="8EDBDAB"/>
    <w:multiLevelType w:val="hybridMultilevel"/>
    <w:lvl w:ilvl="0">
      <w:lvlJc w:val="left"/>
      <w:lvlText w:val="%1."/>
      <w:numFmt w:val="decimal"/>
      <w:start w:val="7"/>
    </w:lvl>
    <w:lvl w:ilvl="1">
      <w:lvlJc w:val="left"/>
      <w:lvlText w:val="(%2)"/>
      <w:numFmt w:val="lowerLetter"/>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2019-12-05T18:06:50Z</dcterms:created>
  <dcterms:modified xsi:type="dcterms:W3CDTF">2019-12-05T18:06:50Z</dcterms:modified>
</cp:coreProperties>
</file>