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WASHINGTON, D.C. 20549</w:t>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ind w:left="2000"/>
        <w:spacing w:after="0"/>
        <w:tabs>
          <w:tab w:leader="none" w:pos="722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June 9,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3911600</wp:posOffset>
            </wp:positionH>
            <wp:positionV relativeFrom="paragraph">
              <wp:posOffset>-17780</wp:posOffset>
            </wp:positionV>
            <wp:extent cx="20694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9465" cy="8890"/>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37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2485"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4"/>
          <w:szCs w:val="24"/>
          <w:color w:val="auto"/>
        </w:rPr>
        <w:t>(Exact name of registrant as specified in its charter)</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4"/>
              </w:rPr>
              <w:t>Iowa</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89"/>
              </w:rPr>
              <w:t>001-06403</w:t>
            </w:r>
          </w:p>
        </w:tc>
        <w:tc>
          <w:tcPr>
            <w:tcW w:w="2600" w:type="dxa"/>
            <w:vAlign w:val="bottom"/>
            <w:gridSpan w:val="2"/>
          </w:tcPr>
          <w:p>
            <w:pPr>
              <w:jc w:val="center"/>
              <w:ind w:left="112"/>
              <w:spacing w:after="0"/>
              <w:rPr>
                <w:sz w:val="20"/>
                <w:szCs w:val="20"/>
                <w:color w:val="auto"/>
              </w:rPr>
            </w:pPr>
            <w:r>
              <w:rPr>
                <w:rFonts w:ascii="Arial" w:cs="Arial" w:eastAsia="Arial" w:hAnsi="Arial"/>
                <w:sz w:val="22"/>
                <w:szCs w:val="22"/>
                <w:color w:val="auto"/>
                <w:w w:val="90"/>
              </w:rPr>
              <w:t>42-0802678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23"/>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0"/>
              </w:rPr>
              <w:t>(State or other jurisdiction</w:t>
            </w:r>
          </w:p>
        </w:tc>
        <w:tc>
          <w:tcPr>
            <w:tcW w:w="2000" w:type="dxa"/>
            <w:vAlign w:val="bottom"/>
            <w:gridSpan w:val="4"/>
          </w:tcPr>
          <w:p>
            <w:pPr>
              <w:jc w:val="center"/>
              <w:ind w:right="360"/>
              <w:spacing w:after="0"/>
              <w:rPr>
                <w:sz w:val="20"/>
                <w:szCs w:val="20"/>
                <w:color w:val="auto"/>
              </w:rPr>
            </w:pPr>
            <w:r>
              <w:rPr>
                <w:rFonts w:ascii="Arial" w:cs="Arial" w:eastAsia="Arial" w:hAnsi="Arial"/>
                <w:sz w:val="22"/>
                <w:szCs w:val="22"/>
                <w:color w:val="auto"/>
                <w:w w:val="91"/>
              </w:rPr>
              <w:t>(Commission File</w:t>
            </w: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0"/>
              </w:rPr>
              <w:t>(IRS Employer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3"/>
              </w:rPr>
              <w:t>of incorporation)</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91"/>
              </w:rPr>
              <w:t>Number)</w:t>
            </w:r>
          </w:p>
        </w:tc>
        <w:tc>
          <w:tcPr>
            <w:tcW w:w="24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6"/>
        </w:trPr>
        <w:tc>
          <w:tcPr>
            <w:tcW w:w="3360" w:type="dxa"/>
            <w:vAlign w:val="bottom"/>
            <w:gridSpan w:val="3"/>
          </w:tcPr>
          <w:p>
            <w:pPr>
              <w:jc w:val="center"/>
              <w:ind w:left="432"/>
              <w:spacing w:after="0"/>
              <w:rPr>
                <w:sz w:val="20"/>
                <w:szCs w:val="20"/>
                <w:color w:val="auto"/>
              </w:rPr>
            </w:pPr>
            <w:r>
              <w:rPr>
                <w:rFonts w:ascii="Arial" w:cs="Arial" w:eastAsia="Arial" w:hAnsi="Arial"/>
                <w:sz w:val="22"/>
                <w:szCs w:val="22"/>
                <w:color w:val="auto"/>
                <w:w w:val="88"/>
              </w:rPr>
              <w:t>P.O. Box 152, Forest City, Iowa</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12"/>
              <w:spacing w:after="0"/>
              <w:rPr>
                <w:sz w:val="20"/>
                <w:szCs w:val="20"/>
                <w:color w:val="auto"/>
              </w:rPr>
            </w:pPr>
            <w:r>
              <w:rPr>
                <w:rFonts w:ascii="Arial" w:cs="Arial" w:eastAsia="Arial" w:hAnsi="Arial"/>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900" w:type="dxa"/>
            <w:vAlign w:val="bottom"/>
            <w:tcBorders>
              <w:bottom w:val="single" w:sz="8" w:color="auto"/>
            </w:tcBorders>
            <w:gridSpan w:val="4"/>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55"/>
        </w:trPr>
        <w:tc>
          <w:tcPr>
            <w:tcW w:w="5360" w:type="dxa"/>
            <w:vAlign w:val="bottom"/>
            <w:gridSpan w:val="7"/>
          </w:tcPr>
          <w:p>
            <w:pPr>
              <w:jc w:val="center"/>
              <w:ind w:right="1460"/>
              <w:spacing w:after="0"/>
              <w:rPr>
                <w:sz w:val="20"/>
                <w:szCs w:val="20"/>
                <w:color w:val="auto"/>
              </w:rPr>
            </w:pPr>
            <w:r>
              <w:rPr>
                <w:rFonts w:ascii="Arial" w:cs="Arial" w:eastAsia="Arial" w:hAnsi="Arial"/>
                <w:sz w:val="22"/>
                <w:szCs w:val="22"/>
                <w:color w:val="auto"/>
                <w:w w:val="90"/>
              </w:rPr>
              <w:t>(Address of principal executive offices)</w:t>
            </w:r>
          </w:p>
        </w:tc>
        <w:tc>
          <w:tcPr>
            <w:tcW w:w="240" w:type="dxa"/>
            <w:vAlign w:val="bottom"/>
          </w:tcPr>
          <w:p>
            <w:pPr>
              <w:spacing w:after="0"/>
              <w:rPr>
                <w:sz w:val="24"/>
                <w:szCs w:val="24"/>
                <w:color w:val="auto"/>
              </w:rPr>
            </w:pPr>
          </w:p>
        </w:tc>
        <w:tc>
          <w:tcPr>
            <w:tcW w:w="2360" w:type="dxa"/>
            <w:vAlign w:val="bottom"/>
          </w:tcPr>
          <w:p>
            <w:pPr>
              <w:jc w:val="center"/>
              <w:ind w:right="1292"/>
              <w:spacing w:after="0"/>
              <w:rPr>
                <w:sz w:val="20"/>
                <w:szCs w:val="20"/>
                <w:color w:val="auto"/>
              </w:rPr>
            </w:pPr>
            <w:r>
              <w:rPr>
                <w:rFonts w:ascii="Arial" w:cs="Arial" w:eastAsia="Arial" w:hAnsi="Arial"/>
                <w:sz w:val="22"/>
                <w:szCs w:val="22"/>
                <w:color w:val="auto"/>
                <w:w w:val="92"/>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2"/>
        </w:trPr>
        <w:tc>
          <w:tcPr>
            <w:tcW w:w="4600" w:type="dxa"/>
            <w:vAlign w:val="bottom"/>
            <w:gridSpan w:val="6"/>
          </w:tcPr>
          <w:p>
            <w:pPr>
              <w:ind w:left="120"/>
              <w:spacing w:after="0"/>
              <w:rPr>
                <w:sz w:val="20"/>
                <w:szCs w:val="20"/>
                <w:color w:val="auto"/>
              </w:rPr>
            </w:pPr>
            <w:r>
              <w:rPr>
                <w:rFonts w:ascii="Arial" w:cs="Arial" w:eastAsia="Arial" w:hAnsi="Arial"/>
                <w:sz w:val="22"/>
                <w:szCs w:val="22"/>
                <w:color w:val="auto"/>
                <w:w w:val="8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ind w:left="1300"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840" w:right="24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0" w:lineRule="exact"/>
        <w:rPr>
          <w:rFonts w:ascii="Arial" w:cs="Arial" w:eastAsia="Arial" w:hAnsi="Arial"/>
          <w:sz w:val="22"/>
          <w:szCs w:val="22"/>
          <w:color w:val="auto"/>
        </w:rPr>
      </w:pPr>
    </w:p>
    <w:p>
      <w:pPr>
        <w:ind w:left="1840" w:right="28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Winnebago Industries, Inc. (Winnebago Industries) is filing herewith a press release issued on June 9, 2005, as Exhibit 99.1 which is included herein. The press release was issued to report that Winnebago Industries anticipates announcing third quarter of fiscal 2005 ended May 28, 2005 earnings on June 16, 2005. In connection with the announcement, Winnebago Industries will host a conference call on June 16, 2005 at 10:00 a.m. Eastern time. Details regarding the conference call are contained in the press release included herein.</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83" w:lineRule="exact"/>
        <w:rPr>
          <w:sz w:val="24"/>
          <w:szCs w:val="24"/>
          <w:color w:val="auto"/>
        </w:rPr>
      </w:pPr>
    </w:p>
    <w:tbl>
      <w:tblPr>
        <w:tblLayout w:type="fixed"/>
        <w:tblInd w:w="56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(c)</w:t>
            </w:r>
          </w:p>
        </w:tc>
        <w:tc>
          <w:tcPr>
            <w:tcW w:w="1240" w:type="dxa"/>
            <w:vAlign w:val="bottom"/>
            <w:gridSpan w:val="4"/>
          </w:tcPr>
          <w:p>
            <w:pPr>
              <w:jc w:val="right"/>
              <w:ind w:right="520"/>
              <w:spacing w:after="0"/>
              <w:rPr>
                <w:sz w:val="20"/>
                <w:szCs w:val="20"/>
                <w:color w:val="auto"/>
              </w:rPr>
            </w:pPr>
            <w:r>
              <w:rPr>
                <w:rFonts w:ascii="Arial" w:cs="Arial" w:eastAsia="Arial" w:hAnsi="Arial"/>
                <w:sz w:val="22"/>
                <w:szCs w:val="22"/>
                <w:color w:val="auto"/>
                <w:w w:val="90"/>
              </w:rPr>
              <w:t>Exhibits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38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79"/>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4380" w:type="dxa"/>
            <w:vAlign w:val="bottom"/>
          </w:tcPr>
          <w:p>
            <w:pPr>
              <w:spacing w:after="0"/>
              <w:rPr>
                <w:sz w:val="20"/>
                <w:szCs w:val="20"/>
                <w:color w:val="auto"/>
              </w:rPr>
            </w:pPr>
          </w:p>
        </w:tc>
      </w:tr>
      <w:tr>
        <w:trPr>
          <w:trHeight w:val="274"/>
        </w:trPr>
        <w:tc>
          <w:tcPr>
            <w:tcW w:w="6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99.1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780" w:type="dxa"/>
            <w:vAlign w:val="bottom"/>
            <w:gridSpan w:val="3"/>
          </w:tcPr>
          <w:p>
            <w:pPr>
              <w:ind w:left="320"/>
              <w:spacing w:after="0"/>
              <w:rPr>
                <w:sz w:val="20"/>
                <w:szCs w:val="20"/>
                <w:color w:val="auto"/>
              </w:rPr>
            </w:pPr>
            <w:r>
              <w:rPr>
                <w:rFonts w:ascii="Arial" w:cs="Arial" w:eastAsia="Arial" w:hAnsi="Arial"/>
                <w:sz w:val="22"/>
                <w:szCs w:val="22"/>
                <w:color w:val="auto"/>
                <w:w w:val="86"/>
              </w:rPr>
              <w:t>Press release of Winnebago Industries, Inc. dated June 9, 2005.</w:t>
            </w:r>
          </w:p>
        </w:tc>
      </w:tr>
    </w:tbl>
    <w:p>
      <w:pPr>
        <w:spacing w:after="0" w:line="200" w:lineRule="exact"/>
        <w:rPr>
          <w:sz w:val="24"/>
          <w:szCs w:val="24"/>
          <w:color w:val="auto"/>
        </w:rPr>
      </w:pPr>
    </w:p>
    <w:p>
      <w:pPr>
        <w:sectPr>
          <w:pgSz w:w="11900" w:h="16838" w:orient="portrait"/>
          <w:cols w:equalWidth="0" w:num="1">
            <w:col w:w="11360"/>
          </w:cols>
          <w:pgMar w:left="240" w:top="219" w:right="299" w:bottom="159" w:gutter="0" w:footer="0" w:header="0"/>
        </w:sectPr>
      </w:pP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360"/>
          </w:cols>
          <w:pgMar w:left="240" w:top="219" w:right="299" w:bottom="159" w:gutter="0" w:footer="0" w:header="0"/>
          <w:type w:val="continuous"/>
        </w:sectPr>
      </w:pPr>
    </w:p>
    <w:bookmarkStart w:id="1" w:name="page2"/>
    <w:bookmarkEnd w:id="1"/>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6060" w:val="left"/>
        </w:tabs>
        <w:rPr>
          <w:sz w:val="20"/>
          <w:szCs w:val="20"/>
          <w:color w:val="auto"/>
        </w:rPr>
      </w:pPr>
      <w:r>
        <w:rPr>
          <w:rFonts w:ascii="Arial" w:cs="Arial" w:eastAsia="Arial" w:hAnsi="Arial"/>
          <w:sz w:val="22"/>
          <w:szCs w:val="22"/>
          <w:color w:val="auto"/>
        </w:rPr>
        <w:t>Dated: June 9, 2005</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5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 Bruce D. Hertzke</w:t>
      </w:r>
    </w:p>
    <w:p>
      <w:pPr>
        <w:ind w:left="6080"/>
        <w:spacing w:after="0" w:line="238" w:lineRule="auto"/>
        <w:rPr>
          <w:sz w:val="20"/>
          <w:szCs w:val="20"/>
          <w:color w:val="auto"/>
        </w:rPr>
      </w:pPr>
      <w:r>
        <w:rPr>
          <w:rFonts w:ascii="Arial" w:cs="Arial" w:eastAsia="Arial" w:hAnsi="Arial"/>
          <w:sz w:val="22"/>
          <w:szCs w:val="22"/>
          <w:color w:val="auto"/>
        </w:rPr>
        <w:t>Name: Bruce D. Hertzke</w:t>
      </w:r>
    </w:p>
    <w:p>
      <w:pPr>
        <w:ind w:left="60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4"/>
                <w:szCs w:val="24"/>
                <w:color w:val="auto"/>
              </w:rPr>
            </w:pPr>
          </w:p>
        </w:tc>
        <w:tc>
          <w:tcPr>
            <w:tcW w:w="10220" w:type="dxa"/>
            <w:vAlign w:val="bottom"/>
          </w:tcPr>
          <w:p>
            <w:pPr>
              <w:ind w:left="3680"/>
              <w:spacing w:after="0"/>
              <w:rPr>
                <w:sz w:val="20"/>
                <w:szCs w:val="20"/>
                <w:color w:val="auto"/>
              </w:rPr>
            </w:pPr>
            <w:r>
              <w:rPr>
                <w:rFonts w:ascii="Arial" w:cs="Arial" w:eastAsia="Arial" w:hAnsi="Arial"/>
                <w:sz w:val="22"/>
                <w:szCs w:val="22"/>
                <w:b w:val="1"/>
                <w:bCs w:val="1"/>
                <w:color w:val="auto"/>
              </w:rPr>
              <w:t>EXHIBIT INDEX</w:t>
            </w:r>
          </w:p>
        </w:tc>
      </w:tr>
      <w:tr>
        <w:trPr>
          <w:trHeight w:val="503"/>
        </w:trPr>
        <w:tc>
          <w:tcPr>
            <w:tcW w:w="1200" w:type="dxa"/>
            <w:vAlign w:val="bottom"/>
          </w:tcPr>
          <w:p>
            <w:pPr>
              <w:spacing w:after="0"/>
              <w:rPr>
                <w:sz w:val="20"/>
                <w:szCs w:val="20"/>
                <w:color w:val="auto"/>
              </w:rPr>
            </w:pPr>
            <w:r>
              <w:rPr>
                <w:rFonts w:ascii="Arial" w:cs="Arial" w:eastAsia="Arial" w:hAnsi="Arial"/>
                <w:sz w:val="22"/>
                <w:szCs w:val="22"/>
                <w:b w:val="1"/>
                <w:bCs w:val="1"/>
                <w:color w:val="auto"/>
              </w:rPr>
              <w:t>Exhibit</w:t>
            </w:r>
          </w:p>
        </w:tc>
        <w:tc>
          <w:tcPr>
            <w:tcW w:w="10220" w:type="dxa"/>
            <w:vAlign w:val="bottom"/>
          </w:tcPr>
          <w:p>
            <w:pPr>
              <w:spacing w:after="0"/>
              <w:rPr>
                <w:sz w:val="24"/>
                <w:szCs w:val="24"/>
                <w:color w:val="auto"/>
              </w:rPr>
            </w:pPr>
          </w:p>
        </w:tc>
      </w:tr>
      <w:tr>
        <w:trPr>
          <w:trHeight w:val="249"/>
        </w:trPr>
        <w:tc>
          <w:tcPr>
            <w:tcW w:w="1200" w:type="dxa"/>
            <w:vAlign w:val="bottom"/>
          </w:tcPr>
          <w:p>
            <w:pPr>
              <w:spacing w:after="0" w:line="249" w:lineRule="exact"/>
              <w:rPr>
                <w:sz w:val="20"/>
                <w:szCs w:val="20"/>
                <w:color w:val="auto"/>
              </w:rPr>
            </w:pPr>
            <w:r>
              <w:rPr>
                <w:rFonts w:ascii="Arial" w:cs="Arial" w:eastAsia="Arial" w:hAnsi="Arial"/>
                <w:sz w:val="22"/>
                <w:szCs w:val="22"/>
                <w:b w:val="1"/>
                <w:bCs w:val="1"/>
                <w:color w:val="auto"/>
              </w:rPr>
              <w:t>Number</w:t>
            </w:r>
          </w:p>
        </w:tc>
        <w:tc>
          <w:tcPr>
            <w:tcW w:w="10220" w:type="dxa"/>
            <w:vAlign w:val="bottom"/>
          </w:tcPr>
          <w:p>
            <w:pPr>
              <w:ind w:left="440"/>
              <w:spacing w:after="0" w:line="249" w:lineRule="exact"/>
              <w:rPr>
                <w:sz w:val="20"/>
                <w:szCs w:val="20"/>
                <w:color w:val="auto"/>
              </w:rPr>
            </w:pPr>
            <w:r>
              <w:rPr>
                <w:rFonts w:ascii="Arial" w:cs="Arial" w:eastAsia="Arial" w:hAnsi="Arial"/>
                <w:sz w:val="22"/>
                <w:szCs w:val="22"/>
                <w:b w:val="1"/>
                <w:bCs w:val="1"/>
                <w:color w:val="auto"/>
              </w:rPr>
              <w:t>Description</w:t>
            </w:r>
          </w:p>
        </w:tc>
      </w:tr>
      <w:tr>
        <w:trPr>
          <w:trHeight w:val="275"/>
        </w:trPr>
        <w:tc>
          <w:tcPr>
            <w:tcW w:w="1200" w:type="dxa"/>
            <w:vAlign w:val="bottom"/>
          </w:tcPr>
          <w:p>
            <w:pPr>
              <w:jc w:val="right"/>
              <w:ind w:right="492"/>
              <w:spacing w:after="0"/>
              <w:rPr>
                <w:sz w:val="20"/>
                <w:szCs w:val="20"/>
                <w:color w:val="auto"/>
              </w:rPr>
            </w:pPr>
            <w:r>
              <w:rPr>
                <w:rFonts w:ascii="Arial" w:cs="Arial" w:eastAsia="Arial" w:hAnsi="Arial"/>
                <w:sz w:val="22"/>
                <w:szCs w:val="22"/>
                <w:color w:val="auto"/>
              </w:rPr>
              <w:t>99.1</w:t>
            </w:r>
          </w:p>
        </w:tc>
        <w:tc>
          <w:tcPr>
            <w:tcW w:w="10220" w:type="dxa"/>
            <w:vAlign w:val="bottom"/>
          </w:tcPr>
          <w:p>
            <w:pPr>
              <w:ind w:left="440"/>
              <w:spacing w:after="0"/>
              <w:rPr>
                <w:sz w:val="20"/>
                <w:szCs w:val="20"/>
                <w:color w:val="auto"/>
              </w:rPr>
            </w:pPr>
            <w:r>
              <w:rPr>
                <w:rFonts w:ascii="Arial" w:cs="Arial" w:eastAsia="Arial" w:hAnsi="Arial"/>
                <w:sz w:val="22"/>
                <w:szCs w:val="22"/>
                <w:color w:val="auto"/>
              </w:rPr>
              <w:t>Press release of Winnebago Industries, Inc. dated June 9, 2005.</w:t>
            </w:r>
          </w:p>
        </w:tc>
      </w:tr>
      <w:tr>
        <w:trPr>
          <w:trHeight w:val="1094"/>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Exhibit 99.1</w:t>
      </w:r>
    </w:p>
    <w:p>
      <w:pPr>
        <w:spacing w:after="0" w:line="29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ANNOUNCES THIRD QUARTER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RESULTS CONFERENCE CALL TO BE HELD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JUNE 16, 2005</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FOREST CITY, IOWA, June 9, 2005 – Winnebago Industries, Inc. (NYSE: WGO), the nation’s leading manufacturer of motor homes, will host a conference call on Thursday, June 16, 2005 at 10 am ET to discuss the financial results of its third quarter of fiscal 2005 ended May 28, 2005. The Company will release its financial results on June 16 at 7 am ET.</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The conference call may be heard live from the Company’s website, </w:t>
      </w:r>
      <w:r>
        <w:rPr>
          <w:rFonts w:ascii="Arial" w:cs="Arial" w:eastAsia="Arial" w:hAnsi="Arial"/>
          <w:sz w:val="18"/>
          <w:szCs w:val="18"/>
          <w:u w:val="single" w:color="auto"/>
          <w:color w:val="auto"/>
        </w:rPr>
        <w:t>www.winnebagoind.com</w:t>
      </w:r>
      <w:r>
        <w:rPr>
          <w:rFonts w:ascii="Arial" w:cs="Arial" w:eastAsia="Arial" w:hAnsi="Arial"/>
          <w:sz w:val="18"/>
          <w:szCs w:val="18"/>
          <w:color w:val="auto"/>
        </w:rPr>
        <w:t xml:space="preserve">, or from </w:t>
      </w:r>
      <w:r>
        <w:rPr>
          <w:rFonts w:ascii="Arial" w:cs="Arial" w:eastAsia="Arial" w:hAnsi="Arial"/>
          <w:sz w:val="18"/>
          <w:szCs w:val="18"/>
          <w:u w:val="single" w:color="auto"/>
          <w:color w:val="auto"/>
        </w:rPr>
        <w:t>www.shareholder.com/winnebago/medialist.cfm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www.vcall.com</w:t>
      </w:r>
      <w:r>
        <w:rPr>
          <w:rFonts w:ascii="Arial" w:cs="Arial" w:eastAsia="Arial" w:hAnsi="Arial"/>
          <w:sz w:val="18"/>
          <w:szCs w:val="18"/>
          <w:color w:val="auto"/>
        </w:rPr>
        <w:t xml:space="preserve">. If you are unable to participate during the live webcast, the call will be archived on the website. To access the replay, click on </w:t>
      </w:r>
      <w:r>
        <w:rPr>
          <w:rFonts w:ascii="Arial" w:cs="Arial" w:eastAsia="Arial" w:hAnsi="Arial"/>
          <w:sz w:val="18"/>
          <w:szCs w:val="18"/>
          <w:u w:val="single" w:color="auto"/>
          <w:color w:val="auto"/>
        </w:rPr>
        <w:t>www.winnebagoind.com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 Player software is downloadable free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 Internet. Or: The RealPlayer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from: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2019-12-11T19:35:31Z</dcterms:created>
  <dcterms:modified xsi:type="dcterms:W3CDTF">2019-12-11T19:35:31Z</dcterms:modified>
</cp:coreProperties>
</file>