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tbl>
      <w:tblPr>
        <w:tblW w:w="10205" w:type="dxa"/>
        <w:jc w:val="center"/>
        <w:tblInd w:w="0" w:type="dxa"/>
        <w:tblLayout w:type="fixed"/>
        <w:tblCellMar>
          <w:top w:w="28" w:type="dxa"/>
          <w:left w:w="28" w:type="dxa"/>
          <w:bottom w:w="28" w:type="dxa"/>
          <w:right w:w="28" w:type="dxa"/>
        </w:tblCellMar>
      </w:tblPr>
      <w:tblGrid>
        <w:gridCol w:w="191"/>
        <w:gridCol w:w="167"/>
        <w:gridCol w:w="167"/>
        <w:gridCol w:w="3099"/>
        <w:gridCol w:w="3099"/>
        <w:gridCol w:w="3107"/>
        <w:gridCol w:w="109"/>
        <w:gridCol w:w="109"/>
        <w:gridCol w:w="157"/>
      </w:tblGrid>
      <w:tr>
        <w:trPr/>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One)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180"/>
              <w:jc w:val="left"/>
              <w:rPr>
                <w:color w:val="000000"/>
              </w:rPr>
            </w:pPr>
            <w:r>
              <w:rPr>
                <w:color w:val="000000"/>
              </w:rPr>
              <w:t>☒</w:t>
            </w:r>
          </w:p>
        </w:tc>
        <w:tc>
          <w:tcPr>
            <w:tcW w:w="9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quarterly period ended March 1, 2025 </w:t>
      </w:r>
    </w:p>
    <w:tbl>
      <w:tblPr>
        <w:tblW w:w="10010" w:type="dxa"/>
        <w:jc w:val="left"/>
        <w:tblInd w:w="0" w:type="dxa"/>
        <w:tblLayout w:type="fixed"/>
        <w:tblCellMar>
          <w:top w:w="28" w:type="dxa"/>
          <w:left w:w="28" w:type="dxa"/>
          <w:bottom w:w="28" w:type="dxa"/>
          <w:right w:w="28" w:type="dxa"/>
        </w:tblCellMar>
      </w:tblPr>
      <w:tblGrid>
        <w:gridCol w:w="124"/>
        <w:gridCol w:w="109"/>
        <w:gridCol w:w="109"/>
        <w:gridCol w:w="1548"/>
        <w:gridCol w:w="1548"/>
        <w:gridCol w:w="1548"/>
        <w:gridCol w:w="1548"/>
        <w:gridCol w:w="1548"/>
        <w:gridCol w:w="1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transition period from _________________ to 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 File Number: 001-06403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80047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1095375"/>
                    </a:xfrm>
                    <a:prstGeom prst="rect">
                      <a:avLst/>
                    </a:prstGeom>
                  </pic:spPr>
                </pic:pic>
              </a:graphicData>
            </a:graphic>
          </wp:inline>
        </w:drawing>
      </w:r>
    </w:p>
    <w:tbl>
      <w:tblPr>
        <w:tblW w:w="5654" w:type="dxa"/>
        <w:jc w:val="center"/>
        <w:tblInd w:w="0" w:type="dxa"/>
        <w:tblLayout w:type="fixed"/>
        <w:tblCellMar>
          <w:top w:w="28" w:type="dxa"/>
          <w:left w:w="28" w:type="dxa"/>
          <w:bottom w:w="28" w:type="dxa"/>
          <w:right w:w="28" w:type="dxa"/>
        </w:tblCellMar>
      </w:tblPr>
      <w:tblGrid>
        <w:gridCol w:w="411"/>
        <w:gridCol w:w="363"/>
        <w:gridCol w:w="363"/>
        <w:gridCol w:w="363"/>
        <w:gridCol w:w="363"/>
        <w:gridCol w:w="363"/>
        <w:gridCol w:w="363"/>
        <w:gridCol w:w="363"/>
        <w:gridCol w:w="363"/>
        <w:gridCol w:w="363"/>
        <w:gridCol w:w="363"/>
        <w:gridCol w:w="363"/>
        <w:gridCol w:w="363"/>
        <w:gridCol w:w="363"/>
        <w:gridCol w:w="524"/>
      </w:tblGrid>
      <w:tr>
        <w:trPr/>
        <w:tc>
          <w:tcPr>
            <w:tcW w:w="4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5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36"/>
              </w:rPr>
            </w:pPr>
            <w:r>
              <w:rPr>
                <w:rFonts w:ascii="Arial;sans-serif" w:hAnsi="Arial;sans-serif"/>
                <w:b/>
                <w:color w:val="000000"/>
                <w:sz w:val="36"/>
              </w:rPr>
              <w:t>WINNEBAGO INDUSTRIES, INC.</w:t>
            </w:r>
          </w:p>
        </w:tc>
      </w:tr>
      <w:tr>
        <w:trPr/>
        <w:tc>
          <w:tcPr>
            <w:tcW w:w="56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r>
    </w:tbl>
    <w:tbl>
      <w:tblPr>
        <w:tblW w:w="8559" w:type="dxa"/>
        <w:jc w:val="center"/>
        <w:tblInd w:w="0" w:type="dxa"/>
        <w:tblLayout w:type="fixed"/>
        <w:tblCellMar>
          <w:top w:w="28" w:type="dxa"/>
          <w:left w:w="28" w:type="dxa"/>
          <w:bottom w:w="28" w:type="dxa"/>
          <w:right w:w="28" w:type="dxa"/>
        </w:tblCellMar>
      </w:tblPr>
      <w:tblGrid>
        <w:gridCol w:w="642"/>
        <w:gridCol w:w="564"/>
        <w:gridCol w:w="564"/>
        <w:gridCol w:w="530"/>
        <w:gridCol w:w="530"/>
        <w:gridCol w:w="530"/>
        <w:gridCol w:w="530"/>
        <w:gridCol w:w="530"/>
        <w:gridCol w:w="546"/>
        <w:gridCol w:w="109"/>
        <w:gridCol w:w="109"/>
        <w:gridCol w:w="109"/>
        <w:gridCol w:w="109"/>
        <w:gridCol w:w="109"/>
        <w:gridCol w:w="109"/>
        <w:gridCol w:w="456"/>
        <w:gridCol w:w="456"/>
        <w:gridCol w:w="456"/>
        <w:gridCol w:w="456"/>
        <w:gridCol w:w="456"/>
        <w:gridCol w:w="659"/>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49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42-0802678</w:t>
            </w:r>
          </w:p>
        </w:tc>
      </w:tr>
      <w:tr>
        <w:trPr/>
        <w:tc>
          <w:tcPr>
            <w:tcW w:w="4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9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13200 Pioneer Trail</w:t>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Eden Prairie</w:t>
            </w:r>
          </w:p>
        </w:tc>
        <w:tc>
          <w:tcPr>
            <w:tcW w:w="16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55347</w:t>
            </w:r>
          </w:p>
        </w:tc>
      </w:tr>
      <w:tr>
        <w:trPr/>
        <w:tc>
          <w:tcPr>
            <w:tcW w:w="4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952-829-8600</w:t>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$0.50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WGO</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Large Accelerated Filer </w:t>
      </w:r>
      <w:r>
        <w:rPr>
          <w:color w:val="000000"/>
        </w:rPr>
        <w:t>☒    </w:t>
      </w:r>
      <w:r>
        <w:rPr>
          <w:rFonts w:ascii="Arial;sans-serif" w:hAnsi="Arial;sans-serif"/>
          <w:b w:val="false"/>
          <w:color w:val="000000"/>
          <w:sz w:val="18"/>
        </w:rPr>
        <w:t xml:space="preserve">Accelerated Filer ☐    Non-accelerated Filer ☐ </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 xml:space="preserve">Smaller Reporting Company ☐        Emerging Growth Company ☐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March 20, 2025, there were 28,025,371 shares of common stock, par value $0.50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Winnebago Industries,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Quarterly Report on Form 10-Q</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 the Quarterly Period Ended March 1, 2025</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Table of Contents</w:t>
      </w:r>
    </w:p>
    <w:tbl>
      <w:tblPr>
        <w:tblW w:w="8501" w:type="dxa"/>
        <w:jc w:val="left"/>
        <w:tblInd w:w="0" w:type="dxa"/>
        <w:tblLayout w:type="fixed"/>
        <w:tblCellMar>
          <w:top w:w="28" w:type="dxa"/>
          <w:left w:w="28" w:type="dxa"/>
          <w:bottom w:w="28" w:type="dxa"/>
          <w:right w:w="28" w:type="dxa"/>
        </w:tblCellMar>
      </w:tblPr>
      <w:tblGrid>
        <w:gridCol w:w="288"/>
        <w:gridCol w:w="252"/>
        <w:gridCol w:w="255"/>
        <w:gridCol w:w="2443"/>
        <w:gridCol w:w="2443"/>
        <w:gridCol w:w="2448"/>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
              <w:r>
                <w:rPr>
                  <w:rStyle w:val="InternetLink"/>
                  <w:rFonts w:ascii="Arial;sans-serif" w:hAnsi="Arial;sans-serif"/>
                  <w:b/>
                  <w:color w:val="0000FF"/>
                  <w:sz w:val="18"/>
                  <w:u w:val="single"/>
                </w:rPr>
                <w:t>PART I.</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
              <w:r>
                <w:rPr>
                  <w:rStyle w:val="InternetLink"/>
                  <w:rFonts w:ascii="Arial;sans-serif" w:hAnsi="Arial;sans-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0">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3">
              <w:r>
                <w:rPr>
                  <w:rStyle w:val="InternetLink"/>
                  <w:rFonts w:ascii="Arial;sans-serif" w:hAnsi="Arial;sans-serif"/>
                  <w:b w:val="false"/>
                  <w:color w:val="0000FF"/>
                  <w:sz w:val="18"/>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3">
              <w:r>
                <w:rPr>
                  <w:rStyle w:val="InternetLink"/>
                  <w:rFonts w:ascii="Arial;sans-serif" w:hAnsi="Arial;sans-serif"/>
                  <w:b w:val="false"/>
                  <w:color w:val="0000FF"/>
                  <w:sz w:val="18"/>
                  <w:u w:val="single"/>
                </w:rPr>
                <w:t>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3">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6">
              <w:r>
                <w:rPr>
                  <w:rStyle w:val="InternetLink"/>
                  <w:rFonts w:ascii="Arial;sans-serif" w:hAnsi="Arial;sans-serif"/>
                  <w:b w:val="false"/>
                  <w:color w:val="0000FF"/>
                  <w:sz w:val="18"/>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6">
              <w:r>
                <w:rPr>
                  <w:rStyle w:val="InternetLink"/>
                  <w:rFonts w:ascii="Arial;sans-serif" w:hAnsi="Arial;sans-serif"/>
                  <w:b w:val="false"/>
                  <w:color w:val="0000FF"/>
                  <w:sz w:val="18"/>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9">
              <w:r>
                <w:rPr>
                  <w:rStyle w:val="InternetLink"/>
                  <w:rFonts w:ascii="Arial;sans-serif" w:hAnsi="Arial;sans-serif"/>
                  <w:b w:val="false"/>
                  <w:color w:val="0000FF"/>
                  <w:sz w:val="18"/>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9">
              <w:r>
                <w:rPr>
                  <w:rStyle w:val="InternetLink"/>
                  <w:rFonts w:ascii="Arial;sans-serif" w:hAnsi="Arial;sans-serif"/>
                  <w:b w:val="false"/>
                  <w:color w:val="0000FF"/>
                  <w:sz w:val="18"/>
                  <w:u w:val="singl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22">
              <w:r>
                <w:rPr>
                  <w:rStyle w:val="InternetLink"/>
                  <w:rFonts w:ascii="Arial;sans-serif" w:hAnsi="Arial;sans-serif"/>
                  <w:b w:val="false"/>
                  <w:color w:val="0000FF"/>
                  <w:sz w:val="18"/>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22">
              <w:r>
                <w:rPr>
                  <w:rStyle w:val="InternetLink"/>
                  <w:rFonts w:ascii="Arial;sans-serif" w:hAnsi="Arial;sans-serif"/>
                  <w:b w:val="false"/>
                  <w:color w:val="0000FF"/>
                  <w:sz w:val="18"/>
                  <w:u w:val="single"/>
                </w:rPr>
                <w:t>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25">
              <w:r>
                <w:rPr>
                  <w:rStyle w:val="InternetLink"/>
                  <w:rFonts w:ascii="Arial;sans-serif" w:hAnsi="Arial;sans-serif"/>
                  <w:b w:val="false"/>
                  <w:color w:val="0000FF"/>
                  <w:sz w:val="18"/>
                  <w:u w:val="single"/>
                </w:rPr>
                <w:t>Consolidated Statements of Changes in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25">
              <w:r>
                <w:rPr>
                  <w:rStyle w:val="InternetLink"/>
                  <w:rFonts w:ascii="Arial;sans-serif" w:hAnsi="Arial;sans-serif"/>
                  <w:b w:val="false"/>
                  <w:color w:val="0000FF"/>
                  <w:sz w:val="18"/>
                  <w:u w:val="single"/>
                </w:rPr>
                <w:t>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28">
              <w:r>
                <w:rPr>
                  <w:rStyle w:val="InternetLink"/>
                  <w:rFonts w:ascii="Arial;sans-serif" w:hAnsi="Arial;sans-serif"/>
                  <w:b w:val="false"/>
                  <w:color w:val="0000FF"/>
                  <w:sz w:val="18"/>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28">
              <w:r>
                <w:rPr>
                  <w:rStyle w:val="InternetLink"/>
                  <w:rFonts w:ascii="Arial;sans-serif" w:hAnsi="Arial;sans-serif"/>
                  <w:b w:val="false"/>
                  <w:color w:val="0000FF"/>
                  <w:sz w:val="18"/>
                  <w:u w:val="single"/>
                </w:rPr>
                <w:t>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76">
              <w:r>
                <w:rPr>
                  <w:rStyle w:val="InternetLink"/>
                  <w:rFonts w:ascii="Arial;sans-serif" w:hAnsi="Arial;sans-serif"/>
                  <w:b w:val="false"/>
                  <w:color w:val="0000FF"/>
                  <w:sz w:val="18"/>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76">
              <w:r>
                <w:rPr>
                  <w:rStyle w:val="InternetLink"/>
                  <w:rFonts w:ascii="Arial;sans-serif" w:hAnsi="Arial;sans-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76">
              <w:r>
                <w:rPr>
                  <w:rStyle w:val="InternetLink"/>
                  <w:rFonts w:ascii="Arial;sans-serif" w:hAnsi="Arial;sans-serif"/>
                  <w:b w:val="false"/>
                  <w:color w:val="0000FF"/>
                  <w:sz w:val="18"/>
                  <w:u w:val="single"/>
                </w:rPr>
                <w:t>22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0">
              <w:r>
                <w:rPr>
                  <w:rStyle w:val="InternetLink"/>
                  <w:rFonts w:ascii="Arial;sans-serif" w:hAnsi="Arial;sans-serif"/>
                  <w:b w:val="false"/>
                  <w:color w:val="0000FF"/>
                  <w:sz w:val="18"/>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0">
              <w:r>
                <w:rPr>
                  <w:rStyle w:val="InternetLink"/>
                  <w:rFonts w:ascii="Arial;sans-serif" w:hAnsi="Arial;sans-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00">
              <w:r>
                <w:rPr>
                  <w:rStyle w:val="InternetLink"/>
                  <w:rFonts w:ascii="Arial;sans-serif" w:hAnsi="Arial;sans-serif"/>
                  <w:b w:val="false"/>
                  <w:color w:val="0000FF"/>
                  <w:sz w:val="18"/>
                  <w:u w:val="single"/>
                </w:rPr>
                <w:t>32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3">
              <w:r>
                <w:rPr>
                  <w:rStyle w:val="InternetLink"/>
                  <w:rFonts w:ascii="Arial;sans-serif" w:hAnsi="Arial;sans-serif"/>
                  <w:b w:val="false"/>
                  <w:color w:val="0000FF"/>
                  <w:sz w:val="18"/>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3">
              <w:r>
                <w:rPr>
                  <w:rStyle w:val="InternetLink"/>
                  <w:rFonts w:ascii="Arial;sans-serif" w:hAnsi="Arial;sans-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03">
              <w:r>
                <w:rPr>
                  <w:rStyle w:val="InternetLink"/>
                  <w:rFonts w:ascii="Arial;sans-serif" w:hAnsi="Arial;sans-serif"/>
                  <w:b w:val="false"/>
                  <w:color w:val="0000FF"/>
                  <w:sz w:val="18"/>
                  <w:u w:val="single"/>
                </w:rPr>
                <w:t>32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6">
              <w:r>
                <w:rPr>
                  <w:rStyle w:val="InternetLink"/>
                  <w:rFonts w:ascii="Arial;sans-serif" w:hAnsi="Arial;sans-serif"/>
                  <w:b/>
                  <w:color w:val="0000FF"/>
                  <w:sz w:val="18"/>
                  <w:u w:val="single"/>
                </w:rPr>
                <w:t>PART II.</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6">
              <w:r>
                <w:rPr>
                  <w:rStyle w:val="InternetLink"/>
                  <w:rFonts w:ascii="Arial;sans-serif" w:hAnsi="Arial;sans-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06">
              <w:r>
                <w:rPr>
                  <w:rStyle w:val="InternetLink"/>
                  <w:rFonts w:ascii="Arial;sans-serif" w:hAnsi="Arial;sans-serif"/>
                  <w:b w:val="false"/>
                  <w:color w:val="0000FF"/>
                  <w:sz w:val="18"/>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9">
              <w:r>
                <w:rPr>
                  <w:rStyle w:val="InternetLink"/>
                  <w:rFonts w:ascii="Arial;sans-serif" w:hAnsi="Arial;sans-serif"/>
                  <w:b w:val="false"/>
                  <w:color w:val="0000FF"/>
                  <w:sz w:val="18"/>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09">
              <w:r>
                <w:rPr>
                  <w:rStyle w:val="InternetLink"/>
                  <w:rFonts w:ascii="Arial;sans-serif" w:hAnsi="Arial;sans-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09">
              <w:r>
                <w:rPr>
                  <w:rStyle w:val="InternetLink"/>
                  <w:rFonts w:ascii="Arial;sans-serif" w:hAnsi="Arial;sans-serif"/>
                  <w:b w:val="false"/>
                  <w:color w:val="0000FF"/>
                  <w:sz w:val="18"/>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12">
              <w:r>
                <w:rPr>
                  <w:rStyle w:val="InternetLink"/>
                  <w:rFonts w:ascii="Arial;sans-serif" w:hAnsi="Arial;sans-serif"/>
                  <w:b w:val="false"/>
                  <w:color w:val="0000FF"/>
                  <w:sz w:val="18"/>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12">
              <w:r>
                <w:rPr>
                  <w:rStyle w:val="InternetLink"/>
                  <w:rFonts w:ascii="Arial;sans-serif" w:hAnsi="Arial;sans-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12">
              <w:r>
                <w:rPr>
                  <w:rStyle w:val="InternetLink"/>
                  <w:rFonts w:ascii="Arial;sans-serif" w:hAnsi="Arial;sans-serif"/>
                  <w:b w:val="false"/>
                  <w:color w:val="0000FF"/>
                  <w:sz w:val="18"/>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15">
              <w:r>
                <w:rPr>
                  <w:rStyle w:val="InternetLink"/>
                  <w:rFonts w:ascii="Arial;sans-serif" w:hAnsi="Arial;sans-serif"/>
                  <w:b w:val="false"/>
                  <w:color w:val="0000FF"/>
                  <w:sz w:val="18"/>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15">
              <w:r>
                <w:rPr>
                  <w:rStyle w:val="InternetLink"/>
                  <w:rFonts w:ascii="Arial;sans-serif" w:hAnsi="Arial;sans-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15">
              <w:r>
                <w:rPr>
                  <w:rStyle w:val="InternetLink"/>
                  <w:rFonts w:ascii="Arial;sans-serif" w:hAnsi="Arial;sans-serif"/>
                  <w:b w:val="false"/>
                  <w:color w:val="0000FF"/>
                  <w:sz w:val="18"/>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18">
              <w:r>
                <w:rPr>
                  <w:rStyle w:val="InternetLink"/>
                  <w:rFonts w:ascii="Arial;sans-serif" w:hAnsi="Arial;sans-serif"/>
                  <w:b w:val="false"/>
                  <w:color w:val="0000FF"/>
                  <w:sz w:val="18"/>
                  <w:u w:val="single"/>
                </w:rPr>
                <w:t>Item 5.</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18">
              <w:r>
                <w:rPr>
                  <w:rStyle w:val="InternetLink"/>
                  <w:rFonts w:ascii="Arial;sans-serif" w:hAnsi="Arial;sans-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18">
              <w:r>
                <w:rPr>
                  <w:rStyle w:val="InternetLink"/>
                  <w:rFonts w:ascii="Arial;sans-serif" w:hAnsi="Arial;sans-serif"/>
                  <w:b w:val="false"/>
                  <w:color w:val="0000FF"/>
                  <w:sz w:val="18"/>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21">
              <w:r>
                <w:rPr>
                  <w:rStyle w:val="InternetLink"/>
                  <w:rFonts w:ascii="Arial;sans-serif" w:hAnsi="Arial;sans-serif"/>
                  <w:b w:val="false"/>
                  <w:color w:val="0000FF"/>
                  <w:sz w:val="18"/>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21">
              <w:r>
                <w:rPr>
                  <w:rStyle w:val="InternetLink"/>
                  <w:rFonts w:ascii="Arial;sans-serif" w:hAnsi="Arial;sans-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21">
              <w:r>
                <w:rPr>
                  <w:rStyle w:val="InternetLink"/>
                  <w:rFonts w:ascii="Arial;sans-serif" w:hAnsi="Arial;sans-serif"/>
                  <w:b w:val="false"/>
                  <w:color w:val="0000FF"/>
                  <w:sz w:val="18"/>
                  <w:u w:val="single"/>
                </w:rPr>
                <w:t>34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b291b8703db457bb3d297fbe75dfc1a_124">
              <w:r>
                <w:rPr>
                  <w:rStyle w:val="InternetLink"/>
                  <w:rFonts w:ascii="Arial;sans-serif" w:hAnsi="Arial;sans-serif"/>
                  <w:b/>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291b8703db457bb3d297fbe75dfc1a_124">
              <w:r>
                <w:rPr>
                  <w:rStyle w:val="InternetLink"/>
                  <w:rFonts w:ascii="Arial;sans-serif" w:hAnsi="Arial;sans-serif"/>
                  <w:b w:val="false"/>
                  <w:color w:val="0000FF"/>
                  <w:sz w:val="18"/>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Income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358"/>
        <w:gridCol w:w="1106"/>
        <w:gridCol w:w="1110"/>
        <w:gridCol w:w="280"/>
        <w:gridCol w:w="819"/>
        <w:gridCol w:w="144"/>
        <w:gridCol w:w="109"/>
        <w:gridCol w:w="109"/>
        <w:gridCol w:w="109"/>
        <w:gridCol w:w="345"/>
        <w:gridCol w:w="1009"/>
        <w:gridCol w:w="178"/>
        <w:gridCol w:w="109"/>
        <w:gridCol w:w="109"/>
        <w:gridCol w:w="109"/>
        <w:gridCol w:w="246"/>
        <w:gridCol w:w="895"/>
        <w:gridCol w:w="127"/>
        <w:gridCol w:w="109"/>
        <w:gridCol w:w="109"/>
        <w:gridCol w:w="109"/>
        <w:gridCol w:w="298"/>
        <w:gridCol w:w="1085"/>
        <w:gridCol w:w="224"/>
      </w:tblGrid>
      <w:tr>
        <w:trPr/>
        <w:tc>
          <w:tcPr>
            <w:tcW w:w="13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3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Non-operating (income) loss </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per common share:</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68" w:before="0" w:after="0"/>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Balance Sheets </w:t>
      </w:r>
    </w:p>
    <w:p>
      <w:pPr>
        <w:pStyle w:val="TextBody"/>
        <w:bidi w:val="0"/>
        <w:spacing w:before="0" w:after="0"/>
        <w:jc w:val="left"/>
        <w:rPr/>
      </w:pPr>
      <w:r>
        <w:rPr/>
      </w:r>
    </w:p>
    <w:tbl>
      <w:tblPr>
        <w:tblW w:w="10107" w:type="dxa"/>
        <w:jc w:val="center"/>
        <w:tblInd w:w="0" w:type="dxa"/>
        <w:tblLayout w:type="fixed"/>
        <w:tblCellMar>
          <w:top w:w="28" w:type="dxa"/>
          <w:left w:w="28" w:type="dxa"/>
          <w:bottom w:w="28" w:type="dxa"/>
          <w:right w:w="28" w:type="dxa"/>
        </w:tblCellMar>
      </w:tblPr>
      <w:tblGrid>
        <w:gridCol w:w="2514"/>
        <w:gridCol w:w="2212"/>
        <w:gridCol w:w="2219"/>
        <w:gridCol w:w="253"/>
        <w:gridCol w:w="912"/>
        <w:gridCol w:w="140"/>
        <w:gridCol w:w="109"/>
        <w:gridCol w:w="109"/>
        <w:gridCol w:w="109"/>
        <w:gridCol w:w="284"/>
        <w:gridCol w:w="1023"/>
        <w:gridCol w:w="223"/>
      </w:tblGrid>
      <w:tr>
        <w:trPr/>
        <w:tc>
          <w:tcPr>
            <w:tcW w:w="251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6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Receivables, less allowance for credit losses ($0.2 and $0.2, respectively)</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 net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life insurance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assets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2,194.0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2,384.2</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 net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warranties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Self-insurance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Promotional</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and dividends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 liabilities, net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tax benefits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977.7</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1,110.9</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Contingent liabilities and commitments (Note 9)</w:t>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$0.01: 10.0 shares authorized; zero shares issued and outstanding</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par value $0.50: 120.0 shares authorized; 51.8 shares issued</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at cost: 23.8 and 23.0 shares, respectively</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shareholders' equity</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1,216.3</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1,273.3</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shareholders' equity</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2,194.0</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2,384.2</w:t>
            </w:r>
            <w:r>
              <w:rPr>
                <w:color w:val="000000"/>
              </w:rPr>
              <w:t>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Cash Flows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10030" w:type="dxa"/>
        <w:jc w:val="center"/>
        <w:tblInd w:w="0" w:type="dxa"/>
        <w:tblLayout w:type="fixed"/>
        <w:tblCellMar>
          <w:top w:w="28" w:type="dxa"/>
          <w:left w:w="28" w:type="dxa"/>
          <w:bottom w:w="28" w:type="dxa"/>
          <w:right w:w="28" w:type="dxa"/>
        </w:tblCellMar>
      </w:tblPr>
      <w:tblGrid>
        <w:gridCol w:w="2430"/>
        <w:gridCol w:w="2133"/>
        <w:gridCol w:w="2141"/>
        <w:gridCol w:w="294"/>
        <w:gridCol w:w="859"/>
        <w:gridCol w:w="152"/>
        <w:gridCol w:w="109"/>
        <w:gridCol w:w="109"/>
        <w:gridCol w:w="109"/>
        <w:gridCol w:w="364"/>
        <w:gridCol w:w="1064"/>
        <w:gridCol w:w="266"/>
      </w:tblGrid>
      <w:tr>
        <w:trPr/>
        <w:tc>
          <w:tcPr>
            <w:tcW w:w="243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6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income to net cash used in operating activities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Last in, first-out ("LIFO") expense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operating assets and liabilities, net of assets and liabilities acquired</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and unrecognized tax benefits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provided by operating activities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(27.2)</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w:t>
            </w: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long-term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on long-term debt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convertible note bond hedge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convertible note warrant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partial unwind of convertible note bond hedge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Payments for partial unwind of convertible note warrant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cash dividends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repurchases of common stock</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(22.5)</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tbl>
      <w:tblPr>
        <w:tblW w:w="6623" w:type="dxa"/>
        <w:jc w:val="center"/>
        <w:tblInd w:w="0" w:type="dxa"/>
        <w:tblLayout w:type="fixed"/>
        <w:tblCellMar>
          <w:top w:w="28" w:type="dxa"/>
          <w:left w:w="28" w:type="dxa"/>
          <w:bottom w:w="28" w:type="dxa"/>
          <w:right w:w="28" w:type="dxa"/>
        </w:tblCellMar>
      </w:tblPr>
      <w:tblGrid>
        <w:gridCol w:w="1702"/>
        <w:gridCol w:w="1494"/>
        <w:gridCol w:w="1498"/>
        <w:gridCol w:w="211"/>
        <w:gridCol w:w="406"/>
        <w:gridCol w:w="109"/>
        <w:gridCol w:w="109"/>
        <w:gridCol w:w="109"/>
        <w:gridCol w:w="109"/>
        <w:gridCol w:w="211"/>
        <w:gridCol w:w="511"/>
        <w:gridCol w:w="154"/>
      </w:tblGrid>
      <w:tr>
        <w:trPr/>
        <w:tc>
          <w:tcPr>
            <w:tcW w:w="170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debt issuance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lease assets in exchange for lease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Statements of Changes in Shareholders' Equity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20"/>
        <w:gridCol w:w="543"/>
        <w:gridCol w:w="552"/>
        <w:gridCol w:w="245"/>
        <w:gridCol w:w="245"/>
        <w:gridCol w:w="246"/>
        <w:gridCol w:w="205"/>
        <w:gridCol w:w="488"/>
        <w:gridCol w:w="114"/>
        <w:gridCol w:w="249"/>
        <w:gridCol w:w="710"/>
        <w:gridCol w:w="140"/>
        <w:gridCol w:w="211"/>
        <w:gridCol w:w="746"/>
        <w:gridCol w:w="117"/>
        <w:gridCol w:w="490"/>
        <w:gridCol w:w="978"/>
        <w:gridCol w:w="274"/>
        <w:gridCol w:w="248"/>
        <w:gridCol w:w="248"/>
        <w:gridCol w:w="246"/>
        <w:gridCol w:w="197"/>
        <w:gridCol w:w="584"/>
        <w:gridCol w:w="109"/>
        <w:gridCol w:w="260"/>
        <w:gridCol w:w="921"/>
        <w:gridCol w:w="219"/>
      </w:tblGrid>
      <w:tr>
        <w:trPr/>
        <w:tc>
          <w:tcPr>
            <w:tcW w:w="62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1, 2025</w:t>
            </w:r>
          </w:p>
        </w:tc>
      </w:tr>
      <w:tr>
        <w:trPr/>
        <w:tc>
          <w:tcPr>
            <w:tcW w:w="17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5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Common Shares </w:t>
            </w:r>
          </w:p>
        </w:tc>
        <w:tc>
          <w:tcPr>
            <w:tcW w:w="10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Treasury Stock </w:t>
            </w:r>
          </w:p>
        </w:tc>
        <w:tc>
          <w:tcPr>
            <w:tcW w:w="1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November 30, 2024</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$0.34 per share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March 1, 2025</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February 24, 2024</w:t>
            </w:r>
          </w:p>
        </w:tc>
      </w:tr>
      <w:tr>
        <w:trPr/>
        <w:tc>
          <w:tcPr>
            <w:tcW w:w="17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5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0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15"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November 25,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repurchase of convertible notes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bond hedge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Convertible note bond hedge purchase, net of tax of $16.8</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$0.31 per share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Balances at February 24, 2024</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1,324.6 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5"/>
        <w:gridCol w:w="422"/>
        <w:gridCol w:w="424"/>
        <w:gridCol w:w="245"/>
        <w:gridCol w:w="245"/>
        <w:gridCol w:w="246"/>
        <w:gridCol w:w="204"/>
        <w:gridCol w:w="486"/>
        <w:gridCol w:w="113"/>
        <w:gridCol w:w="250"/>
        <w:gridCol w:w="712"/>
        <w:gridCol w:w="141"/>
        <w:gridCol w:w="211"/>
        <w:gridCol w:w="747"/>
        <w:gridCol w:w="117"/>
        <w:gridCol w:w="492"/>
        <w:gridCol w:w="982"/>
        <w:gridCol w:w="275"/>
        <w:gridCol w:w="248"/>
        <w:gridCol w:w="248"/>
        <w:gridCol w:w="246"/>
        <w:gridCol w:w="196"/>
        <w:gridCol w:w="581"/>
        <w:gridCol w:w="109"/>
        <w:gridCol w:w="261"/>
        <w:gridCol w:w="922"/>
        <w:gridCol w:w="217"/>
      </w:tblGrid>
      <w:tr>
        <w:trPr/>
        <w:tc>
          <w:tcPr>
            <w:tcW w:w="86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March 1, 2025</w:t>
            </w:r>
          </w:p>
        </w:tc>
      </w:tr>
      <w:tr>
        <w:trPr/>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1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August 31, 2024</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$0.34 per share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March 1, 2025</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February 24, 2024</w:t>
            </w:r>
          </w:p>
        </w:tc>
      </w:tr>
      <w:tr>
        <w:trPr/>
        <w:tc>
          <w:tcPr>
            <w:tcW w:w="17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5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Shares</w:t>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1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Income (Loss)</w:t>
            </w:r>
          </w:p>
        </w:tc>
        <w:tc>
          <w:tcPr>
            <w:tcW w:w="16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4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Shareholders' Equity</w:t>
            </w:r>
          </w:p>
        </w:tc>
      </w:tr>
      <w:tr>
        <w:trPr/>
        <w:tc>
          <w:tcPr>
            <w:tcW w:w="171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4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August 26, 2023</w:t>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repurchase of convertible notes</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bond hedge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Partial unwind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Convertible note bond hedge purchase, net of tax of $16.8</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convertible note warrant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for employee benefit and stock-based awards, net</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common stock</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$0.31 per share</w:t>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Balances at February 24, 2024</w:t>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1,324.6 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180"/>
        <w:jc w:val="left"/>
        <w:rPr>
          <w:rFonts w:ascii="Arial;sans-serif" w:hAnsi="Arial;sans-serif"/>
          <w:b w:val="false"/>
          <w:color w:val="000000"/>
          <w:sz w:val="18"/>
        </w:rPr>
      </w:pPr>
      <w:r>
        <w:rPr>
          <w:rFonts w:ascii="Arial;sans-serif" w:hAnsi="Arial;sans-serif"/>
          <w:b w:val="false"/>
          <w:color w:val="000000"/>
          <w:sz w:val="18"/>
        </w:rPr>
        <w:t>The accompanying Notes to Consolidated Financial Statements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Winnebago Industries, Inc.</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(All amounts are in millions, except share and per share data, unless otherwise designated)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Note 1.    Basis of Presentation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 the accounts of Winnebago Industries, Inc. and its wholly-owned subsidiaries. Intercompany account balances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use of the terms "Winnebago Industries," "Winnebago," "we," "our," and "us" in this Quarterly Report on Form 10-Q, unless the context otherwise requires, refers to Winnebago Industries, Inc. and its wholly owned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consolidated financial statements included in this Quarterly Report on Form 10-Q should be read in conjunction with the audited consolidated financial statements and notes thereto included in our Annual Report on Form 10-K for the fiscal year ended August 31, 2024 filed with the SEC. Interim results of operations are not necessarily indicative of the results to be expected for the full fiscal year ending August 30, 2025.</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Segment Update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Comprehensive Income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Comprehensive income represents the change in stockholders’ equity from transactions and other events and circumstances from sources other than shareholders. As of March 1, 2025 and February 24, 2024, the difference between comprehensive income and net (loss) income was not material. </w:t>
      </w:r>
    </w:p>
    <w:p>
      <w:pPr>
        <w:pStyle w:val="TextBody"/>
        <w:bidi w:val="0"/>
        <w:spacing w:before="0" w:after="0"/>
        <w:jc w:val="both"/>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Subsequent Events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preparing the accompanying unaudited consolidated financial statements, we have evaluated subsequent events for potential recognition and disclosure through the date of this filing, noting no material subsequent events.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November 2024, the Financial Accounting Standards Board (“FASB”) issued ASU 2024-04,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November 2024, the FASB issued ASU 2024-03, which requires disclosure of additional disaggregated information about significant expenses within relevant income statement captions, such as purchases of inventory, employee compensation, depreciation, amortization and depletion. The new guidance is effective for annual reporting periods beginning after December 15, 2026, and interim periods within fiscal years beginning after December 15, 2027. We are currently evaluating the impact of the standard on our consolidated financial statements and related disclosures. We will adopt the standard in our Annual Report on Form 10-K for our fiscal year ending August 26, 2028 and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March 2024, the SEC adopted a final rule under SEC Release No. 33-11275, </w:t>
      </w:r>
      <w:r>
        <w:rPr>
          <w:rFonts w:ascii="Arial;sans-serif" w:hAnsi="Arial;sans-serif"/>
          <w:b w:val="false"/>
          <w:i/>
          <w:color w:val="000000"/>
          <w:sz w:val="18"/>
        </w:rPr>
        <w:t>The Enhancement and Standardization of Climate-Related Disclosures for Investors</w:t>
      </w:r>
      <w:r>
        <w:rPr>
          <w:rFonts w:ascii="Arial;sans-serif" w:hAnsi="Arial;sans-serif"/>
          <w:b w:val="false"/>
          <w:color w:val="000000"/>
          <w:sz w:val="18"/>
        </w:rPr>
        <w:t xml:space="preserve">. The new rule will require disclosure of greenhouse gas emissions, including Scope 1 and Scope 2 emissions; climate-related risks, governance, and oversight; and the financial impacts of severe weather events and other natural conditions, subject to certain materiality thresholds. These disclosures are required to be phased in to our annual reporting beginning in Fiscal 2026. However, in April 2024, the SEC stayed the implementation of this rule pending the outcome of legal challenges. We continue to monitor developments and evaluate the impact of adoption on our Consolidated Financial Statements and related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In December 2023, the FASB issued ASU 2023-09, </w:t>
      </w:r>
      <w:r>
        <w:rPr>
          <w:rFonts w:ascii="Arial;sans-serif" w:hAnsi="Arial;sans-serif"/>
          <w:b w:val="false"/>
          <w:i/>
          <w:color w:val="000000"/>
          <w:sz w:val="18"/>
        </w:rPr>
        <w:t>Income Taxes (Topic 740): Improvements to Income Tax Disclosures</w:t>
      </w:r>
      <w:r>
        <w:rPr>
          <w:rFonts w:ascii="Arial;sans-serif" w:hAnsi="Arial;sans-serif"/>
          <w:b w:val="false"/>
          <w:color w:val="000000"/>
          <w:sz w:val="18"/>
        </w:rPr>
        <w:t>,</w:t>
      </w:r>
      <w:r>
        <w:rPr>
          <w:color w:val="000000"/>
        </w:rPr>
        <w:t xml:space="preserve"> </w:t>
      </w:r>
      <w:r>
        <w:rPr>
          <w:rFonts w:ascii="Arial;sans-serif" w:hAnsi="Arial;sans-serif"/>
          <w:b w:val="false"/>
          <w:color w:val="000000"/>
          <w:sz w:val="18"/>
          <w:shd w:fill="FFFFFF" w:val="clear"/>
        </w:rPr>
        <w:t>which requires expanded disclosures primarily related to the effective tax rate reconciliation and income taxes paid. The new guidance is effective for annual reporting periods beginning after December 15, 2024, with early adoption permit</w:t>
      </w:r>
      <w:r>
        <w:rPr>
          <w:rFonts w:ascii="Arial;sans-serif" w:hAnsi="Arial;sans-serif"/>
          <w:b w:val="false"/>
          <w:color w:val="000000"/>
          <w:sz w:val="18"/>
        </w:rPr>
        <w:t>ted. We are currently evaluating the impact of the standard on our consolidated financial statements and related disclosures. We will adopt the standard in our Annual Report on Form 10-K for our fiscal year ending August 29, 2026 and annual filings thereafter.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In November 2023, the FASB issued ASU 2023-07, </w:t>
      </w:r>
      <w:r>
        <w:rPr>
          <w:rFonts w:ascii="Arial;sans-serif" w:hAnsi="Arial;sans-serif"/>
          <w:b w:val="false"/>
          <w:i/>
          <w:color w:val="000000"/>
          <w:sz w:val="18"/>
        </w:rPr>
        <w:t>Segment Reporting (Topic 280): Improvements to Reportable Segment Disclosures</w:t>
      </w:r>
      <w:r>
        <w:rPr>
          <w:rFonts w:ascii="Arial;sans-serif" w:hAnsi="Arial;sans-serif"/>
          <w:b w:val="false"/>
          <w:color w:val="000000"/>
          <w:sz w:val="18"/>
        </w:rPr>
        <w:t>, which requires incremental disclosures about significant segment expenses regularly provided to the Chief Operating Decision Maker. The new guidance is effective for annual reporting periods beginning after December 15, 2023, and interim periods within fiscal years beginning after December 15, 2024. We are currently evaluating the impact of the standard on our consolidated financial statements and related disclosures. We will adopt the standard in our Annual Report on Form 10-K for our fiscal year ending August 30, 2025 and filings thereafter.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Note 2.    Business Segments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nine operating segments: 1) Grand Design towables, 2) Winnebago towables, 3) Winnebago motorhomes, 4) Newmar motorhomes, 5) Grand Design motorhomes, 6) Chris-Craft marine, 7) Barletta marine, 8) Winnebago specialty vehicles, and 9)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three reportable segments are: Towable RV (an aggregation of the Grand Design towables and the Winnebago towables operating segments); Motorhome RV (an aggregation of the Winnebago motorhomes, Newmar motorhomes, and Grand Design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Identifiable assets of the reportable segments exclude general corporate assets, which principally consist of cash and cash equivalents and certain deferred tax balances. The general corporate assets are included in the Corporate / All Other category.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of our Annual Report on Form 10-K for the fiscal year ended August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monitor and evaluate operating performance of our reportable segments based on Adjusted EBITDA. EBITDA is defined as net (loss) income before interest expense, provision for income taxes, and depreciation and amortization expense. Adjusted EBITDA is defined as net (loss) income before interest expense, provision for income taxes, depreciation and amortization expense, and other pretax adjustments made in order to present comparable results period over period. Examples of items excluded from Adjusted EBITDA include acquisition-related costs, contingent consideration fair value adjustment, and non-operating income or loss.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information by reportable segment is as follows:</w:t>
      </w:r>
    </w:p>
    <w:tbl>
      <w:tblPr>
        <w:tblW w:w="10205" w:type="dxa"/>
        <w:jc w:val="left"/>
        <w:tblInd w:w="0" w:type="dxa"/>
        <w:tblLayout w:type="fixed"/>
        <w:tblCellMar>
          <w:top w:w="28" w:type="dxa"/>
          <w:left w:w="28" w:type="dxa"/>
          <w:bottom w:w="28" w:type="dxa"/>
          <w:right w:w="28" w:type="dxa"/>
        </w:tblCellMar>
      </w:tblPr>
      <w:tblGrid>
        <w:gridCol w:w="1222"/>
        <w:gridCol w:w="1062"/>
        <w:gridCol w:w="1080"/>
        <w:gridCol w:w="289"/>
        <w:gridCol w:w="846"/>
        <w:gridCol w:w="149"/>
        <w:gridCol w:w="109"/>
        <w:gridCol w:w="109"/>
        <w:gridCol w:w="109"/>
        <w:gridCol w:w="363"/>
        <w:gridCol w:w="1061"/>
        <w:gridCol w:w="187"/>
        <w:gridCol w:w="109"/>
        <w:gridCol w:w="109"/>
        <w:gridCol w:w="109"/>
        <w:gridCol w:w="250"/>
        <w:gridCol w:w="913"/>
        <w:gridCol w:w="129"/>
        <w:gridCol w:w="109"/>
        <w:gridCol w:w="109"/>
        <w:gridCol w:w="109"/>
        <w:gridCol w:w="310"/>
        <w:gridCol w:w="1128"/>
        <w:gridCol w:w="235"/>
      </w:tblGrid>
      <w:tr>
        <w:trPr/>
        <w:tc>
          <w:tcPr>
            <w:tcW w:w="122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3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Reportable segment net revenues</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net revenues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Reportable segment Adjusted EBITDA</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Adjusted EBITDA</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Expenditures</w:t>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Reportable segment capital expenditures</w:t>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capital expenditures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516" w:type="dxa"/>
        <w:jc w:val="left"/>
        <w:tblInd w:w="0" w:type="dxa"/>
        <w:tblLayout w:type="fixed"/>
        <w:tblCellMar>
          <w:top w:w="28" w:type="dxa"/>
          <w:left w:w="28" w:type="dxa"/>
          <w:bottom w:w="28" w:type="dxa"/>
          <w:right w:w="28" w:type="dxa"/>
        </w:tblCellMar>
      </w:tblPr>
      <w:tblGrid>
        <w:gridCol w:w="854"/>
        <w:gridCol w:w="747"/>
        <w:gridCol w:w="754"/>
        <w:gridCol w:w="253"/>
        <w:gridCol w:w="921"/>
        <w:gridCol w:w="131"/>
        <w:gridCol w:w="109"/>
        <w:gridCol w:w="109"/>
        <w:gridCol w:w="109"/>
        <w:gridCol w:w="285"/>
        <w:gridCol w:w="1036"/>
        <w:gridCol w:w="208"/>
      </w:tblGrid>
      <w:tr>
        <w:trPr/>
        <w:tc>
          <w:tcPr>
            <w:tcW w:w="8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Towable RV</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Reportable segment assets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 All Other</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assets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2,384.2 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Reconciliation of net (loss) income to consolidated Adjusted EBITDA is as follows:</w:t>
      </w:r>
    </w:p>
    <w:tbl>
      <w:tblPr>
        <w:tblW w:w="10205" w:type="dxa"/>
        <w:jc w:val="left"/>
        <w:tblInd w:w="0" w:type="dxa"/>
        <w:tblLayout w:type="fixed"/>
        <w:tblCellMar>
          <w:top w:w="28" w:type="dxa"/>
          <w:left w:w="28" w:type="dxa"/>
          <w:bottom w:w="28" w:type="dxa"/>
          <w:right w:w="28" w:type="dxa"/>
        </w:tblCellMar>
      </w:tblPr>
      <w:tblGrid>
        <w:gridCol w:w="1352"/>
        <w:gridCol w:w="1141"/>
        <w:gridCol w:w="1109"/>
        <w:gridCol w:w="314"/>
        <w:gridCol w:w="762"/>
        <w:gridCol w:w="162"/>
        <w:gridCol w:w="109"/>
        <w:gridCol w:w="109"/>
        <w:gridCol w:w="109"/>
        <w:gridCol w:w="360"/>
        <w:gridCol w:w="998"/>
        <w:gridCol w:w="185"/>
        <w:gridCol w:w="109"/>
        <w:gridCol w:w="109"/>
        <w:gridCol w:w="109"/>
        <w:gridCol w:w="314"/>
        <w:gridCol w:w="762"/>
        <w:gridCol w:w="162"/>
        <w:gridCol w:w="109"/>
        <w:gridCol w:w="109"/>
        <w:gridCol w:w="109"/>
        <w:gridCol w:w="343"/>
        <w:gridCol w:w="1002"/>
        <w:gridCol w:w="258"/>
      </w:tblGrid>
      <w:tr>
        <w:trPr/>
        <w:tc>
          <w:tcPr>
            <w:tcW w:w="135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3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provision (benefit) </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note receivable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Note 3.    Investments and Fair Value Measurements</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1</w:t>
      </w:r>
      <w:r>
        <w:rPr>
          <w:color w:val="000000"/>
        </w:rPr>
        <w:t xml:space="preserve"> — </w:t>
      </w:r>
      <w:r>
        <w:rPr>
          <w:rFonts w:ascii="Arial;sans-serif" w:hAnsi="Arial;sans-serif"/>
          <w:b w:val="false"/>
          <w:color w:val="000000"/>
          <w:sz w:val="18"/>
        </w:rPr>
        <w:t>Unadjusted quoted prices which are available in active markets for identical assets or liabilities accessible at the measurement date.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2</w:t>
      </w:r>
      <w:r>
        <w:rPr>
          <w:color w:val="000000"/>
        </w:rPr>
        <w:t xml:space="preserve"> — </w:t>
      </w:r>
      <w:r>
        <w:rPr>
          <w:rFonts w:ascii="Arial;sans-serif" w:hAnsi="Arial;sans-serif"/>
          <w:b w:val="false"/>
          <w:color w:val="000000"/>
          <w:sz w:val="18"/>
          <w:shd w:fill="FFFFFF" w:val="clear"/>
        </w:rPr>
        <w:t>Inputs other than quoted prices included in Level 1 inputs that are observable for the asset or liability, either directly or indirectly, for substantially the full term of the asset or liability.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Level 3</w:t>
      </w:r>
      <w:r>
        <w:rPr>
          <w:color w:val="000000"/>
        </w:rPr>
        <w:t xml:space="preserve"> — </w:t>
      </w:r>
      <w:r>
        <w:rPr>
          <w:rFonts w:ascii="Arial;sans-serif" w:hAnsi="Arial;sans-serif"/>
          <w:b w:val="false"/>
          <w:color w:val="000000"/>
          <w:sz w:val="18"/>
          <w:shd w:fill="FFFFFF" w:val="clear"/>
        </w:rPr>
        <w:t>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bidi w:val="0"/>
        <w:spacing w:before="0" w:after="0"/>
        <w:ind w:left="0" w:right="0" w:firstLine="72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that are Measured at Fair Value on a Recurring Basis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assets and liabilities measured at fair value on a recurring basis are as follows:</w:t>
      </w:r>
    </w:p>
    <w:tbl>
      <w:tblPr>
        <w:tblW w:w="7853" w:type="dxa"/>
        <w:jc w:val="left"/>
        <w:tblInd w:w="0" w:type="dxa"/>
        <w:tblLayout w:type="fixed"/>
        <w:tblCellMar>
          <w:top w:w="28" w:type="dxa"/>
          <w:left w:w="28" w:type="dxa"/>
          <w:bottom w:w="28" w:type="dxa"/>
          <w:right w:w="28" w:type="dxa"/>
        </w:tblCellMar>
      </w:tblPr>
      <w:tblGrid>
        <w:gridCol w:w="1211"/>
        <w:gridCol w:w="1059"/>
        <w:gridCol w:w="1075"/>
        <w:gridCol w:w="379"/>
        <w:gridCol w:w="730"/>
        <w:gridCol w:w="195"/>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 funds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8034" w:type="dxa"/>
        <w:jc w:val="center"/>
        <w:tblInd w:w="0" w:type="dxa"/>
        <w:tblLayout w:type="fixed"/>
        <w:tblCellMar>
          <w:top w:w="28" w:type="dxa"/>
          <w:left w:w="28" w:type="dxa"/>
          <w:bottom w:w="28" w:type="dxa"/>
          <w:right w:w="28" w:type="dxa"/>
        </w:tblCellMar>
      </w:tblPr>
      <w:tblGrid>
        <w:gridCol w:w="1211"/>
        <w:gridCol w:w="1059"/>
        <w:gridCol w:w="1075"/>
        <w:gridCol w:w="432"/>
        <w:gridCol w:w="831"/>
        <w:gridCol w:w="222"/>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that fund deferred compensation</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Domestic equity funds</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equity funds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at fair value</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Assets that Fund Deferred Compensation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of our Annual Report on Form 10-K for the fiscal year ended August 31, 2024 for additional information regarding these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Assets and Liabilities Measured at Fair Value on a Nonrecurring Basis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six months ended March 1, 2025 or February 24,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Assets and Liabilities Not Measured at Fair Value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8 in the Notes to Consolidated Financial Statements included in Item 1 of Part I of this Quarterly Report on Form 10-Q for the fair value of our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Note 4.    Inventories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Inventories consist of the following: </w:t>
      </w:r>
    </w:p>
    <w:tbl>
      <w:tblPr>
        <w:tblW w:w="7722" w:type="dxa"/>
        <w:jc w:val="left"/>
        <w:tblInd w:w="0" w:type="dxa"/>
        <w:tblLayout w:type="fixed"/>
        <w:tblCellMar>
          <w:top w:w="28" w:type="dxa"/>
          <w:left w:w="28" w:type="dxa"/>
          <w:bottom w:w="28" w:type="dxa"/>
          <w:right w:w="28" w:type="dxa"/>
        </w:tblCellMar>
      </w:tblPr>
      <w:tblGrid>
        <w:gridCol w:w="1767"/>
        <w:gridCol w:w="1478"/>
        <w:gridCol w:w="1315"/>
        <w:gridCol w:w="294"/>
        <w:gridCol w:w="859"/>
        <w:gridCol w:w="152"/>
        <w:gridCol w:w="109"/>
        <w:gridCol w:w="109"/>
        <w:gridCol w:w="109"/>
        <w:gridCol w:w="329"/>
        <w:gridCol w:w="961"/>
        <w:gridCol w:w="240"/>
      </w:tblGrid>
      <w:tr>
        <w:trPr/>
        <w:tc>
          <w:tcPr>
            <w:tcW w:w="176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Excess of First-in, first-out ("FIFO") over LIFO cost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Inventory valuation methods consist of the following:</w:t>
      </w:r>
    </w:p>
    <w:tbl>
      <w:tblPr>
        <w:tblW w:w="4152" w:type="dxa"/>
        <w:jc w:val="left"/>
        <w:tblInd w:w="0" w:type="dxa"/>
        <w:tblLayout w:type="fixed"/>
        <w:tblCellMar>
          <w:top w:w="28" w:type="dxa"/>
          <w:left w:w="28" w:type="dxa"/>
          <w:bottom w:w="28" w:type="dxa"/>
          <w:right w:w="28" w:type="dxa"/>
        </w:tblCellMar>
      </w:tblPr>
      <w:tblGrid>
        <w:gridCol w:w="359"/>
        <w:gridCol w:w="314"/>
        <w:gridCol w:w="317"/>
        <w:gridCol w:w="294"/>
        <w:gridCol w:w="859"/>
        <w:gridCol w:w="152"/>
        <w:gridCol w:w="109"/>
        <w:gridCol w:w="109"/>
        <w:gridCol w:w="109"/>
        <w:gridCol w:w="329"/>
        <w:gridCol w:w="961"/>
        <w:gridCol w:w="240"/>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LIFO basis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FIFO basis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490.8 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above value of inventories, before reduction for the LIFO reserve, approximates replacement cost at the respective 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rFonts w:ascii="Arial;sans-serif" w:hAnsi="Arial;sans-serif"/>
          <w:b/>
          <w:color w:val="000000"/>
          <w:sz w:val="18"/>
        </w:rPr>
      </w:pPr>
      <w:r>
        <w:rPr>
          <w:rFonts w:ascii="Arial;sans-serif" w:hAnsi="Arial;sans-serif"/>
          <w:b/>
          <w:color w:val="000000"/>
          <w:sz w:val="18"/>
        </w:rPr>
        <w:t>Note 5.    Property, Plant, and Equipment</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Property, plant, and equipment is stated at cost, net of accumulated depreciation, and consists of the following:</w:t>
      </w:r>
    </w:p>
    <w:tbl>
      <w:tblPr>
        <w:tblW w:w="6327" w:type="dxa"/>
        <w:jc w:val="center"/>
        <w:tblInd w:w="0" w:type="dxa"/>
        <w:tblLayout w:type="fixed"/>
        <w:tblCellMar>
          <w:top w:w="28" w:type="dxa"/>
          <w:left w:w="28" w:type="dxa"/>
          <w:bottom w:w="28" w:type="dxa"/>
          <w:right w:w="28" w:type="dxa"/>
        </w:tblCellMar>
      </w:tblPr>
      <w:tblGrid>
        <w:gridCol w:w="1146"/>
        <w:gridCol w:w="1002"/>
        <w:gridCol w:w="1017"/>
        <w:gridCol w:w="294"/>
        <w:gridCol w:w="859"/>
        <w:gridCol w:w="152"/>
        <w:gridCol w:w="109"/>
        <w:gridCol w:w="109"/>
        <w:gridCol w:w="109"/>
        <w:gridCol w:w="329"/>
        <w:gridCol w:w="961"/>
        <w:gridCol w:w="240"/>
      </w:tblGrid>
      <w:tr>
        <w:trPr/>
        <w:tc>
          <w:tcPr>
            <w:tcW w:w="114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building improvements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 and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gross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Depreciation expense was $9.4 million and $8.5 million for the three months ended March 1, 2025 and February 24, 2024, respectively; and $19.1 million and $16.6 million for the six months ended March 1, 2025 and February 24,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6.    Goodwill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amount of goodwill by reportable segment is as follows:</w:t>
      </w:r>
    </w:p>
    <w:tbl>
      <w:tblPr>
        <w:tblW w:w="10205" w:type="dxa"/>
        <w:jc w:val="left"/>
        <w:tblInd w:w="0" w:type="dxa"/>
        <w:tblLayout w:type="fixed"/>
        <w:tblCellMar>
          <w:top w:w="28" w:type="dxa"/>
          <w:left w:w="28" w:type="dxa"/>
          <w:bottom w:w="28" w:type="dxa"/>
          <w:right w:w="28" w:type="dxa"/>
        </w:tblCellMar>
      </w:tblPr>
      <w:tblGrid>
        <w:gridCol w:w="1197"/>
        <w:gridCol w:w="1049"/>
        <w:gridCol w:w="1066"/>
        <w:gridCol w:w="211"/>
        <w:gridCol w:w="616"/>
        <w:gridCol w:w="109"/>
        <w:gridCol w:w="109"/>
        <w:gridCol w:w="109"/>
        <w:gridCol w:w="109"/>
        <w:gridCol w:w="281"/>
        <w:gridCol w:w="683"/>
        <w:gridCol w:w="146"/>
        <w:gridCol w:w="109"/>
        <w:gridCol w:w="109"/>
        <w:gridCol w:w="109"/>
        <w:gridCol w:w="211"/>
        <w:gridCol w:w="616"/>
        <w:gridCol w:w="109"/>
        <w:gridCol w:w="109"/>
        <w:gridCol w:w="109"/>
        <w:gridCol w:w="109"/>
        <w:gridCol w:w="409"/>
        <w:gridCol w:w="995"/>
        <w:gridCol w:w="213"/>
        <w:gridCol w:w="109"/>
        <w:gridCol w:w="109"/>
        <w:gridCol w:w="109"/>
        <w:gridCol w:w="211"/>
        <w:gridCol w:w="616"/>
        <w:gridCol w:w="159"/>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Towable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Motorhome </w:t>
              <w:b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Corporate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Balances at March 1, 2025 and August 31, 2024</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0"/>
        </w:rPr>
        <w:t xml:space="preserve">(1) </w:t>
      </w:r>
      <w:r>
        <w:rPr>
          <w:rFonts w:ascii="Arial;sans-serif" w:hAnsi="Arial;sans-serif"/>
          <w:b w:val="false"/>
          <w:color w:val="000000"/>
          <w:sz w:val="16"/>
        </w:rPr>
        <w:t>There was no activity in the six months ended March 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consist of the following:</w:t>
      </w:r>
    </w:p>
    <w:tbl>
      <w:tblPr>
        <w:tblW w:w="10205" w:type="dxa"/>
        <w:jc w:val="left"/>
        <w:tblInd w:w="0" w:type="dxa"/>
        <w:tblLayout w:type="fixed"/>
        <w:tblCellMar>
          <w:top w:w="28" w:type="dxa"/>
          <w:left w:w="28" w:type="dxa"/>
          <w:bottom w:w="28" w:type="dxa"/>
          <w:right w:w="28" w:type="dxa"/>
        </w:tblCellMar>
      </w:tblPr>
      <w:tblGrid>
        <w:gridCol w:w="1197"/>
        <w:gridCol w:w="1049"/>
        <w:gridCol w:w="1061"/>
        <w:gridCol w:w="478"/>
        <w:gridCol w:w="1398"/>
        <w:gridCol w:w="246"/>
        <w:gridCol w:w="109"/>
        <w:gridCol w:w="109"/>
        <w:gridCol w:w="109"/>
        <w:gridCol w:w="531"/>
        <w:gridCol w:w="1556"/>
        <w:gridCol w:w="276"/>
        <w:gridCol w:w="109"/>
        <w:gridCol w:w="109"/>
        <w:gridCol w:w="109"/>
        <w:gridCol w:w="376"/>
        <w:gridCol w:w="1102"/>
        <w:gridCol w:w="281"/>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Value</w:t>
            </w:r>
          </w:p>
        </w:tc>
      </w:tr>
      <w:tr>
        <w:trPr/>
        <w:tc>
          <w:tcPr>
            <w:tcW w:w="3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trade names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Finite-lived trade name</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Dealer networks/customer relationships</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Backlog</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Non-compete agreements</w:t>
            </w:r>
          </w:p>
        </w:tc>
        <w:tc>
          <w:tcPr>
            <w:tcW w:w="1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The weig</w:t>
      </w:r>
      <w:r>
        <w:rPr>
          <w:rFonts w:ascii="Arial;sans-serif" w:hAnsi="Arial;sans-serif"/>
          <w:b w:val="false"/>
          <w:color w:val="000000"/>
          <w:sz w:val="18"/>
        </w:rPr>
        <w:t>hted average remaining amortization period for finite-lived intangible assets as of March 1, 2025 was approximately six years</w:t>
      </w:r>
      <w:r>
        <w:rPr>
          <w:rFonts w:ascii="Arial;sans-serif" w:hAnsi="Arial;sans-serif"/>
          <w:b w:val="false"/>
          <w:color w:val="000000"/>
          <w:sz w:val="18"/>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Estimated future amortization expense related to finite-lived intangible assets is as follows: </w:t>
      </w:r>
    </w:p>
    <w:tbl>
      <w:tblPr>
        <w:tblW w:w="4440" w:type="dxa"/>
        <w:jc w:val="left"/>
        <w:tblInd w:w="0" w:type="dxa"/>
        <w:tblLayout w:type="fixed"/>
        <w:tblCellMar>
          <w:top w:w="28" w:type="dxa"/>
          <w:left w:w="28" w:type="dxa"/>
          <w:bottom w:w="28" w:type="dxa"/>
          <w:right w:w="28" w:type="dxa"/>
        </w:tblCellMar>
      </w:tblPr>
      <w:tblGrid>
        <w:gridCol w:w="1156"/>
        <w:gridCol w:w="1012"/>
        <w:gridCol w:w="1026"/>
        <w:gridCol w:w="267"/>
        <w:gridCol w:w="782"/>
        <w:gridCol w:w="197"/>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Amortization</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Remainder of Fiscal 2025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2026</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amortization expense remaining</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7.    Product Warranties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Changes in the product warranty liability are as follows: </w:t>
      </w:r>
    </w:p>
    <w:tbl>
      <w:tblPr>
        <w:tblW w:w="9559" w:type="dxa"/>
        <w:jc w:val="left"/>
        <w:tblInd w:w="0" w:type="dxa"/>
        <w:tblLayout w:type="fixed"/>
        <w:tblCellMar>
          <w:top w:w="28" w:type="dxa"/>
          <w:left w:w="28" w:type="dxa"/>
          <w:bottom w:w="28" w:type="dxa"/>
          <w:right w:w="28" w:type="dxa"/>
        </w:tblCellMar>
      </w:tblPr>
      <w:tblGrid>
        <w:gridCol w:w="949"/>
        <w:gridCol w:w="832"/>
        <w:gridCol w:w="843"/>
        <w:gridCol w:w="331"/>
        <w:gridCol w:w="803"/>
        <w:gridCol w:w="171"/>
        <w:gridCol w:w="109"/>
        <w:gridCol w:w="109"/>
        <w:gridCol w:w="109"/>
        <w:gridCol w:w="417"/>
        <w:gridCol w:w="1013"/>
        <w:gridCol w:w="219"/>
        <w:gridCol w:w="109"/>
        <w:gridCol w:w="109"/>
        <w:gridCol w:w="109"/>
        <w:gridCol w:w="331"/>
        <w:gridCol w:w="803"/>
        <w:gridCol w:w="171"/>
        <w:gridCol w:w="109"/>
        <w:gridCol w:w="109"/>
        <w:gridCol w:w="109"/>
        <w:gridCol w:w="408"/>
        <w:gridCol w:w="989"/>
        <w:gridCol w:w="298"/>
      </w:tblGrid>
      <w:tr>
        <w:trPr/>
        <w:tc>
          <w:tcPr>
            <w:tcW w:w="9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Claims paid</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8.     Debt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our outstanding debt:</w:t>
      </w:r>
    </w:p>
    <w:tbl>
      <w:tblPr>
        <w:tblW w:w="6507" w:type="dxa"/>
        <w:jc w:val="left"/>
        <w:tblInd w:w="0" w:type="dxa"/>
        <w:tblLayout w:type="fixed"/>
        <w:tblCellMar>
          <w:top w:w="28" w:type="dxa"/>
          <w:left w:w="28" w:type="dxa"/>
          <w:bottom w:w="28" w:type="dxa"/>
          <w:right w:w="28" w:type="dxa"/>
        </w:tblCellMar>
      </w:tblPr>
      <w:tblGrid>
        <w:gridCol w:w="1213"/>
        <w:gridCol w:w="1061"/>
        <w:gridCol w:w="1071"/>
        <w:gridCol w:w="294"/>
        <w:gridCol w:w="859"/>
        <w:gridCol w:w="152"/>
        <w:gridCol w:w="109"/>
        <w:gridCol w:w="109"/>
        <w:gridCol w:w="109"/>
        <w:gridCol w:w="329"/>
        <w:gridCol w:w="961"/>
        <w:gridCol w:w="240"/>
      </w:tblGrid>
      <w:tr>
        <w:trPr/>
        <w:tc>
          <w:tcPr>
            <w:tcW w:w="121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Convertible Notes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637.1 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Credit Agreements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15, 2022, we amended and restated our asset-backed revolving credit agreement ("ABL Credit Facility") to, among other things, increase the commitments available from $192.5 million to $350.0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 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Senior 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February 3, 2025, we commenced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 In connection with the Senior Secured Notes Tender Offer, we recorded a loss on note repurchase of $2.0 million in the accompanying Consolidated Statements of Income during the quarter. In addition, accrued interest of $0.6 million was paid in connection with the Tender Offer.</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2030 Convertible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23, 2024, we issued $350.0 million in aggregate principal amount of 3.25% unsecured convertible senior notes due 2030 (the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March 1, 2025, there have been no changes to the initial conversion 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Prior to the close of business on the business day immediately preceding July 15, 2029, the 2030 Convertible Notes will be convertible only under the following circumstances:</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1.during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 xml:space="preserve">2.during the five consecutive business day period immediately after any five consecutive trading day period (the "measurement period to the 2030 Convertible Notes") in which the trading price (as defined in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3.upon the occurrence of certain specified corporate events set forth in the Indenture to the 2030 Convertible Notes; or</w:t>
      </w:r>
    </w:p>
    <w:p>
      <w:pPr>
        <w:pStyle w:val="TextBody"/>
        <w:bidi w:val="0"/>
        <w:spacing w:lineRule="auto" w:line="288" w:before="120" w:after="283"/>
        <w:ind w:left="0" w:right="0" w:hanging="360"/>
        <w:jc w:val="left"/>
        <w:rPr>
          <w:rFonts w:ascii="Arial;sans-serif" w:hAnsi="Arial;sans-serif"/>
          <w:b w:val="false"/>
          <w:color w:val="000000"/>
          <w:sz w:val="18"/>
        </w:rPr>
      </w:pPr>
      <w:r>
        <w:rPr>
          <w:rFonts w:ascii="Arial;sans-serif" w:hAnsi="Arial;sans-serif"/>
          <w:b w:val="false"/>
          <w:color w:val="000000"/>
          <w:sz w:val="18"/>
        </w:rPr>
        <w:t>4.if we call such 2030 Convertible Notes for redemption (as described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Accounting Treatment of the 2030 Convertible Notes and Related 2030 Hedge Transactions and 2030 Warrant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$3.3 million and $6.5 million of interest expense during the three and six months ended March 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net after-tax cost incurred in connection with the 2030 Call Spread Transactions was $20.6 million. These transactions are classified as equity and are not remeasured each reporting period.</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2025 Convertible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November 1, 2019, we issued $300.0 million in aggregate principal amount of 1.5% unsecured convertible senior notes due 2025 (the “2025 Convertible Notes”), of which $59.3 million of aggregate principal amount of 2025 Convertible Notes remain outstanding at March 1, 2025. The net proceeds from the issuance of the 2025 Convertible Notes, after deducting the initial purchasers' transaction fees and offering expense payable by us, were approximately $290.2 million. The 2025 Convertible Notes bear interest at the annual rate of 1.5%, payable on April 1 and October 1 of each year, beginning on April 1, 2020, and will mature on April 1, 2025, unless earlier converted or repurchased by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2025 Convertible Notes will be convertible into cash, shares of our common stock or a combination thereof, at our election, at an initial conversion rate of 15.6906 shares of common stock per $1,000 principal amount of 2025 Convertible Notes, which is equivalent to an initial conversion price of approximately $63.73 per share, as adjusted pursuant to the terms of the Indenture governing the 2025 Convertible Notes. The 2025 Convertible Notes may be converted at any time on or after October 1, 2024, until the close of business on the second scheduled trading day immediately preceding the maturity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conversion rate of the 2025 Convertible Notes may be adjusted in certain circumstances, including in connection with a conversion of the 2025 Convertible Notes made following certain fundamental changes and under other circumstances set forth in the Indenture to the 2025 Convertible Notes. As of March 1, 2025, the conversion rate was 16.2082 shares of common stock per $1,000 principal amount of 2025 Convertible Notes, which is equivalent to a conversion price of approximately $61.70. The difference between the initial conversion rate and the conversion rate as of March 1, 2025 is due to cash dividends that have been declared following the issuance of the 2025 Convertible Notes.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Since October 1, 2024, the 2025 Convertible Notes are convertible at any time at the option of the holder. It is our current intent to settle all conversions of the 2025 Convertible Notes in cash. Our ability to cash settle may be limited depending on the stock price at the time of conversion.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may not redeem the 2025 Convertible Notes at our option prior to the maturity date, and no sinking fund is provided for the 2025 Convertible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October 29, 2019 and October 30, 2019, in connection with the offering of the 2025 Convertible Notes, we entered into privately negotiated convertible note hedge transactions (collectively, the “2025 Hedge Transactions”) that cover, subject to customary anti-dilution adjustments, the number of shares of our common stock that initially underlie the 2025 Convertible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October 29, 2019 and October 30, 2019, we also entered into privately negotiated warrant transactions (collectively, the “2025 Warrant Transactions” and, together with the 2025 Hedge Transactions, the “2025 Call Spread Transactions”), whereby we sold warrants at a higher strike price relating to the same number of shares of our common stock that initially underlie the 2025 Convertible Notes, subject to customary anti-dilution adjustments.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2025 Hedge Transactions and the 2025 Warrant Transactions are separate transactions, in each case, and are not part of the terms of the 2025 Convertible Notes and will not affect any holder’s rights under the 2025 Convertible Notes. Holders of the 2025 Convertible Notes will not have any rights with respect to the 2025 Call Spread Transactions.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January 18, 2024, we entered into separate, privately negotiated transactions (the "2025 Convertible Note Repurchases") with certain holders of the 2025 Convertible Notes to repurchase $240.7 million aggregate principal amount of the 2025 Convertible Notes using $293.8 million of the net proceeds received from the 2030 Convertible Notes. In connection with the 2025 Convertible Note Repurchases, we recorded a loss on note repurchase of $32.7 million in the accompanying Consolidated Statements of Income during the second quarter of Fiscal 2024. The loss on note repurchase represents the difference between the fair value of consideration transferred to the holders of the repurchased 2025 Convertible Notes and the conversion value of 2025 Convertible Notes repurchased pursuant to the original conversion terms. Concurrently with the 2025 Convertible Note Repurchases, we entered into agreements to terminate a proportionate amount of the 2025 Call Spread Transactions, which resulted in net proceeds of $30.5 million recorded as equity in the accompanying Consolidated Balance Sheets.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Accounting Treatment of the 2025 Convertible Notes and Related 2025 Hedge Transactions and 2025 Warrant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2025 Convertible Notes are accounted for as a single liability measured at amortized cost. Interest expense, representing the amortization of the remaining debt issuance costs as well as the contractual interest expense are amortized using an effective interest rate of 2.1% over the term of the 2025 Convertible Notes. We recorded $0.3 million and $1.1 million of interest expense during the three months ended March 1, 2025 and February 24, 2024, respectively; and we recorded $0.6 million and $2.7 million of interest expense during the six months ended March 1, 2025 and February 24, 2024,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2025 Call Spread Transactions are classified as equity and are not remeasured each reporting period. </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Fair Value and Future Maturities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fair value of outstanding debt obligations, gross is as follows: </w:t>
      </w:r>
    </w:p>
    <w:tbl>
      <w:tblPr>
        <w:tblW w:w="5217" w:type="dxa"/>
        <w:jc w:val="left"/>
        <w:tblInd w:w="0" w:type="dxa"/>
        <w:tblLayout w:type="fixed"/>
        <w:tblCellMar>
          <w:top w:w="28" w:type="dxa"/>
          <w:left w:w="28" w:type="dxa"/>
          <w:bottom w:w="28" w:type="dxa"/>
          <w:right w:w="28" w:type="dxa"/>
        </w:tblCellMar>
      </w:tblPr>
      <w:tblGrid>
        <w:gridCol w:w="745"/>
        <w:gridCol w:w="652"/>
        <w:gridCol w:w="658"/>
        <w:gridCol w:w="294"/>
        <w:gridCol w:w="859"/>
        <w:gridCol w:w="152"/>
        <w:gridCol w:w="109"/>
        <w:gridCol w:w="109"/>
        <w:gridCol w:w="109"/>
        <w:gridCol w:w="329"/>
        <w:gridCol w:w="961"/>
        <w:gridCol w:w="240"/>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August 31, 2024</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Credit Facility</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Convertible Notes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Convertible Notes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Aggregate contractual maturities of debt in future fiscal years are as follows:</w:t>
      </w:r>
    </w:p>
    <w:tbl>
      <w:tblPr>
        <w:tblW w:w="3200" w:type="dxa"/>
        <w:jc w:val="left"/>
        <w:tblInd w:w="0" w:type="dxa"/>
        <w:tblLayout w:type="fixed"/>
        <w:tblCellMar>
          <w:top w:w="28" w:type="dxa"/>
          <w:left w:w="28" w:type="dxa"/>
          <w:bottom w:w="28" w:type="dxa"/>
          <w:right w:w="28" w:type="dxa"/>
        </w:tblCellMar>
      </w:tblPr>
      <w:tblGrid>
        <w:gridCol w:w="803"/>
        <w:gridCol w:w="703"/>
        <w:gridCol w:w="713"/>
        <w:gridCol w:w="211"/>
        <w:gridCol w:w="6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Remainder of Fiscal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gross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were in compliance with all of our financial debt covenants as of March 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Refer to Note 9 in the Notes to Consolidated Financial Statements included in Item 8 of Part II of our Annual Report on Form 10-K for the fiscal year ended August 31, 2024 for additional information regarding our debt.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9.     Contingent Liabilities and Commitments </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Repurchase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$1,750.1 million and $1,673.7 million at March 1, 2025 and August 31, 2024,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$1.1 million and $1.1 million at March 1, 2025 and August 31, 2024,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was no material activity related to repurchase agreements during the six months ended March 1, 2025 and February 24,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10. Revenue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pStyle w:val="TextBody"/>
        <w:bidi w:val="0"/>
        <w:spacing w:before="0" w:after="0"/>
        <w:jc w:val="left"/>
        <w:rPr/>
      </w:pPr>
      <w:r>
        <w:rPr/>
      </w:r>
    </w:p>
    <w:tbl>
      <w:tblPr>
        <w:tblW w:w="9365" w:type="dxa"/>
        <w:jc w:val="left"/>
        <w:tblInd w:w="0" w:type="dxa"/>
        <w:tblLayout w:type="fixed"/>
        <w:tblCellMar>
          <w:top w:w="28" w:type="dxa"/>
          <w:left w:w="28" w:type="dxa"/>
          <w:bottom w:w="28" w:type="dxa"/>
          <w:right w:w="28" w:type="dxa"/>
        </w:tblCellMar>
      </w:tblPr>
      <w:tblGrid>
        <w:gridCol w:w="878"/>
        <w:gridCol w:w="770"/>
        <w:gridCol w:w="782"/>
        <w:gridCol w:w="294"/>
        <w:gridCol w:w="859"/>
        <w:gridCol w:w="152"/>
        <w:gridCol w:w="109"/>
        <w:gridCol w:w="109"/>
        <w:gridCol w:w="109"/>
        <w:gridCol w:w="372"/>
        <w:gridCol w:w="1086"/>
        <w:gridCol w:w="192"/>
        <w:gridCol w:w="109"/>
        <w:gridCol w:w="109"/>
        <w:gridCol w:w="109"/>
        <w:gridCol w:w="253"/>
        <w:gridCol w:w="921"/>
        <w:gridCol w:w="131"/>
        <w:gridCol w:w="109"/>
        <w:gridCol w:w="109"/>
        <w:gridCol w:w="109"/>
        <w:gridCol w:w="316"/>
        <w:gridCol w:w="1148"/>
        <w:gridCol w:w="230"/>
      </w:tblGrid>
      <w:tr>
        <w:trPr/>
        <w:tc>
          <w:tcPr>
            <w:tcW w:w="87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Towable RV </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615.5 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Motorhome RV</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Class C and Other</w:t>
            </w:r>
            <w:r>
              <w:rPr>
                <w:rFonts w:ascii="Arial;sans-serif" w:hAnsi="Arial;sans-serif"/>
                <w:b w:val="false"/>
                <w:color w:val="000000"/>
                <w:sz w:val="12"/>
              </w:rPr>
              <w:t>(1)</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672.8 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Marine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Corporate / All Other</w:t>
            </w:r>
            <w:r>
              <w:rPr>
                <w:rFonts w:ascii="Arial;sans-serif" w:hAnsi="Arial;sans-serif"/>
                <w:b w:val="false"/>
                <w:color w:val="000000"/>
                <w:sz w:val="12"/>
              </w:rPr>
              <w:t>(2)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Net Revenues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1,466.6 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Relates to parts, accessories, and services.</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Relates to units, parts, accessories, and services associated with Winnebago specialty vehicles. In addition, this activity also includes Lithionics battery sales, including the related systems and accessories, that are sold directly to external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material contract assets or liabilities. Allowances for uncollectible receivables are established based on historical collection trends, write-off history, consideration of current conditions and expectations for future economic conditions.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Concentration of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One single dealer organization accounted for approximately 10.8% of net revenue for the six months ended March 1, 2025. No single dealer organization accounted for more than 10% of net revenue for the six months ended February 24,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11. Income Taxes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effective tax rate was 8.1% and (126.1)% for the three months ended March 1, 2025 and February 24, 2024, respectively; and 21.0% and 54.4% for the six months ended March 1, 2025 and February 24, 2024, respectively. The change in our effective tax rate for the three months ended March 1, 2025 compared to the three months ended February 24, 2024 was driven primarily prior year's non-deductible loss on note repurchase and current period pre-tax loss. The decrease in tax rate for the six months ended March 1, 2025 compared to the six months ended February 24, 2024 was driven primarily by the impact of the prior year non-deductible loss on note repurchase as well as the current year to date pre-tax book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March 1, 2025, $9.8 million of U.S. federal income taxes receivable was included in prepaid expenses and other current assets on the Consolidated Balance Sheets. Comparatively, as of August 31, 2024, $6.8 million of U.S. federal income taxes receivable was included in prepaid expenses and other current assets on the Consolidated Balance Sheets.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file a U.S. Federal tax return, as well as returns in various international and state jurisdictions. As of March 1, 2025, our U.S. Federal returns from Fiscal 2021 to present are subject to review by the Internal Revenue Service. With limited exceptions, U.S. state returns from Fiscal 2020 to present continue to be subject to review by state taxing jurisdictions. We are currently under review by certain U.S. state tax authorities for Fiscal 2020 through Fiscal 2023. We believe we have adequately reserved for our exposure to potential additional payments for uncertain tax positions in our liability for unrecognized tax benefits.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Note 12. Earnings Per Share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Basic and diluted (loss) earnings per share are calculated as follows: </w:t>
      </w:r>
    </w:p>
    <w:tbl>
      <w:tblPr>
        <w:tblW w:w="10205" w:type="dxa"/>
        <w:jc w:val="left"/>
        <w:tblInd w:w="0" w:type="dxa"/>
        <w:tblLayout w:type="fixed"/>
        <w:tblCellMar>
          <w:top w:w="28" w:type="dxa"/>
          <w:left w:w="28" w:type="dxa"/>
          <w:bottom w:w="28" w:type="dxa"/>
          <w:right w:w="28" w:type="dxa"/>
        </w:tblCellMar>
      </w:tblPr>
      <w:tblGrid>
        <w:gridCol w:w="1863"/>
        <w:gridCol w:w="1362"/>
        <w:gridCol w:w="1366"/>
        <w:gridCol w:w="253"/>
        <w:gridCol w:w="671"/>
        <w:gridCol w:w="131"/>
        <w:gridCol w:w="109"/>
        <w:gridCol w:w="109"/>
        <w:gridCol w:w="109"/>
        <w:gridCol w:w="290"/>
        <w:gridCol w:w="795"/>
        <w:gridCol w:w="149"/>
        <w:gridCol w:w="109"/>
        <w:gridCol w:w="109"/>
        <w:gridCol w:w="109"/>
        <w:gridCol w:w="253"/>
        <w:gridCol w:w="671"/>
        <w:gridCol w:w="131"/>
        <w:gridCol w:w="109"/>
        <w:gridCol w:w="109"/>
        <w:gridCol w:w="109"/>
        <w:gridCol w:w="308"/>
        <w:gridCol w:w="747"/>
        <w:gridCol w:w="234"/>
      </w:tblGrid>
      <w:tr>
        <w:trPr/>
        <w:tc>
          <w:tcPr>
            <w:tcW w:w="186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4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basic</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Basic (loss) earnings per common share</w:t>
            </w:r>
            <w:r>
              <w:rPr>
                <w:rFonts w:ascii="Arial;sans-serif" w:hAnsi="Arial;sans-serif"/>
                <w:b w:val="false"/>
                <w:color w:val="000000"/>
                <w:sz w:val="12"/>
              </w:rPr>
              <w:t>(1)</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per share - diluted</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(loss) income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impact of stock compensation awards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assuming dilution</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Anti-dilutive securities excluded from weighted average common shares outstanding, assuming dilution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(loss) earnings per common share</w:t>
            </w:r>
            <w:r>
              <w:rPr>
                <w:rFonts w:ascii="Arial;sans-serif" w:hAnsi="Arial;sans-serif"/>
                <w:b w:val="false"/>
                <w:color w:val="000000"/>
                <w:sz w:val="12"/>
              </w:rPr>
              <w:t>(1)</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Earnings per share amounts are calculated based on unrounded numbers and therefore may not recalculate using the rounded numbers provided.</w:t>
      </w:r>
    </w:p>
    <w:p>
      <w:pPr>
        <w:pStyle w:val="TextBody"/>
        <w:bidi w:val="0"/>
        <w:spacing w:before="60" w:after="283"/>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dilutive effect of stock compensation awards, if any, was determined using the treasury stock method while the dilutive impact of the 2025 Convertible Notes and the 2030 Convertible Notes was determined using the if-converted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 Under the if-converted method, the 2025 Convertible Notes are assumed to be converted into common stock at the beginning of the reporting period, as the 2025 Convertible Notes will be convertible into cash, shares of our common stock or a combination thereof, at our election. If dilutive, the resulting shares are included in the denominator of the calculation and interest charges, net of any income tax effects are added back to the numerator of the calculation. For the 2030 Convertible Notes, we are required to settle the principal amount in cash and any conversion premium in excess of the principal amount in cash, shares of common stock, or a combination of cash and shares of common stock, at our election. As such, the 2030 Convertible Notes only have an impact on diluted earnings per share when the average share price of our common stock exceeds the conversion price.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terms "Winnebago," "we," "us," and "our," unless the context otherwise requires, refer to Winnebago Industries, Inc. and its wholly-owned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MD&amp;A should be read in conjunction with the Consolidated Financial Statements and related Notes included in Item 1 of Part I of this Quarterly Report on Form 10-Q and our Annual Report on Form 10-K for the fiscal year ended August 31, 2024 (including the information presented therein under Risk Factors), as well as our reports on Forms 10-Q and 8-K and other publicly available information. All amounts herein are unaudited. All amounts are in millions, except share and per share data, unless otherwise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Winnebago Industries, Inc. is a leading North American manufacturer of outdoor lifestyle products under the Winnebago, Grand Design, Chris-Craft, Newmar and Barletta Boat brands, which are used primarily in leisure travel and outdoor recreation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Known Trends and Uncertainties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business continues to be challenged by macroeconomic conditions impacting retail consumers and our dealers, such as inflation and elevated interest rates. These factors have contributed to lower consumer spending and reduced short-term demand for large discretionary products such as RVs and marine products. In response, our dealers continue to exercise caution when managing stocking levels. In the first six months of Fiscal 2025, these trends resulted in decreased sales due to declines in unit volume. We expect that as consumer demand stabilizes, which we anticipate will occur as we enter the spring selling season, dealers will return to more stable ordering patterns. We continue to produce and ship in accordance with dealer demand as evidenced and requested by dealer orders. In addition, we are closely monitoring the potential impact of new or additional U.S. tariffs and retaliatory measures from other countries, which may affect material costs or supply.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Despite the current economic uncertainty, we believe in the long-term health of consumer demand for RV and marine products.</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Segment Update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conjunction with the Grand Design RV entrance into the motorized RV category, we established a Grand Design motorhomes operating segment in the first quarter of Fiscal 2025. This newly created operating segment is included in the Motorhome RV reportable segment. Prior period amounts have not been reclassified as the impact was not significant.</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This MD&amp;A includes financial information prepared in accordance with generally accepted accounting principles ("GAAP"), as well as certain adjusted or non-GAAP financial measures such as EBITDA and Adjusted EBITDA. EBITDA is defined as net (loss) income before interest expense, provision for income taxes, and depreciation and amortization expense. Adjusted EBITDA is defined as net (loss) income before interest expense, provision for income taxes, depreciation and amortization expense, and other pretax adjustments made in order to present comparable results from period to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Included in "Results of Operations" below for the three and six months ended March 1, 2025 compared to the comparable prior year period is a reconciliation of EBITDA and Adjusted EBITDA from net (loss) income, the most directly comparable GAAP measure. We have included these non-GAAP performance measures as a comparable measure to illustrate the effect of non-recurring transactions that occurred during the reported periods and to improve comparability of our results from period to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Adjusted EBITDA provides meaningful supplemental information about our operating performance as this measure excludes amounts from net (loss) income that we do not consider part of our core operating results when assessing our performance. Examples of items excluded from Adjusted EBITDA include acquisition-related costs, change in fair value of note receivable, contingent consideration fair value adjustment, loss on note repurchase, and non-operating income or loss.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its assessments of performance and in forecasting; (d) to evaluate potential acquisitions; and (e) to ensure compliance with covenants and restricted activities under the terms of our ABL Credit Facility and outstanding notes, as further described in Note 8 in the Notes to Consolidated Financial Statements included in Item 1 of Part I</w:t>
      </w:r>
      <w:r>
        <w:rPr>
          <w:color w:val="000000"/>
        </w:rPr>
        <w:t xml:space="preserve"> </w:t>
      </w:r>
      <w:r>
        <w:rPr>
          <w:rFonts w:ascii="Arial;sans-serif" w:hAnsi="Arial;sans-serif"/>
          <w:b w:val="false"/>
          <w:color w:val="000000"/>
          <w:sz w:val="18"/>
        </w:rPr>
        <w:t>of this Quarterly Report on Form 10-Q. We believe these non-GAAP financial measures are frequently used by securities analysts, investors and other interested parties to evaluate companies in the industry.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Results of Operations - Three Months Ended March 1, 2025 Compared to Three Months Ended February 24,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Consolidated Performance Summary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changes in key items included in the Consolidated Statements of Income for the three months ended March 1, 2025 compared to the three months ended February 24, 2024:</w:t>
      </w:r>
    </w:p>
    <w:tbl>
      <w:tblPr>
        <w:tblW w:w="10205" w:type="dxa"/>
        <w:jc w:val="left"/>
        <w:tblInd w:w="0" w:type="dxa"/>
        <w:tblLayout w:type="fixed"/>
        <w:tblCellMar>
          <w:top w:w="28" w:type="dxa"/>
          <w:left w:w="28" w:type="dxa"/>
          <w:bottom w:w="28" w:type="dxa"/>
          <w:right w:w="28" w:type="dxa"/>
        </w:tblCellMar>
      </w:tblPr>
      <w:tblGrid>
        <w:gridCol w:w="968"/>
        <w:gridCol w:w="419"/>
        <w:gridCol w:w="421"/>
        <w:gridCol w:w="227"/>
        <w:gridCol w:w="664"/>
        <w:gridCol w:w="117"/>
        <w:gridCol w:w="109"/>
        <w:gridCol w:w="109"/>
        <w:gridCol w:w="109"/>
        <w:gridCol w:w="343"/>
        <w:gridCol w:w="286"/>
        <w:gridCol w:w="624"/>
        <w:gridCol w:w="109"/>
        <w:gridCol w:w="109"/>
        <w:gridCol w:w="109"/>
        <w:gridCol w:w="242"/>
        <w:gridCol w:w="709"/>
        <w:gridCol w:w="125"/>
        <w:gridCol w:w="109"/>
        <w:gridCol w:w="109"/>
        <w:gridCol w:w="109"/>
        <w:gridCol w:w="343"/>
        <w:gridCol w:w="286"/>
        <w:gridCol w:w="624"/>
        <w:gridCol w:w="109"/>
        <w:gridCol w:w="109"/>
        <w:gridCol w:w="109"/>
        <w:gridCol w:w="244"/>
        <w:gridCol w:w="609"/>
        <w:gridCol w:w="127"/>
        <w:gridCol w:w="109"/>
        <w:gridCol w:w="109"/>
        <w:gridCol w:w="109"/>
        <w:gridCol w:w="268"/>
        <w:gridCol w:w="268"/>
        <w:gridCol w:w="656"/>
      </w:tblGrid>
      <w:tr>
        <w:trPr/>
        <w:tc>
          <w:tcPr>
            <w:tcW w:w="96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per share data)</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Non-operating (income) loss </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loss per share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 In addition, percentages may not add in total due to rounding.</w:t>
      </w:r>
    </w:p>
    <w:p>
      <w:pPr>
        <w:pStyle w:val="TextBody"/>
        <w:bidi w:val="0"/>
        <w:spacing w:lineRule="auto" w:line="288" w:before="60" w:after="283"/>
        <w:ind w:left="0" w:right="0" w:hanging="270"/>
        <w:jc w:val="left"/>
        <w:rPr/>
      </w:pPr>
      <w:r>
        <w:rPr>
          <w:rFonts w:ascii="Arial;sans-serif" w:hAnsi="Arial;sans-serif"/>
          <w:b w:val="false"/>
          <w:color w:val="000000"/>
          <w:sz w:val="12"/>
        </w:rPr>
        <w:t>NM:    </w:t>
      </w:r>
      <w:r>
        <w:rPr>
          <w:rFonts w:ascii="Arial;sans-serif" w:hAnsi="Arial;sans-serif"/>
          <w:b w:val="false"/>
          <w:color w:val="000000"/>
          <w:sz w:val="16"/>
        </w:rPr>
        <w:t>Not meaningful.</w:t>
      </w:r>
    </w:p>
    <w:p>
      <w:pPr>
        <w:pStyle w:val="TextBody"/>
        <w:bidi w:val="0"/>
        <w:spacing w:before="0" w:after="0"/>
        <w:ind w:left="0" w:right="0" w:hanging="270"/>
        <w:jc w:val="left"/>
        <w:rPr/>
      </w:pPr>
      <w:r>
        <w:rPr/>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Net revenues decreased primarily due to a reduction in average selling price per unit related to product mix, partially offset by targeted price increases. Volume was essentially flat, with reductions in the Motorhome RV segment mostly offset by volume increases in the Towable RV and Marine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 as a percentage of revenue decreased primarily due to deleverage associated with product mix, partially offset by operational efficiencies.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expenses increased primarily due to the mix of incentive-based compensation plans relative to performance across our businesses and investments to support Grand Design motorized growth and growth in the Barletta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loss on note repurchase recorded in the three months ended March 1, 2025 is related to the tender of $100.0 million of our Senior Secured Notes. The loss on note repurchase recorded in the three months ended February 24, 2024 is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refinancing of the 2025 Convertible Notes. Refer to Note 8 in the Notes to Consolidated Financial Statements included in Item 1 of Part I of this Quarterly Report on Form 10-Q for further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change in our effective tax rate was driven primarily by the prior year non-deductible loss on convertible note repurchase and the current year pre-tax book loss compared to pre-tax book income in the prior year.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Non-GAAP Reconciliation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reconciles net (loss) income to consolidated EBITDA and Adjusted EBITDA for the three months ended March 1, 2025 and February 24, 2024:</w:t>
      </w:r>
    </w:p>
    <w:tbl>
      <w:tblPr>
        <w:tblW w:w="7241" w:type="dxa"/>
        <w:jc w:val="left"/>
        <w:tblInd w:w="0" w:type="dxa"/>
        <w:tblLayout w:type="fixed"/>
        <w:tblCellMar>
          <w:top w:w="28" w:type="dxa"/>
          <w:left w:w="28" w:type="dxa"/>
          <w:bottom w:w="28" w:type="dxa"/>
          <w:right w:w="28" w:type="dxa"/>
        </w:tblCellMar>
      </w:tblPr>
      <w:tblGrid>
        <w:gridCol w:w="1420"/>
        <w:gridCol w:w="1241"/>
        <w:gridCol w:w="1253"/>
        <w:gridCol w:w="331"/>
        <w:gridCol w:w="803"/>
        <w:gridCol w:w="171"/>
        <w:gridCol w:w="109"/>
        <w:gridCol w:w="109"/>
        <w:gridCol w:w="109"/>
        <w:gridCol w:w="376"/>
        <w:gridCol w:w="1045"/>
        <w:gridCol w:w="274"/>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provision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note receivable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Reportable Segment Performance Summary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Towable RV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Towable RV segment for the three months ended March 1, 2025 compared to the three months ended February 24, 2024:</w:t>
      </w:r>
    </w:p>
    <w:tbl>
      <w:tblPr>
        <w:tblW w:w="10205" w:type="dxa"/>
        <w:jc w:val="left"/>
        <w:tblInd w:w="0" w:type="dxa"/>
        <w:tblLayout w:type="fixed"/>
        <w:tblCellMar>
          <w:top w:w="28" w:type="dxa"/>
          <w:left w:w="28" w:type="dxa"/>
          <w:bottom w:w="28" w:type="dxa"/>
          <w:right w:w="28" w:type="dxa"/>
        </w:tblCellMar>
      </w:tblPr>
      <w:tblGrid>
        <w:gridCol w:w="649"/>
        <w:gridCol w:w="402"/>
        <w:gridCol w:w="403"/>
        <w:gridCol w:w="226"/>
        <w:gridCol w:w="773"/>
        <w:gridCol w:w="116"/>
        <w:gridCol w:w="109"/>
        <w:gridCol w:w="109"/>
        <w:gridCol w:w="109"/>
        <w:gridCol w:w="343"/>
        <w:gridCol w:w="293"/>
        <w:gridCol w:w="650"/>
        <w:gridCol w:w="109"/>
        <w:gridCol w:w="109"/>
        <w:gridCol w:w="109"/>
        <w:gridCol w:w="246"/>
        <w:gridCol w:w="842"/>
        <w:gridCol w:w="127"/>
        <w:gridCol w:w="109"/>
        <w:gridCol w:w="109"/>
        <w:gridCol w:w="109"/>
        <w:gridCol w:w="343"/>
        <w:gridCol w:w="293"/>
        <w:gridCol w:w="650"/>
        <w:gridCol w:w="109"/>
        <w:gridCol w:w="109"/>
        <w:gridCol w:w="109"/>
        <w:gridCol w:w="219"/>
        <w:gridCol w:w="683"/>
        <w:gridCol w:w="113"/>
        <w:gridCol w:w="109"/>
        <w:gridCol w:w="109"/>
        <w:gridCol w:w="109"/>
        <w:gridCol w:w="271"/>
        <w:gridCol w:w="271"/>
        <w:gridCol w:w="657"/>
      </w:tblGrid>
      <w:tr>
        <w:trPr/>
        <w:tc>
          <w:tcPr>
            <w:tcW w:w="64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Average Selling Price ("ASP")</w:t>
            </w:r>
            <w:r>
              <w:rPr>
                <w:rFonts w:ascii="Arial;sans-serif" w:hAnsi="Arial;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9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revenues increased primarily due to unit volume, partially offset by a shift in product mix toward lower price-point models.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Adjusted EBITDA margin decreased primarily due to product mix, higher warranty experience compared to prior year, and higher input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before="60" w:after="283"/>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Motorhome RV segment for the three months ended March 1, 2025 compared to the three months ended February 24, 2024:</w:t>
      </w:r>
    </w:p>
    <w:tbl>
      <w:tblPr>
        <w:tblW w:w="10205" w:type="dxa"/>
        <w:jc w:val="left"/>
        <w:tblInd w:w="0" w:type="dxa"/>
        <w:tblLayout w:type="fixed"/>
        <w:tblCellMar>
          <w:top w:w="28" w:type="dxa"/>
          <w:left w:w="28" w:type="dxa"/>
          <w:bottom w:w="28" w:type="dxa"/>
          <w:right w:w="28" w:type="dxa"/>
        </w:tblCellMar>
      </w:tblPr>
      <w:tblGrid>
        <w:gridCol w:w="677"/>
        <w:gridCol w:w="346"/>
        <w:gridCol w:w="347"/>
        <w:gridCol w:w="217"/>
        <w:gridCol w:w="850"/>
        <w:gridCol w:w="112"/>
        <w:gridCol w:w="109"/>
        <w:gridCol w:w="109"/>
        <w:gridCol w:w="109"/>
        <w:gridCol w:w="343"/>
        <w:gridCol w:w="287"/>
        <w:gridCol w:w="628"/>
        <w:gridCol w:w="109"/>
        <w:gridCol w:w="109"/>
        <w:gridCol w:w="109"/>
        <w:gridCol w:w="230"/>
        <w:gridCol w:w="902"/>
        <w:gridCol w:w="119"/>
        <w:gridCol w:w="109"/>
        <w:gridCol w:w="109"/>
        <w:gridCol w:w="109"/>
        <w:gridCol w:w="343"/>
        <w:gridCol w:w="287"/>
        <w:gridCol w:w="628"/>
        <w:gridCol w:w="109"/>
        <w:gridCol w:w="109"/>
        <w:gridCol w:w="109"/>
        <w:gridCol w:w="215"/>
        <w:gridCol w:w="737"/>
        <w:gridCol w:w="111"/>
        <w:gridCol w:w="109"/>
        <w:gridCol w:w="109"/>
        <w:gridCol w:w="109"/>
        <w:gridCol w:w="269"/>
        <w:gridCol w:w="269"/>
        <w:gridCol w:w="653"/>
      </w:tblGrid>
      <w:tr>
        <w:trPr/>
        <w:tc>
          <w:tcPr>
            <w:tcW w:w="6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70"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decreased primarily due to lower unit volume related to current market conditions, partially offset by favorable product mix.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margin decreased primarily due to volume deleverage, partially offset by operational efficiencies and favorable warranty experience compared to prior year.</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Marine segment for the three months ended March 1, 2025 compared to the three months ended February 24, 2024:</w:t>
      </w:r>
    </w:p>
    <w:tbl>
      <w:tblPr>
        <w:tblW w:w="10205" w:type="dxa"/>
        <w:jc w:val="left"/>
        <w:tblInd w:w="0" w:type="dxa"/>
        <w:tblLayout w:type="fixed"/>
        <w:tblCellMar>
          <w:top w:w="28" w:type="dxa"/>
          <w:left w:w="28" w:type="dxa"/>
          <w:bottom w:w="28" w:type="dxa"/>
          <w:right w:w="28" w:type="dxa"/>
        </w:tblCellMar>
      </w:tblPr>
      <w:tblGrid>
        <w:gridCol w:w="670"/>
        <w:gridCol w:w="438"/>
        <w:gridCol w:w="440"/>
        <w:gridCol w:w="230"/>
        <w:gridCol w:w="788"/>
        <w:gridCol w:w="118"/>
        <w:gridCol w:w="109"/>
        <w:gridCol w:w="109"/>
        <w:gridCol w:w="109"/>
        <w:gridCol w:w="269"/>
        <w:gridCol w:w="269"/>
        <w:gridCol w:w="672"/>
        <w:gridCol w:w="109"/>
        <w:gridCol w:w="109"/>
        <w:gridCol w:w="109"/>
        <w:gridCol w:w="255"/>
        <w:gridCol w:w="875"/>
        <w:gridCol w:w="131"/>
        <w:gridCol w:w="109"/>
        <w:gridCol w:w="109"/>
        <w:gridCol w:w="109"/>
        <w:gridCol w:w="269"/>
        <w:gridCol w:w="269"/>
        <w:gridCol w:w="672"/>
        <w:gridCol w:w="109"/>
        <w:gridCol w:w="109"/>
        <w:gridCol w:w="109"/>
        <w:gridCol w:w="221"/>
        <w:gridCol w:w="695"/>
        <w:gridCol w:w="114"/>
        <w:gridCol w:w="109"/>
        <w:gridCol w:w="109"/>
        <w:gridCol w:w="109"/>
        <w:gridCol w:w="255"/>
        <w:gridCol w:w="256"/>
        <w:gridCol w:w="664"/>
      </w:tblGrid>
      <w:tr>
        <w:trPr/>
        <w:tc>
          <w:tcPr>
            <w:tcW w:w="67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48"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548"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548"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increased primarily due to unit volume, partially offset by a reduction in average selling price per unit related to product mix.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margin increased due to targeted price increases, leverage and operational efficiencies, partially offset by product mix and higher operating expenses, including incentive-based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Results of Operations - Six Months Ended March 1, 2025 Compared to the Six Months Ended February 24, 2024</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Consolidated Performance Summary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changes in key items included in the Consolidated Statements of Income for the six months ended March 1, 2025 compared to the six months ended February 24, 2024:</w:t>
      </w:r>
    </w:p>
    <w:tbl>
      <w:tblPr>
        <w:tblW w:w="10205" w:type="dxa"/>
        <w:jc w:val="left"/>
        <w:tblInd w:w="0" w:type="dxa"/>
        <w:tblLayout w:type="fixed"/>
        <w:tblCellMar>
          <w:top w:w="28" w:type="dxa"/>
          <w:left w:w="28" w:type="dxa"/>
          <w:bottom w:w="28" w:type="dxa"/>
          <w:right w:w="28" w:type="dxa"/>
        </w:tblCellMar>
      </w:tblPr>
      <w:tblGrid>
        <w:gridCol w:w="939"/>
        <w:gridCol w:w="362"/>
        <w:gridCol w:w="364"/>
        <w:gridCol w:w="216"/>
        <w:gridCol w:w="788"/>
        <w:gridCol w:w="112"/>
        <w:gridCol w:w="109"/>
        <w:gridCol w:w="109"/>
        <w:gridCol w:w="109"/>
        <w:gridCol w:w="343"/>
        <w:gridCol w:w="282"/>
        <w:gridCol w:w="608"/>
        <w:gridCol w:w="109"/>
        <w:gridCol w:w="109"/>
        <w:gridCol w:w="109"/>
        <w:gridCol w:w="226"/>
        <w:gridCol w:w="822"/>
        <w:gridCol w:w="116"/>
        <w:gridCol w:w="109"/>
        <w:gridCol w:w="109"/>
        <w:gridCol w:w="109"/>
        <w:gridCol w:w="343"/>
        <w:gridCol w:w="282"/>
        <w:gridCol w:w="608"/>
        <w:gridCol w:w="109"/>
        <w:gridCol w:w="109"/>
        <w:gridCol w:w="109"/>
        <w:gridCol w:w="212"/>
        <w:gridCol w:w="653"/>
        <w:gridCol w:w="109"/>
        <w:gridCol w:w="109"/>
        <w:gridCol w:w="109"/>
        <w:gridCol w:w="109"/>
        <w:gridCol w:w="267"/>
        <w:gridCol w:w="267"/>
        <w:gridCol w:w="651"/>
      </w:tblGrid>
      <w:tr>
        <w:trPr/>
        <w:tc>
          <w:tcPr>
            <w:tcW w:w="9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 except per share data)</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Non-operating (income) loss </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(benefit) provision </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(loss) earnings per share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shares outstanding</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60" w:after="283"/>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Amounts are calculated based on unrounded numbers and therefore may not recalculate using the rounded numbers provided. In addition, percentages may not add in total due to rounding.</w:t>
      </w:r>
    </w:p>
    <w:p>
      <w:pPr>
        <w:pStyle w:val="TextBody"/>
        <w:bidi w:val="0"/>
        <w:spacing w:lineRule="auto" w:line="288" w:before="60" w:after="283"/>
        <w:ind w:left="0" w:right="0" w:hanging="270"/>
        <w:jc w:val="left"/>
        <w:rPr/>
      </w:pPr>
      <w:r>
        <w:rPr>
          <w:rFonts w:ascii="Arial;sans-serif" w:hAnsi="Arial;sans-serif"/>
          <w:b w:val="false"/>
          <w:color w:val="000000"/>
          <w:sz w:val="12"/>
        </w:rPr>
        <w:t>NM:    </w:t>
      </w:r>
      <w:r>
        <w:rPr>
          <w:rFonts w:ascii="Arial;sans-serif" w:hAnsi="Arial;sans-serif"/>
          <w:b w:val="false"/>
          <w:color w:val="000000"/>
          <w:sz w:val="16"/>
        </w:rPr>
        <w:t>Not meaningful.</w:t>
      </w:r>
    </w:p>
    <w:p>
      <w:pPr>
        <w:pStyle w:val="TextBody"/>
        <w:bidi w:val="0"/>
        <w:spacing w:before="60" w:after="283"/>
        <w:ind w:left="0" w:right="0" w:hanging="270"/>
        <w:jc w:val="left"/>
        <w:rPr/>
      </w:pPr>
      <w:r>
        <w:rPr/>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 xml:space="preserve">Net revenues decreased primarily due to a reduction in average selling price per unit related to product mix, and unit volume.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Gross profit as a percentage of revenue decreased primarily due to deleverage, including that associated with product mix, and higher warranty experience compared to prior year, partially offset by operational efficiencies.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Operating expenses increased primarily due to investments to support Grand Design motorized growth and the mix of incentive-based compensation plans relative to performance across our businesses.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Interest expense, net increased primarily due to the 2030 Convertible Notes issued in the second quarter of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loss on note repurchase recorded in the six months ended March 1, 2025 is related to the tender of $100.0 million of our Senior Secured Notes. The loss on note repurchase recorded in the three months ended February 24, 2024 is related to the refinancing of the 2025 Convertible Notes. Refer to Note 8 in the Notes to Consolidated Financial Statements included in Item 1 of Part I of this Quarterly Report on Form 10-Q for further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effective tax rate increased primarily due to the impact of the prior year non-deductible loss on convertible note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Non-GAAP Reconciliation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reconciles net income to consolidated EBITDA and Adjusted EBITDA for the six months ended March 1, 2025 and February 24, 2024:</w:t>
      </w:r>
    </w:p>
    <w:tbl>
      <w:tblPr>
        <w:tblW w:w="7240" w:type="dxa"/>
        <w:jc w:val="left"/>
        <w:tblInd w:w="0" w:type="dxa"/>
        <w:tblLayout w:type="fixed"/>
        <w:tblCellMar>
          <w:top w:w="28" w:type="dxa"/>
          <w:left w:w="28" w:type="dxa"/>
          <w:bottom w:w="28" w:type="dxa"/>
          <w:right w:w="28" w:type="dxa"/>
        </w:tblCellMar>
      </w:tblPr>
      <w:tblGrid>
        <w:gridCol w:w="1420"/>
        <w:gridCol w:w="1241"/>
        <w:gridCol w:w="1253"/>
        <w:gridCol w:w="331"/>
        <w:gridCol w:w="803"/>
        <w:gridCol w:w="171"/>
        <w:gridCol w:w="109"/>
        <w:gridCol w:w="109"/>
        <w:gridCol w:w="109"/>
        <w:gridCol w:w="364"/>
        <w:gridCol w:w="1064"/>
        <w:gridCol w:w="266"/>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(benefit) provision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note receivable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fair value adjustment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note repurchase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Reportable Segment Performance Summary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Towable RV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Towable RV segment for the six months ended March 1, 2025 compared to the six months ended February 24, 2024:</w:t>
      </w:r>
    </w:p>
    <w:tbl>
      <w:tblPr>
        <w:tblW w:w="10205" w:type="dxa"/>
        <w:jc w:val="left"/>
        <w:tblInd w:w="0" w:type="dxa"/>
        <w:tblLayout w:type="fixed"/>
        <w:tblCellMar>
          <w:top w:w="28" w:type="dxa"/>
          <w:left w:w="28" w:type="dxa"/>
          <w:bottom w:w="28" w:type="dxa"/>
          <w:right w:w="28" w:type="dxa"/>
        </w:tblCellMar>
      </w:tblPr>
      <w:tblGrid>
        <w:gridCol w:w="641"/>
        <w:gridCol w:w="397"/>
        <w:gridCol w:w="399"/>
        <w:gridCol w:w="226"/>
        <w:gridCol w:w="775"/>
        <w:gridCol w:w="116"/>
        <w:gridCol w:w="109"/>
        <w:gridCol w:w="109"/>
        <w:gridCol w:w="109"/>
        <w:gridCol w:w="343"/>
        <w:gridCol w:w="293"/>
        <w:gridCol w:w="652"/>
        <w:gridCol w:w="109"/>
        <w:gridCol w:w="109"/>
        <w:gridCol w:w="109"/>
        <w:gridCol w:w="247"/>
        <w:gridCol w:w="845"/>
        <w:gridCol w:w="127"/>
        <w:gridCol w:w="109"/>
        <w:gridCol w:w="109"/>
        <w:gridCol w:w="109"/>
        <w:gridCol w:w="343"/>
        <w:gridCol w:w="293"/>
        <w:gridCol w:w="652"/>
        <w:gridCol w:w="109"/>
        <w:gridCol w:w="109"/>
        <w:gridCol w:w="109"/>
        <w:gridCol w:w="219"/>
        <w:gridCol w:w="685"/>
        <w:gridCol w:w="113"/>
        <w:gridCol w:w="109"/>
        <w:gridCol w:w="109"/>
        <w:gridCol w:w="109"/>
        <w:gridCol w:w="271"/>
        <w:gridCol w:w="271"/>
        <w:gridCol w:w="662"/>
      </w:tblGrid>
      <w:tr>
        <w:trPr/>
        <w:tc>
          <w:tcPr>
            <w:tcW w:w="64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trailer</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Fifth wheel</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Towable RV</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Dealer Inventory</w:t>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 xml:space="preserve">ASP excludes off-invoice dealer incentives. </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before="0" w:after="0"/>
        <w:ind w:left="0" w:right="0" w:hanging="27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decreased primarily due to a shift in product mix toward lower price-point models and lower unit volume due to market conditions.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margin decreased primarily due to volume deleverage, higher warranty experience compared to prior year, and product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Motorhome RV</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Motorhome RV segment for the six months ended March 1, 2025 compared to the six months ended February 24, 2024:</w:t>
      </w:r>
    </w:p>
    <w:tbl>
      <w:tblPr>
        <w:tblW w:w="10205" w:type="dxa"/>
        <w:jc w:val="left"/>
        <w:tblInd w:w="0" w:type="dxa"/>
        <w:tblLayout w:type="fixed"/>
        <w:tblCellMar>
          <w:top w:w="28" w:type="dxa"/>
          <w:left w:w="28" w:type="dxa"/>
          <w:bottom w:w="28" w:type="dxa"/>
          <w:right w:w="28" w:type="dxa"/>
        </w:tblCellMar>
      </w:tblPr>
      <w:tblGrid>
        <w:gridCol w:w="677"/>
        <w:gridCol w:w="346"/>
        <w:gridCol w:w="347"/>
        <w:gridCol w:w="217"/>
        <w:gridCol w:w="850"/>
        <w:gridCol w:w="112"/>
        <w:gridCol w:w="109"/>
        <w:gridCol w:w="109"/>
        <w:gridCol w:w="109"/>
        <w:gridCol w:w="343"/>
        <w:gridCol w:w="287"/>
        <w:gridCol w:w="628"/>
        <w:gridCol w:w="109"/>
        <w:gridCol w:w="109"/>
        <w:gridCol w:w="109"/>
        <w:gridCol w:w="230"/>
        <w:gridCol w:w="902"/>
        <w:gridCol w:w="119"/>
        <w:gridCol w:w="109"/>
        <w:gridCol w:w="109"/>
        <w:gridCol w:w="109"/>
        <w:gridCol w:w="343"/>
        <w:gridCol w:w="287"/>
        <w:gridCol w:w="628"/>
        <w:gridCol w:w="109"/>
        <w:gridCol w:w="109"/>
        <w:gridCol w:w="109"/>
        <w:gridCol w:w="215"/>
        <w:gridCol w:w="737"/>
        <w:gridCol w:w="111"/>
        <w:gridCol w:w="109"/>
        <w:gridCol w:w="109"/>
        <w:gridCol w:w="109"/>
        <w:gridCol w:w="269"/>
        <w:gridCol w:w="269"/>
        <w:gridCol w:w="653"/>
      </w:tblGrid>
      <w:tr>
        <w:trPr/>
        <w:tc>
          <w:tcPr>
            <w:tcW w:w="6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Product Mix</w:t>
            </w:r>
            <w:r>
              <w:rPr>
                <w:rFonts w:ascii="Arial;sans-serif" w:hAnsi="Arial;sans-serif"/>
                <w:b/>
                <w:color w:val="000000"/>
                <w:sz w:val="12"/>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Motorhome RV</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Dealer Inventory</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Percentages may not add due to rounding differences.</w:t>
      </w:r>
    </w:p>
    <w:p>
      <w:pPr>
        <w:pStyle w:val="TextBody"/>
        <w:bidi w:val="0"/>
        <w:spacing w:before="0" w:after="0"/>
        <w:ind w:left="0" w:right="0" w:hanging="27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Net revenues decreased primarily due to lower unit volume related to market conditions, partially offset by the introduction of the Grand Design motorized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Adjusted EBITDA margin decreased primarily due to volume deleverage and higher discounts and allowances, partially offset by operational efficiencies.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Marine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is an analysis of key changes in our Marine segment for the six months ended March 1, 2025 compared to the six months ended February 24, 2024:</w:t>
      </w:r>
    </w:p>
    <w:tbl>
      <w:tblPr>
        <w:tblW w:w="10205" w:type="dxa"/>
        <w:jc w:val="left"/>
        <w:tblInd w:w="0" w:type="dxa"/>
        <w:tblLayout w:type="fixed"/>
        <w:tblCellMar>
          <w:top w:w="28" w:type="dxa"/>
          <w:left w:w="28" w:type="dxa"/>
          <w:bottom w:w="28" w:type="dxa"/>
          <w:right w:w="28" w:type="dxa"/>
        </w:tblCellMar>
      </w:tblPr>
      <w:tblGrid>
        <w:gridCol w:w="675"/>
        <w:gridCol w:w="431"/>
        <w:gridCol w:w="433"/>
        <w:gridCol w:w="229"/>
        <w:gridCol w:w="785"/>
        <w:gridCol w:w="118"/>
        <w:gridCol w:w="109"/>
        <w:gridCol w:w="109"/>
        <w:gridCol w:w="109"/>
        <w:gridCol w:w="267"/>
        <w:gridCol w:w="267"/>
        <w:gridCol w:w="669"/>
        <w:gridCol w:w="109"/>
        <w:gridCol w:w="109"/>
        <w:gridCol w:w="109"/>
        <w:gridCol w:w="254"/>
        <w:gridCol w:w="869"/>
        <w:gridCol w:w="131"/>
        <w:gridCol w:w="109"/>
        <w:gridCol w:w="109"/>
        <w:gridCol w:w="109"/>
        <w:gridCol w:w="267"/>
        <w:gridCol w:w="267"/>
        <w:gridCol w:w="669"/>
        <w:gridCol w:w="109"/>
        <w:gridCol w:w="109"/>
        <w:gridCol w:w="109"/>
        <w:gridCol w:w="221"/>
        <w:gridCol w:w="693"/>
        <w:gridCol w:w="113"/>
        <w:gridCol w:w="109"/>
        <w:gridCol w:w="109"/>
        <w:gridCol w:w="109"/>
        <w:gridCol w:w="272"/>
        <w:gridCol w:w="274"/>
        <w:gridCol w:w="666"/>
      </w:tblGrid>
      <w:tr>
        <w:trPr/>
        <w:tc>
          <w:tcPr>
            <w:tcW w:w="6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ASP and units)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of Revenues</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ASP</w:t>
            </w:r>
            <w:r>
              <w:rPr>
                <w:rFonts w:ascii="Arial;sans-serif" w:hAnsi="Arial;sans-serif"/>
                <w:b w:val="false"/>
                <w:color w:val="000000"/>
                <w:sz w:val="12"/>
              </w:rPr>
              <w:t>(2)</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Unit deliveries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Unit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Boats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Change</w:t>
            </w:r>
            <w:r>
              <w:rPr>
                <w:rFonts w:ascii="Arial;sans-serif" w:hAnsi="Arial;sans-serif"/>
                <w:b/>
                <w:color w:val="000000"/>
                <w:sz w:val="12"/>
              </w:rPr>
              <w:t>(1)</w:t>
            </w:r>
          </w:p>
        </w:tc>
      </w:tr>
      <w:tr>
        <w:trPr/>
        <w:tc>
          <w:tcPr>
            <w:tcW w:w="1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Dealer Inventory</w:t>
            </w:r>
            <w:r>
              <w:rPr>
                <w:rFonts w:ascii="Arial;sans-serif" w:hAnsi="Arial;sans-serif"/>
                <w:b/>
                <w:color w:val="000000"/>
                <w:sz w:val="12"/>
              </w:rPr>
              <w:t>(3)</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270"/>
        <w:jc w:val="left"/>
        <w:rPr/>
      </w:pPr>
      <w:r>
        <w:rPr>
          <w:rFonts w:ascii="Arial;sans-serif" w:hAnsi="Arial;sans-serif"/>
          <w:b w:val="false"/>
          <w:color w:val="000000"/>
          <w:sz w:val="12"/>
        </w:rPr>
        <w:t>(1)</w:t>
      </w:r>
      <w:r>
        <w:rPr>
          <w:color w:val="000000"/>
        </w:rPr>
        <w:t>    </w:t>
      </w:r>
      <w:r>
        <w:rPr>
          <w:rFonts w:ascii="Arial;sans-serif" w:hAnsi="Arial;sans-serif"/>
          <w:b w:val="false"/>
          <w:color w:val="000000"/>
          <w:sz w:val="16"/>
        </w:rPr>
        <w:t xml:space="preserve">Amounts are calculated based on unrounded numbers and therefore may not recalculate using the rounded numbers provided. </w:t>
      </w:r>
    </w:p>
    <w:p>
      <w:pPr>
        <w:pStyle w:val="TextBody"/>
        <w:bidi w:val="0"/>
        <w:spacing w:lineRule="auto" w:line="288" w:before="0" w:after="0"/>
        <w:ind w:left="0" w:right="0" w:hanging="270"/>
        <w:jc w:val="left"/>
        <w:rPr/>
      </w:pPr>
      <w:r>
        <w:rPr>
          <w:rFonts w:ascii="Arial;sans-serif" w:hAnsi="Arial;sans-serif"/>
          <w:b w:val="false"/>
          <w:color w:val="000000"/>
          <w:sz w:val="12"/>
        </w:rPr>
        <w:t>(2)</w:t>
      </w:r>
      <w:r>
        <w:rPr>
          <w:color w:val="000000"/>
        </w:rPr>
        <w:t>    </w:t>
      </w:r>
      <w:r>
        <w:rPr>
          <w:rFonts w:ascii="Arial;sans-serif" w:hAnsi="Arial;sans-serif"/>
          <w:b w:val="false"/>
          <w:color w:val="000000"/>
          <w:sz w:val="16"/>
        </w:rPr>
        <w:t>ASP excludes off-invoice dealer incentives.</w:t>
      </w:r>
    </w:p>
    <w:p>
      <w:pPr>
        <w:pStyle w:val="TextBody"/>
        <w:bidi w:val="0"/>
        <w:spacing w:lineRule="auto" w:line="288" w:before="0" w:after="0"/>
        <w:ind w:left="0" w:right="0" w:hanging="270"/>
        <w:jc w:val="left"/>
        <w:rPr/>
      </w:pPr>
      <w:r>
        <w:rPr>
          <w:rFonts w:ascii="Arial;sans-serif" w:hAnsi="Arial;sans-serif"/>
          <w:b w:val="false"/>
          <w:color w:val="000000"/>
          <w:sz w:val="12"/>
        </w:rPr>
        <w:t>(3)</w:t>
      </w:r>
      <w:r>
        <w:rPr>
          <w:color w:val="000000"/>
        </w:rPr>
        <w:t>    </w:t>
      </w:r>
      <w:r>
        <w:rPr>
          <w:rFonts w:ascii="Arial;sans-serif" w:hAnsi="Arial;sans-serif"/>
          <w:b w:val="false"/>
          <w:color w:val="000000"/>
          <w:sz w:val="16"/>
        </w:rPr>
        <w:t>Due to the nature of the Marine industry, this amount includes a higher proportion of retail sold units than our other segments.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Net revenues increased primarily due to unit volume and targeted price increases, partially offset by a reduction in average selling price per unit related to product mix.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margin increased due to targeted price increases, operational efficiencies and leverage, partially offset by product mix and higher operating expenses, including incentive-based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Analysis of Financial Condition, Liquidity, and Capital Resources</w:t>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Cash Flows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summarizes our cash flows from operations:</w:t>
      </w:r>
    </w:p>
    <w:tbl>
      <w:tblPr>
        <w:tblW w:w="6955" w:type="dxa"/>
        <w:jc w:val="left"/>
        <w:tblInd w:w="0" w:type="dxa"/>
        <w:tblLayout w:type="fixed"/>
        <w:tblCellMar>
          <w:top w:w="28" w:type="dxa"/>
          <w:left w:w="28" w:type="dxa"/>
          <w:bottom w:w="28" w:type="dxa"/>
          <w:right w:w="28" w:type="dxa"/>
        </w:tblCellMar>
      </w:tblPr>
      <w:tblGrid>
        <w:gridCol w:w="1315"/>
        <w:gridCol w:w="1151"/>
        <w:gridCol w:w="1163"/>
        <w:gridCol w:w="272"/>
        <w:gridCol w:w="892"/>
        <w:gridCol w:w="140"/>
        <w:gridCol w:w="109"/>
        <w:gridCol w:w="109"/>
        <w:gridCol w:w="109"/>
        <w:gridCol w:w="376"/>
        <w:gridCol w:w="1045"/>
        <w:gridCol w:w="274"/>
      </w:tblGrid>
      <w:tr>
        <w:trPr/>
        <w:tc>
          <w:tcPr>
            <w:tcW w:w="131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February 24, 2024</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(used in) provided by:</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the six months ended March 1, 2025, net cash used in operating activities was $27.2 million compared to net cash provided by operating activities of $3.8 million during the same period last year. The change in operating cash flow is primarily driven by lower profitability adjusted for non-cash items and an increase in inventory to support the spring selling season, partially offset by a change in accounts receivable due to timing of invoicing and collections.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Cash used in investing activities decreased primarily due to favorable changes in other investing activities and lower capital expenditures compared to the prior year. Other investing activities include cash proceeds from asset sales and strategic investment activity.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Cash used in financing activities increased primarily due to partial settlement of high-yield notes and higher share repurchases compared to the prior year.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Debt and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maintain a $350.0 million asset-based revolving credit facility ("ABL Credit Facility") with a maturity date of July 15, 2027, subject to certain factors which may accelerate the maturity date. As of March 1, 2025, we had no borrowings against the ABL Credit Facility.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March 1, 2025, we had $115.5 million in cash and cash equivalents and $350.0 million in unused ABL Credit Facility. Our cash and cash equivalent balances consist of high quality, short-term money market instruments.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January 23, 2024, we issued $350.0 million in aggregate principal amount of 3.25% unsecured convertible senior notes due 2030 (the "2030 Convertible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8, 2020, we closed our private offering (the “Senior Secured Notes Offering”) of $300.0 million aggregate principal amount of 6.25% Senior Secured Notes due 2028 (the “Senior Secured Notes”). On February 3rd, 2025, we executed a tender offer to purchase for cash up to $75.0 million aggregate principal amount of the Senior Secured Notes (the "Tender Offer"). On February 18, 2025, we amended the Tender Offer by increasing the maximum aggregate principal amount of Notes to $100.0 million. On February 20, 2025, $100.0 million aggregate principal amount of the Senior Secured Notes were validly tendered and accepted.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November 1, 2019, we issued $300.0 million in aggregate principal amount of 1.50% unsecured Convertible Senior Notes due 2025 (the “2025 Convertible Notes”). On January 18, 2024, we entered into privately negotiated transactions (the "2025 Convertible Note Repurchases") with certain holders of the 2025 Convertible Notes to repurchase $240.7 million aggregate principal amount of the 2025 Convertible Notes using proceeds received from the 2030 Convertible Notes.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As of March 1, 2025</w:t>
      </w:r>
      <w:r>
        <w:rPr>
          <w:rFonts w:ascii="Arial;sans-serif" w:hAnsi="Arial;sans-serif"/>
          <w:b w:val="false"/>
          <w:color w:val="000000"/>
          <w:sz w:val="18"/>
          <w:shd w:fill="FFFFFF" w:val="clear"/>
        </w:rPr>
        <w:t xml:space="preserve">, we had </w:t>
      </w:r>
      <w:r>
        <w:rPr>
          <w:rFonts w:ascii="Arial;sans-serif" w:hAnsi="Arial;sans-serif"/>
          <w:b w:val="false"/>
          <w:color w:val="000000"/>
          <w:sz w:val="18"/>
        </w:rPr>
        <w:t xml:space="preserve">$59.3 million of net debt maturing in the next twelve months that is classified as current on our Consolidated Balance Sheets.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2030 Convertible Notes, the 2025 Convertible Notes, the Senior Secured Notes, and the ABL Credit Facility, and will continue to monitor counterparty risk on an on-going basis.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Working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Working capital at March 1, 2025 and August 31, 2024 was $438.4 million and $584.0 million, respectively. We currently expect cash on hand, funds generated from operations, and the borrowing available under our ABL Credit Facility to be sufficient to cover both short-term and long-term operating requirements. </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18"/>
        </w:rPr>
      </w:pPr>
      <w:r>
        <w:rPr>
          <w:rFonts w:ascii="Arial;sans-serif" w:hAnsi="Arial;sans-serif"/>
          <w:b/>
          <w:i/>
          <w:color w:val="000000"/>
          <w:sz w:val="18"/>
        </w:rPr>
        <w:t xml:space="preserve">Share Repurchases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17, 2022, our Board of Directors authorized a new share repurchase program in the amount of $350.0 million with no time restriction on the authorization, which took effect immediately and replaced the prior program. In the six months ended March 1, 2025, we repurchased approximately 951,000 shares of our own common stock at a cost of $50.0 million under this authorization, and approximately 62,000 shares at a cost of $3.6 million to satisfy tax obligations on employee equity awards vested. We continually evaluate if share repurchases reflect a prudent use of our capital and, subject to compliance with our ABL Credit Facility and Senior Secured Notes, we may purchase shares in the future. As of March 1, 2025, we have $180.0 million remaining on our Board approved repurchase 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March 19, 2025, our Board of Directors approved a quarterly cash dividend of $0.34 per share payable on April 30, 2025, to common stockholders of record at the close of business on April 16,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Contractual Obligations and Commercial Commitments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have been no material changes in our contractual obligations since the end of Fiscal 2024. See our Annual Report on Form 10-K for the fiscal year ended August 31, 2024 for additional information regarding our contractual obligations and commercial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describe our critical accounting policies in Note 1 in the Notes to Consolidated Financial Statements included in Item 8 of Part II of our Annual Report on Form 10-K for the fiscal year ended August 31, 2024. We discuss our critical accounting estimates in Item 7 of Part II of our Annual Report on Form 10-K for the fiscal year ended August 31, 2024. There have been no material changes to our critical accounting policies or critical accounting estimates since the end of Fiscal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Recently Issued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summary of new applicable accounting pronouncements, see Note 1 in the Notes to Consolidated Financial Statements included in Item 1 of Part I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Safe Harbor Statement Under the Private Securities Litigation Reform Act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31, 2024,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General economic uncertainty in key markets and a worsening of domestic and global economic conditions or low levels of economic growth.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Availability of financing for RV and marine dealers and retail purchasers.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Competition and new product introductions by competitors.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innovate and commercialize new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manage our inventory to meet demand.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cyclicality and seasonality of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independent dealers.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 related to dealer consolidation or the loss of a significant dealer.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Significant increase in repurchase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relationships with our suppliers and obtain components.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Business or production disruptions.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Inadequate management of dealer inventory levels.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material and component costs, including availability and price of fuel and other raw materials.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integrate mergers and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attract and retain qualified personnel and changes in market compensation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Exposure to warranty claims and product recalls.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protect our information technology systems from data security, cyberattacks, and network disruption risks and the ability to successfully upgrade and evolve our information technology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Ability to retain brand reputation and related exposure to product liability claims.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Governmental regulation, including for climate change.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attention to environmental, social, and governance ("ESG") matters, and our ability to meet our commitments.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Impairment of goodwill and trade names.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related to our 2025 Convertible Notes, 2030 Convertible Notes and Senior Secured Notes, including our ability to satisfy our obligations under these notes.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recommendations or a withdrawal of coverage by third party securities analysts.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caution that the foregoing list of important factors is not complete. Any forward-looking statements speak only as of the date they are made, and we assume no obligation to update any forward-looking statement that we may make.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assets we maintain to fund deferred compensation have market risk, but we maintain a corresponding liability for these assets. The market risk is therefore borne by the participants in the deferred compensation program.</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 xml:space="preserve">Interest rate risk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ABL Credit Facility, which is our only floating rate debt instrument, remains undrawn as of March 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Evaluation of Disclosure Controls and Procedures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Changes in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that occurred during the second quarter of Fiscal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 description of our legal proceedings, see Note 9 in the Notes to Consolidated Financial Statements included in Item 1 of Part I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0" w:after="0"/>
        <w:jc w:val="left"/>
        <w:rPr/>
      </w:pPr>
      <w:r>
        <w:rPr>
          <w:rFonts w:ascii="Arial;sans-serif" w:hAnsi="Arial;sans-serif"/>
          <w:b w:val="false"/>
          <w:color w:val="000000"/>
          <w:sz w:val="18"/>
        </w:rPr>
        <w:t xml:space="preserve">There have been no material changes from the risk factors previously disclosed in Part I, Item 1A, </w:t>
      </w:r>
      <w:r>
        <w:rPr>
          <w:rFonts w:ascii="Arial;sans-serif" w:hAnsi="Arial;sans-serif"/>
          <w:b w:val="false"/>
          <w:i/>
          <w:color w:val="000000"/>
          <w:sz w:val="18"/>
        </w:rPr>
        <w:t>Risk Factors</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of our Annual Report on Form 10-K for the fiscal year ended August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2. Unregistered Sales of Equity Securities and Use of Proceeds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 Stock Repurchases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Purchases of our common stock during each fiscal month of the second quarter of Fiscal 2025 are as follows:</w:t>
      </w:r>
    </w:p>
    <w:tbl>
      <w:tblPr>
        <w:tblW w:w="10205" w:type="dxa"/>
        <w:jc w:val="left"/>
        <w:tblInd w:w="0" w:type="dxa"/>
        <w:tblLayout w:type="fixed"/>
        <w:tblCellMar>
          <w:top w:w="28" w:type="dxa"/>
          <w:left w:w="28" w:type="dxa"/>
          <w:bottom w:w="28" w:type="dxa"/>
          <w:right w:w="28" w:type="dxa"/>
        </w:tblCellMar>
      </w:tblPr>
      <w:tblGrid>
        <w:gridCol w:w="299"/>
        <w:gridCol w:w="263"/>
        <w:gridCol w:w="264"/>
        <w:gridCol w:w="602"/>
        <w:gridCol w:w="518"/>
        <w:gridCol w:w="520"/>
        <w:gridCol w:w="109"/>
        <w:gridCol w:w="109"/>
        <w:gridCol w:w="109"/>
        <w:gridCol w:w="291"/>
        <w:gridCol w:w="852"/>
        <w:gridCol w:w="150"/>
        <w:gridCol w:w="109"/>
        <w:gridCol w:w="109"/>
        <w:gridCol w:w="109"/>
        <w:gridCol w:w="901"/>
        <w:gridCol w:w="817"/>
        <w:gridCol w:w="819"/>
        <w:gridCol w:w="109"/>
        <w:gridCol w:w="109"/>
        <w:gridCol w:w="109"/>
        <w:gridCol w:w="627"/>
        <w:gridCol w:w="1833"/>
        <w:gridCol w:w="468"/>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Period </w:t>
            </w:r>
          </w:p>
        </w:tc>
        <w:tc>
          <w:tcPr>
            <w:tcW w:w="16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the Plans or Programs</w:t>
            </w:r>
            <w:r>
              <w:rPr>
                <w:rFonts w:ascii="Arial;sans-serif" w:hAnsi="Arial;sans-serif"/>
                <w:b/>
                <w:color w:val="000000"/>
                <w:sz w:val="12"/>
              </w:rPr>
              <w:t xml:space="preserve">(3) </w:t>
            </w:r>
            <w:r>
              <w:rPr>
                <w:rFonts w:ascii="Arial;sans-serif" w:hAnsi="Arial;sans-serif"/>
                <w:b w:val="false"/>
                <w:color w:val="000000"/>
                <w:sz w:val="16"/>
              </w:rPr>
              <w:t>(in millions)</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12/1/24 - 1/4/25</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418,500 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418,500 </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1/5/25 - 2/1/25</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2/2/25 - 3/1/25</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1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418,749 </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418,500 </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Arial;sans-serif" w:hAnsi="Arial;sans-serif"/>
          <w:b w:val="false"/>
          <w:color w:val="000000"/>
          <w:sz w:val="12"/>
        </w:rPr>
        <w:t>(1)    </w:t>
      </w:r>
      <w:r>
        <w:rPr>
          <w:rFonts w:ascii="Arial;sans-serif" w:hAnsi="Arial;sans-serif"/>
          <w:b w:val="false"/>
          <w:color w:val="000000"/>
          <w:sz w:val="16"/>
        </w:rPr>
        <w:t>Number of shares in the table are shown in whole numbers.</w:t>
      </w:r>
    </w:p>
    <w:p>
      <w:pPr>
        <w:pStyle w:val="TextBody"/>
        <w:bidi w:val="0"/>
        <w:spacing w:lineRule="auto" w:line="288" w:before="0" w:after="0"/>
        <w:ind w:left="0" w:right="0" w:hanging="270"/>
        <w:jc w:val="left"/>
        <w:rPr/>
      </w:pPr>
      <w:r>
        <w:rPr>
          <w:rFonts w:ascii="Arial;sans-serif" w:hAnsi="Arial;sans-serif"/>
          <w:b w:val="false"/>
          <w:color w:val="000000"/>
          <w:sz w:val="12"/>
        </w:rPr>
        <w:t>(2)    </w:t>
      </w:r>
      <w:r>
        <w:rPr>
          <w:rFonts w:ascii="Arial;sans-serif" w:hAnsi="Arial;sans-serif"/>
          <w:b w:val="false"/>
          <w:color w:val="000000"/>
          <w:sz w:val="16"/>
        </w:rPr>
        <w:t>Shares not purchased as part of a publicly announced program were repurchased from employees who vested in Company shares and elected to pay their payroll tax via the value of shares delivered as opposed to cash.</w:t>
      </w:r>
      <w:r>
        <w:rPr>
          <w:color w:val="000000"/>
        </w:rPr>
        <w:t xml:space="preserve"> </w:t>
      </w:r>
    </w:p>
    <w:p>
      <w:pPr>
        <w:pStyle w:val="TextBody"/>
        <w:bidi w:val="0"/>
        <w:spacing w:lineRule="auto" w:line="288" w:before="0" w:after="0"/>
        <w:ind w:left="0" w:right="0" w:hanging="270"/>
        <w:jc w:val="left"/>
        <w:rPr/>
      </w:pPr>
      <w:r>
        <w:rPr>
          <w:rFonts w:ascii="Arial;sans-serif" w:hAnsi="Arial;sans-serif"/>
          <w:b w:val="false"/>
          <w:color w:val="000000"/>
          <w:sz w:val="12"/>
        </w:rPr>
        <w:t>(3)    </w:t>
      </w:r>
      <w:r>
        <w:rPr>
          <w:rFonts w:ascii="Arial;sans-serif" w:hAnsi="Arial;sans-serif"/>
          <w:b w:val="false"/>
          <w:color w:val="000000"/>
          <w:sz w:val="16"/>
        </w:rPr>
        <w:t>Pursuant to a $350.0 million share repurchase program authorized by our Board of Directors on August 17, 2022. There is no time restriction on the 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Senior Secured Notes, as defined in Note 8 in the Notes to Consolidated Financial Statements included in Item 1 of Part I of this Quarterly Report on Form 10-Q, contain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During the quarter ended March 1, 2025, no director or officer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75"/>
        <w:gridCol w:w="202"/>
        <w:gridCol w:w="175"/>
        <w:gridCol w:w="2893"/>
        <w:gridCol w:w="2758"/>
        <w:gridCol w:w="3902"/>
      </w:tblGrid>
      <w:tr>
        <w:trPr/>
        <w:tc>
          <w:tcPr>
            <w:tcW w:w="2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r:id="rId3">
              <w:r>
                <w:rPr>
                  <w:rStyle w:val="InternetLink"/>
                  <w:rFonts w:ascii="Arial;sans-serif" w:hAnsi="Arial;sans-serif"/>
                  <w:b w:val="false"/>
                  <w:color w:val="0000FF"/>
                  <w:sz w:val="18"/>
                  <w:u w:val="single"/>
                </w:rPr>
                <w:t>3.1</w:t>
              </w:r>
            </w:hyperlink>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 xml:space="preserve">Articles of Incorporation of Winnebago Industries, Inc., effective January 1, 2022 (incorporated by reference from Exhibit 3.1 to the Registrant’s Current Report on Form 8-K dated January 1, 2022). </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5">
              <w:r>
                <w:rPr>
                  <w:rStyle w:val="InternetLink"/>
                  <w:rFonts w:ascii="Arial;sans-serif" w:hAnsi="Arial;sans-serif"/>
                  <w:b w:val="false"/>
                  <w:color w:val="0000FF"/>
                  <w:sz w:val="18"/>
                  <w:u w:val="single"/>
                </w:rPr>
                <w:t>3.2</w:t>
              </w:r>
            </w:hyperlink>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Bylaws of Winnebago Industries, Inc., effective August 15, 2023 (incorporated by reference from Exhibit 3.2 to the Registrant’s Current Report on Form 8-K dated August 17, 2023).</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7">
              <w:r>
                <w:rPr>
                  <w:rStyle w:val="InternetLink"/>
                  <w:rFonts w:ascii="Arial;sans-serif" w:hAnsi="Arial;sans-serif"/>
                  <w:b w:val="false"/>
                  <w:color w:val="0000FF"/>
                  <w:sz w:val="18"/>
                  <w:u w:val="single"/>
                </w:rPr>
                <w:t>4.1</w:t>
              </w:r>
            </w:hyperlink>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Indenture, dated November 1, 2019, by and between Winnebago Industries, Inc. and U.S. Bank National Association (incorporated by reference from Exhibit 4.1 to the Registrant’s Current Report on Form 8-K dated October 29, 2019).</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9">
              <w:r>
                <w:rPr>
                  <w:rStyle w:val="InternetLink"/>
                  <w:rFonts w:ascii="Arial;sans-serif" w:hAnsi="Arial;sans-serif"/>
                  <w:b w:val="false"/>
                  <w:color w:val="0000FF"/>
                  <w:sz w:val="18"/>
                  <w:u w:val="single"/>
                </w:rPr>
                <w:t>4.2</w:t>
              </w:r>
            </w:hyperlink>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Form of 1.50% Convertible Senior Note due 2025 (included in Exhibit 4.1).</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r:id="rId11">
              <w:r>
                <w:rPr>
                  <w:rStyle w:val="InternetLink"/>
                  <w:rFonts w:ascii="Arial;sans-serif" w:hAnsi="Arial;sans-serif"/>
                  <w:b w:val="false"/>
                  <w:color w:val="0000FF"/>
                  <w:sz w:val="18"/>
                  <w:u w:val="single"/>
                </w:rPr>
                <w:t>4.3</w:t>
              </w:r>
            </w:hyperlink>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Arial;sans-serif" w:hAnsi="Arial;sans-serif"/>
                  <w:b w:val="false"/>
                  <w:color w:val="0000FF"/>
                  <w:sz w:val="18"/>
                  <w:u w:val="single"/>
                </w:rPr>
                <w:t>Indenture, dated as of July 8, 2020, by and among Winnebago Industries, Inc., the guarantors named therein and U.S. Bank National Association, as trustee (incorporated by reference from Exhibit 4.1 to the Registrant’s Current Report on Form 8-K dated July 8, 2020).</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13">
              <w:r>
                <w:rPr>
                  <w:rStyle w:val="InternetLink"/>
                  <w:rFonts w:ascii="Arial;sans-serif" w:hAnsi="Arial;sans-serif"/>
                  <w:b w:val="false"/>
                  <w:color w:val="0000FF"/>
                  <w:sz w:val="18"/>
                  <w:u w:val="single"/>
                </w:rPr>
                <w:t>4.4</w:t>
              </w:r>
            </w:hyperlink>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Form of 6.250% Senior Secured Note due 2028 (included in Exhibit 4.3).</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r:id="rId15">
              <w:r>
                <w:rPr>
                  <w:rStyle w:val="InternetLink"/>
                  <w:rFonts w:ascii="Arial;sans-serif" w:hAnsi="Arial;sans-serif"/>
                  <w:b w:val="false"/>
                  <w:color w:val="0000FF"/>
                  <w:sz w:val="18"/>
                  <w:u w:val="single"/>
                </w:rPr>
                <w:t>4.5</w:t>
              </w:r>
            </w:hyperlink>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Arial;sans-serif" w:hAnsi="Arial;sans-serif"/>
                  <w:b w:val="false"/>
                  <w:color w:val="0000FF"/>
                  <w:sz w:val="18"/>
                  <w:u w:val="single"/>
                </w:rPr>
                <w:t>Indenture, dated January 23, 2024, by and between Winnebago Industries, Inc. and U.S. Bank Trust Company, National Association (incorporated by reference from Exhibit 4.1 to the Registrant’s Current Report on Form 8-K dated January 23, 2024.</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r:id="rId17">
              <w:r>
                <w:rPr>
                  <w:rStyle w:val="InternetLink"/>
                  <w:rFonts w:ascii="Arial;sans-serif" w:hAnsi="Arial;sans-serif"/>
                  <w:b w:val="false"/>
                  <w:color w:val="0000FF"/>
                  <w:sz w:val="18"/>
                  <w:u w:val="single"/>
                </w:rPr>
                <w:t>4.6</w:t>
              </w:r>
            </w:hyperlink>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Arial;sans-serif" w:hAnsi="Arial;sans-serif"/>
                  <w:b w:val="false"/>
                  <w:color w:val="0000FF"/>
                  <w:sz w:val="18"/>
                  <w:u w:val="single"/>
                </w:rPr>
                <w:t>Form of 3.250% Convertible Senior Note due 2030 (included in Exhibit 4.5).</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5q2exh311.htm">
              <w:r>
                <w:rPr>
                  <w:rStyle w:val="InternetLink"/>
                  <w:rFonts w:ascii="Arial;sans-serif" w:hAnsi="Arial;sans-serif"/>
                  <w:b w:val="false"/>
                  <w:color w:val="0000FF"/>
                  <w:sz w:val="18"/>
                  <w:u w:val="single"/>
                </w:rPr>
                <w:t>31.1</w:t>
              </w:r>
            </w:hyperlink>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2exh311.htm">
              <w:r>
                <w:rPr>
                  <w:rStyle w:val="InternetLink"/>
                  <w:rFonts w:ascii="Arial;sans-serif" w:hAnsi="Arial;sans-serif"/>
                  <w:b w:val="false"/>
                  <w:color w:val="0000FF"/>
                  <w:sz w:val="18"/>
                  <w:u w:val="single"/>
                </w:rPr>
                <w:t>Certification by the Chief Executive Officer pursuant to Section 302 of the Sarbanes-Oxley Act of 2002 (filed herewith)</w:t>
              </w:r>
            </w:hyperlink>
            <w:r>
              <w:rPr>
                <w:rFonts w:ascii="Arial;sans-serif" w:hAnsi="Arial;sans-serif"/>
                <w:b w:val="false"/>
                <w:color w:val="000000"/>
                <w:sz w:val="18"/>
              </w:rPr>
              <w:t>.</w:t>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5q2exh312.htm">
              <w:r>
                <w:rPr>
                  <w:rStyle w:val="InternetLink"/>
                  <w:rFonts w:ascii="Arial;sans-serif" w:hAnsi="Arial;sans-serif"/>
                  <w:b w:val="false"/>
                  <w:color w:val="0000FF"/>
                  <w:sz w:val="18"/>
                  <w:u w:val="single"/>
                </w:rPr>
                <w:t>31.2</w:t>
              </w:r>
            </w:hyperlink>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q2exh312.htm">
              <w:r>
                <w:rPr>
                  <w:rStyle w:val="InternetLink"/>
                  <w:rFonts w:ascii="Arial;sans-serif" w:hAnsi="Arial;sans-serif"/>
                  <w:b w:val="false"/>
                  <w:color w:val="0000FF"/>
                  <w:sz w:val="18"/>
                  <w:u w:val="single"/>
                </w:rPr>
                <w:t>Certification by the Chief Financial Officer pursuant to Section 302 of the Sarbanes-Oxley Act of 2002 (filed herewith).</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pPr>
            <w:hyperlink w:anchor="a2025q2exh321.htm">
              <w:r>
                <w:rPr>
                  <w:rStyle w:val="InternetLink"/>
                  <w:rFonts w:ascii="Arial;sans-serif" w:hAnsi="Arial;sans-serif"/>
                  <w:b w:val="false"/>
                  <w:color w:val="0000FF"/>
                  <w:sz w:val="18"/>
                  <w:u w:val="single"/>
                </w:rPr>
                <w:t>32.1</w:t>
              </w:r>
            </w:hyperlink>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2exh321.htm">
              <w:r>
                <w:rPr>
                  <w:rStyle w:val="InternetLink"/>
                  <w:rFonts w:ascii="Arial;sans-serif" w:hAnsi="Arial;sans-serif"/>
                  <w:b w:val="false"/>
                  <w:color w:val="0000FF"/>
                  <w:sz w:val="18"/>
                  <w:u w:val="single"/>
                </w:rPr>
                <w:t>Certification by the Chief Executive Officer pursuant to 18 U.S.C. Section 1350, as adopted pursuant to Section 906 of the Sarbanes-Oxley Act of 2002 (furnished herewith).</w:t>
              </w:r>
            </w:hyperlink>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center"/>
              <w:rPr/>
            </w:pPr>
            <w:hyperlink w:anchor="a2025q2exh322.htm">
              <w:r>
                <w:rPr>
                  <w:rStyle w:val="InternetLink"/>
                  <w:rFonts w:ascii="Arial;sans-serif" w:hAnsi="Arial;sans-serif"/>
                  <w:b w:val="false"/>
                  <w:color w:val="0000FF"/>
                  <w:sz w:val="18"/>
                  <w:u w:val="single"/>
                </w:rPr>
                <w:t>32.2</w:t>
              </w:r>
            </w:hyperlink>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a2025q2exh322.htm">
              <w:r>
                <w:rPr>
                  <w:rStyle w:val="InternetLink"/>
                  <w:rFonts w:ascii="Arial;sans-serif" w:hAnsi="Arial;sans-serif"/>
                  <w:b w:val="false"/>
                  <w:color w:val="0000FF"/>
                  <w:sz w:val="18"/>
                  <w:u w:val="single"/>
                </w:rPr>
                <w:t>Certification by the Chief Financial Officer pursuant to 18 U.S.C. Section 1350, as adopted pursuant to Section 906 of the Sarbanes-Oxley Act of 2002 (furnished herewith).</w:t>
              </w:r>
            </w:hyperlink>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 (furnished herewith).</w:t>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Extension Schema Document (furnished herewith).</w:t>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Calculation Linkbase Document (furnished herewith).</w:t>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 (furnished herewith).</w:t>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080"/>
              <w:jc w:val="left"/>
              <w:rPr>
                <w:rFonts w:ascii="Arial;sans-serif" w:hAnsi="Arial;sans-serif"/>
                <w:b w:val="false"/>
                <w:color w:val="000000"/>
                <w:sz w:val="18"/>
              </w:rPr>
            </w:pPr>
            <w:r>
              <w:rPr>
                <w:rFonts w:ascii="Arial;sans-serif" w:hAnsi="Arial;sans-serif"/>
                <w:b w:val="false"/>
                <w:color w:val="000000"/>
                <w:sz w:val="18"/>
              </w:rPr>
              <w:t>Inline XBRL Taxonomy Label Linkbase Document (furnished herewith).</w:t>
            </w:r>
          </w:p>
        </w:tc>
      </w:tr>
      <w:tr>
        <w:trPr/>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9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Presentation Linkbase Document (furnished herewith).</w:t>
            </w:r>
          </w:p>
        </w:tc>
      </w:tr>
      <w:tr>
        <w:trPr/>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180"/>
              <w:ind w:left="0" w:right="0" w:hanging="1080"/>
              <w:jc w:val="center"/>
              <w:rPr>
                <w:rFonts w:ascii="Arial;sans-serif" w:hAnsi="Arial;sans-serif"/>
                <w:b w:val="false"/>
                <w:color w:val="000000"/>
                <w:sz w:val="18"/>
              </w:rPr>
            </w:pPr>
            <w:r>
              <w:rPr>
                <w:rFonts w:ascii="Arial;sans-serif" w:hAnsi="Arial;sans-serif"/>
                <w:b w:val="false"/>
                <w:color w:val="000000"/>
                <w:sz w:val="18"/>
              </w:rPr>
              <w:t>104</w:t>
            </w:r>
          </w:p>
        </w:tc>
        <w:tc>
          <w:tcPr>
            <w:tcW w:w="9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in Inline XBRL and contained in Exhibit 101) (furnished herewith).</w:t>
            </w:r>
          </w:p>
        </w:tc>
      </w:tr>
    </w:tbl>
    <w:p>
      <w:pPr>
        <w:pStyle w:val="TextBody"/>
        <w:bidi w:val="0"/>
        <w:spacing w:lineRule="auto" w:line="288" w:before="0" w:after="180"/>
        <w:ind w:left="0" w:right="0" w:hanging="180"/>
        <w:jc w:val="left"/>
        <w:rPr>
          <w:rFonts w:ascii="Arial;sans-serif" w:hAnsi="Arial;sans-serif"/>
          <w:b w:val="false"/>
          <w:color w:val="000000"/>
          <w:sz w:val="18"/>
        </w:rPr>
      </w:pPr>
      <w:r>
        <w:rPr>
          <w:rFonts w:ascii="Arial;sans-serif" w:hAnsi="Arial;sans-serif"/>
          <w:b w:val="false"/>
          <w:color w:val="000000"/>
          <w:sz w:val="18"/>
        </w:rPr>
        <w:t>* Management contract or compensation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7b291b8703db457bb3d297fbe75dfc1a_7">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7783"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466"/>
        <w:gridCol w:w="466"/>
        <w:gridCol w:w="466"/>
        <w:gridCol w:w="1351"/>
        <w:gridCol w:w="1351"/>
        <w:gridCol w:w="1377"/>
        <w:gridCol w:w="109"/>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WINNEBAGO INDUSTRIES,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27, 2025</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27, 2025</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Senior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Michael J. Happe, Chief Executive Officer of Winnebago Industries,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126"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09"/>
        <w:gridCol w:w="109"/>
        <w:gridCol w:w="109"/>
        <w:gridCol w:w="836"/>
        <w:gridCol w:w="836"/>
        <w:gridCol w:w="119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302</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Bryan L. Hughes, Chief Financial Officer of Winnebago Industries,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Winnebago Industries,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071" w:type="dxa"/>
        <w:jc w:val="center"/>
        <w:tblInd w:w="0" w:type="dxa"/>
        <w:tblLayout w:type="fixed"/>
        <w:tblCellMar>
          <w:top w:w="28" w:type="dxa"/>
          <w:left w:w="28" w:type="dxa"/>
          <w:bottom w:w="28" w:type="dxa"/>
          <w:right w:w="28" w:type="dxa"/>
        </w:tblCellMar>
      </w:tblPr>
      <w:tblGrid>
        <w:gridCol w:w="201"/>
        <w:gridCol w:w="176"/>
        <w:gridCol w:w="178"/>
        <w:gridCol w:w="459"/>
        <w:gridCol w:w="459"/>
        <w:gridCol w:w="461"/>
        <w:gridCol w:w="109"/>
        <w:gridCol w:w="109"/>
        <w:gridCol w:w="109"/>
        <w:gridCol w:w="670"/>
        <w:gridCol w:w="670"/>
        <w:gridCol w:w="247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Michael J. Happe, Chief Executive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Quarterly Report on Form 10-Q for the fiscal quarter ended March 1, 2025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125"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09"/>
        <w:gridCol w:w="109"/>
        <w:gridCol w:w="109"/>
        <w:gridCol w:w="587"/>
        <w:gridCol w:w="587"/>
        <w:gridCol w:w="169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Michael J. Happe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Arial;sans-serif" w:hAnsi="Arial;sans-serif"/>
          <w:b/>
          <w:color w:val="000000"/>
          <w:sz w:val="18"/>
        </w:rPr>
        <w:t>CERTIFICATION BY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PURSUANT TO 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 SECTION 906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18 U.S.C. Section 1350, as adopted pursuant to Section 906 of the Sarbanes-Oxley Act of 2002, I, Bryan L. Hughes, Chief Financial Officer of Winnebago Industries, Inc. (the "Company"), hereby certify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Quarterly Report on Form 10-Q for the fiscal quarter ended March 1, 2025 (the "Report") of the Company,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information contained in this Report fairly presents, in all material respects, the financial condition and results of operations of the Company.</w:t>
      </w:r>
    </w:p>
    <w:p>
      <w:pPr>
        <w:pStyle w:val="TextBody"/>
        <w:bidi w:val="0"/>
        <w:spacing w:before="0" w:after="0"/>
        <w:jc w:val="left"/>
        <w:rPr/>
      </w:pPr>
      <w:r>
        <w:rPr/>
      </w:r>
    </w:p>
    <w:tbl>
      <w:tblPr>
        <w:tblW w:w="6070" w:type="dxa"/>
        <w:jc w:val="center"/>
        <w:tblInd w:w="0" w:type="dxa"/>
        <w:tblLayout w:type="fixed"/>
        <w:tblCellMar>
          <w:top w:w="28" w:type="dxa"/>
          <w:left w:w="28" w:type="dxa"/>
          <w:bottom w:w="28" w:type="dxa"/>
          <w:right w:w="28" w:type="dxa"/>
        </w:tblCellMar>
      </w:tblPr>
      <w:tblGrid>
        <w:gridCol w:w="201"/>
        <w:gridCol w:w="176"/>
        <w:gridCol w:w="178"/>
        <w:gridCol w:w="459"/>
        <w:gridCol w:w="459"/>
        <w:gridCol w:w="461"/>
        <w:gridCol w:w="109"/>
        <w:gridCol w:w="109"/>
        <w:gridCol w:w="109"/>
        <w:gridCol w:w="667"/>
        <w:gridCol w:w="667"/>
        <w:gridCol w:w="2475"/>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Arial;sans-serif" w:hAnsi="Arial;sans-serif"/>
                <w:b w:val="false"/>
                <w:i/>
                <w:color w:val="000000"/>
                <w:sz w:val="18"/>
              </w:rPr>
            </w:pPr>
            <w:r>
              <w:rPr>
                <w:rFonts w:ascii="Arial;sans-serif" w:hAnsi="Arial;sans-serif"/>
                <w:b w:val="false"/>
                <w:i/>
                <w:color w:val="000000"/>
                <w:sz w:val="18"/>
              </w:rPr>
              <w:t>/s/ 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270"/>
              <w:jc w:val="left"/>
              <w:rPr>
                <w:rFonts w:ascii="Arial;sans-serif" w:hAnsi="Arial;sans-serif"/>
                <w:b w:val="false"/>
                <w:color w:val="000000"/>
                <w:sz w:val="18"/>
              </w:rPr>
            </w:pPr>
            <w:r>
              <w:rPr>
                <w:rFonts w:ascii="Arial;sans-serif" w:hAnsi="Arial;sans-serif"/>
                <w:b w:val="false"/>
                <w:color w:val="000000"/>
                <w:sz w:val="18"/>
              </w:rPr>
              <w:t>Bryan L. Hughes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687/000010768722000004/wgo-mnarticlesreincorporat.htm" TargetMode="External"/><Relationship Id="rId4" Type="http://schemas.openxmlformats.org/officeDocument/2006/relationships/hyperlink" Target="https://www.sec.gov/Archives/edgar/data/107687/000010768722000004/wgo-mnarticlesreincorporat.htm" TargetMode="External"/><Relationship Id="rId5" Type="http://schemas.openxmlformats.org/officeDocument/2006/relationships/hyperlink" Target="https://www.sec.gov/Archives/edgar/data/107687/000010768723000018/wgo-bylawsxaugust152023xfi.htm" TargetMode="External"/><Relationship Id="rId6" Type="http://schemas.openxmlformats.org/officeDocument/2006/relationships/hyperlink" Target="https://www.sec.gov/Archives/edgar/data/107687/000010768723000018/wgo-bylawsxaugust152023xfi.htm" TargetMode="External"/><Relationship Id="rId7" Type="http://schemas.openxmlformats.org/officeDocument/2006/relationships/hyperlink" Target="https://www.sec.gov/Archives/edgar/data/107687/000110465919059604/a19-21005_2ex4d1.htm" TargetMode="External"/><Relationship Id="rId8" Type="http://schemas.openxmlformats.org/officeDocument/2006/relationships/hyperlink" Target="https://www.sec.gov/Archives/edgar/data/107687/000110465919059604/a19-21005_2ex4d1.htm" TargetMode="External"/><Relationship Id="rId9" Type="http://schemas.openxmlformats.org/officeDocument/2006/relationships/hyperlink" Target="https://www.sec.gov/Archives/edgar/data/107687/000110465919059604/a19-21005_2ex4d1.htm" TargetMode="External"/><Relationship Id="rId10" Type="http://schemas.openxmlformats.org/officeDocument/2006/relationships/hyperlink" Target="https://www.sec.gov/Archives/edgar/data/107687/000110465919059604/a19-21005_2ex4d1.htm" TargetMode="External"/><Relationship Id="rId11" Type="http://schemas.openxmlformats.org/officeDocument/2006/relationships/hyperlink" Target="https://www.sec.gov/Archives/edgar/data/0000107687/000110465920082433/tm2024371d1_ex4-1.htm" TargetMode="External"/><Relationship Id="rId12" Type="http://schemas.openxmlformats.org/officeDocument/2006/relationships/hyperlink" Target="https://www.sec.gov/Archives/edgar/data/0000107687/000110465920082433/tm2024371d1_ex4-1.htm" TargetMode="External"/><Relationship Id="rId13" Type="http://schemas.openxmlformats.org/officeDocument/2006/relationships/hyperlink" Target="https://www.sec.gov/Archives/edgar/data/107687/000110465920082433/tm2024371d1_ex4-1.htm" TargetMode="External"/><Relationship Id="rId14" Type="http://schemas.openxmlformats.org/officeDocument/2006/relationships/hyperlink" Target="https://www.sec.gov/Archives/edgar/data/107687/000110465920082433/tm2024371d1_ex4-1.htm" TargetMode="External"/><Relationship Id="rId15" Type="http://schemas.openxmlformats.org/officeDocument/2006/relationships/hyperlink" Target="https://www.sec.gov/Archives/edgar/data/107687/000110465924005904/tm243871d1_ex4-1.htm" TargetMode="External"/><Relationship Id="rId16" Type="http://schemas.openxmlformats.org/officeDocument/2006/relationships/hyperlink" Target="https://www.sec.gov/Archives/edgar/data/107687/000110465924005904/tm243871d1_ex4-1.htm" TargetMode="External"/><Relationship Id="rId17" Type="http://schemas.openxmlformats.org/officeDocument/2006/relationships/hyperlink" Target="https://www.sec.gov/Archives/edgar/data/107687/000110465924005904/tm243871d1_ex4-1.htm" TargetMode="External"/><Relationship Id="rId18" Type="http://schemas.openxmlformats.org/officeDocument/2006/relationships/hyperlink" Target="https://www.sec.gov/Archives/edgar/data/107687/000110465924005904/tm243871d1_ex4-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16705</Words>
  <Characters>90681</Characters>
  <CharactersWithSpaces>105887</CharactersWithSpaces>
  <Paragraphs>3052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