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60"/>
        <w:spacing w:after="0"/>
        <w:rPr>
          <w:sz w:val="20"/>
          <w:szCs w:val="20"/>
          <w:color w:val="auto"/>
        </w:rPr>
      </w:pPr>
      <w:r>
        <w:rPr>
          <w:rFonts w:ascii="Arial" w:cs="Arial" w:eastAsia="Arial" w:hAnsi="Arial"/>
          <w:sz w:val="24"/>
          <w:szCs w:val="24"/>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WASHINGTON, D.C. 20549</w:t>
      </w:r>
    </w:p>
    <w:p>
      <w:pPr>
        <w:spacing w:after="0" w:line="26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87"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PURSUANT TO SECTION 13 OR 15(d) OF THE SECURITIES EXCHANGE ACT OF 1934</w:t>
      </w:r>
    </w:p>
    <w:p>
      <w:pPr>
        <w:spacing w:after="0" w:line="188" w:lineRule="exact"/>
        <w:rPr>
          <w:sz w:val="24"/>
          <w:szCs w:val="24"/>
          <w:color w:val="auto"/>
        </w:rPr>
      </w:pPr>
    </w:p>
    <w:p>
      <w:pPr>
        <w:ind w:left="1880"/>
        <w:spacing w:after="0"/>
        <w:tabs>
          <w:tab w:leader="none" w:pos="7080" w:val="left"/>
        </w:tabs>
        <w:rPr>
          <w:sz w:val="20"/>
          <w:szCs w:val="20"/>
          <w:color w:val="auto"/>
        </w:rPr>
      </w:pPr>
      <w:r>
        <w:rPr>
          <w:rFonts w:ascii="Arial" w:cs="Arial" w:eastAsia="Arial" w:hAnsi="Arial"/>
          <w:sz w:val="22"/>
          <w:szCs w:val="22"/>
          <w:color w:val="auto"/>
        </w:rPr>
        <w:t>Date of Report (Date of earliest event reported)</w:t>
      </w:r>
      <w:r>
        <w:rPr>
          <w:sz w:val="20"/>
          <w:szCs w:val="20"/>
          <w:color w:val="auto"/>
        </w:rPr>
        <w:tab/>
      </w:r>
      <w:r>
        <w:rPr>
          <w:rFonts w:ascii="Arial" w:cs="Arial" w:eastAsia="Arial" w:hAnsi="Arial"/>
          <w:sz w:val="19"/>
          <w:szCs w:val="19"/>
          <w:color w:val="auto"/>
        </w:rPr>
        <w:t>March 10,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3823970</wp:posOffset>
            </wp:positionH>
            <wp:positionV relativeFrom="paragraph">
              <wp:posOffset>-17780</wp:posOffset>
            </wp:positionV>
            <wp:extent cx="22447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44725" cy="8890"/>
                    </a:xfrm>
                    <a:prstGeom prst="rect">
                      <a:avLst/>
                    </a:prstGeom>
                    <a:noFill/>
                  </pic:spPr>
                </pic:pic>
              </a:graphicData>
            </a:graphic>
          </wp:anchor>
        </w:drawing>
      </w:r>
    </w:p>
    <w:p>
      <w:pPr>
        <w:spacing w:after="0" w:line="179" w:lineRule="exact"/>
        <w:rPr>
          <w:sz w:val="24"/>
          <w:szCs w:val="24"/>
          <w:color w:val="auto"/>
        </w:rPr>
      </w:pPr>
    </w:p>
    <w:p>
      <w:pPr>
        <w:jc w:val="center"/>
        <w:ind w:right="60"/>
        <w:spacing w:after="0"/>
        <w:rPr>
          <w:sz w:val="20"/>
          <w:szCs w:val="20"/>
          <w:color w:val="auto"/>
        </w:rPr>
      </w:pPr>
      <w:r>
        <w:rPr>
          <w:rFonts w:ascii="Arial" w:cs="Arial" w:eastAsia="Arial" w:hAnsi="Arial"/>
          <w:sz w:val="24"/>
          <w:szCs w:val="24"/>
          <w:b w:val="1"/>
          <w:bCs w:val="1"/>
          <w:color w:val="auto"/>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1942465</wp:posOffset>
            </wp:positionH>
            <wp:positionV relativeFrom="paragraph">
              <wp:posOffset>-10795</wp:posOffset>
            </wp:positionV>
            <wp:extent cx="33724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72485" cy="8890"/>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4"/>
          <w:szCs w:val="24"/>
          <w:color w:val="auto"/>
        </w:rPr>
        <w:t>(Exact name of registrant as specified in its charter)</w:t>
      </w:r>
    </w:p>
    <w:p>
      <w:pPr>
        <w:spacing w:after="0" w:line="203" w:lineRule="exact"/>
        <w:rPr>
          <w:sz w:val="24"/>
          <w:szCs w:val="24"/>
          <w:color w:val="auto"/>
        </w:rPr>
      </w:pPr>
    </w:p>
    <w:tbl>
      <w:tblPr>
        <w:tblLayout w:type="fixed"/>
        <w:tblInd w:w="1660" w:type="dxa"/>
        <w:tblCellMar>
          <w:top w:w="0" w:type="dxa"/>
          <w:left w:w="0" w:type="dxa"/>
          <w:bottom w:w="0" w:type="dxa"/>
          <w:right w:w="0" w:type="dxa"/>
        </w:tblCellMar>
      </w:tblPr>
      <w:tr>
        <w:trPr>
          <w:trHeight w:val="275"/>
        </w:trPr>
        <w:tc>
          <w:tcPr>
            <w:tcW w:w="3360" w:type="dxa"/>
            <w:vAlign w:val="bottom"/>
            <w:gridSpan w:val="3"/>
          </w:tcPr>
          <w:p>
            <w:pPr>
              <w:jc w:val="center"/>
              <w:ind w:right="600"/>
              <w:spacing w:after="0"/>
              <w:rPr>
                <w:sz w:val="20"/>
                <w:szCs w:val="20"/>
                <w:color w:val="auto"/>
              </w:rPr>
            </w:pPr>
            <w:r>
              <w:rPr>
                <w:rFonts w:ascii="Arial" w:cs="Arial" w:eastAsia="Arial" w:hAnsi="Arial"/>
                <w:sz w:val="22"/>
                <w:szCs w:val="22"/>
                <w:color w:val="auto"/>
                <w:w w:val="94"/>
              </w:rPr>
              <w:t>Iowa</w:t>
            </w:r>
          </w:p>
        </w:tc>
        <w:tc>
          <w:tcPr>
            <w:tcW w:w="2000" w:type="dxa"/>
            <w:vAlign w:val="bottom"/>
            <w:gridSpan w:val="4"/>
          </w:tcPr>
          <w:p>
            <w:pPr>
              <w:jc w:val="center"/>
              <w:ind w:right="380"/>
              <w:spacing w:after="0"/>
              <w:rPr>
                <w:sz w:val="20"/>
                <w:szCs w:val="20"/>
                <w:color w:val="auto"/>
              </w:rPr>
            </w:pPr>
            <w:r>
              <w:rPr>
                <w:rFonts w:ascii="Arial" w:cs="Arial" w:eastAsia="Arial" w:hAnsi="Arial"/>
                <w:sz w:val="22"/>
                <w:szCs w:val="22"/>
                <w:color w:val="auto"/>
                <w:w w:val="89"/>
              </w:rPr>
              <w:t>001-06403</w:t>
            </w:r>
          </w:p>
        </w:tc>
        <w:tc>
          <w:tcPr>
            <w:tcW w:w="2600" w:type="dxa"/>
            <w:vAlign w:val="bottom"/>
            <w:gridSpan w:val="2"/>
          </w:tcPr>
          <w:p>
            <w:pPr>
              <w:jc w:val="center"/>
              <w:ind w:left="112"/>
              <w:spacing w:after="0"/>
              <w:rPr>
                <w:sz w:val="20"/>
                <w:szCs w:val="20"/>
                <w:color w:val="auto"/>
              </w:rPr>
            </w:pPr>
            <w:r>
              <w:rPr>
                <w:rFonts w:ascii="Arial" w:cs="Arial" w:eastAsia="Arial" w:hAnsi="Arial"/>
                <w:sz w:val="22"/>
                <w:szCs w:val="22"/>
                <w:color w:val="auto"/>
                <w:w w:val="90"/>
              </w:rPr>
              <w:t>42-0802678</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98"/>
        </w:trPr>
        <w:tc>
          <w:tcPr>
            <w:tcW w:w="27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323"/>
        </w:trPr>
        <w:tc>
          <w:tcPr>
            <w:tcW w:w="2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0" w:type="dxa"/>
            <w:vAlign w:val="bottom"/>
            <w:gridSpan w:val="4"/>
          </w:tcPr>
          <w:p>
            <w:pPr>
              <w:jc w:val="center"/>
              <w:ind w:right="360"/>
              <w:spacing w:after="0"/>
              <w:rPr>
                <w:sz w:val="20"/>
                <w:szCs w:val="20"/>
                <w:color w:val="auto"/>
              </w:rPr>
            </w:pPr>
            <w:r>
              <w:rPr>
                <w:rFonts w:ascii="Arial" w:cs="Arial" w:eastAsia="Arial" w:hAnsi="Arial"/>
                <w:sz w:val="22"/>
                <w:szCs w:val="22"/>
                <w:color w:val="auto"/>
                <w:w w:val="91"/>
              </w:rPr>
              <w:t>(Commission File</w:t>
            </w:r>
          </w:p>
        </w:tc>
        <w:tc>
          <w:tcPr>
            <w:tcW w:w="2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3360" w:type="dxa"/>
            <w:vAlign w:val="bottom"/>
            <w:gridSpan w:val="3"/>
          </w:tcPr>
          <w:p>
            <w:pPr>
              <w:jc w:val="center"/>
              <w:ind w:right="600"/>
              <w:spacing w:after="0" w:line="243" w:lineRule="exact"/>
              <w:rPr>
                <w:sz w:val="20"/>
                <w:szCs w:val="20"/>
                <w:color w:val="auto"/>
              </w:rPr>
            </w:pPr>
            <w:r>
              <w:rPr>
                <w:rFonts w:ascii="Arial" w:cs="Arial" w:eastAsia="Arial" w:hAnsi="Arial"/>
                <w:sz w:val="22"/>
                <w:szCs w:val="22"/>
                <w:color w:val="auto"/>
                <w:w w:val="90"/>
              </w:rPr>
              <w:t>(State or other jurisdiction</w:t>
            </w:r>
          </w:p>
        </w:tc>
        <w:tc>
          <w:tcPr>
            <w:tcW w:w="2000" w:type="dxa"/>
            <w:vAlign w:val="bottom"/>
            <w:gridSpan w:val="4"/>
          </w:tcPr>
          <w:p>
            <w:pPr>
              <w:jc w:val="center"/>
              <w:ind w:right="380"/>
              <w:spacing w:after="0" w:line="243" w:lineRule="exact"/>
              <w:rPr>
                <w:sz w:val="20"/>
                <w:szCs w:val="20"/>
                <w:color w:val="auto"/>
              </w:rPr>
            </w:pPr>
            <w:r>
              <w:rPr>
                <w:rFonts w:ascii="Arial" w:cs="Arial" w:eastAsia="Arial" w:hAnsi="Arial"/>
                <w:sz w:val="22"/>
                <w:szCs w:val="22"/>
                <w:color w:val="auto"/>
                <w:w w:val="91"/>
              </w:rPr>
              <w:t>Number)</w:t>
            </w:r>
          </w:p>
        </w:tc>
        <w:tc>
          <w:tcPr>
            <w:tcW w:w="240" w:type="dxa"/>
            <w:vAlign w:val="bottom"/>
          </w:tcPr>
          <w:p>
            <w:pPr>
              <w:spacing w:after="0"/>
              <w:rPr>
                <w:sz w:val="21"/>
                <w:szCs w:val="21"/>
                <w:color w:val="auto"/>
              </w:rPr>
            </w:pPr>
          </w:p>
        </w:tc>
        <w:tc>
          <w:tcPr>
            <w:tcW w:w="2360" w:type="dxa"/>
            <w:vAlign w:val="bottom"/>
          </w:tcPr>
          <w:p>
            <w:pPr>
              <w:jc w:val="center"/>
              <w:spacing w:after="0" w:line="243" w:lineRule="exact"/>
              <w:rPr>
                <w:sz w:val="20"/>
                <w:szCs w:val="20"/>
                <w:color w:val="auto"/>
              </w:rPr>
            </w:pPr>
            <w:r>
              <w:rPr>
                <w:rFonts w:ascii="Arial" w:cs="Arial" w:eastAsia="Arial" w:hAnsi="Arial"/>
                <w:sz w:val="22"/>
                <w:szCs w:val="22"/>
                <w:color w:val="auto"/>
                <w:w w:val="90"/>
              </w:rPr>
              <w:t>(IRS Employer</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5"/>
        </w:trPr>
        <w:tc>
          <w:tcPr>
            <w:tcW w:w="3360" w:type="dxa"/>
            <w:vAlign w:val="bottom"/>
            <w:gridSpan w:val="3"/>
          </w:tcPr>
          <w:p>
            <w:pPr>
              <w:jc w:val="center"/>
              <w:ind w:right="600"/>
              <w:spacing w:after="0"/>
              <w:rPr>
                <w:sz w:val="20"/>
                <w:szCs w:val="20"/>
                <w:color w:val="auto"/>
              </w:rPr>
            </w:pPr>
            <w:r>
              <w:rPr>
                <w:rFonts w:ascii="Arial" w:cs="Arial" w:eastAsia="Arial" w:hAnsi="Arial"/>
                <w:sz w:val="22"/>
                <w:szCs w:val="22"/>
                <w:color w:val="auto"/>
                <w:w w:val="93"/>
              </w:rPr>
              <w:t>of incorporation)</w:t>
            </w: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360" w:type="dxa"/>
            <w:vAlign w:val="bottom"/>
          </w:tcPr>
          <w:p>
            <w:pPr>
              <w:jc w:val="center"/>
              <w:spacing w:after="0"/>
              <w:rPr>
                <w:sz w:val="20"/>
                <w:szCs w:val="20"/>
                <w:color w:val="auto"/>
              </w:rPr>
            </w:pPr>
            <w:r>
              <w:rPr>
                <w:rFonts w:ascii="Arial" w:cs="Arial" w:eastAsia="Arial" w:hAnsi="Arial"/>
                <w:sz w:val="22"/>
                <w:szCs w:val="22"/>
                <w:color w:val="auto"/>
                <w:w w:val="94"/>
              </w:rPr>
              <w:t>Identification No.)</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486"/>
        </w:trPr>
        <w:tc>
          <w:tcPr>
            <w:tcW w:w="3360" w:type="dxa"/>
            <w:vAlign w:val="bottom"/>
            <w:gridSpan w:val="3"/>
          </w:tcPr>
          <w:p>
            <w:pPr>
              <w:jc w:val="center"/>
              <w:ind w:left="432"/>
              <w:spacing w:after="0"/>
              <w:rPr>
                <w:sz w:val="20"/>
                <w:szCs w:val="20"/>
                <w:color w:val="auto"/>
              </w:rPr>
            </w:pPr>
            <w:r>
              <w:rPr>
                <w:rFonts w:ascii="Arial" w:cs="Arial" w:eastAsia="Arial" w:hAnsi="Arial"/>
                <w:sz w:val="22"/>
                <w:szCs w:val="22"/>
                <w:color w:val="auto"/>
                <w:w w:val="88"/>
              </w:rPr>
              <w:t>P.O. Box 152, Forest City, Iowa</w:t>
            </w: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0" w:type="dxa"/>
            <w:vAlign w:val="bottom"/>
            <w:gridSpan w:val="2"/>
          </w:tcPr>
          <w:p>
            <w:pPr>
              <w:jc w:val="right"/>
              <w:ind w:right="1512"/>
              <w:spacing w:after="0"/>
              <w:rPr>
                <w:sz w:val="20"/>
                <w:szCs w:val="20"/>
                <w:color w:val="auto"/>
              </w:rPr>
            </w:pPr>
            <w:r>
              <w:rPr>
                <w:rFonts w:ascii="Arial" w:cs="Arial" w:eastAsia="Arial" w:hAnsi="Arial"/>
                <w:sz w:val="22"/>
                <w:szCs w:val="22"/>
                <w:color w:val="auto"/>
              </w:rPr>
              <w:t>50436</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98"/>
        </w:trPr>
        <w:tc>
          <w:tcPr>
            <w:tcW w:w="3900" w:type="dxa"/>
            <w:vAlign w:val="bottom"/>
            <w:tcBorders>
              <w:bottom w:val="single" w:sz="8" w:color="auto"/>
            </w:tcBorders>
            <w:gridSpan w:val="4"/>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3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r>
      <w:tr>
        <w:trPr>
          <w:trHeight w:val="355"/>
        </w:trPr>
        <w:tc>
          <w:tcPr>
            <w:tcW w:w="5360" w:type="dxa"/>
            <w:vAlign w:val="bottom"/>
            <w:gridSpan w:val="7"/>
          </w:tcPr>
          <w:p>
            <w:pPr>
              <w:jc w:val="center"/>
              <w:ind w:right="1460"/>
              <w:spacing w:after="0"/>
              <w:rPr>
                <w:sz w:val="20"/>
                <w:szCs w:val="20"/>
                <w:color w:val="auto"/>
              </w:rPr>
            </w:pPr>
            <w:r>
              <w:rPr>
                <w:rFonts w:ascii="Arial" w:cs="Arial" w:eastAsia="Arial" w:hAnsi="Arial"/>
                <w:sz w:val="22"/>
                <w:szCs w:val="22"/>
                <w:color w:val="auto"/>
                <w:w w:val="90"/>
              </w:rPr>
              <w:t>(Address of principal executive offices)</w:t>
            </w:r>
          </w:p>
        </w:tc>
        <w:tc>
          <w:tcPr>
            <w:tcW w:w="240" w:type="dxa"/>
            <w:vAlign w:val="bottom"/>
          </w:tcPr>
          <w:p>
            <w:pPr>
              <w:spacing w:after="0"/>
              <w:rPr>
                <w:sz w:val="24"/>
                <w:szCs w:val="24"/>
                <w:color w:val="auto"/>
              </w:rPr>
            </w:pPr>
          </w:p>
        </w:tc>
        <w:tc>
          <w:tcPr>
            <w:tcW w:w="2360" w:type="dxa"/>
            <w:vAlign w:val="bottom"/>
          </w:tcPr>
          <w:p>
            <w:pPr>
              <w:jc w:val="center"/>
              <w:ind w:right="1292"/>
              <w:spacing w:after="0"/>
              <w:rPr>
                <w:sz w:val="20"/>
                <w:szCs w:val="20"/>
                <w:color w:val="auto"/>
              </w:rPr>
            </w:pPr>
            <w:r>
              <w:rPr>
                <w:rFonts w:ascii="Arial" w:cs="Arial" w:eastAsia="Arial" w:hAnsi="Arial"/>
                <w:sz w:val="22"/>
                <w:szCs w:val="22"/>
                <w:color w:val="auto"/>
                <w:w w:val="92"/>
              </w:rPr>
              <w:t>(Zip Code)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652"/>
        </w:trPr>
        <w:tc>
          <w:tcPr>
            <w:tcW w:w="4600" w:type="dxa"/>
            <w:vAlign w:val="bottom"/>
            <w:gridSpan w:val="6"/>
          </w:tcPr>
          <w:p>
            <w:pPr>
              <w:ind w:left="120"/>
              <w:spacing w:after="0"/>
              <w:rPr>
                <w:sz w:val="20"/>
                <w:szCs w:val="20"/>
                <w:color w:val="auto"/>
              </w:rPr>
            </w:pPr>
            <w:r>
              <w:rPr>
                <w:rFonts w:ascii="Arial" w:cs="Arial" w:eastAsia="Arial" w:hAnsi="Arial"/>
                <w:sz w:val="22"/>
                <w:szCs w:val="22"/>
                <w:color w:val="auto"/>
                <w:w w:val="88"/>
              </w:rPr>
              <w:t>Registrant’s telephone number, including area code</w:t>
            </w:r>
          </w:p>
        </w:tc>
        <w:tc>
          <w:tcPr>
            <w:tcW w:w="7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2"/>
          </w:tcPr>
          <w:p>
            <w:pPr>
              <w:jc w:val="right"/>
              <w:ind w:right="952"/>
              <w:spacing w:after="0"/>
              <w:rPr>
                <w:sz w:val="20"/>
                <w:szCs w:val="20"/>
                <w:color w:val="auto"/>
              </w:rPr>
            </w:pPr>
            <w:r>
              <w:rPr>
                <w:rFonts w:ascii="Arial" w:cs="Arial" w:eastAsia="Arial" w:hAnsi="Arial"/>
                <w:sz w:val="22"/>
                <w:szCs w:val="22"/>
                <w:color w:val="auto"/>
              </w:rPr>
              <w:t>641-585-3535</w:t>
            </w: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905510</wp:posOffset>
            </wp:positionH>
            <wp:positionV relativeFrom="paragraph">
              <wp:posOffset>154305</wp:posOffset>
            </wp:positionV>
            <wp:extent cx="54457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45760" cy="8890"/>
                    </a:xfrm>
                    <a:prstGeom prst="rect">
                      <a:avLst/>
                    </a:prstGeom>
                    <a:noFill/>
                  </pic:spPr>
                </pic:pic>
              </a:graphicData>
            </a:graphic>
          </wp:anchor>
        </w:drawing>
      </w:r>
    </w:p>
    <w:p>
      <w:pPr>
        <w:spacing w:after="0" w:line="269"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6" w:lineRule="exact"/>
        <w:rPr>
          <w:sz w:val="24"/>
          <w:szCs w:val="24"/>
          <w:color w:val="auto"/>
        </w:rPr>
      </w:pPr>
    </w:p>
    <w:p>
      <w:pPr>
        <w:ind w:left="1300" w:right="10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(see General Instruction A.2. below):</w:t>
      </w:r>
    </w:p>
    <w:p>
      <w:pPr>
        <w:spacing w:after="0" w:line="173" w:lineRule="exact"/>
        <w:rPr>
          <w:sz w:val="24"/>
          <w:szCs w:val="24"/>
          <w:color w:val="auto"/>
        </w:rPr>
      </w:pPr>
    </w:p>
    <w:p>
      <w:pPr>
        <w:ind w:left="1840" w:hanging="535"/>
        <w:spacing w:after="0"/>
        <w:tabs>
          <w:tab w:leader="none" w:pos="184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33" w:lineRule="exact"/>
        <w:rPr>
          <w:rFonts w:ascii="Arial" w:cs="Arial" w:eastAsia="Arial" w:hAnsi="Arial"/>
          <w:sz w:val="22"/>
          <w:szCs w:val="22"/>
          <w:color w:val="auto"/>
        </w:rPr>
      </w:pPr>
    </w:p>
    <w:p>
      <w:pPr>
        <w:ind w:left="1840" w:hanging="535"/>
        <w:spacing w:after="0"/>
        <w:tabs>
          <w:tab w:leader="none" w:pos="184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33" w:lineRule="exact"/>
        <w:rPr>
          <w:rFonts w:ascii="Arial" w:cs="Arial" w:eastAsia="Arial" w:hAnsi="Arial"/>
          <w:sz w:val="22"/>
          <w:szCs w:val="22"/>
          <w:color w:val="auto"/>
        </w:rPr>
      </w:pPr>
    </w:p>
    <w:p>
      <w:pPr>
        <w:ind w:left="1840" w:right="300" w:hanging="535"/>
        <w:spacing w:after="0" w:line="251" w:lineRule="auto"/>
        <w:tabs>
          <w:tab w:leader="none" w:pos="184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 communications pursuant to Rule 14d-2(b) under the Exchange Act (17 CFR 240.14d-2(b))</w:t>
      </w:r>
    </w:p>
    <w:p>
      <w:pPr>
        <w:spacing w:after="0" w:line="200" w:lineRule="exact"/>
        <w:rPr>
          <w:rFonts w:ascii="Arial" w:cs="Arial" w:eastAsia="Arial" w:hAnsi="Arial"/>
          <w:sz w:val="22"/>
          <w:szCs w:val="22"/>
          <w:color w:val="auto"/>
        </w:rPr>
      </w:pPr>
    </w:p>
    <w:p>
      <w:pPr>
        <w:ind w:left="1840" w:right="340" w:hanging="535"/>
        <w:spacing w:after="0" w:line="251" w:lineRule="auto"/>
        <w:tabs>
          <w:tab w:leader="none" w:pos="184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670560</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212" w:lineRule="exact"/>
        <w:rPr>
          <w:sz w:val="24"/>
          <w:szCs w:val="24"/>
          <w:color w:val="auto"/>
        </w:rPr>
      </w:pPr>
    </w:p>
    <w:p>
      <w:pPr>
        <w:spacing w:after="0" w:line="236" w:lineRule="auto"/>
        <w:rPr>
          <w:sz w:val="20"/>
          <w:szCs w:val="20"/>
          <w:color w:val="auto"/>
        </w:rPr>
      </w:pPr>
      <w:r>
        <w:rPr>
          <w:rFonts w:ascii="Arial" w:cs="Arial" w:eastAsia="Arial" w:hAnsi="Arial"/>
          <w:sz w:val="22"/>
          <w:szCs w:val="22"/>
          <w:color w:val="auto"/>
        </w:rPr>
        <w:t>Winnebago Industries, Inc. (Winnebago Industries) is filing herewith a press release issued on March 10, 2005, as Exhibit 99.1 which is included herein. The press release was issued to report that Winnebago Industries anticipates announcing second quarter of fiscal 2005 ended February 26, 2005 earnings on March 17, 2005. In connection with the announcement, Winnebago Industries will host a conference call on March 17, 2005 at 10:00 a.m. Eastern time. Details regarding the conference call are contained in the press release included herein.</w:t>
      </w:r>
    </w:p>
    <w:p>
      <w:pPr>
        <w:spacing w:after="0" w:line="182"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183" w:lineRule="exact"/>
        <w:rPr>
          <w:sz w:val="24"/>
          <w:szCs w:val="24"/>
          <w:color w:val="auto"/>
        </w:rPr>
      </w:pPr>
    </w:p>
    <w:tbl>
      <w:tblPr>
        <w:tblLayout w:type="fixed"/>
        <w:tblInd w:w="560" w:type="dxa"/>
        <w:tblCellMar>
          <w:top w:w="0" w:type="dxa"/>
          <w:left w:w="0" w:type="dxa"/>
          <w:bottom w:w="0" w:type="dxa"/>
          <w:right w:w="0" w:type="dxa"/>
        </w:tblCellMar>
      </w:tblPr>
      <w:tr>
        <w:trPr>
          <w:trHeight w:val="253"/>
        </w:trPr>
        <w:tc>
          <w:tcPr>
            <w:tcW w:w="620" w:type="dxa"/>
            <w:vAlign w:val="bottom"/>
          </w:tcPr>
          <w:p>
            <w:pPr>
              <w:spacing w:after="0"/>
              <w:rPr>
                <w:sz w:val="20"/>
                <w:szCs w:val="20"/>
                <w:color w:val="auto"/>
              </w:rPr>
            </w:pPr>
            <w:r>
              <w:rPr>
                <w:rFonts w:ascii="Arial" w:cs="Arial" w:eastAsia="Arial" w:hAnsi="Arial"/>
                <w:sz w:val="22"/>
                <w:szCs w:val="22"/>
                <w:color w:val="auto"/>
              </w:rPr>
              <w:t>(c)</w:t>
            </w:r>
          </w:p>
        </w:tc>
        <w:tc>
          <w:tcPr>
            <w:tcW w:w="1240" w:type="dxa"/>
            <w:vAlign w:val="bottom"/>
            <w:gridSpan w:val="4"/>
          </w:tcPr>
          <w:p>
            <w:pPr>
              <w:jc w:val="right"/>
              <w:ind w:right="520"/>
              <w:spacing w:after="0"/>
              <w:rPr>
                <w:sz w:val="20"/>
                <w:szCs w:val="20"/>
                <w:color w:val="auto"/>
              </w:rPr>
            </w:pPr>
            <w:r>
              <w:rPr>
                <w:rFonts w:ascii="Arial" w:cs="Arial" w:eastAsia="Arial" w:hAnsi="Arial"/>
                <w:sz w:val="22"/>
                <w:szCs w:val="22"/>
                <w:color w:val="auto"/>
                <w:w w:val="90"/>
              </w:rPr>
              <w:t>Exhibits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0"/>
        </w:trPr>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r>
        <w:trPr>
          <w:trHeight w:val="479"/>
        </w:trPr>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22"/>
                <w:szCs w:val="22"/>
                <w:b w:val="1"/>
                <w:bCs w:val="1"/>
                <w:color w:val="auto"/>
              </w:rPr>
              <w:t>Exhibit</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230"/>
        </w:trPr>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Borders>
              <w:bottom w:val="single" w:sz="8" w:color="auto"/>
            </w:tcBorders>
            <w:gridSpan w:val="2"/>
          </w:tcPr>
          <w:p>
            <w:pPr>
              <w:spacing w:after="0" w:line="230" w:lineRule="exact"/>
              <w:rPr>
                <w:sz w:val="20"/>
                <w:szCs w:val="20"/>
                <w:color w:val="auto"/>
              </w:rPr>
            </w:pPr>
            <w:r>
              <w:rPr>
                <w:rFonts w:ascii="Arial" w:cs="Arial" w:eastAsia="Arial" w:hAnsi="Arial"/>
                <w:sz w:val="22"/>
                <w:szCs w:val="22"/>
                <w:b w:val="1"/>
                <w:bCs w:val="1"/>
                <w:color w:val="auto"/>
                <w:w w:val="91"/>
              </w:rPr>
              <w:t>Number</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Borders>
              <w:bottom w:val="single" w:sz="8" w:color="auto"/>
            </w:tcBorders>
          </w:tcPr>
          <w:p>
            <w:pPr>
              <w:spacing w:after="0" w:line="230" w:lineRule="exact"/>
              <w:rPr>
                <w:sz w:val="20"/>
                <w:szCs w:val="20"/>
                <w:color w:val="auto"/>
              </w:rPr>
            </w:pPr>
            <w:r>
              <w:rPr>
                <w:rFonts w:ascii="Arial" w:cs="Arial" w:eastAsia="Arial" w:hAnsi="Arial"/>
                <w:sz w:val="22"/>
                <w:szCs w:val="22"/>
                <w:b w:val="1"/>
                <w:bCs w:val="1"/>
                <w:color w:val="auto"/>
                <w:w w:val="87"/>
              </w:rPr>
              <w:t>Description</w:t>
            </w:r>
          </w:p>
        </w:tc>
        <w:tc>
          <w:tcPr>
            <w:tcW w:w="4660" w:type="dxa"/>
            <w:vAlign w:val="bottom"/>
          </w:tcPr>
          <w:p>
            <w:pPr>
              <w:spacing w:after="0"/>
              <w:rPr>
                <w:sz w:val="20"/>
                <w:szCs w:val="20"/>
                <w:color w:val="auto"/>
              </w:rPr>
            </w:pPr>
          </w:p>
        </w:tc>
      </w:tr>
      <w:tr>
        <w:trPr>
          <w:trHeight w:val="274"/>
        </w:trPr>
        <w:tc>
          <w:tcPr>
            <w:tcW w:w="62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22"/>
                <w:szCs w:val="22"/>
                <w:color w:val="auto"/>
              </w:rPr>
              <w:t>99.1</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60" w:type="dxa"/>
            <w:vAlign w:val="bottom"/>
            <w:gridSpan w:val="3"/>
          </w:tcPr>
          <w:p>
            <w:pPr>
              <w:ind w:left="320"/>
              <w:spacing w:after="0"/>
              <w:rPr>
                <w:sz w:val="20"/>
                <w:szCs w:val="20"/>
                <w:color w:val="auto"/>
              </w:rPr>
            </w:pPr>
            <w:r>
              <w:rPr>
                <w:rFonts w:ascii="Arial" w:cs="Arial" w:eastAsia="Arial" w:hAnsi="Arial"/>
                <w:sz w:val="22"/>
                <w:szCs w:val="22"/>
                <w:color w:val="auto"/>
                <w:w w:val="87"/>
              </w:rPr>
              <w:t>Press release of Winnebago Industries, Inc. dated March 10, 2005.</w:t>
            </w:r>
          </w:p>
        </w:tc>
      </w:tr>
    </w:tbl>
    <w:p>
      <w:pPr>
        <w:spacing w:after="0" w:line="200" w:lineRule="exact"/>
        <w:rPr>
          <w:sz w:val="24"/>
          <w:szCs w:val="24"/>
          <w:color w:val="auto"/>
        </w:rPr>
      </w:pPr>
    </w:p>
    <w:p>
      <w:pPr>
        <w:sectPr>
          <w:pgSz w:w="11900" w:h="16838" w:orient="portrait"/>
          <w:cols w:equalWidth="0" w:num="1">
            <w:col w:w="11420"/>
          </w:cols>
          <w:pgMar w:left="240" w:top="219" w:right="239" w:bottom="0" w:gutter="0" w:footer="0" w:header="0"/>
        </w:sectPr>
      </w:pPr>
    </w:p>
    <w:p>
      <w:pPr>
        <w:spacing w:after="0" w:line="289"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SIGNATURES</w:t>
      </w:r>
    </w:p>
    <w:p>
      <w:pPr>
        <w:sectPr>
          <w:pgSz w:w="11900" w:h="16838" w:orient="portrait"/>
          <w:cols w:equalWidth="0" w:num="1">
            <w:col w:w="11420"/>
          </w:cols>
          <w:pgMar w:left="240" w:top="219" w:right="239" w:bottom="0" w:gutter="0" w:footer="0" w:header="0"/>
          <w:type w:val="continuous"/>
        </w:sectPr>
      </w:pPr>
    </w:p>
    <w:bookmarkStart w:id="1" w:name="page2"/>
    <w:bookmarkEnd w:id="1"/>
    <w:p>
      <w:pPr>
        <w:ind w:right="26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spacing w:after="0"/>
        <w:tabs>
          <w:tab w:leader="none" w:pos="6060" w:val="left"/>
        </w:tabs>
        <w:rPr>
          <w:sz w:val="20"/>
          <w:szCs w:val="20"/>
          <w:color w:val="auto"/>
        </w:rPr>
      </w:pPr>
      <w:r>
        <w:rPr>
          <w:rFonts w:ascii="Arial" w:cs="Arial" w:eastAsia="Arial" w:hAnsi="Arial"/>
          <w:sz w:val="22"/>
          <w:szCs w:val="22"/>
          <w:color w:val="auto"/>
        </w:rPr>
        <w:t>Dated: March 10, 2005</w:t>
      </w:r>
      <w:r>
        <w:rPr>
          <w:sz w:val="20"/>
          <w:szCs w:val="20"/>
          <w:color w:val="auto"/>
        </w:rPr>
        <w:tab/>
      </w:r>
      <w:r>
        <w:rPr>
          <w:rFonts w:ascii="Arial" w:cs="Arial" w:eastAsia="Arial" w:hAnsi="Arial"/>
          <w:sz w:val="25"/>
          <w:szCs w:val="25"/>
          <w:color w:val="auto"/>
        </w:rPr>
        <w:t>W</w:t>
      </w:r>
      <w:r>
        <w:rPr>
          <w:rFonts w:ascii="Arial" w:cs="Arial" w:eastAsia="Arial" w:hAnsi="Arial"/>
          <w:sz w:val="16"/>
          <w:szCs w:val="16"/>
          <w:color w:val="auto"/>
        </w:rPr>
        <w:t>INNEBAGO</w:t>
      </w:r>
      <w:r>
        <w:rPr>
          <w:rFonts w:ascii="Arial" w:cs="Arial" w:eastAsia="Arial" w:hAnsi="Arial"/>
          <w:sz w:val="25"/>
          <w:szCs w:val="25"/>
          <w:color w:val="auto"/>
        </w:rPr>
        <w:t xml:space="preserve"> I</w:t>
      </w:r>
      <w:r>
        <w:rPr>
          <w:rFonts w:ascii="Arial" w:cs="Arial" w:eastAsia="Arial" w:hAnsi="Arial"/>
          <w:sz w:val="16"/>
          <w:szCs w:val="16"/>
          <w:color w:val="auto"/>
        </w:rPr>
        <w:t>NDUSTRIES,</w:t>
      </w:r>
      <w:r>
        <w:rPr>
          <w:rFonts w:ascii="Arial" w:cs="Arial" w:eastAsia="Arial" w:hAnsi="Arial"/>
          <w:sz w:val="25"/>
          <w:szCs w:val="25"/>
          <w:color w:val="auto"/>
        </w:rPr>
        <w:t xml:space="preserve"> I</w:t>
      </w:r>
      <w:r>
        <w:rPr>
          <w:rFonts w:ascii="Arial" w:cs="Arial" w:eastAsia="Arial" w:hAnsi="Arial"/>
          <w:sz w:val="16"/>
          <w:szCs w:val="16"/>
          <w:color w:val="auto"/>
        </w:rPr>
        <w:t>NC.</w:t>
      </w:r>
    </w:p>
    <w:p>
      <w:pPr>
        <w:spacing w:after="0" w:line="255" w:lineRule="exact"/>
        <w:rPr>
          <w:sz w:val="20"/>
          <w:szCs w:val="20"/>
          <w:color w:val="auto"/>
        </w:rPr>
      </w:pPr>
    </w:p>
    <w:p>
      <w:pPr>
        <w:ind w:left="6080"/>
        <w:spacing w:after="0"/>
        <w:rPr>
          <w:sz w:val="20"/>
          <w:szCs w:val="20"/>
          <w:color w:val="auto"/>
        </w:rPr>
      </w:pPr>
      <w:r>
        <w:rPr>
          <w:rFonts w:ascii="Arial" w:cs="Arial" w:eastAsia="Arial" w:hAnsi="Arial"/>
          <w:sz w:val="22"/>
          <w:szCs w:val="22"/>
          <w:color w:val="auto"/>
        </w:rPr>
        <w:t>By: /s/ Bruce D. Hertzke</w:t>
      </w:r>
    </w:p>
    <w:p>
      <w:pPr>
        <w:ind w:left="6080"/>
        <w:spacing w:after="0" w:line="238" w:lineRule="auto"/>
        <w:rPr>
          <w:sz w:val="20"/>
          <w:szCs w:val="20"/>
          <w:color w:val="auto"/>
        </w:rPr>
      </w:pPr>
      <w:r>
        <w:rPr>
          <w:rFonts w:ascii="Arial" w:cs="Arial" w:eastAsia="Arial" w:hAnsi="Arial"/>
          <w:sz w:val="22"/>
          <w:szCs w:val="22"/>
          <w:color w:val="auto"/>
        </w:rPr>
        <w:t>Name: Bruce D. Hertzke</w:t>
      </w:r>
    </w:p>
    <w:p>
      <w:pPr>
        <w:ind w:left="6080"/>
        <w:spacing w:after="0"/>
        <w:rPr>
          <w:sz w:val="20"/>
          <w:szCs w:val="20"/>
          <w:color w:val="auto"/>
        </w:rPr>
      </w:pPr>
      <w:r>
        <w:rPr>
          <w:rFonts w:ascii="Arial" w:cs="Arial" w:eastAsia="Arial" w:hAnsi="Arial"/>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200" w:type="dxa"/>
            <w:vAlign w:val="bottom"/>
          </w:tcPr>
          <w:p>
            <w:pPr>
              <w:spacing w:after="0"/>
              <w:rPr>
                <w:sz w:val="24"/>
                <w:szCs w:val="24"/>
                <w:color w:val="auto"/>
              </w:rPr>
            </w:pPr>
          </w:p>
        </w:tc>
        <w:tc>
          <w:tcPr>
            <w:tcW w:w="10220" w:type="dxa"/>
            <w:vAlign w:val="bottom"/>
          </w:tcPr>
          <w:p>
            <w:pPr>
              <w:ind w:left="3680"/>
              <w:spacing w:after="0"/>
              <w:rPr>
                <w:sz w:val="20"/>
                <w:szCs w:val="20"/>
                <w:color w:val="auto"/>
              </w:rPr>
            </w:pPr>
            <w:r>
              <w:rPr>
                <w:rFonts w:ascii="Arial" w:cs="Arial" w:eastAsia="Arial" w:hAnsi="Arial"/>
                <w:sz w:val="22"/>
                <w:szCs w:val="22"/>
                <w:b w:val="1"/>
                <w:bCs w:val="1"/>
                <w:color w:val="auto"/>
              </w:rPr>
              <w:t>EXHIBIT INDEX</w:t>
            </w:r>
          </w:p>
        </w:tc>
      </w:tr>
      <w:tr>
        <w:trPr>
          <w:trHeight w:val="503"/>
        </w:trPr>
        <w:tc>
          <w:tcPr>
            <w:tcW w:w="1200" w:type="dxa"/>
            <w:vAlign w:val="bottom"/>
          </w:tcPr>
          <w:p>
            <w:pPr>
              <w:spacing w:after="0"/>
              <w:rPr>
                <w:sz w:val="20"/>
                <w:szCs w:val="20"/>
                <w:color w:val="auto"/>
              </w:rPr>
            </w:pPr>
            <w:r>
              <w:rPr>
                <w:rFonts w:ascii="Arial" w:cs="Arial" w:eastAsia="Arial" w:hAnsi="Arial"/>
                <w:sz w:val="22"/>
                <w:szCs w:val="22"/>
                <w:b w:val="1"/>
                <w:bCs w:val="1"/>
                <w:color w:val="auto"/>
              </w:rPr>
              <w:t>Exhibit</w:t>
            </w:r>
          </w:p>
        </w:tc>
        <w:tc>
          <w:tcPr>
            <w:tcW w:w="10220" w:type="dxa"/>
            <w:vAlign w:val="bottom"/>
          </w:tcPr>
          <w:p>
            <w:pPr>
              <w:spacing w:after="0"/>
              <w:rPr>
                <w:sz w:val="24"/>
                <w:szCs w:val="24"/>
                <w:color w:val="auto"/>
              </w:rPr>
            </w:pPr>
          </w:p>
        </w:tc>
      </w:tr>
      <w:tr>
        <w:trPr>
          <w:trHeight w:val="249"/>
        </w:trPr>
        <w:tc>
          <w:tcPr>
            <w:tcW w:w="1200" w:type="dxa"/>
            <w:vAlign w:val="bottom"/>
          </w:tcPr>
          <w:p>
            <w:pPr>
              <w:spacing w:after="0" w:line="249" w:lineRule="exact"/>
              <w:rPr>
                <w:sz w:val="20"/>
                <w:szCs w:val="20"/>
                <w:color w:val="auto"/>
              </w:rPr>
            </w:pPr>
            <w:r>
              <w:rPr>
                <w:rFonts w:ascii="Arial" w:cs="Arial" w:eastAsia="Arial" w:hAnsi="Arial"/>
                <w:sz w:val="22"/>
                <w:szCs w:val="22"/>
                <w:b w:val="1"/>
                <w:bCs w:val="1"/>
                <w:color w:val="auto"/>
              </w:rPr>
              <w:t>Number</w:t>
            </w:r>
          </w:p>
        </w:tc>
        <w:tc>
          <w:tcPr>
            <w:tcW w:w="10220" w:type="dxa"/>
            <w:vAlign w:val="bottom"/>
          </w:tcPr>
          <w:p>
            <w:pPr>
              <w:ind w:left="440"/>
              <w:spacing w:after="0" w:line="249" w:lineRule="exact"/>
              <w:rPr>
                <w:sz w:val="20"/>
                <w:szCs w:val="20"/>
                <w:color w:val="auto"/>
              </w:rPr>
            </w:pPr>
            <w:r>
              <w:rPr>
                <w:rFonts w:ascii="Arial" w:cs="Arial" w:eastAsia="Arial" w:hAnsi="Arial"/>
                <w:sz w:val="22"/>
                <w:szCs w:val="22"/>
                <w:b w:val="1"/>
                <w:bCs w:val="1"/>
                <w:color w:val="auto"/>
              </w:rPr>
              <w:t>Description</w:t>
            </w:r>
          </w:p>
        </w:tc>
      </w:tr>
      <w:tr>
        <w:trPr>
          <w:trHeight w:val="275"/>
        </w:trPr>
        <w:tc>
          <w:tcPr>
            <w:tcW w:w="1200" w:type="dxa"/>
            <w:vAlign w:val="bottom"/>
          </w:tcPr>
          <w:p>
            <w:pPr>
              <w:jc w:val="right"/>
              <w:ind w:right="492"/>
              <w:spacing w:after="0"/>
              <w:rPr>
                <w:sz w:val="20"/>
                <w:szCs w:val="20"/>
                <w:color w:val="auto"/>
              </w:rPr>
            </w:pPr>
            <w:r>
              <w:rPr>
                <w:rFonts w:ascii="Arial" w:cs="Arial" w:eastAsia="Arial" w:hAnsi="Arial"/>
                <w:sz w:val="22"/>
                <w:szCs w:val="22"/>
                <w:color w:val="auto"/>
              </w:rPr>
              <w:t>99.1</w:t>
            </w:r>
          </w:p>
        </w:tc>
        <w:tc>
          <w:tcPr>
            <w:tcW w:w="10220" w:type="dxa"/>
            <w:vAlign w:val="bottom"/>
          </w:tcPr>
          <w:p>
            <w:pPr>
              <w:ind w:left="440"/>
              <w:spacing w:after="0"/>
              <w:rPr>
                <w:sz w:val="20"/>
                <w:szCs w:val="20"/>
                <w:color w:val="auto"/>
              </w:rPr>
            </w:pPr>
            <w:r>
              <w:rPr>
                <w:rFonts w:ascii="Arial" w:cs="Arial" w:eastAsia="Arial" w:hAnsi="Arial"/>
                <w:sz w:val="22"/>
                <w:szCs w:val="22"/>
                <w:color w:val="auto"/>
              </w:rPr>
              <w:t>Press release of Winnebago Industries, Inc. dated March 10, 2005.</w:t>
            </w:r>
          </w:p>
        </w:tc>
      </w:tr>
      <w:tr>
        <w:trPr>
          <w:trHeight w:val="1094"/>
        </w:trPr>
        <w:tc>
          <w:tcPr>
            <w:tcW w:w="1200" w:type="dxa"/>
            <w:vAlign w:val="bottom"/>
            <w:tcBorders>
              <w:bottom w:val="single" w:sz="8" w:color="808080"/>
            </w:tcBorders>
          </w:tcPr>
          <w:p>
            <w:pPr>
              <w:spacing w:after="0"/>
              <w:rPr>
                <w:sz w:val="24"/>
                <w:szCs w:val="24"/>
                <w:color w:val="auto"/>
              </w:rPr>
            </w:pPr>
          </w:p>
        </w:tc>
        <w:tc>
          <w:tcPr>
            <w:tcW w:w="102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further information:  Sheila Davis, PR/IR Manager – 641-585-6803</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WINNEBAGO INDUSTRIES ANNOUNCES SECOND QUARTER</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FINANCIAL RESULTS CONFERENCE CALL TO BE HELD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ON MARCH 17, 2005</w:t>
      </w:r>
    </w:p>
    <w:p>
      <w:pPr>
        <w:spacing w:after="0" w:line="21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FOREST CITY, IOWA, March 10, 2005 – Winnebago Industries, Inc. (NYSE: WGO), the nation’s leading manufacturer of motor homes, will host a conference call on Thursday, March 17, 2005 at 10 am ET to discuss the financial results of its second quarter of fiscal 2005 ended February 26, 2005. The Company will release its financial results on March 17 at 7 am ET.</w:t>
      </w:r>
    </w:p>
    <w:p>
      <w:pPr>
        <w:spacing w:after="0" w:line="194" w:lineRule="exact"/>
        <w:rPr>
          <w:sz w:val="20"/>
          <w:szCs w:val="20"/>
          <w:color w:val="auto"/>
        </w:rPr>
      </w:pPr>
    </w:p>
    <w:p>
      <w:pPr>
        <w:ind w:right="580"/>
        <w:spacing w:after="0" w:line="259" w:lineRule="auto"/>
        <w:rPr>
          <w:sz w:val="20"/>
          <w:szCs w:val="20"/>
          <w:color w:val="auto"/>
        </w:rPr>
      </w:pPr>
      <w:r>
        <w:rPr>
          <w:rFonts w:ascii="Arial" w:cs="Arial" w:eastAsia="Arial" w:hAnsi="Arial"/>
          <w:sz w:val="18"/>
          <w:szCs w:val="18"/>
          <w:color w:val="auto"/>
        </w:rPr>
        <w:t xml:space="preserve">The conference call may be heard live from the Company’s website, </w:t>
      </w:r>
      <w:r>
        <w:rPr>
          <w:rFonts w:ascii="Arial" w:cs="Arial" w:eastAsia="Arial" w:hAnsi="Arial"/>
          <w:sz w:val="18"/>
          <w:szCs w:val="18"/>
          <w:u w:val="single" w:color="auto"/>
          <w:color w:val="auto"/>
        </w:rPr>
        <w:t>www.winnebagoind.com</w:t>
      </w:r>
      <w:r>
        <w:rPr>
          <w:rFonts w:ascii="Arial" w:cs="Arial" w:eastAsia="Arial" w:hAnsi="Arial"/>
          <w:sz w:val="18"/>
          <w:szCs w:val="18"/>
          <w:color w:val="auto"/>
        </w:rPr>
        <w:t xml:space="preserve">, or from </w:t>
      </w:r>
      <w:r>
        <w:rPr>
          <w:rFonts w:ascii="Arial" w:cs="Arial" w:eastAsia="Arial" w:hAnsi="Arial"/>
          <w:sz w:val="18"/>
          <w:szCs w:val="18"/>
          <w:u w:val="single" w:color="auto"/>
          <w:color w:val="auto"/>
        </w:rPr>
        <w:t>www.shareholder.com/winnebago/medialist.cfm</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www.vcall.com</w:t>
      </w:r>
      <w:r>
        <w:rPr>
          <w:rFonts w:ascii="Arial" w:cs="Arial" w:eastAsia="Arial" w:hAnsi="Arial"/>
          <w:sz w:val="18"/>
          <w:szCs w:val="18"/>
          <w:color w:val="auto"/>
        </w:rPr>
        <w:t xml:space="preserve">. If you are unable to participate during the live webcast, the call will be archived on the web site. To access the replay, click on </w:t>
      </w:r>
      <w:r>
        <w:rPr>
          <w:rFonts w:ascii="Arial" w:cs="Arial" w:eastAsia="Arial" w:hAnsi="Arial"/>
          <w:sz w:val="18"/>
          <w:szCs w:val="18"/>
          <w:u w:val="single" w:color="auto"/>
          <w:color w:val="auto"/>
        </w:rPr>
        <w:t>www.winnebagoind.com</w:t>
      </w:r>
      <w:r>
        <w:rPr>
          <w:rFonts w:ascii="Arial" w:cs="Arial" w:eastAsia="Arial" w:hAnsi="Arial"/>
          <w:sz w:val="18"/>
          <w:szCs w:val="18"/>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Minimum requirements to listen to the webcast: either Windows Media Player or RealPlayer. The Windows Media Player software is downloadable free from:</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www.microsoft.com/windows/windowsmedia/download/default.asp</w:t>
      </w:r>
      <w:r>
        <w:rPr>
          <w:rFonts w:ascii="Arial" w:cs="Arial" w:eastAsia="Arial" w:hAnsi="Arial"/>
          <w:sz w:val="16"/>
          <w:szCs w:val="16"/>
          <w:color w:val="auto"/>
        </w:rPr>
        <w:t>, and at least a 28.8 Kbps connection to the Internet. Or: The RealPlayer software,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downloadable free from: </w:t>
      </w:r>
      <w:r>
        <w:rPr>
          <w:rFonts w:ascii="Arial" w:cs="Arial" w:eastAsia="Arial" w:hAnsi="Arial"/>
          <w:sz w:val="18"/>
          <w:szCs w:val="18"/>
          <w:u w:val="single" w:color="auto"/>
          <w:color w:val="auto"/>
        </w:rPr>
        <w:t>www.real.com/products/player/index.html</w:t>
      </w:r>
      <w:r>
        <w:rPr>
          <w:rFonts w:ascii="Arial" w:cs="Arial" w:eastAsia="Arial" w:hAnsi="Arial"/>
          <w:sz w:val="18"/>
          <w:szCs w:val="18"/>
          <w:color w:val="auto"/>
        </w:rPr>
        <w:t>, and at least a 28.8 Kbps connection to the Internet.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Winnebago Industries</w:t>
      </w:r>
    </w:p>
    <w:p>
      <w:pPr>
        <w:spacing w:after="0" w:line="21"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 xml:space="preserve">Winnebago Industries, Inc. is the leading United States manufacturer of motor homes, self-contained recreation vehicles used primarily in leisure travel and outdoor recreation activities. The Company builds quality motor homes under the Winnebago, Itasca or Rialta brand names with state-of-the-art computer-aided design and manufacturing systems on automotive-styled assembly lines. The Company’s common stock is listed on the New York, Chicago and Pacific Stock Exchanges and traded under the symbol WGO. Options for the Company’s common stock are traded on the Chicago Board Options Exchange. For access to Winnebago Industries investor relations material, to add your name to an automatic email list for Company news releases or for information on a dollar-based stock investment service for the Company’s stock, visit, </w:t>
      </w:r>
      <w:r>
        <w:rPr>
          <w:rFonts w:ascii="Arial" w:cs="Arial" w:eastAsia="Arial" w:hAnsi="Arial"/>
          <w:sz w:val="16"/>
          <w:szCs w:val="16"/>
          <w:u w:val="single" w:color="auto"/>
          <w:color w:val="auto"/>
        </w:rPr>
        <w:t>http://www.winnebagoind.com/html/company/investorRelations.html</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1758315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2019-12-13T08:12:06Z</dcterms:created>
  <dcterms:modified xsi:type="dcterms:W3CDTF">2019-12-13T08:12:06Z</dcterms:modified>
</cp:coreProperties>
</file>