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BOGART STACY L</w:t>
        </w:r>
      </w:hyperlink>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P.O. BOX 152</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50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SVP-General Counsel</w:t>
            </w:r>
          </w:p>
        </w:tc>
        <w:tc>
          <w:tcPr>
            <w:tcW w:w="0" w:type="dxa"/>
            <w:vAlign w:val="bottom"/>
          </w:tcPr>
          <w:p>
            <w:pPr>
              <w:spacing w:after="0"/>
              <w:rPr>
                <w:sz w:val="1"/>
                <w:szCs w:val="1"/>
                <w:color w:val="auto"/>
              </w:rPr>
            </w:pPr>
          </w:p>
        </w:tc>
      </w:tr>
      <w:tr>
        <w:trPr>
          <w:trHeight w:val="120"/>
        </w:trPr>
        <w:tc>
          <w:tcPr>
            <w:tcW w:w="3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12/17/2020</w:t>
            </w: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8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0" w:type="dxa"/>
            <w:vAlign w:val="bottom"/>
            <w:tcBorders>
              <w:bottom w:val="single" w:sz="8" w:color="2C2C2C"/>
            </w:tcBorders>
          </w:tcPr>
          <w:p>
            <w:pPr>
              <w:spacing w:after="0"/>
              <w:rPr>
                <w:sz w:val="11"/>
                <w:szCs w:val="11"/>
                <w:color w:val="auto"/>
              </w:rPr>
            </w:pPr>
          </w:p>
        </w:tc>
        <w:tc>
          <w:tcPr>
            <w:tcW w:w="36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348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21,629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95</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21,534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12/17/2020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97 shares acquired through the Winnebago Industries, Inc. Employee Stock Purchase Program</w:t>
      </w:r>
    </w:p>
    <w:p>
      <w:pPr>
        <w:sectPr>
          <w:pgSz w:w="11900" w:h="16838" w:orient="portrait"/>
          <w:cols w:equalWidth="0" w:num="1">
            <w:col w:w="11080"/>
          </w:cols>
          <w:pgMar w:left="460" w:top="219" w:right="359" w:bottom="144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7634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2020-12-21T18:26:36Z</dcterms:created>
  <dcterms:modified xsi:type="dcterms:W3CDTF">2020-12-21T18:26:36Z</dcterms:modified>
</cp:coreProperties>
</file>