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229235</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351"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42545</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240"/>
        <w:spacing w:after="0"/>
        <w:rPr>
          <w:sz w:val="20"/>
          <w:szCs w:val="20"/>
          <w:color w:val="auto"/>
        </w:rPr>
      </w:pPr>
      <w:r>
        <w:rPr>
          <w:rFonts w:ascii="Arial" w:cs="Arial" w:eastAsia="Arial" w:hAnsi="Arial"/>
          <w:sz w:val="16"/>
          <w:szCs w:val="16"/>
          <w:color w:val="auto"/>
        </w:rPr>
        <w:t>(Mark One)</w:t>
      </w:r>
    </w:p>
    <w:p>
      <w:pPr>
        <w:spacing w:after="0" w:line="188" w:lineRule="exact"/>
        <w:rPr>
          <w:sz w:val="24"/>
          <w:szCs w:val="24"/>
          <w:color w:val="auto"/>
        </w:rPr>
      </w:pPr>
    </w:p>
    <w:p>
      <w:pPr>
        <w:ind w:left="680" w:hanging="449"/>
        <w:spacing w:after="0"/>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8" w:lineRule="exact"/>
        <w:rPr>
          <w:sz w:val="24"/>
          <w:szCs w:val="24"/>
          <w:color w:val="auto"/>
        </w:rPr>
      </w:pPr>
    </w:p>
    <w:p>
      <w:pPr>
        <w:ind w:left="3900"/>
        <w:spacing w:after="0"/>
        <w:rPr>
          <w:sz w:val="20"/>
          <w:szCs w:val="20"/>
          <w:color w:val="auto"/>
        </w:rPr>
      </w:pPr>
      <w:r>
        <w:rPr>
          <w:rFonts w:ascii="Arial" w:cs="Arial" w:eastAsia="Arial" w:hAnsi="Arial"/>
          <w:sz w:val="16"/>
          <w:szCs w:val="16"/>
          <w:color w:val="auto"/>
        </w:rPr>
        <w:t>For the quarterly period ended November 30, 2013</w:t>
      </w:r>
    </w:p>
    <w:p>
      <w:pPr>
        <w:spacing w:after="0" w:line="86" w:lineRule="exact"/>
        <w:rPr>
          <w:sz w:val="24"/>
          <w:szCs w:val="24"/>
          <w:color w:val="auto"/>
        </w:rPr>
      </w:pPr>
    </w:p>
    <w:p>
      <w:pPr>
        <w:ind w:left="5420"/>
        <w:spacing w:after="0"/>
        <w:rPr>
          <w:sz w:val="20"/>
          <w:szCs w:val="20"/>
          <w:color w:val="auto"/>
        </w:rPr>
      </w:pPr>
      <w:r>
        <w:rPr>
          <w:rFonts w:ascii="Arial" w:cs="Arial" w:eastAsia="Arial" w:hAnsi="Arial"/>
          <w:sz w:val="16"/>
          <w:szCs w:val="16"/>
          <w:color w:val="auto"/>
        </w:rPr>
        <w:t>or</w:t>
      </w:r>
    </w:p>
    <w:p>
      <w:pPr>
        <w:spacing w:after="0" w:line="188" w:lineRule="exact"/>
        <w:rPr>
          <w:sz w:val="24"/>
          <w:szCs w:val="24"/>
          <w:color w:val="auto"/>
        </w:rPr>
      </w:pPr>
    </w:p>
    <w:p>
      <w:pPr>
        <w:ind w:left="3020" w:right="2420" w:hanging="2789"/>
        <w:spacing w:after="0" w:line="510" w:lineRule="auto"/>
        <w:tabs>
          <w:tab w:leader="none" w:pos="684"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2646680</wp:posOffset>
            </wp:positionH>
            <wp:positionV relativeFrom="paragraph">
              <wp:posOffset>143510</wp:posOffset>
            </wp:positionV>
            <wp:extent cx="1964055"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6405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020" w:type="dxa"/>
        <w:tblCellMar>
          <w:top w:w="0" w:type="dxa"/>
          <w:left w:w="0" w:type="dxa"/>
          <w:bottom w:w="0" w:type="dxa"/>
          <w:right w:w="0" w:type="dxa"/>
        </w:tblCellMar>
      </w:tblPr>
      <w:tr>
        <w:trPr>
          <w:trHeight w:val="22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19"/>
                <w:szCs w:val="19"/>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7"/>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8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7"/>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31750</wp:posOffset>
            </wp:positionV>
            <wp:extent cx="2418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194" w:lineRule="exact"/>
        <w:rPr>
          <w:sz w:val="24"/>
          <w:szCs w:val="24"/>
          <w:color w:val="auto"/>
        </w:rPr>
      </w:pPr>
    </w:p>
    <w:p>
      <w:pPr>
        <w:jc w:val="both"/>
        <w:ind w:right="12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09"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309" w:lineRule="exact"/>
        <w:rPr>
          <w:sz w:val="24"/>
          <w:szCs w:val="24"/>
          <w:color w:val="auto"/>
        </w:rPr>
      </w:pPr>
    </w:p>
    <w:p>
      <w:pPr>
        <w:ind w:right="1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p>
      <w:pPr>
        <w:ind w:left="40"/>
        <w:spacing w:after="0"/>
        <w:tabs>
          <w:tab w:leader="none" w:pos="2240" w:val="left"/>
          <w:tab w:leader="none" w:pos="4540" w:val="left"/>
          <w:tab w:leader="none" w:pos="6780" w:val="left"/>
        </w:tabs>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Accelerated filer </w:t>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 xml:space="preserve">Non-accelerated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8"/>
          <w:szCs w:val="18"/>
          <w:color w:val="auto"/>
        </w:rPr>
        <w:t>o</w:t>
      </w:r>
    </w:p>
    <w:p>
      <w:pPr>
        <w:spacing w:after="0" w:line="243" w:lineRule="exact"/>
        <w:rPr>
          <w:sz w:val="24"/>
          <w:szCs w:val="24"/>
          <w:color w:val="auto"/>
        </w:rPr>
      </w:pPr>
    </w:p>
    <w:p>
      <w:pPr>
        <w:ind w:right="2480"/>
        <w:spacing w:after="0" w:line="487"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The number of shares of common stock, par value $0.50 per share, outstanding January 2, 2014 was 27,718,043.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98"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100" w:type="dxa"/>
            <w:vAlign w:val="bottom"/>
            <w:gridSpan w:val="8"/>
          </w:tcPr>
          <w:p>
            <w:pPr>
              <w:jc w:val="center"/>
              <w:ind w:right="120"/>
              <w:spacing w:after="0"/>
              <w:rPr>
                <w:sz w:val="20"/>
                <w:szCs w:val="20"/>
                <w:color w:val="auto"/>
              </w:rPr>
            </w:pPr>
            <w:r>
              <w:rPr>
                <w:rFonts w:ascii="Arial" w:cs="Arial" w:eastAsia="Arial" w:hAnsi="Arial"/>
                <w:sz w:val="22"/>
                <w:szCs w:val="22"/>
                <w:b w:val="1"/>
                <w:bCs w:val="1"/>
                <w:color w:val="auto"/>
                <w:w w:val="97"/>
              </w:rPr>
              <w:t>Winnebago Industries, Inc.</w:t>
            </w:r>
          </w:p>
        </w:tc>
      </w:tr>
      <w:tr>
        <w:trPr>
          <w:trHeight w:val="286"/>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6"/>
          </w:tcPr>
          <w:p>
            <w:pPr>
              <w:jc w:val="center"/>
              <w:ind w:right="340"/>
              <w:spacing w:after="0"/>
              <w:rPr>
                <w:sz w:val="20"/>
                <w:szCs w:val="20"/>
                <w:color w:val="auto"/>
              </w:rPr>
            </w:pPr>
            <w:r>
              <w:rPr>
                <w:rFonts w:ascii="Arial" w:cs="Arial" w:eastAsia="Arial" w:hAnsi="Arial"/>
                <w:sz w:val="22"/>
                <w:szCs w:val="22"/>
                <w:b w:val="1"/>
                <w:bCs w:val="1"/>
                <w:color w:val="auto"/>
                <w:w w:val="97"/>
              </w:rPr>
              <w:t>Table of Contents</w:t>
            </w:r>
          </w:p>
        </w:tc>
      </w:tr>
      <w:tr>
        <w:trPr>
          <w:trHeight w:val="530"/>
        </w:trPr>
        <w:tc>
          <w:tcPr>
            <w:tcW w:w="640" w:type="dxa"/>
            <w:vAlign w:val="bottom"/>
            <w:tcBorders>
              <w:bottom w:val="single" w:sz="8" w:color="0000FF"/>
            </w:tcBorders>
            <w:gridSpan w:val="3"/>
          </w:tcPr>
          <w:p>
            <w:pPr>
              <w:spacing w:after="0"/>
              <w:rPr>
                <w:rFonts w:ascii="Arial" w:cs="Arial" w:eastAsia="Arial" w:hAnsi="Arial"/>
                <w:sz w:val="16"/>
                <w:szCs w:val="16"/>
                <w:color w:val="0000FF"/>
                <w:w w:val="98"/>
              </w:rPr>
            </w:pPr>
            <w:hyperlink w:anchor="page2">
              <w:r>
                <w:rPr>
                  <w:rFonts w:ascii="Arial" w:cs="Arial" w:eastAsia="Arial" w:hAnsi="Arial"/>
                  <w:sz w:val="16"/>
                  <w:szCs w:val="16"/>
                  <w:color w:val="0000FF"/>
                  <w:w w:val="98"/>
                </w:rPr>
                <w:t>Glossary</w:t>
              </w:r>
            </w:hyperlink>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20"/>
        </w:trPr>
        <w:tc>
          <w:tcPr>
            <w:tcW w:w="520" w:type="dxa"/>
            <w:vAlign w:val="bottom"/>
          </w:tcPr>
          <w:p>
            <w:pPr>
              <w:spacing w:after="0"/>
              <w:rPr>
                <w:sz w:val="20"/>
                <w:szCs w:val="20"/>
                <w:color w:val="auto"/>
              </w:rPr>
            </w:pPr>
            <w:r>
              <w:rPr>
                <w:rFonts w:ascii="Arial" w:cs="Arial" w:eastAsia="Arial" w:hAnsi="Arial"/>
                <w:sz w:val="16"/>
                <w:szCs w:val="16"/>
                <w:b w:val="1"/>
                <w:bCs w:val="1"/>
                <w:color w:val="0000FF"/>
                <w:w w:val="95"/>
              </w:rPr>
              <w:t>PART I</w:t>
            </w:r>
          </w:p>
        </w:tc>
        <w:tc>
          <w:tcPr>
            <w:tcW w:w="12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6360" w:type="dxa"/>
            <w:vAlign w:val="bottom"/>
            <w:gridSpan w:val="29"/>
          </w:tcPr>
          <w:p>
            <w:pPr>
              <w:spacing w:after="0"/>
              <w:rPr>
                <w:rFonts w:ascii="Arial" w:cs="Arial" w:eastAsia="Arial" w:hAnsi="Arial"/>
                <w:sz w:val="16"/>
                <w:szCs w:val="16"/>
                <w:b w:val="1"/>
                <w:bCs w:val="1"/>
                <w:color w:val="0000FF"/>
              </w:rPr>
            </w:pPr>
            <w:hyperlink w:anchor="page3">
              <w:r>
                <w:rPr>
                  <w:rFonts w:ascii="Arial" w:cs="Arial" w:eastAsia="Arial" w:hAnsi="Arial"/>
                  <w:sz w:val="16"/>
                  <w:szCs w:val="16"/>
                  <w:b w:val="1"/>
                  <w:bCs w:val="1"/>
                  <w:color w:val="0000FF"/>
                </w:rPr>
                <w:t>FINANCIAL INFORMATION</w:t>
              </w:r>
            </w:hyperlink>
          </w:p>
        </w:tc>
      </w:tr>
      <w:tr>
        <w:trPr>
          <w:trHeight w:val="20"/>
        </w:trPr>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6"/>
                <w:szCs w:val="16"/>
                <w:color w:val="auto"/>
              </w:rPr>
              <w:t>Item 1.</w:t>
            </w:r>
          </w:p>
        </w:tc>
        <w:tc>
          <w:tcPr>
            <w:tcW w:w="12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6360" w:type="dxa"/>
            <w:vAlign w:val="bottom"/>
            <w:gridSpan w:val="29"/>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Financial Statements (Unaudited</w:t>
              </w:r>
            </w:hyperlink>
            <w:r>
              <w:rPr>
                <w:rFonts w:ascii="Arial" w:cs="Arial" w:eastAsia="Arial" w:hAnsi="Arial"/>
                <w:sz w:val="16"/>
                <w:szCs w:val="16"/>
                <w:color w:val="000000"/>
              </w:rPr>
              <w:t>)</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900" w:type="dxa"/>
            <w:vAlign w:val="bottom"/>
            <w:tcBorders>
              <w:bottom w:val="single" w:sz="8" w:color="0000FF"/>
            </w:tcBorders>
            <w:gridSpan w:val="27"/>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Consolidated Statements of Operations and Comprehensive Income</w:t>
              </w:r>
            </w:hyperlink>
          </w:p>
        </w:tc>
        <w:tc>
          <w:tcPr>
            <w:tcW w:w="12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120" w:type="dxa"/>
            <w:vAlign w:val="bottom"/>
            <w:gridSpan w:val="28"/>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Consolidated Balance Sheets</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80" w:type="dxa"/>
            <w:vAlign w:val="bottom"/>
            <w:tcBorders>
              <w:bottom w:val="single" w:sz="8" w:color="0000FF"/>
            </w:tcBorders>
            <w:gridSpan w:val="18"/>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Consolidated Statements of Cash Flows</w:t>
              </w:r>
            </w:hyperlink>
          </w:p>
        </w:tc>
        <w:tc>
          <w:tcPr>
            <w:tcW w:w="3240" w:type="dxa"/>
            <w:vAlign w:val="bottom"/>
            <w:gridSpan w:val="10"/>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120" w:type="dxa"/>
            <w:vAlign w:val="bottom"/>
            <w:gridSpan w:val="28"/>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Notes to Consolidated Financial Statements</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100" w:type="dxa"/>
            <w:vAlign w:val="bottom"/>
            <w:tcBorders>
              <w:top w:val="single" w:sz="8" w:color="0000FF"/>
              <w:bottom w:val="single" w:sz="8" w:color="0000FF"/>
            </w:tcBorders>
            <w:gridSpan w:val="15"/>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 1: Basis of Presentation</w:t>
              </w:r>
            </w:hyperlink>
          </w:p>
        </w:tc>
        <w:tc>
          <w:tcPr>
            <w:tcW w:w="820" w:type="dxa"/>
            <w:vAlign w:val="bottom"/>
            <w:tcBorders>
              <w:top w:val="single" w:sz="8" w:color="0000FF"/>
            </w:tcBorders>
            <w:gridSpan w:val="5"/>
          </w:tcPr>
          <w:p>
            <w:pPr>
              <w:spacing w:after="0"/>
              <w:rPr>
                <w:sz w:val="21"/>
                <w:szCs w:val="21"/>
                <w:color w:val="auto"/>
              </w:rPr>
            </w:pPr>
          </w:p>
        </w:tc>
        <w:tc>
          <w:tcPr>
            <w:tcW w:w="2980" w:type="dxa"/>
            <w:vAlign w:val="bottom"/>
            <w:gridSpan w:val="7"/>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7"/>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 2: Concentration Risk</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40" w:type="dxa"/>
            <w:vAlign w:val="bottom"/>
            <w:tcBorders>
              <w:bottom w:val="single" w:sz="8" w:color="0000FF"/>
            </w:tcBorders>
            <w:gridSpan w:val="23"/>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 3: Investments and Fair Value Measurements</w:t>
              </w:r>
            </w:hyperlink>
          </w:p>
        </w:tc>
        <w:tc>
          <w:tcPr>
            <w:tcW w:w="2260" w:type="dxa"/>
            <w:vAlign w:val="bottom"/>
            <w:gridSpan w:val="4"/>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Borders>
              <w:bottom w:val="single" w:sz="8" w:color="0000FF"/>
            </w:tcBorders>
            <w:gridSpan w:val="7"/>
          </w:tcPr>
          <w:p>
            <w:pPr>
              <w:spacing w:after="0"/>
              <w:rPr>
                <w:rFonts w:ascii="Arial" w:cs="Arial" w:eastAsia="Arial" w:hAnsi="Arial"/>
                <w:sz w:val="16"/>
                <w:szCs w:val="16"/>
                <w:color w:val="0000FF"/>
                <w:w w:val="99"/>
              </w:rPr>
            </w:pPr>
            <w:hyperlink w:anchor="page9">
              <w:r>
                <w:rPr>
                  <w:rFonts w:ascii="Arial" w:cs="Arial" w:eastAsia="Arial" w:hAnsi="Arial"/>
                  <w:sz w:val="16"/>
                  <w:szCs w:val="16"/>
                  <w:color w:val="0000FF"/>
                  <w:w w:val="99"/>
                </w:rPr>
                <w:t>Note 4: Inventories</w:t>
              </w:r>
            </w:hyperlink>
          </w:p>
        </w:tc>
        <w:tc>
          <w:tcPr>
            <w:tcW w:w="4540" w:type="dxa"/>
            <w:vAlign w:val="bottom"/>
            <w:gridSpan w:val="20"/>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80" w:type="dxa"/>
            <w:vAlign w:val="bottom"/>
            <w:tcBorders>
              <w:bottom w:val="single" w:sz="8" w:color="0000FF"/>
            </w:tcBorders>
            <w:gridSpan w:val="18"/>
          </w:tcPr>
          <w:p>
            <w:pPr>
              <w:spacing w:after="0"/>
              <w:rPr>
                <w:rFonts w:ascii="Arial" w:cs="Arial" w:eastAsia="Arial" w:hAnsi="Arial"/>
                <w:sz w:val="16"/>
                <w:szCs w:val="16"/>
                <w:color w:val="0000FF"/>
              </w:rPr>
            </w:pPr>
            <w:hyperlink w:anchor="page9">
              <w:r>
                <w:rPr>
                  <w:rFonts w:ascii="Arial" w:cs="Arial" w:eastAsia="Arial" w:hAnsi="Arial"/>
                  <w:sz w:val="16"/>
                  <w:szCs w:val="16"/>
                  <w:color w:val="0000FF"/>
                </w:rPr>
                <w:t>Note 5: Property, Plant and Equipment</w:t>
              </w:r>
            </w:hyperlink>
          </w:p>
        </w:tc>
        <w:tc>
          <w:tcPr>
            <w:tcW w:w="3120" w:type="dxa"/>
            <w:vAlign w:val="bottom"/>
            <w:gridSpan w:val="9"/>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Borders>
              <w:bottom w:val="single" w:sz="8" w:color="0000FF"/>
            </w:tcBorders>
            <w:gridSpan w:val="10"/>
          </w:tcPr>
          <w:p>
            <w:pPr>
              <w:spacing w:after="0"/>
              <w:rPr>
                <w:rFonts w:ascii="Arial" w:cs="Arial" w:eastAsia="Arial" w:hAnsi="Arial"/>
                <w:sz w:val="16"/>
                <w:szCs w:val="16"/>
                <w:color w:val="0000FF"/>
              </w:rPr>
            </w:pPr>
            <w:hyperlink w:anchor="page9">
              <w:r>
                <w:rPr>
                  <w:rFonts w:ascii="Arial" w:cs="Arial" w:eastAsia="Arial" w:hAnsi="Arial"/>
                  <w:sz w:val="16"/>
                  <w:szCs w:val="16"/>
                  <w:color w:val="0000FF"/>
                </w:rPr>
                <w:t>Note 6: Credit Facilities</w:t>
              </w:r>
            </w:hyperlink>
          </w:p>
        </w:tc>
        <w:tc>
          <w:tcPr>
            <w:tcW w:w="4220" w:type="dxa"/>
            <w:vAlign w:val="bottom"/>
            <w:gridSpan w:val="17"/>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Borders>
              <w:bottom w:val="single" w:sz="8" w:color="0000FF"/>
            </w:tcBorders>
            <w:gridSpan w:val="4"/>
          </w:tcPr>
          <w:p>
            <w:pPr>
              <w:spacing w:after="0"/>
              <w:rPr>
                <w:rFonts w:ascii="Arial" w:cs="Arial" w:eastAsia="Arial" w:hAnsi="Arial"/>
                <w:sz w:val="16"/>
                <w:szCs w:val="16"/>
                <w:color w:val="0000FF"/>
                <w:w w:val="99"/>
              </w:rPr>
            </w:pPr>
            <w:hyperlink w:anchor="page10">
              <w:r>
                <w:rPr>
                  <w:rFonts w:ascii="Arial" w:cs="Arial" w:eastAsia="Arial" w:hAnsi="Arial"/>
                  <w:sz w:val="16"/>
                  <w:szCs w:val="16"/>
                  <w:color w:val="0000FF"/>
                  <w:w w:val="99"/>
                </w:rPr>
                <w:t>Note 7: Warranty</w:t>
              </w:r>
            </w:hyperlink>
          </w:p>
        </w:tc>
        <w:tc>
          <w:tcPr>
            <w:tcW w:w="4680" w:type="dxa"/>
            <w:vAlign w:val="bottom"/>
            <w:gridSpan w:val="23"/>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0" w:type="dxa"/>
            <w:vAlign w:val="bottom"/>
            <w:tcBorders>
              <w:bottom w:val="single" w:sz="8" w:color="0000FF"/>
            </w:tcBorders>
            <w:gridSpan w:val="19"/>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Note 8: Employee and Retiree Benefits</w:t>
              </w:r>
            </w:hyperlink>
          </w:p>
        </w:tc>
        <w:tc>
          <w:tcPr>
            <w:tcW w:w="3100" w:type="dxa"/>
            <w:vAlign w:val="bottom"/>
            <w:gridSpan w:val="8"/>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20" w:type="dxa"/>
            <w:vAlign w:val="bottom"/>
            <w:tcBorders>
              <w:bottom w:val="single" w:sz="8" w:color="0000FF"/>
            </w:tcBorders>
            <w:gridSpan w:val="21"/>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Note 9: Stock-Based Compensation Plans</w:t>
              </w:r>
            </w:hyperlink>
          </w:p>
        </w:tc>
        <w:tc>
          <w:tcPr>
            <w:tcW w:w="2880" w:type="dxa"/>
            <w:vAlign w:val="bottom"/>
            <w:gridSpan w:val="6"/>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7"/>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Note 10: Contingent Liabilities and Commitments</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top w:val="single" w:sz="8" w:color="0000FF"/>
              <w:bottom w:val="single" w:sz="8" w:color="0000FF"/>
            </w:tcBorders>
            <w:gridSpan w:val="9"/>
          </w:tcPr>
          <w:p>
            <w:pPr>
              <w:spacing w:after="0"/>
              <w:rPr>
                <w:rFonts w:ascii="Arial" w:cs="Arial" w:eastAsia="Arial" w:hAnsi="Arial"/>
                <w:sz w:val="16"/>
                <w:szCs w:val="16"/>
                <w:color w:val="0000FF"/>
                <w:w w:val="99"/>
              </w:rPr>
            </w:pPr>
            <w:hyperlink w:anchor="page12">
              <w:r>
                <w:rPr>
                  <w:rFonts w:ascii="Arial" w:cs="Arial" w:eastAsia="Arial" w:hAnsi="Arial"/>
                  <w:sz w:val="16"/>
                  <w:szCs w:val="16"/>
                  <w:color w:val="0000FF"/>
                  <w:w w:val="99"/>
                </w:rPr>
                <w:t>Note 11: Income Taxes</w:t>
              </w:r>
            </w:hyperlink>
          </w:p>
        </w:tc>
        <w:tc>
          <w:tcPr>
            <w:tcW w:w="1840" w:type="dxa"/>
            <w:vAlign w:val="bottom"/>
            <w:tcBorders>
              <w:top w:val="single" w:sz="8" w:color="0000FF"/>
            </w:tcBorders>
            <w:gridSpan w:val="13"/>
          </w:tcPr>
          <w:p>
            <w:pPr>
              <w:spacing w:after="0"/>
              <w:rPr>
                <w:sz w:val="21"/>
                <w:szCs w:val="21"/>
                <w:color w:val="auto"/>
              </w:rPr>
            </w:pPr>
          </w:p>
        </w:tc>
        <w:tc>
          <w:tcPr>
            <w:tcW w:w="2400" w:type="dxa"/>
            <w:vAlign w:val="bottom"/>
            <w:gridSpan w:val="5"/>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7"/>
          </w:tcPr>
          <w:p>
            <w:pPr>
              <w:spacing w:after="0"/>
              <w:rPr>
                <w:rFonts w:ascii="Arial" w:cs="Arial" w:eastAsia="Arial" w:hAnsi="Arial"/>
                <w:sz w:val="16"/>
                <w:szCs w:val="16"/>
                <w:color w:val="0000FF"/>
              </w:rPr>
            </w:pPr>
            <w:hyperlink w:anchor="page12">
              <w:r>
                <w:rPr>
                  <w:rFonts w:ascii="Arial" w:cs="Arial" w:eastAsia="Arial" w:hAnsi="Arial"/>
                  <w:sz w:val="16"/>
                  <w:szCs w:val="16"/>
                  <w:color w:val="0000FF"/>
                </w:rPr>
                <w:t>Note 12: Earnings Per Share</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2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7"/>
          </w:tcPr>
          <w:p>
            <w:pPr>
              <w:spacing w:after="0"/>
              <w:rPr>
                <w:rFonts w:ascii="Arial" w:cs="Arial" w:eastAsia="Arial" w:hAnsi="Arial"/>
                <w:sz w:val="16"/>
                <w:szCs w:val="16"/>
                <w:color w:val="0000FF"/>
              </w:rPr>
            </w:pPr>
            <w:hyperlink w:anchor="page12">
              <w:r>
                <w:rPr>
                  <w:rFonts w:ascii="Arial" w:cs="Arial" w:eastAsia="Arial" w:hAnsi="Arial"/>
                  <w:sz w:val="16"/>
                  <w:szCs w:val="16"/>
                  <w:color w:val="0000FF"/>
                </w:rPr>
                <w:t>Note 13: Comprehensive Income</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Borders>
              <w:top w:val="single" w:sz="8" w:color="0000FF"/>
              <w:bottom w:val="single" w:sz="8" w:color="0000FF"/>
            </w:tcBorders>
            <w:gridSpan w:val="13"/>
          </w:tcPr>
          <w:p>
            <w:pPr>
              <w:spacing w:after="0"/>
              <w:rPr>
                <w:rFonts w:ascii="Arial" w:cs="Arial" w:eastAsia="Arial" w:hAnsi="Arial"/>
                <w:sz w:val="16"/>
                <w:szCs w:val="16"/>
                <w:color w:val="0000FF"/>
              </w:rPr>
            </w:pPr>
            <w:hyperlink w:anchor="page13">
              <w:r>
                <w:rPr>
                  <w:rFonts w:ascii="Arial" w:cs="Arial" w:eastAsia="Arial" w:hAnsi="Arial"/>
                  <w:sz w:val="16"/>
                  <w:szCs w:val="16"/>
                  <w:color w:val="0000FF"/>
                </w:rPr>
                <w:t>Note 14: Subsequent Event</w:t>
              </w:r>
            </w:hyperlink>
          </w:p>
        </w:tc>
        <w:tc>
          <w:tcPr>
            <w:tcW w:w="380" w:type="dxa"/>
            <w:vAlign w:val="bottom"/>
            <w:tcBorders>
              <w:top w:val="single" w:sz="8" w:color="0000FF"/>
            </w:tcBorders>
            <w:gridSpan w:val="3"/>
          </w:tcPr>
          <w:p>
            <w:pPr>
              <w:spacing w:after="0"/>
              <w:rPr>
                <w:sz w:val="21"/>
                <w:szCs w:val="21"/>
                <w:color w:val="auto"/>
              </w:rPr>
            </w:pPr>
          </w:p>
        </w:tc>
        <w:tc>
          <w:tcPr>
            <w:tcW w:w="3540" w:type="dxa"/>
            <w:vAlign w:val="bottom"/>
            <w:gridSpan w:val="11"/>
          </w:tcPr>
          <w:p>
            <w:pPr>
              <w:spacing w:after="0"/>
              <w:rPr>
                <w:sz w:val="21"/>
                <w:szCs w:val="21"/>
                <w:color w:val="auto"/>
              </w:rPr>
            </w:pPr>
          </w:p>
        </w:tc>
      </w:tr>
      <w:tr>
        <w:trPr>
          <w:trHeight w:val="250"/>
        </w:trPr>
        <w:tc>
          <w:tcPr>
            <w:tcW w:w="640" w:type="dxa"/>
            <w:vAlign w:val="bottom"/>
            <w:gridSpan w:val="3"/>
          </w:tcPr>
          <w:p>
            <w:pPr>
              <w:spacing w:after="0"/>
              <w:rPr>
                <w:sz w:val="20"/>
                <w:szCs w:val="20"/>
                <w:color w:val="auto"/>
              </w:rPr>
            </w:pPr>
            <w:r>
              <w:rPr>
                <w:rFonts w:ascii="Arial" w:cs="Arial" w:eastAsia="Arial" w:hAnsi="Arial"/>
                <w:sz w:val="16"/>
                <w:szCs w:val="16"/>
                <w:color w:val="auto"/>
              </w:rPr>
              <w:t>Item 2.</w:t>
            </w:r>
          </w:p>
        </w:tc>
        <w:tc>
          <w:tcPr>
            <w:tcW w:w="280" w:type="dxa"/>
            <w:vAlign w:val="bottom"/>
          </w:tcPr>
          <w:p>
            <w:pPr>
              <w:spacing w:after="0"/>
              <w:rPr>
                <w:sz w:val="21"/>
                <w:szCs w:val="21"/>
                <w:color w:val="auto"/>
              </w:rPr>
            </w:pPr>
          </w:p>
        </w:tc>
        <w:tc>
          <w:tcPr>
            <w:tcW w:w="6360" w:type="dxa"/>
            <w:vAlign w:val="bottom"/>
            <w:tcBorders>
              <w:bottom w:val="single" w:sz="8" w:color="0000FF"/>
            </w:tcBorders>
            <w:gridSpan w:val="29"/>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Management's Discussion and Analysis of Financial Condition and Results of Operations</w:t>
              </w:r>
            </w:hyperlink>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3.</w:t>
            </w:r>
          </w:p>
        </w:tc>
        <w:tc>
          <w:tcPr>
            <w:tcW w:w="280" w:type="dxa"/>
            <w:vAlign w:val="bottom"/>
          </w:tcPr>
          <w:p>
            <w:pPr>
              <w:spacing w:after="0"/>
              <w:rPr>
                <w:sz w:val="19"/>
                <w:szCs w:val="19"/>
                <w:color w:val="auto"/>
              </w:rPr>
            </w:pPr>
          </w:p>
        </w:tc>
        <w:tc>
          <w:tcPr>
            <w:tcW w:w="4240" w:type="dxa"/>
            <w:vAlign w:val="bottom"/>
            <w:tcBorders>
              <w:bottom w:val="single" w:sz="8" w:color="0000FF"/>
            </w:tcBorders>
            <w:gridSpan w:val="26"/>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Quantitative and Qualitative Disclosures About Market Risk</w:t>
              </w:r>
            </w:hyperlink>
          </w:p>
        </w:tc>
        <w:tc>
          <w:tcPr>
            <w:tcW w:w="2120" w:type="dxa"/>
            <w:vAlign w:val="bottom"/>
            <w:gridSpan w:val="3"/>
          </w:tcPr>
          <w:p>
            <w:pPr>
              <w:spacing w:after="0"/>
              <w:rPr>
                <w:sz w:val="19"/>
                <w:szCs w:val="19"/>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4.</w:t>
            </w:r>
          </w:p>
        </w:tc>
        <w:tc>
          <w:tcPr>
            <w:tcW w:w="280" w:type="dxa"/>
            <w:vAlign w:val="bottom"/>
          </w:tcPr>
          <w:p>
            <w:pPr>
              <w:spacing w:after="0"/>
              <w:rPr>
                <w:sz w:val="19"/>
                <w:szCs w:val="19"/>
                <w:color w:val="auto"/>
              </w:rPr>
            </w:pPr>
          </w:p>
        </w:tc>
        <w:tc>
          <w:tcPr>
            <w:tcW w:w="6360" w:type="dxa"/>
            <w:vAlign w:val="bottom"/>
            <w:gridSpan w:val="29"/>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Controls and Procedures</w:t>
              </w:r>
            </w:hyperlink>
          </w:p>
        </w:tc>
      </w:tr>
      <w:tr>
        <w:trPr>
          <w:trHeight w:val="520"/>
        </w:trPr>
        <w:tc>
          <w:tcPr>
            <w:tcW w:w="560" w:type="dxa"/>
            <w:vAlign w:val="bottom"/>
            <w:tcBorders>
              <w:bottom w:val="single" w:sz="8" w:color="0000FF"/>
            </w:tcBorders>
            <w:gridSpan w:val="2"/>
          </w:tcPr>
          <w:p>
            <w:pPr>
              <w:spacing w:after="0"/>
              <w:rPr>
                <w:rFonts w:ascii="Arial" w:cs="Arial" w:eastAsia="Arial" w:hAnsi="Arial"/>
                <w:sz w:val="16"/>
                <w:szCs w:val="16"/>
                <w:b w:val="1"/>
                <w:bCs w:val="1"/>
                <w:color w:val="0000FF"/>
                <w:w w:val="94"/>
              </w:rPr>
            </w:pPr>
            <w:hyperlink w:anchor="page21">
              <w:r>
                <w:rPr>
                  <w:rFonts w:ascii="Arial" w:cs="Arial" w:eastAsia="Arial" w:hAnsi="Arial"/>
                  <w:sz w:val="16"/>
                  <w:szCs w:val="16"/>
                  <w:b w:val="1"/>
                  <w:bCs w:val="1"/>
                  <w:color w:val="0000FF"/>
                  <w:w w:val="94"/>
                </w:rPr>
                <w:t>PART II</w:t>
              </w:r>
            </w:hyperlink>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Borders>
              <w:top w:val="single" w:sz="8" w:color="0000FF"/>
              <w:bottom w:val="single" w:sz="8" w:color="0000FF"/>
            </w:tcBorders>
            <w:gridSpan w:val="7"/>
          </w:tcPr>
          <w:p>
            <w:pPr>
              <w:spacing w:after="0"/>
              <w:rPr>
                <w:rFonts w:ascii="Arial" w:cs="Arial" w:eastAsia="Arial" w:hAnsi="Arial"/>
                <w:sz w:val="16"/>
                <w:szCs w:val="16"/>
                <w:b w:val="1"/>
                <w:bCs w:val="1"/>
                <w:color w:val="0000FF"/>
                <w:w w:val="99"/>
              </w:rPr>
            </w:pPr>
            <w:hyperlink w:anchor="page21">
              <w:r>
                <w:rPr>
                  <w:rFonts w:ascii="Arial" w:cs="Arial" w:eastAsia="Arial" w:hAnsi="Arial"/>
                  <w:sz w:val="16"/>
                  <w:szCs w:val="16"/>
                  <w:b w:val="1"/>
                  <w:bCs w:val="1"/>
                  <w:color w:val="0000FF"/>
                  <w:w w:val="99"/>
                </w:rPr>
                <w:t>OTHER INFORMATION</w:t>
              </w:r>
            </w:hyperlink>
          </w:p>
        </w:tc>
        <w:tc>
          <w:tcPr>
            <w:tcW w:w="40" w:type="dxa"/>
            <w:vAlign w:val="bottom"/>
            <w:tcBorders>
              <w:top w:val="single" w:sz="8" w:color="0000FF"/>
            </w:tcBorders>
          </w:tcPr>
          <w:p>
            <w:pPr>
              <w:spacing w:after="0"/>
              <w:rPr>
                <w:sz w:val="24"/>
                <w:szCs w:val="24"/>
                <w:color w:val="auto"/>
              </w:rPr>
            </w:pPr>
          </w:p>
        </w:tc>
        <w:tc>
          <w:tcPr>
            <w:tcW w:w="4580" w:type="dxa"/>
            <w:vAlign w:val="bottom"/>
            <w:gridSpan w:val="21"/>
          </w:tcPr>
          <w:p>
            <w:pPr>
              <w:spacing w:after="0"/>
              <w:rPr>
                <w:sz w:val="24"/>
                <w:szCs w:val="24"/>
                <w:color w:val="auto"/>
              </w:rPr>
            </w:pPr>
          </w:p>
        </w:tc>
      </w:tr>
      <w:tr>
        <w:trPr>
          <w:trHeight w:val="250"/>
        </w:trPr>
        <w:tc>
          <w:tcPr>
            <w:tcW w:w="640" w:type="dxa"/>
            <w:vAlign w:val="bottom"/>
            <w:gridSpan w:val="3"/>
          </w:tcPr>
          <w:p>
            <w:pPr>
              <w:spacing w:after="0"/>
              <w:rPr>
                <w:sz w:val="20"/>
                <w:szCs w:val="20"/>
                <w:color w:val="auto"/>
              </w:rPr>
            </w:pPr>
            <w:r>
              <w:rPr>
                <w:rFonts w:ascii="Arial" w:cs="Arial" w:eastAsia="Arial" w:hAnsi="Arial"/>
                <w:sz w:val="16"/>
                <w:szCs w:val="16"/>
                <w:color w:val="auto"/>
              </w:rPr>
              <w:t>Item 1.</w:t>
            </w:r>
          </w:p>
        </w:tc>
        <w:tc>
          <w:tcPr>
            <w:tcW w:w="280" w:type="dxa"/>
            <w:vAlign w:val="bottom"/>
          </w:tcPr>
          <w:p>
            <w:pPr>
              <w:spacing w:after="0"/>
              <w:rPr>
                <w:sz w:val="21"/>
                <w:szCs w:val="21"/>
                <w:color w:val="auto"/>
              </w:rPr>
            </w:pPr>
          </w:p>
        </w:tc>
        <w:tc>
          <w:tcPr>
            <w:tcW w:w="134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21">
              <w:r>
                <w:rPr>
                  <w:rFonts w:ascii="Arial" w:cs="Arial" w:eastAsia="Arial" w:hAnsi="Arial"/>
                  <w:sz w:val="16"/>
                  <w:szCs w:val="16"/>
                  <w:color w:val="0000FF"/>
                  <w:w w:val="99"/>
                </w:rPr>
                <w:t>Legal Proceedings</w:t>
              </w:r>
            </w:hyperlink>
          </w:p>
        </w:tc>
        <w:tc>
          <w:tcPr>
            <w:tcW w:w="5020" w:type="dxa"/>
            <w:vAlign w:val="bottom"/>
            <w:gridSpan w:val="24"/>
          </w:tcPr>
          <w:p>
            <w:pPr>
              <w:spacing w:after="0"/>
              <w:rPr>
                <w:sz w:val="21"/>
                <w:szCs w:val="21"/>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1A</w:t>
            </w:r>
          </w:p>
        </w:tc>
        <w:tc>
          <w:tcPr>
            <w:tcW w:w="280" w:type="dxa"/>
            <w:vAlign w:val="bottom"/>
          </w:tcPr>
          <w:p>
            <w:pPr>
              <w:spacing w:after="0"/>
              <w:rPr>
                <w:sz w:val="19"/>
                <w:szCs w:val="19"/>
                <w:color w:val="auto"/>
              </w:rPr>
            </w:pPr>
          </w:p>
        </w:tc>
        <w:tc>
          <w:tcPr>
            <w:tcW w:w="900" w:type="dxa"/>
            <w:vAlign w:val="bottom"/>
            <w:tcBorders>
              <w:bottom w:val="single" w:sz="8" w:color="0000FF"/>
            </w:tcBorders>
            <w:gridSpan w:val="4"/>
          </w:tcPr>
          <w:p>
            <w:pPr>
              <w:spacing w:after="0"/>
              <w:rPr>
                <w:rFonts w:ascii="Arial" w:cs="Arial" w:eastAsia="Arial" w:hAnsi="Arial"/>
                <w:sz w:val="16"/>
                <w:szCs w:val="16"/>
                <w:color w:val="0000FF"/>
                <w:w w:val="98"/>
              </w:rPr>
            </w:pPr>
            <w:hyperlink w:anchor="page21">
              <w:r>
                <w:rPr>
                  <w:rFonts w:ascii="Arial" w:cs="Arial" w:eastAsia="Arial" w:hAnsi="Arial"/>
                  <w:sz w:val="16"/>
                  <w:szCs w:val="16"/>
                  <w:color w:val="0000FF"/>
                  <w:w w:val="98"/>
                </w:rPr>
                <w:t>Risk Factors</w:t>
              </w:r>
            </w:hyperlink>
          </w:p>
        </w:tc>
        <w:tc>
          <w:tcPr>
            <w:tcW w:w="5460" w:type="dxa"/>
            <w:vAlign w:val="bottom"/>
            <w:gridSpan w:val="25"/>
          </w:tcPr>
          <w:p>
            <w:pPr>
              <w:spacing w:after="0"/>
              <w:rPr>
                <w:sz w:val="19"/>
                <w:szCs w:val="19"/>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2.</w:t>
            </w:r>
          </w:p>
        </w:tc>
        <w:tc>
          <w:tcPr>
            <w:tcW w:w="280" w:type="dxa"/>
            <w:vAlign w:val="bottom"/>
          </w:tcPr>
          <w:p>
            <w:pPr>
              <w:spacing w:after="0"/>
              <w:rPr>
                <w:sz w:val="19"/>
                <w:szCs w:val="19"/>
                <w:color w:val="auto"/>
              </w:rPr>
            </w:pPr>
          </w:p>
        </w:tc>
        <w:tc>
          <w:tcPr>
            <w:tcW w:w="6360" w:type="dxa"/>
            <w:vAlign w:val="bottom"/>
            <w:gridSpan w:val="29"/>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Unregistered Sales of Equity Securities and Use of Proceeds</w:t>
              </w:r>
            </w:hyperlink>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6.</w:t>
            </w:r>
          </w:p>
        </w:tc>
        <w:tc>
          <w:tcPr>
            <w:tcW w:w="280" w:type="dxa"/>
            <w:vAlign w:val="bottom"/>
          </w:tcPr>
          <w:p>
            <w:pPr>
              <w:spacing w:after="0"/>
              <w:rPr>
                <w:sz w:val="19"/>
                <w:szCs w:val="19"/>
                <w:color w:val="auto"/>
              </w:rPr>
            </w:pPr>
          </w:p>
        </w:tc>
        <w:tc>
          <w:tcPr>
            <w:tcW w:w="4360" w:type="dxa"/>
            <w:vAlign w:val="bottom"/>
            <w:tcBorders>
              <w:top w:val="single" w:sz="8" w:color="0000FF"/>
            </w:tcBorders>
            <w:gridSpan w:val="27"/>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Exhibits</w:t>
              </w:r>
            </w:hyperlink>
          </w:p>
        </w:tc>
        <w:tc>
          <w:tcPr>
            <w:tcW w:w="2000" w:type="dxa"/>
            <w:vAlign w:val="bottom"/>
            <w:gridSpan w:val="2"/>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347" w:lineRule="exact"/>
        <w:rPr>
          <w:sz w:val="20"/>
          <w:szCs w:val="20"/>
          <w:color w:val="auto"/>
        </w:rPr>
      </w:pPr>
    </w:p>
    <w:p>
      <w:pPr>
        <w:spacing w:after="0"/>
        <w:rPr>
          <w:rFonts w:ascii="Arial" w:cs="Arial" w:eastAsia="Arial" w:hAnsi="Arial"/>
          <w:sz w:val="16"/>
          <w:szCs w:val="16"/>
          <w:b w:val="1"/>
          <w:bCs w:val="1"/>
          <w:u w:val="single" w:color="auto"/>
          <w:color w:val="0000FF"/>
        </w:rPr>
      </w:pPr>
      <w:hyperlink w:anchor="page22">
        <w:r>
          <w:rPr>
            <w:rFonts w:ascii="Arial" w:cs="Arial" w:eastAsia="Arial" w:hAnsi="Arial"/>
            <w:sz w:val="16"/>
            <w:szCs w:val="16"/>
            <w:b w:val="1"/>
            <w:bCs w:val="1"/>
            <w:u w:val="single" w:color="auto"/>
            <w:color w:val="0000FF"/>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1</w:t>
        </w:r>
      </w:hyperlink>
    </w:p>
    <w:p>
      <w:pPr>
        <w:spacing w:after="0" w:line="356" w:lineRule="exact"/>
        <w:rPr>
          <w:sz w:val="20"/>
          <w:szCs w:val="20"/>
          <w:color w:val="auto"/>
        </w:rPr>
      </w:pPr>
    </w:p>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2</w:t>
        </w:r>
      </w:hyperlink>
    </w:p>
    <w:p>
      <w:pPr>
        <w:spacing w:after="0" w:line="356" w:lineRule="exact"/>
        <w:rPr>
          <w:sz w:val="20"/>
          <w:szCs w:val="20"/>
          <w:color w:val="auto"/>
        </w:rPr>
      </w:pPr>
    </w:p>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2</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3</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4</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7</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7</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7</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10">
        <w:r>
          <w:rPr>
            <w:rFonts w:ascii="Arial" w:cs="Arial" w:eastAsia="Arial" w:hAnsi="Arial"/>
            <w:sz w:val="16"/>
            <w:szCs w:val="16"/>
            <w:u w:val="single" w:color="auto"/>
            <w:color w:val="0000FF"/>
          </w:rPr>
          <w:t>8</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10">
        <w:r>
          <w:rPr>
            <w:rFonts w:ascii="Arial" w:cs="Arial" w:eastAsia="Arial" w:hAnsi="Arial"/>
            <w:sz w:val="16"/>
            <w:szCs w:val="16"/>
            <w:u w:val="single" w:color="auto"/>
            <w:color w:val="0000FF"/>
          </w:rPr>
          <w:t>8</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9</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9</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2">
        <w:r>
          <w:rPr>
            <w:rFonts w:ascii="Arial" w:cs="Arial" w:eastAsia="Arial" w:hAnsi="Arial"/>
            <w:sz w:val="16"/>
            <w:szCs w:val="16"/>
            <w:u w:val="single" w:color="auto"/>
            <w:color w:val="0000FF"/>
          </w:rPr>
          <w:t>10</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2">
        <w:r>
          <w:rPr>
            <w:rFonts w:ascii="Arial" w:cs="Arial" w:eastAsia="Arial" w:hAnsi="Arial"/>
            <w:sz w:val="16"/>
            <w:szCs w:val="16"/>
            <w:u w:val="single" w:color="auto"/>
            <w:color w:val="0000FF"/>
          </w:rPr>
          <w:t>11</w:t>
        </w:r>
      </w:hyperlink>
    </w:p>
    <w:p>
      <w:pPr>
        <w:spacing w:after="0" w:line="61" w:lineRule="exact"/>
        <w:rPr>
          <w:sz w:val="20"/>
          <w:szCs w:val="20"/>
          <w:color w:val="auto"/>
        </w:rPr>
      </w:pPr>
    </w:p>
    <w:p>
      <w:pPr>
        <w:jc w:val="right"/>
        <w:spacing w:after="0"/>
        <w:rPr>
          <w:rFonts w:ascii="Arial" w:cs="Arial" w:eastAsia="Arial" w:hAnsi="Arial"/>
          <w:sz w:val="16"/>
          <w:szCs w:val="16"/>
          <w:u w:val="single" w:color="auto"/>
          <w:color w:val="0000FF"/>
        </w:rPr>
      </w:pPr>
      <w:hyperlink w:anchor="page13">
        <w:r>
          <w:rPr>
            <w:rFonts w:ascii="Arial" w:cs="Arial" w:eastAsia="Arial" w:hAnsi="Arial"/>
            <w:sz w:val="16"/>
            <w:szCs w:val="16"/>
            <w:u w:val="single" w:color="auto"/>
            <w:color w:val="0000FF"/>
          </w:rPr>
          <w:t>11</w:t>
        </w:r>
      </w:hyperlink>
    </w:p>
    <w:p>
      <w:pPr>
        <w:spacing w:after="0" w:line="111" w:lineRule="exact"/>
        <w:rPr>
          <w:sz w:val="20"/>
          <w:szCs w:val="20"/>
          <w:color w:val="auto"/>
        </w:rPr>
      </w:pPr>
    </w:p>
    <w:p>
      <w:pPr>
        <w:spacing w:after="0"/>
        <w:rPr>
          <w:rFonts w:ascii="Arial" w:cs="Arial" w:eastAsia="Arial" w:hAnsi="Arial"/>
          <w:sz w:val="16"/>
          <w:szCs w:val="16"/>
          <w:u w:val="single" w:color="auto"/>
          <w:color w:val="0000FF"/>
        </w:rPr>
      </w:pPr>
      <w:hyperlink w:anchor="page13">
        <w:r>
          <w:rPr>
            <w:rFonts w:ascii="Arial" w:cs="Arial" w:eastAsia="Arial" w:hAnsi="Arial"/>
            <w:sz w:val="16"/>
            <w:szCs w:val="16"/>
            <w:u w:val="single" w:color="auto"/>
            <w:color w:val="0000FF"/>
          </w:rPr>
          <w:t>12</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12</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1">
        <w:r>
          <w:rPr>
            <w:rFonts w:ascii="Arial" w:cs="Arial" w:eastAsia="Arial" w:hAnsi="Arial"/>
            <w:sz w:val="16"/>
            <w:szCs w:val="16"/>
            <w:u w:val="single" w:color="auto"/>
            <w:color w:val="0000FF"/>
          </w:rPr>
          <w:t>19</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1">
        <w:r>
          <w:rPr>
            <w:rFonts w:ascii="Arial" w:cs="Arial" w:eastAsia="Arial" w:hAnsi="Arial"/>
            <w:sz w:val="16"/>
            <w:szCs w:val="16"/>
            <w:u w:val="single" w:color="auto"/>
            <w:color w:val="0000FF"/>
          </w:rPr>
          <w:t>19</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16"/>
          <w:szCs w:val="16"/>
          <w:u w:val="single" w:color="auto"/>
          <w:color w:val="0000FF"/>
        </w:rPr>
      </w:pPr>
      <w:hyperlink w:anchor="page21">
        <w:r>
          <w:rPr>
            <w:rFonts w:ascii="Arial" w:cs="Arial" w:eastAsia="Arial" w:hAnsi="Arial"/>
            <w:sz w:val="16"/>
            <w:szCs w:val="16"/>
            <w:u w:val="single" w:color="auto"/>
            <w:color w:val="0000FF"/>
          </w:rPr>
          <w:t>19</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1">
        <w:r>
          <w:rPr>
            <w:rFonts w:ascii="Arial" w:cs="Arial" w:eastAsia="Arial" w:hAnsi="Arial"/>
            <w:sz w:val="16"/>
            <w:szCs w:val="16"/>
            <w:u w:val="single" w:color="auto"/>
            <w:color w:val="0000FF"/>
          </w:rPr>
          <w:t>19</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1">
        <w:r>
          <w:rPr>
            <w:rFonts w:ascii="Arial" w:cs="Arial" w:eastAsia="Arial" w:hAnsi="Arial"/>
            <w:sz w:val="16"/>
            <w:szCs w:val="16"/>
            <w:u w:val="single" w:color="auto"/>
            <w:color w:val="0000FF"/>
          </w:rPr>
          <w:t>19</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1">
        <w:r>
          <w:rPr>
            <w:rFonts w:ascii="Arial" w:cs="Arial" w:eastAsia="Arial" w:hAnsi="Arial"/>
            <w:sz w:val="16"/>
            <w:szCs w:val="16"/>
            <w:u w:val="single" w:color="auto"/>
            <w:color w:val="0000FF"/>
          </w:rPr>
          <w:t>20</w:t>
        </w:r>
      </w:hyperlink>
    </w:p>
    <w:p>
      <w:pPr>
        <w:spacing w:after="0" w:line="356" w:lineRule="exact"/>
        <w:rPr>
          <w:sz w:val="20"/>
          <w:szCs w:val="20"/>
          <w:color w:val="auto"/>
        </w:rPr>
      </w:pPr>
    </w:p>
    <w:p>
      <w:pPr>
        <w:spacing w:after="0"/>
        <w:rPr>
          <w:rFonts w:ascii="Arial" w:cs="Arial" w:eastAsia="Arial" w:hAnsi="Arial"/>
          <w:sz w:val="16"/>
          <w:szCs w:val="16"/>
          <w:u w:val="single" w:color="auto"/>
          <w:color w:val="0000FF"/>
        </w:rPr>
      </w:pPr>
      <w:hyperlink w:anchor="page22">
        <w:r>
          <w:rPr>
            <w:rFonts w:ascii="Arial" w:cs="Arial" w:eastAsia="Arial" w:hAnsi="Arial"/>
            <w:sz w:val="16"/>
            <w:szCs w:val="16"/>
            <w:u w:val="single" w:color="auto"/>
            <w:color w:val="0000FF"/>
          </w:rPr>
          <w:t>20</w:t>
        </w:r>
      </w:hyperlink>
    </w:p>
    <w:p>
      <w:pPr>
        <w:sectPr>
          <w:pgSz w:w="11900" w:h="16838" w:orient="portrait"/>
          <w:cols w:equalWidth="0" w:num="2">
            <w:col w:w="10460" w:space="720"/>
            <w:col w:w="180"/>
          </w:cols>
          <w:pgMar w:left="280" w:top="364" w:right="2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3M</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3M Company</w:t>
            </w: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AOCI</w:t>
            </w:r>
          </w:p>
        </w:tc>
        <w:tc>
          <w:tcPr>
            <w:tcW w:w="9740" w:type="dxa"/>
            <w:vAlign w:val="bottom"/>
          </w:tcPr>
          <w:p>
            <w:pPr>
              <w:ind w:left="380"/>
              <w:spacing w:after="0"/>
              <w:rPr>
                <w:sz w:val="20"/>
                <w:szCs w:val="20"/>
                <w:color w:val="auto"/>
              </w:rPr>
            </w:pPr>
            <w:r>
              <w:rPr>
                <w:rFonts w:ascii="Arial" w:cs="Arial" w:eastAsia="Arial" w:hAnsi="Arial"/>
                <w:sz w:val="16"/>
                <w:szCs w:val="16"/>
                <w:color w:val="auto"/>
              </w:rPr>
              <w:t>Accumulated Other Comprehensive Income (Loss)</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ARS</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Auction Rate Securities</w:t>
            </w: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ASC</w:t>
            </w:r>
          </w:p>
        </w:tc>
        <w:tc>
          <w:tcPr>
            <w:tcW w:w="9740" w:type="dxa"/>
            <w:vAlign w:val="bottom"/>
          </w:tcPr>
          <w:p>
            <w:pPr>
              <w:ind w:left="380"/>
              <w:spacing w:after="0"/>
              <w:rPr>
                <w:sz w:val="20"/>
                <w:szCs w:val="20"/>
                <w:color w:val="auto"/>
              </w:rPr>
            </w:pPr>
            <w:r>
              <w:rPr>
                <w:rFonts w:ascii="Arial" w:cs="Arial" w:eastAsia="Arial" w:hAnsi="Arial"/>
                <w:sz w:val="16"/>
                <w:szCs w:val="16"/>
                <w:color w:val="auto"/>
              </w:rPr>
              <w:t>Accounting Standards Codification</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ASP</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Average Sales Price</w:t>
            </w: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ASU</w:t>
            </w:r>
          </w:p>
        </w:tc>
        <w:tc>
          <w:tcPr>
            <w:tcW w:w="9740" w:type="dxa"/>
            <w:vAlign w:val="bottom"/>
          </w:tcPr>
          <w:p>
            <w:pPr>
              <w:ind w:left="380"/>
              <w:spacing w:after="0"/>
              <w:rPr>
                <w:sz w:val="20"/>
                <w:szCs w:val="20"/>
                <w:color w:val="auto"/>
              </w:rPr>
            </w:pPr>
            <w:r>
              <w:rPr>
                <w:rFonts w:ascii="Arial" w:cs="Arial" w:eastAsia="Arial" w:hAnsi="Arial"/>
                <w:sz w:val="16"/>
                <w:szCs w:val="16"/>
                <w:color w:val="auto"/>
              </w:rPr>
              <w:t>Accounting Standards Update</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COLI</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Company Owned Life Insurance</w:t>
            </w:r>
          </w:p>
        </w:tc>
      </w:tr>
      <w:tr>
        <w:trPr>
          <w:trHeight w:val="218"/>
        </w:trPr>
        <w:tc>
          <w:tcPr>
            <w:tcW w:w="1680" w:type="dxa"/>
            <w:vAlign w:val="bottom"/>
          </w:tcPr>
          <w:p>
            <w:pPr>
              <w:ind w:left="40"/>
              <w:spacing w:after="0"/>
              <w:rPr>
                <w:sz w:val="20"/>
                <w:szCs w:val="20"/>
                <w:color w:val="auto"/>
              </w:rPr>
            </w:pPr>
            <w:r>
              <w:rPr>
                <w:rFonts w:ascii="Arial" w:cs="Arial" w:eastAsia="Arial" w:hAnsi="Arial"/>
                <w:sz w:val="16"/>
                <w:szCs w:val="16"/>
                <w:color w:val="auto"/>
              </w:rPr>
              <w:t>Credit Agreement</w:t>
            </w:r>
          </w:p>
        </w:tc>
        <w:tc>
          <w:tcPr>
            <w:tcW w:w="9740" w:type="dxa"/>
            <w:vAlign w:val="bottom"/>
          </w:tcPr>
          <w:p>
            <w:pPr>
              <w:ind w:left="380"/>
              <w:spacing w:after="0"/>
              <w:rPr>
                <w:sz w:val="20"/>
                <w:szCs w:val="20"/>
                <w:color w:val="auto"/>
              </w:rPr>
            </w:pPr>
            <w:r>
              <w:rPr>
                <w:rFonts w:ascii="Arial" w:cs="Arial" w:eastAsia="Arial" w:hAnsi="Arial"/>
                <w:sz w:val="16"/>
                <w:szCs w:val="16"/>
                <w:color w:val="auto"/>
              </w:rPr>
              <w:t>Credit Agreement dated as of October 31, 2012 by and between Winnebago Industries, Inc. and Winnebago of Indiana, LLC, as</w:t>
            </w:r>
          </w:p>
        </w:tc>
      </w:tr>
      <w:tr>
        <w:trPr>
          <w:trHeight w:val="204"/>
        </w:trPr>
        <w:tc>
          <w:tcPr>
            <w:tcW w:w="1680" w:type="dxa"/>
            <w:vAlign w:val="bottom"/>
          </w:tcPr>
          <w:p>
            <w:pPr>
              <w:spacing w:after="0"/>
              <w:rPr>
                <w:sz w:val="17"/>
                <w:szCs w:val="17"/>
                <w:color w:val="auto"/>
              </w:rPr>
            </w:pPr>
          </w:p>
        </w:tc>
        <w:tc>
          <w:tcPr>
            <w:tcW w:w="9740" w:type="dxa"/>
            <w:vAlign w:val="bottom"/>
          </w:tcPr>
          <w:p>
            <w:pPr>
              <w:ind w:left="380"/>
              <w:spacing w:after="0"/>
              <w:rPr>
                <w:sz w:val="20"/>
                <w:szCs w:val="20"/>
                <w:color w:val="auto"/>
              </w:rPr>
            </w:pPr>
            <w:r>
              <w:rPr>
                <w:rFonts w:ascii="Arial" w:cs="Arial" w:eastAsia="Arial" w:hAnsi="Arial"/>
                <w:sz w:val="16"/>
                <w:szCs w:val="16"/>
                <w:color w:val="auto"/>
              </w:rPr>
              <w:t>Borrowers, and General Electric Capital Corporation, as Agent</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DCF</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Discounted Cash Flow</w:t>
            </w: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FASB</w:t>
            </w:r>
          </w:p>
        </w:tc>
        <w:tc>
          <w:tcPr>
            <w:tcW w:w="9740" w:type="dxa"/>
            <w:vAlign w:val="bottom"/>
          </w:tcPr>
          <w:p>
            <w:pPr>
              <w:ind w:left="380"/>
              <w:spacing w:after="0"/>
              <w:rPr>
                <w:sz w:val="20"/>
                <w:szCs w:val="20"/>
                <w:color w:val="auto"/>
              </w:rPr>
            </w:pPr>
            <w:r>
              <w:rPr>
                <w:rFonts w:ascii="Arial" w:cs="Arial" w:eastAsia="Arial" w:hAnsi="Arial"/>
                <w:sz w:val="16"/>
                <w:szCs w:val="16"/>
                <w:color w:val="auto"/>
              </w:rPr>
              <w:t>Financial Accounting Standards Board</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FIFO</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First In, First Out</w:t>
            </w: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GAAP</w:t>
            </w:r>
          </w:p>
        </w:tc>
        <w:tc>
          <w:tcPr>
            <w:tcW w:w="9740" w:type="dxa"/>
            <w:vAlign w:val="bottom"/>
          </w:tcPr>
          <w:p>
            <w:pPr>
              <w:ind w:left="380"/>
              <w:spacing w:after="0"/>
              <w:rPr>
                <w:sz w:val="20"/>
                <w:szCs w:val="20"/>
                <w:color w:val="auto"/>
              </w:rPr>
            </w:pPr>
            <w:r>
              <w:rPr>
                <w:rFonts w:ascii="Arial" w:cs="Arial" w:eastAsia="Arial" w:hAnsi="Arial"/>
                <w:sz w:val="16"/>
                <w:szCs w:val="16"/>
                <w:color w:val="auto"/>
              </w:rPr>
              <w:t>Generally Accepted Accounting Principles</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GECC</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General Electric Capital Corporation</w:t>
            </w: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IRS</w:t>
            </w:r>
          </w:p>
        </w:tc>
        <w:tc>
          <w:tcPr>
            <w:tcW w:w="9740" w:type="dxa"/>
            <w:vAlign w:val="bottom"/>
          </w:tcPr>
          <w:p>
            <w:pPr>
              <w:ind w:left="380"/>
              <w:spacing w:after="0"/>
              <w:rPr>
                <w:sz w:val="20"/>
                <w:szCs w:val="20"/>
                <w:color w:val="auto"/>
              </w:rPr>
            </w:pPr>
            <w:r>
              <w:rPr>
                <w:rFonts w:ascii="Arial" w:cs="Arial" w:eastAsia="Arial" w:hAnsi="Arial"/>
                <w:sz w:val="16"/>
                <w:szCs w:val="16"/>
                <w:color w:val="auto"/>
              </w:rPr>
              <w:t>Internal Revenue Service</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LIBOR</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London Interbank Offered Rate</w:t>
            </w: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LIFO</w:t>
            </w:r>
          </w:p>
        </w:tc>
        <w:tc>
          <w:tcPr>
            <w:tcW w:w="9740" w:type="dxa"/>
            <w:vAlign w:val="bottom"/>
          </w:tcPr>
          <w:p>
            <w:pPr>
              <w:ind w:left="380"/>
              <w:spacing w:after="0"/>
              <w:rPr>
                <w:sz w:val="20"/>
                <w:szCs w:val="20"/>
                <w:color w:val="auto"/>
              </w:rPr>
            </w:pPr>
            <w:r>
              <w:rPr>
                <w:rFonts w:ascii="Arial" w:cs="Arial" w:eastAsia="Arial" w:hAnsi="Arial"/>
                <w:sz w:val="16"/>
                <w:szCs w:val="16"/>
                <w:color w:val="auto"/>
              </w:rPr>
              <w:t>Last In, First Out</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NMF</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Non-Meaningful Figure</w:t>
            </w: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NYSE</w:t>
            </w:r>
          </w:p>
        </w:tc>
        <w:tc>
          <w:tcPr>
            <w:tcW w:w="9740" w:type="dxa"/>
            <w:vAlign w:val="bottom"/>
          </w:tcPr>
          <w:p>
            <w:pPr>
              <w:ind w:left="380"/>
              <w:spacing w:after="0"/>
              <w:rPr>
                <w:sz w:val="20"/>
                <w:szCs w:val="20"/>
                <w:color w:val="auto"/>
              </w:rPr>
            </w:pPr>
            <w:r>
              <w:rPr>
                <w:rFonts w:ascii="Arial" w:cs="Arial" w:eastAsia="Arial" w:hAnsi="Arial"/>
                <w:sz w:val="16"/>
                <w:szCs w:val="16"/>
                <w:color w:val="auto"/>
              </w:rPr>
              <w:t>New York Stock Exchange</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RV</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Recreation Vehicle</w:t>
            </w: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RVIA</w:t>
            </w:r>
          </w:p>
        </w:tc>
        <w:tc>
          <w:tcPr>
            <w:tcW w:w="9740" w:type="dxa"/>
            <w:vAlign w:val="bottom"/>
          </w:tcPr>
          <w:p>
            <w:pPr>
              <w:ind w:left="380"/>
              <w:spacing w:after="0"/>
              <w:rPr>
                <w:sz w:val="20"/>
                <w:szCs w:val="20"/>
                <w:color w:val="auto"/>
              </w:rPr>
            </w:pPr>
            <w:r>
              <w:rPr>
                <w:rFonts w:ascii="Arial" w:cs="Arial" w:eastAsia="Arial" w:hAnsi="Arial"/>
                <w:sz w:val="16"/>
                <w:szCs w:val="16"/>
                <w:color w:val="auto"/>
              </w:rPr>
              <w:t>Recreation Vehicle Industry Association</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Securities and Exchange Commission</w:t>
            </w: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SERP</w:t>
            </w:r>
          </w:p>
        </w:tc>
        <w:tc>
          <w:tcPr>
            <w:tcW w:w="9740" w:type="dxa"/>
            <w:vAlign w:val="bottom"/>
          </w:tcPr>
          <w:p>
            <w:pPr>
              <w:ind w:left="380"/>
              <w:spacing w:after="0"/>
              <w:rPr>
                <w:sz w:val="20"/>
                <w:szCs w:val="20"/>
                <w:color w:val="auto"/>
              </w:rPr>
            </w:pPr>
            <w:r>
              <w:rPr>
                <w:rFonts w:ascii="Arial" w:cs="Arial" w:eastAsia="Arial" w:hAnsi="Arial"/>
                <w:sz w:val="16"/>
                <w:szCs w:val="16"/>
                <w:color w:val="auto"/>
              </w:rPr>
              <w:t>Supplemental Executive Retirement Plan</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 Surveys</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Statistical Surveys, Inc.</w:t>
            </w: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SunnyBrook</w:t>
            </w:r>
          </w:p>
        </w:tc>
        <w:tc>
          <w:tcPr>
            <w:tcW w:w="9740" w:type="dxa"/>
            <w:vAlign w:val="bottom"/>
          </w:tcPr>
          <w:p>
            <w:pPr>
              <w:ind w:left="380"/>
              <w:spacing w:after="0"/>
              <w:rPr>
                <w:sz w:val="20"/>
                <w:szCs w:val="20"/>
                <w:color w:val="auto"/>
              </w:rPr>
            </w:pPr>
            <w:r>
              <w:rPr>
                <w:rFonts w:ascii="Arial" w:cs="Arial" w:eastAsia="Arial" w:hAnsi="Arial"/>
                <w:sz w:val="16"/>
                <w:szCs w:val="16"/>
                <w:color w:val="auto"/>
              </w:rPr>
              <w:t>SunnyBrook RV, Inc.</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Winnebago of Indiana, LLC, a wholly-owned subsidiary of Winnebago Industries, Inc.</w:t>
            </w: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US</w:t>
            </w:r>
          </w:p>
        </w:tc>
        <w:tc>
          <w:tcPr>
            <w:tcW w:w="9740" w:type="dxa"/>
            <w:vAlign w:val="bottom"/>
          </w:tcPr>
          <w:p>
            <w:pPr>
              <w:ind w:left="380"/>
              <w:spacing w:after="0"/>
              <w:rPr>
                <w:sz w:val="20"/>
                <w:szCs w:val="20"/>
                <w:color w:val="auto"/>
              </w:rPr>
            </w:pPr>
            <w:r>
              <w:rPr>
                <w:rFonts w:ascii="Arial" w:cs="Arial" w:eastAsia="Arial" w:hAnsi="Arial"/>
                <w:sz w:val="16"/>
                <w:szCs w:val="16"/>
                <w:color w:val="auto"/>
              </w:rPr>
              <w:t>United States of America</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XBRL</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eXtensible Business Reporting Language</w:t>
            </w:r>
          </w:p>
        </w:tc>
      </w:tr>
      <w:tr>
        <w:trPr>
          <w:trHeight w:val="845"/>
        </w:trPr>
        <w:tc>
          <w:tcPr>
            <w:tcW w:w="1680" w:type="dxa"/>
            <w:vAlign w:val="bottom"/>
          </w:tcPr>
          <w:p>
            <w:pPr>
              <w:spacing w:after="0"/>
              <w:rPr>
                <w:sz w:val="24"/>
                <w:szCs w:val="24"/>
                <w:color w:val="auto"/>
              </w:rPr>
            </w:pPr>
          </w:p>
        </w:tc>
        <w:tc>
          <w:tcPr>
            <w:tcW w:w="9740" w:type="dxa"/>
            <w:vAlign w:val="bottom"/>
          </w:tcPr>
          <w:p>
            <w:pPr>
              <w:ind w:left="3980"/>
              <w:spacing w:after="0"/>
              <w:rPr>
                <w:sz w:val="20"/>
                <w:szCs w:val="20"/>
                <w:color w:val="auto"/>
              </w:rPr>
            </w:pPr>
            <w:r>
              <w:rPr>
                <w:rFonts w:ascii="Arial" w:cs="Arial" w:eastAsia="Arial" w:hAnsi="Arial"/>
                <w:sz w:val="16"/>
                <w:szCs w:val="16"/>
                <w:color w:val="auto"/>
              </w:rPr>
              <w:t>1</w:t>
            </w:r>
          </w:p>
        </w:tc>
      </w:tr>
    </w:tbl>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Operations and Comprehensive Income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7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November 30,</w:t>
            </w:r>
          </w:p>
        </w:tc>
        <w:tc>
          <w:tcPr>
            <w:tcW w:w="240" w:type="dxa"/>
            <w:vAlign w:val="bottom"/>
          </w:tcPr>
          <w:p>
            <w:pPr>
              <w:spacing w:after="0"/>
              <w:rPr>
                <w:sz w:val="17"/>
                <w:szCs w:val="17"/>
                <w:color w:val="auto"/>
              </w:rPr>
            </w:pPr>
          </w:p>
        </w:tc>
        <w:tc>
          <w:tcPr>
            <w:tcW w:w="154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1,</w:t>
            </w:r>
          </w:p>
        </w:tc>
      </w:tr>
      <w:tr>
        <w:trPr>
          <w:trHeight w:val="228"/>
        </w:trPr>
        <w:tc>
          <w:tcPr>
            <w:tcW w:w="7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2012</w:t>
            </w:r>
          </w:p>
        </w:tc>
      </w:tr>
      <w:tr>
        <w:trPr>
          <w:trHeight w:val="257"/>
        </w:trPr>
        <w:tc>
          <w:tcPr>
            <w:tcW w:w="7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222,670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193,554</w:t>
            </w:r>
          </w:p>
        </w:tc>
      </w:tr>
      <w:tr>
        <w:trPr>
          <w:trHeight w:val="26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196,708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172,807</w:t>
            </w:r>
          </w:p>
        </w:tc>
      </w:tr>
      <w:tr>
        <w:trPr>
          <w:trHeight w:val="257"/>
        </w:trPr>
        <w:tc>
          <w:tcPr>
            <w:tcW w:w="7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25,962</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20,747</w:t>
            </w:r>
          </w:p>
        </w:tc>
      </w:tr>
      <w:tr>
        <w:trPr>
          <w:trHeight w:val="254"/>
        </w:trPr>
        <w:tc>
          <w:tcPr>
            <w:tcW w:w="77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80"/>
        </w:trPr>
        <w:tc>
          <w:tcPr>
            <w:tcW w:w="7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4,333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4,961</w:t>
            </w:r>
          </w:p>
        </w:tc>
      </w:tr>
      <w:tr>
        <w:trPr>
          <w:trHeight w:val="260"/>
        </w:trPr>
        <w:tc>
          <w:tcPr>
            <w:tcW w:w="774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5,623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5,812</w:t>
            </w:r>
          </w:p>
        </w:tc>
      </w:tr>
      <w:tr>
        <w:trPr>
          <w:trHeight w:val="273"/>
        </w:trPr>
        <w:tc>
          <w:tcPr>
            <w:tcW w:w="7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on sale of asset held for sale</w:t>
            </w:r>
          </w:p>
        </w:tc>
        <w:tc>
          <w:tcPr>
            <w:tcW w:w="22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28</w:t>
            </w:r>
          </w:p>
        </w:tc>
      </w:tr>
      <w:tr>
        <w:trPr>
          <w:trHeight w:val="250"/>
        </w:trPr>
        <w:tc>
          <w:tcPr>
            <w:tcW w:w="7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9,956</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10,801</w:t>
            </w:r>
          </w:p>
        </w:tc>
      </w:tr>
      <w:tr>
        <w:trPr>
          <w:trHeight w:val="257"/>
        </w:trPr>
        <w:tc>
          <w:tcPr>
            <w:tcW w:w="7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16,006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9,946</w:t>
            </w:r>
          </w:p>
        </w:tc>
      </w:tr>
      <w:tr>
        <w:trPr>
          <w:trHeight w:val="26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Non-operating income</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614</w:t>
            </w:r>
          </w:p>
        </w:tc>
      </w:tr>
      <w:tr>
        <w:trPr>
          <w:trHeight w:val="257"/>
        </w:trPr>
        <w:tc>
          <w:tcPr>
            <w:tcW w:w="7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16,097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10,560</w:t>
            </w:r>
          </w:p>
        </w:tc>
      </w:tr>
      <w:tr>
        <w:trPr>
          <w:trHeight w:val="26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taxes</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4,951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3,169</w:t>
            </w:r>
          </w:p>
        </w:tc>
      </w:tr>
      <w:tr>
        <w:trPr>
          <w:trHeight w:val="24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11,146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7,391</w:t>
            </w: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67"/>
        </w:trPr>
        <w:tc>
          <w:tcPr>
            <w:tcW w:w="7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7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0"/>
        </w:trPr>
        <w:tc>
          <w:tcPr>
            <w:tcW w:w="7740" w:type="dxa"/>
            <w:vAlign w:val="bottom"/>
          </w:tcPr>
          <w:p>
            <w:pPr>
              <w:ind w:left="28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0.26</w:t>
            </w:r>
          </w:p>
        </w:tc>
      </w:tr>
      <w:tr>
        <w:trPr>
          <w:trHeight w:val="280"/>
        </w:trPr>
        <w:tc>
          <w:tcPr>
            <w:tcW w:w="7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0.40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0.26</w:t>
            </w:r>
          </w:p>
        </w:tc>
      </w:tr>
      <w:tr>
        <w:trPr>
          <w:trHeight w:val="284"/>
        </w:trPr>
        <w:tc>
          <w:tcPr>
            <w:tcW w:w="7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7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0"/>
        </w:trPr>
        <w:tc>
          <w:tcPr>
            <w:tcW w:w="7740" w:type="dxa"/>
            <w:vAlign w:val="bottom"/>
          </w:tcPr>
          <w:p>
            <w:pPr>
              <w:ind w:left="28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27,851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28,301</w:t>
            </w:r>
          </w:p>
        </w:tc>
      </w:tr>
      <w:tr>
        <w:trPr>
          <w:trHeight w:val="280"/>
        </w:trPr>
        <w:tc>
          <w:tcPr>
            <w:tcW w:w="7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27,971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28,361</w:t>
            </w:r>
          </w:p>
        </w:tc>
      </w:tr>
      <w:tr>
        <w:trPr>
          <w:trHeight w:val="284"/>
        </w:trPr>
        <w:tc>
          <w:tcPr>
            <w:tcW w:w="7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7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11,146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7,391</w:t>
            </w:r>
          </w:p>
        </w:tc>
      </w:tr>
      <w:tr>
        <w:trPr>
          <w:trHeight w:val="260"/>
        </w:trPr>
        <w:tc>
          <w:tcPr>
            <w:tcW w:w="774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8"/>
        </w:trPr>
        <w:tc>
          <w:tcPr>
            <w:tcW w:w="7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4"/>
        </w:trPr>
        <w:tc>
          <w:tcPr>
            <w:tcW w:w="7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of tax of $482 and $442)</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(734)</w:t>
            </w:r>
          </w:p>
        </w:tc>
      </w:tr>
      <w:tr>
        <w:trPr>
          <w:trHeight w:val="218"/>
        </w:trPr>
        <w:tc>
          <w:tcPr>
            <w:tcW w:w="7740" w:type="dxa"/>
            <w:vAlign w:val="bottom"/>
          </w:tcPr>
          <w:p>
            <w:pPr>
              <w:ind w:left="280"/>
              <w:spacing w:after="0"/>
              <w:rPr>
                <w:sz w:val="20"/>
                <w:szCs w:val="20"/>
                <w:color w:val="auto"/>
              </w:rPr>
            </w:pPr>
            <w:r>
              <w:rPr>
                <w:rFonts w:ascii="Arial" w:cs="Arial" w:eastAsia="Arial" w:hAnsi="Arial"/>
                <w:sz w:val="16"/>
                <w:szCs w:val="16"/>
                <w:color w:val="auto"/>
              </w:rPr>
              <w:t>Amortization of net actuarial loss</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4"/>
        </w:trPr>
        <w:tc>
          <w:tcPr>
            <w:tcW w:w="7740" w:type="dxa"/>
            <w:vAlign w:val="bottom"/>
          </w:tcPr>
          <w:p>
            <w:pPr>
              <w:ind w:left="360"/>
              <w:spacing w:after="0"/>
              <w:rPr>
                <w:sz w:val="20"/>
                <w:szCs w:val="20"/>
                <w:color w:val="auto"/>
              </w:rPr>
            </w:pPr>
            <w:r>
              <w:rPr>
                <w:rFonts w:ascii="Arial" w:cs="Arial" w:eastAsia="Arial" w:hAnsi="Arial"/>
                <w:sz w:val="16"/>
                <w:szCs w:val="16"/>
                <w:color w:val="auto"/>
              </w:rPr>
              <w:t>(net of tax of $99 and $149)</w:t>
            </w:r>
          </w:p>
        </w:tc>
        <w:tc>
          <w:tcPr>
            <w:tcW w:w="220" w:type="dxa"/>
            <w:vAlign w:val="bottom"/>
          </w:tcPr>
          <w:p>
            <w:pPr>
              <w:spacing w:after="0"/>
              <w:rPr>
                <w:sz w:val="17"/>
                <w:szCs w:val="17"/>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253</w:t>
            </w:r>
          </w:p>
        </w:tc>
      </w:tr>
      <w:tr>
        <w:trPr>
          <w:trHeight w:val="228"/>
        </w:trPr>
        <w:tc>
          <w:tcPr>
            <w:tcW w:w="7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Unrealized appreciation (depreciation) of investments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08"/>
        </w:trPr>
        <w:tc>
          <w:tcPr>
            <w:tcW w:w="7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of tax of $91 and $0)</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w:t>
            </w:r>
          </w:p>
        </w:tc>
      </w:tr>
      <w:tr>
        <w:trPr>
          <w:trHeight w:val="250"/>
        </w:trPr>
        <w:tc>
          <w:tcPr>
            <w:tcW w:w="7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other comprehensive loss</w:t>
            </w: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(485)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(482)</w:t>
            </w:r>
          </w:p>
        </w:tc>
      </w:tr>
      <w:tr>
        <w:trPr>
          <w:trHeight w:val="24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10,661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6,909</w:t>
            </w: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4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28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21"/>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9"/>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Consolidated Balance Sheets</w:t>
            </w: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5"/>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26"/>
        </w:trPr>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November 30,</w:t>
            </w:r>
          </w:p>
        </w:tc>
        <w:tc>
          <w:tcPr>
            <w:tcW w:w="360" w:type="dxa"/>
            <w:vAlign w:val="bottom"/>
          </w:tcPr>
          <w:p>
            <w:pPr>
              <w:spacing w:after="0"/>
              <w:rPr>
                <w:sz w:val="24"/>
                <w:szCs w:val="24"/>
                <w:color w:val="auto"/>
              </w:rPr>
            </w:pPr>
          </w:p>
        </w:tc>
        <w:tc>
          <w:tcPr>
            <w:tcW w:w="1720" w:type="dxa"/>
            <w:vAlign w:val="bottom"/>
          </w:tcPr>
          <w:p>
            <w:pPr>
              <w:jc w:val="right"/>
              <w:ind w:right="559"/>
              <w:spacing w:after="0"/>
              <w:rPr>
                <w:sz w:val="20"/>
                <w:szCs w:val="20"/>
                <w:color w:val="auto"/>
              </w:rPr>
            </w:pPr>
            <w:r>
              <w:rPr>
                <w:rFonts w:ascii="Arial" w:cs="Arial" w:eastAsia="Arial" w:hAnsi="Arial"/>
                <w:sz w:val="16"/>
                <w:szCs w:val="16"/>
                <w:b w:val="1"/>
                <w:bCs w:val="1"/>
                <w:color w:val="auto"/>
              </w:rPr>
              <w:t>August 31,</w:t>
            </w:r>
          </w:p>
        </w:tc>
      </w:tr>
      <w:tr>
        <w:trPr>
          <w:trHeight w:val="228"/>
        </w:trPr>
        <w:tc>
          <w:tcPr>
            <w:tcW w:w="7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2013</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49,737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64,277</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Receivables, less allowance for doubtful accounts ($152 and $152)</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42,944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29,145</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122,478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112,541</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8,356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8,277</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receivable and prepaid</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1,868</w:t>
            </w:r>
          </w:p>
        </w:tc>
      </w:tr>
      <w:tr>
        <w:trPr>
          <w:trHeight w:val="264"/>
        </w:trPr>
        <w:tc>
          <w:tcPr>
            <w:tcW w:w="72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8,155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7,742</w:t>
            </w:r>
          </w:p>
        </w:tc>
      </w:tr>
      <w:tr>
        <w:trPr>
          <w:trHeight w:val="250"/>
        </w:trPr>
        <w:tc>
          <w:tcPr>
            <w:tcW w:w="7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231,802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223,850</w:t>
            </w:r>
          </w:p>
        </w:tc>
      </w:tr>
      <w:tr>
        <w:trPr>
          <w:trHeight w:val="247"/>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21"/>
                <w:szCs w:val="21"/>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21,057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20,266</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260" w:type="dxa"/>
            <w:vAlign w:val="bottom"/>
            <w:shd w:val="clear" w:color="auto" w:fill="CCEEFF"/>
          </w:tcPr>
          <w:p>
            <w:pPr>
              <w:spacing w:after="0"/>
              <w:rPr>
                <w:sz w:val="24"/>
                <w:szCs w:val="24"/>
                <w:color w:val="auto"/>
              </w:rPr>
            </w:pPr>
          </w:p>
        </w:tc>
        <w:tc>
          <w:tcPr>
            <w:tcW w:w="18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2,108</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Investment in life insurance</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25,299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25,051</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25,007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25,649</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1,228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1,228</w:t>
            </w:r>
          </w:p>
        </w:tc>
      </w:tr>
      <w:tr>
        <w:trPr>
          <w:trHeight w:val="273"/>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10,520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10,993</w:t>
            </w:r>
          </w:p>
        </w:tc>
      </w:tr>
      <w:tr>
        <w:trPr>
          <w:trHeight w:val="28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314,913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309,145</w:t>
            </w:r>
          </w:p>
        </w:tc>
      </w:tr>
      <w:tr>
        <w:trPr>
          <w:trHeight w:val="267"/>
        </w:trPr>
        <w:tc>
          <w:tcPr>
            <w:tcW w:w="1260" w:type="dxa"/>
            <w:vAlign w:val="bottom"/>
            <w:shd w:val="clear" w:color="auto" w:fill="CCEEFF"/>
          </w:tcPr>
          <w:p>
            <w:pPr>
              <w:spacing w:after="0"/>
              <w:rPr>
                <w:sz w:val="23"/>
                <w:szCs w:val="23"/>
                <w:color w:val="auto"/>
              </w:rPr>
            </w:pPr>
          </w:p>
        </w:tc>
        <w:tc>
          <w:tcPr>
            <w:tcW w:w="60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27,316</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28,142</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2,623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compensation</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15,207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22,101</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Product warranties</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8,345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8,443</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Self-insurance</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4,455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4,531</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Accrued loss on repurchases</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1,610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1,287</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Promotional</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2,988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1,910</w:t>
            </w:r>
          </w:p>
        </w:tc>
      </w:tr>
      <w:tr>
        <w:trPr>
          <w:trHeight w:val="264"/>
        </w:trPr>
        <w:tc>
          <w:tcPr>
            <w:tcW w:w="72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4,465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3,940</w:t>
            </w:r>
          </w:p>
        </w:tc>
      </w:tr>
      <w:tr>
        <w:trPr>
          <w:trHeight w:val="257"/>
        </w:trPr>
        <w:tc>
          <w:tcPr>
            <w:tcW w:w="7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67,009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70,354</w:t>
            </w:r>
          </w:p>
        </w:tc>
      </w:tr>
      <w:tr>
        <w:trPr>
          <w:trHeight w:val="254"/>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Long-term liabilities:</w:t>
            </w: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Unrecognized tax benefits</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3,830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3,988</w:t>
            </w:r>
          </w:p>
        </w:tc>
      </w:tr>
      <w:tr>
        <w:trPr>
          <w:trHeight w:val="264"/>
        </w:trPr>
        <w:tc>
          <w:tcPr>
            <w:tcW w:w="72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Postretirement health care and deferred compensations benefits</w:t>
            </w: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63,485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64,074</w:t>
            </w:r>
          </w:p>
        </w:tc>
      </w:tr>
      <w:tr>
        <w:trPr>
          <w:trHeight w:val="257"/>
        </w:trPr>
        <w:tc>
          <w:tcPr>
            <w:tcW w:w="7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long-term liabilities</w:t>
            </w:r>
          </w:p>
        </w:tc>
        <w:tc>
          <w:tcPr>
            <w:tcW w:w="26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67,315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68,062</w:t>
            </w:r>
          </w:p>
        </w:tc>
      </w:tr>
      <w:tr>
        <w:trPr>
          <w:trHeight w:val="24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Contingent liabilities and commitments</w:t>
            </w: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18"/>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Capital stock common, par value $0.50;</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4"/>
        </w:trPr>
        <w:tc>
          <w:tcPr>
            <w:tcW w:w="7280" w:type="dxa"/>
            <w:vAlign w:val="bottom"/>
            <w:gridSpan w:val="2"/>
          </w:tcPr>
          <w:p>
            <w:pPr>
              <w:ind w:left="420"/>
              <w:spacing w:after="0"/>
              <w:rPr>
                <w:sz w:val="20"/>
                <w:szCs w:val="20"/>
                <w:color w:val="auto"/>
              </w:rPr>
            </w:pPr>
            <w:r>
              <w:rPr>
                <w:rFonts w:ascii="Arial" w:cs="Arial" w:eastAsia="Arial" w:hAnsi="Arial"/>
                <w:sz w:val="16"/>
                <w:szCs w:val="16"/>
                <w:color w:val="auto"/>
              </w:rPr>
              <w:t>authorized 60,000 shares, issued 51,776 shares</w:t>
            </w:r>
          </w:p>
        </w:tc>
        <w:tc>
          <w:tcPr>
            <w:tcW w:w="260" w:type="dxa"/>
            <w:vAlign w:val="bottom"/>
          </w:tcPr>
          <w:p>
            <w:pPr>
              <w:spacing w:after="0"/>
              <w:rPr>
                <w:sz w:val="17"/>
                <w:szCs w:val="17"/>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25,888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25,888</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31,071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29,334</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520,589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509,443</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income</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849</w:t>
            </w:r>
          </w:p>
        </w:tc>
      </w:tr>
      <w:tr>
        <w:trPr>
          <w:trHeight w:val="264"/>
        </w:trPr>
        <w:tc>
          <w:tcPr>
            <w:tcW w:w="72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Treasury stock, at cost (23,945 and 23,917 shares)</w:t>
            </w: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(397,323)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(394,785)</w:t>
            </w:r>
          </w:p>
        </w:tc>
      </w:tr>
      <w:tr>
        <w:trPr>
          <w:trHeight w:val="250"/>
        </w:trPr>
        <w:tc>
          <w:tcPr>
            <w:tcW w:w="7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180,589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170,729</w:t>
            </w:r>
          </w:p>
        </w:tc>
      </w:tr>
      <w:tr>
        <w:trPr>
          <w:trHeight w:val="240"/>
        </w:trPr>
        <w:tc>
          <w:tcPr>
            <w:tcW w:w="7280" w:type="dxa"/>
            <w:vAlign w:val="bottom"/>
            <w:gridSpan w:val="2"/>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314,913</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309,145</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18"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772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21"/>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9"/>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5"/>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91"/>
        </w:trPr>
        <w:tc>
          <w:tcPr>
            <w:tcW w:w="12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126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30,</w:t>
            </w:r>
          </w:p>
        </w:tc>
        <w:tc>
          <w:tcPr>
            <w:tcW w:w="260" w:type="dxa"/>
            <w:vAlign w:val="bottom"/>
          </w:tcPr>
          <w:p>
            <w:pPr>
              <w:spacing w:after="0"/>
              <w:rPr>
                <w:sz w:val="17"/>
                <w:szCs w:val="17"/>
                <w:color w:val="auto"/>
              </w:rPr>
            </w:pPr>
          </w:p>
        </w:tc>
        <w:tc>
          <w:tcPr>
            <w:tcW w:w="154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1,</w:t>
            </w:r>
          </w:p>
        </w:tc>
      </w:tr>
      <w:tr>
        <w:trPr>
          <w:trHeight w:val="228"/>
        </w:trPr>
        <w:tc>
          <w:tcPr>
            <w:tcW w:w="77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2012</w:t>
            </w:r>
          </w:p>
        </w:tc>
      </w:tr>
      <w:tr>
        <w:trPr>
          <w:trHeight w:val="27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11,146</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7,391</w:t>
            </w:r>
          </w:p>
        </w:tc>
      </w:tr>
      <w:tr>
        <w:trPr>
          <w:trHeight w:val="28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984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1,147</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LIFO expense</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352</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952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687</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taxes including valuation allowance</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(40)</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Postretirement benefit income and deferred compensation expense</w:t>
            </w: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221</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doubtful accounts</w:t>
            </w:r>
          </w:p>
        </w:tc>
        <w:tc>
          <w:tcPr>
            <w:tcW w:w="2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Loss (gain) on disposal of property</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(3)</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Gain on life insurance</w:t>
            </w:r>
          </w:p>
        </w:tc>
        <w:tc>
          <w:tcPr>
            <w:tcW w:w="2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(509)</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Increase in cash surrender value of life insurance policies</w:t>
            </w: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(383)</w:t>
            </w:r>
          </w:p>
        </w:tc>
      </w:tr>
      <w:tr>
        <w:trPr>
          <w:trHeight w:val="28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Change in assets and liabilities: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(10,368)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(19,621)</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Receivables, prepaid and other assets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(13,928)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(4,107)</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4,584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3,195</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(4,675)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2,521</w:t>
            </w:r>
          </w:p>
        </w:tc>
      </w:tr>
      <w:tr>
        <w:trPr>
          <w:trHeight w:val="264"/>
        </w:trPr>
        <w:tc>
          <w:tcPr>
            <w:tcW w:w="77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Postretirement and deferred compensation benefits</w:t>
            </w: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(970)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(1,177)</w:t>
            </w:r>
          </w:p>
        </w:tc>
      </w:tr>
      <w:tr>
        <w:trPr>
          <w:trHeight w:val="25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operating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(11,895)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(10,323)</w:t>
            </w:r>
          </w:p>
        </w:tc>
      </w:tr>
      <w:tr>
        <w:trPr>
          <w:trHeight w:val="284"/>
        </w:trPr>
        <w:tc>
          <w:tcPr>
            <w:tcW w:w="12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Proceeds from the sale of investments, at par</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2,350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life insurance</w:t>
            </w:r>
          </w:p>
        </w:tc>
        <w:tc>
          <w:tcPr>
            <w:tcW w:w="2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974</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Purchases of property and equipment</w:t>
            </w: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(1,693)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(1,273)</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the sale of property</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566</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Repayments of COLI borrowings</w:t>
            </w:r>
          </w:p>
        </w:tc>
        <w:tc>
          <w:tcPr>
            <w:tcW w:w="240" w:type="dxa"/>
            <w:vAlign w:val="bottom"/>
          </w:tcPr>
          <w:p>
            <w:pPr>
              <w:spacing w:after="0"/>
              <w:rPr>
                <w:sz w:val="22"/>
                <w:szCs w:val="22"/>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(1,371)</w:t>
            </w:r>
          </w:p>
        </w:tc>
      </w:tr>
      <w:tr>
        <w:trPr>
          <w:trHeight w:val="273"/>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129</w:t>
            </w:r>
          </w:p>
        </w:tc>
      </w:tr>
      <w:tr>
        <w:trPr>
          <w:trHeight w:val="250"/>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811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(975)</w:t>
            </w:r>
          </w:p>
        </w:tc>
      </w:tr>
      <w:tr>
        <w:trPr>
          <w:trHeight w:val="284"/>
        </w:trPr>
        <w:tc>
          <w:tcPr>
            <w:tcW w:w="1260" w:type="dxa"/>
            <w:vAlign w:val="bottom"/>
            <w:shd w:val="clear" w:color="auto" w:fill="CCEEFF"/>
          </w:tcPr>
          <w:p>
            <w:pPr>
              <w:spacing w:after="0"/>
              <w:rPr>
                <w:sz w:val="24"/>
                <w:szCs w:val="24"/>
                <w:color w:val="auto"/>
              </w:rPr>
            </w:pPr>
          </w:p>
        </w:tc>
        <w:tc>
          <w:tcPr>
            <w:tcW w:w="6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for purchases of common stock</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(5,561)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(7,177)</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2,080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3"/>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(133)</w:t>
            </w:r>
          </w:p>
        </w:tc>
      </w:tr>
      <w:tr>
        <w:trPr>
          <w:trHeight w:val="250"/>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(3,456)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(7,310)</w:t>
            </w:r>
          </w:p>
        </w:tc>
      </w:tr>
      <w:tr>
        <w:trPr>
          <w:trHeight w:val="284"/>
        </w:trPr>
        <w:tc>
          <w:tcPr>
            <w:tcW w:w="1260" w:type="dxa"/>
            <w:vAlign w:val="bottom"/>
            <w:shd w:val="clear" w:color="auto" w:fill="CCEEFF"/>
          </w:tcPr>
          <w:p>
            <w:pPr>
              <w:spacing w:after="0"/>
              <w:rPr>
                <w:sz w:val="24"/>
                <w:szCs w:val="24"/>
                <w:color w:val="auto"/>
              </w:rPr>
            </w:pPr>
          </w:p>
        </w:tc>
        <w:tc>
          <w:tcPr>
            <w:tcW w:w="6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(14,540)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(18,608)</w:t>
            </w:r>
          </w:p>
        </w:tc>
      </w:tr>
      <w:tr>
        <w:trPr>
          <w:trHeight w:val="273"/>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64,277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62,683</w:t>
            </w:r>
          </w:p>
        </w:tc>
      </w:tr>
      <w:tr>
        <w:trPr>
          <w:trHeight w:val="280"/>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49,737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44,075</w:t>
            </w:r>
          </w:p>
        </w:tc>
      </w:tr>
      <w:tr>
        <w:trPr>
          <w:trHeight w:val="267"/>
        </w:trPr>
        <w:tc>
          <w:tcPr>
            <w:tcW w:w="1260" w:type="dxa"/>
            <w:vAlign w:val="bottom"/>
            <w:shd w:val="clear" w:color="auto" w:fill="CCEEFF"/>
          </w:tcPr>
          <w:p>
            <w:pPr>
              <w:spacing w:after="0"/>
              <w:rPr>
                <w:sz w:val="23"/>
                <w:szCs w:val="23"/>
                <w:color w:val="auto"/>
              </w:rPr>
            </w:pPr>
          </w:p>
        </w:tc>
        <w:tc>
          <w:tcPr>
            <w:tcW w:w="64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Supplement cash flow disclosure:</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paid, net of refunds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18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"Company," "we," "our" and "us" are used interchangeably to refer to Winnebago Industries, Inc. and its wholly-owned subsidiary, Winnebago of Indiana, LLC, as appropriate in the context.</w:t>
      </w:r>
    </w:p>
    <w:p>
      <w:pPr>
        <w:spacing w:after="0" w:line="169"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 our website is www.winnebagoind.com. Our common stock trades on the NYSE under the symbol “WGO.”</w:t>
      </w:r>
    </w:p>
    <w:p>
      <w:pPr>
        <w:spacing w:after="0" w:line="17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In our opinion, the accompanying condensed unaudited consolidated financial statements contain all adjustments, consisting of normal recurring accruals, necessary to present fairly our consolidated financial position as of November 30, 2013 and the consolidated results of operations and comprehensive income and consolidated cash flows for the first three months of Fiscal 2014 and 2013. The consolidated statement of operations and comprehensive income for the first three months of Fiscal 2014 is not necessarily indicative of the results to be expected for the full year. The consolidated balance sheet data as of August 31, 2013 was derived from audited financial statements, but does not include all of the information and footnotes required by GAAP for complete financial statements. These interim financial statements should be read in conjunction with the audited consolidated financial statements and notes thereto appearing in our Annual Report on Form 10-K for the fiscal year ended August 31, 2013.</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5"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We follow a 52-/53-week fiscal year, ending the last Saturday in August. Fiscal 2014 is a 52-week year; the first quarter ending November 30, 2013 had 13 weeks. Fiscal 2013 was a 53-week fiscal year; the first quarter ending December 1, 2012 had 14 weeks.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 xml:space="preserve">In July 2013, the FASB issued ASU 2013-11, </w:t>
      </w:r>
      <w:r>
        <w:rPr>
          <w:rFonts w:ascii="Arial" w:cs="Arial" w:eastAsia="Arial" w:hAnsi="Arial"/>
          <w:sz w:val="16"/>
          <w:szCs w:val="16"/>
          <w:i w:val="1"/>
          <w:iCs w:val="1"/>
          <w:color w:val="auto"/>
        </w:rPr>
        <w:t>Income Taxes (Topic 740)</w:t>
      </w:r>
      <w:r>
        <w:rPr>
          <w:rFonts w:ascii="Arial" w:cs="Arial" w:eastAsia="Arial" w:hAnsi="Arial"/>
          <w:sz w:val="16"/>
          <w:szCs w:val="16"/>
          <w:color w:val="auto"/>
        </w:rPr>
        <w:t>, which requires entities to present unrecognized tax benefits as a liability and not combine it with deferred tax assets to the extent a net operating loss carryforward, a similar tax loss, or a tax credit carryforward is not available at the reporting date. ASU 2013-11 will become effective for fiscal years beginning after December 15, 2013 (our Fiscal 2015). We are currently evaluating the impact on our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w:t>
      </w:r>
      <w:r>
        <w:rPr>
          <w:rFonts w:ascii="Arial" w:cs="Arial" w:eastAsia="Arial" w:hAnsi="Arial"/>
          <w:sz w:val="18"/>
          <w:szCs w:val="18"/>
          <w:color w:val="auto"/>
        </w:rPr>
        <w:t>:</w:t>
      </w:r>
      <w:r>
        <w:rPr>
          <w:rFonts w:ascii="Arial" w:cs="Arial" w:eastAsia="Arial" w:hAnsi="Arial"/>
          <w:sz w:val="16"/>
          <w:szCs w:val="16"/>
          <w:b w:val="1"/>
          <w:bCs w:val="1"/>
          <w:color w:val="auto"/>
        </w:rPr>
        <w:t xml:space="preserve"> Concentration Risk</w:t>
      </w:r>
    </w:p>
    <w:p>
      <w:pPr>
        <w:spacing w:after="0" w:line="21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One of our dealer organizations accounted for 19.8% and 28.0% of our consolidated net revenue for the first three months of Fiscal 2014 and Fiscal 2013, respectively. A second dealer organization accounted for 11.2% and 10.4% of our consolidated net revenue for the first three months of Fiscal 2014 and Fiscal 2013, respectively. The loss of these dealer organizations could have a significant adverse effect on our business. In addition, deterioration in the liquidity or creditworthiness of these dealers could negatively impact our sales and could trigger repurchase obligations under our repurchase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Investments and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2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 xml:space="preserve">We account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carrying value of cash equivalents approximates fair value as original maturities are less than three months. Our cash equivalents are comprised of money market funds traded in an active market with no restrictions.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00"/>
          </w:cols>
          <w:pgMar w:left="240" w:top="141" w:right="25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by level within the fair value hierarchy our financial assets that were accounted for at fair value on a recurring basis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30, 2013 and August 31, 2013 according to the valuation techniques we used to determine their fair values: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16"/>
                <w:szCs w:val="16"/>
                <w:color w:val="auto"/>
              </w:rPr>
            </w:pPr>
          </w:p>
        </w:tc>
      </w:t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November 30,</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6,502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6,502</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Fixed income funds</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7,521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7,521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0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24"/>
                <w:szCs w:val="24"/>
                <w:color w:val="auto"/>
              </w:rPr>
            </w:pPr>
          </w:p>
        </w:tc>
      </w:t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August 31,</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Student loan ARS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2,108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2,108</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1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7,127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7,127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Fixed income funds</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10,264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8,156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provides a reconciliation between the beginning and ending balances of items measured at fair value on a recurring basis in the table above that used significant unobservable inputs (Level 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6"/>
                <w:szCs w:val="16"/>
                <w:b w:val="1"/>
                <w:bCs w:val="1"/>
                <w:color w:val="auto"/>
              </w:rPr>
              <w:t>Quarter Ended</w:t>
            </w:r>
          </w:p>
        </w:tc>
      </w:tr>
      <w:tr>
        <w:trPr>
          <w:trHeight w:val="198"/>
        </w:trPr>
        <w:tc>
          <w:tcPr>
            <w:tcW w:w="7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w:t>
            </w:r>
          </w:p>
        </w:tc>
        <w:tc>
          <w:tcPr>
            <w:tcW w:w="240" w:type="dxa"/>
            <w:vAlign w:val="bottom"/>
          </w:tcPr>
          <w:p>
            <w:pPr>
              <w:spacing w:after="0"/>
              <w:rPr>
                <w:sz w:val="17"/>
                <w:szCs w:val="17"/>
                <w:color w:val="auto"/>
              </w:rPr>
            </w:pPr>
          </w:p>
        </w:tc>
        <w:tc>
          <w:tcPr>
            <w:tcW w:w="1440" w:type="dxa"/>
            <w:vAlign w:val="bottom"/>
          </w:tcPr>
          <w:p>
            <w:pPr>
              <w:jc w:val="right"/>
              <w:ind w:right="299"/>
              <w:spacing w:after="0"/>
              <w:rPr>
                <w:sz w:val="20"/>
                <w:szCs w:val="20"/>
                <w:color w:val="auto"/>
              </w:rPr>
            </w:pPr>
            <w:r>
              <w:rPr>
                <w:rFonts w:ascii="Arial" w:cs="Arial" w:eastAsia="Arial" w:hAnsi="Arial"/>
                <w:sz w:val="16"/>
                <w:szCs w:val="16"/>
                <w:b w:val="1"/>
                <w:bCs w:val="1"/>
                <w:color w:val="auto"/>
              </w:rPr>
              <w:t>December 1,</w:t>
            </w:r>
          </w:p>
        </w:tc>
      </w:tr>
      <w:tr>
        <w:trPr>
          <w:trHeight w:val="228"/>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2012</w:t>
            </w:r>
          </w:p>
        </w:tc>
      </w:tr>
      <w:tr>
        <w:trPr>
          <w:trHeight w:val="257"/>
        </w:trPr>
        <w:tc>
          <w:tcPr>
            <w:tcW w:w="7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2,108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9,074</w:t>
            </w:r>
          </w:p>
        </w:tc>
      </w:tr>
      <w:tr>
        <w:trPr>
          <w:trHeight w:val="260"/>
        </w:trPr>
        <w:tc>
          <w:tcPr>
            <w:tcW w:w="7960" w:type="dxa"/>
            <w:vAlign w:val="bottom"/>
            <w:gridSpan w:val="2"/>
          </w:tcPr>
          <w:p>
            <w:pPr>
              <w:ind w:left="40"/>
              <w:spacing w:after="0"/>
              <w:rPr>
                <w:sz w:val="20"/>
                <w:szCs w:val="20"/>
                <w:color w:val="auto"/>
              </w:rPr>
            </w:pPr>
            <w:r>
              <w:rPr>
                <w:rFonts w:ascii="Arial" w:cs="Arial" w:eastAsia="Arial" w:hAnsi="Arial"/>
                <w:sz w:val="16"/>
                <w:szCs w:val="16"/>
                <w:color w:val="auto"/>
              </w:rPr>
              <w:t>Transfer to Level 2</w:t>
            </w:r>
          </w:p>
        </w:tc>
        <w:tc>
          <w:tcPr>
            <w:tcW w:w="200" w:type="dxa"/>
            <w:vAlign w:val="bottom"/>
          </w:tcPr>
          <w:p>
            <w:pPr>
              <w:spacing w:after="0"/>
              <w:rPr>
                <w:sz w:val="22"/>
                <w:szCs w:val="22"/>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(250)</w:t>
            </w:r>
          </w:p>
        </w:tc>
      </w:tr>
      <w:tr>
        <w:trPr>
          <w:trHeight w:val="280"/>
        </w:trPr>
        <w:tc>
          <w:tcPr>
            <w:tcW w:w="7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change included in other comprehensive income</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w:t>
            </w:r>
          </w:p>
        </w:tc>
      </w:tr>
      <w:tr>
        <w:trPr>
          <w:trHeight w:val="264"/>
        </w:trPr>
        <w:tc>
          <w:tcPr>
            <w:tcW w:w="79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Sales</w:t>
            </w: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(2,350)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40"/>
        </w:trPr>
        <w:tc>
          <w:tcPr>
            <w:tcW w:w="7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8,823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Investments</w:t>
      </w:r>
    </w:p>
    <w:p>
      <w:pPr>
        <w:spacing w:after="0" w:line="25"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Our long-term investments were comprised of ARS. Our long-term ARS investments were classified as Level 3, as quoted prices were unavailable and there was insufficient observable ARS market information available to determine the fair value of our ARS investments. Due to limited market information, we utilized a DCF model to derive an estimate of fair value for the ARS for prior periods. The assumptions used in preparing the DCF model included estimates with respect to the amount and timing of future interest and principal payments, forward projections of the interest rate benchmarks, the probability of full repayment of the principal considering the credit quality and guarantees in place and the rate of return required by investors to own such securities given the current liquidity risk associated with ARS. During the first quarter of Fiscal 2014 we redeemed our last ARS holding at par value of $2.4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2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They are classified as Level 1 as they are traded in an active market for which closing stock prices are readily available. These securities fund the Executive Share Option Plan (see Note 8), a deferred compensation program, and are presented as other assets in the accompanying balance sheets.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25" w:lineRule="exact"/>
        <w:rPr>
          <w:sz w:val="20"/>
          <w:szCs w:val="20"/>
          <w:color w:val="auto"/>
        </w:rPr>
      </w:pPr>
    </w:p>
    <w:p>
      <w:pPr>
        <w:ind w:right="600"/>
        <w:spacing w:after="0" w:line="251" w:lineRule="auto"/>
        <w:rPr>
          <w:sz w:val="20"/>
          <w:szCs w:val="20"/>
          <w:color w:val="auto"/>
        </w:rPr>
      </w:pPr>
      <w:r>
        <w:rPr>
          <w:rFonts w:ascii="Arial" w:cs="Arial" w:eastAsia="Arial" w:hAnsi="Arial"/>
          <w:sz w:val="16"/>
          <w:szCs w:val="16"/>
          <w:color w:val="auto"/>
        </w:rPr>
        <w:t>Our non-financial assets, which include goodwill and property, plant and equipment, 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During the first three months of Fiscal 2014, no impairments were recorded for non-financial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gridSpan w:val="2"/>
          </w:tcPr>
          <w:p>
            <w:pPr>
              <w:spacing w:after="0"/>
              <w:rPr>
                <w:sz w:val="20"/>
                <w:szCs w:val="20"/>
                <w:color w:val="auto"/>
              </w:rPr>
            </w:pPr>
            <w:r>
              <w:rPr>
                <w:rFonts w:ascii="Arial" w:cs="Arial" w:eastAsia="Arial" w:hAnsi="Arial"/>
                <w:sz w:val="16"/>
                <w:szCs w:val="16"/>
                <w:b w:val="1"/>
                <w:bCs w:val="1"/>
                <w:color w:val="auto"/>
              </w:rPr>
              <w:t>Note 4: Inventories</w:t>
            </w: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51"/>
        </w:trPr>
        <w:tc>
          <w:tcPr>
            <w:tcW w:w="6780" w:type="dxa"/>
            <w:vAlign w:val="bottom"/>
            <w:gridSpan w:val="2"/>
          </w:tcPr>
          <w:p>
            <w:pPr>
              <w:spacing w:after="0"/>
              <w:rPr>
                <w:sz w:val="20"/>
                <w:szCs w:val="20"/>
                <w:color w:val="auto"/>
              </w:rPr>
            </w:pPr>
            <w:r>
              <w:rPr>
                <w:rFonts w:ascii="Arial" w:cs="Arial" w:eastAsia="Arial" w:hAnsi="Arial"/>
                <w:sz w:val="16"/>
                <w:szCs w:val="16"/>
                <w:color w:val="auto"/>
              </w:rPr>
              <w:t>Inventories consist of the following:</w:t>
            </w: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26"/>
        </w:trPr>
        <w:tc>
          <w:tcPr>
            <w:tcW w:w="6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gridSpan w:val="2"/>
          </w:tcPr>
          <w:p>
            <w:pPr>
              <w:ind w:left="220"/>
              <w:spacing w:after="0"/>
              <w:rPr>
                <w:sz w:val="20"/>
                <w:szCs w:val="20"/>
                <w:color w:val="auto"/>
              </w:rPr>
            </w:pPr>
            <w:r>
              <w:rPr>
                <w:rFonts w:ascii="Arial" w:cs="Arial" w:eastAsia="Arial" w:hAnsi="Arial"/>
                <w:sz w:val="16"/>
                <w:szCs w:val="16"/>
                <w:b w:val="1"/>
                <w:bCs w:val="1"/>
                <w:color w:val="auto"/>
              </w:rPr>
              <w:t>November 30,</w:t>
            </w:r>
          </w:p>
        </w:tc>
        <w:tc>
          <w:tcPr>
            <w:tcW w:w="400" w:type="dxa"/>
            <w:vAlign w:val="bottom"/>
          </w:tcPr>
          <w:p>
            <w:pPr>
              <w:spacing w:after="0"/>
              <w:rPr>
                <w:sz w:val="24"/>
                <w:szCs w:val="24"/>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31,</w:t>
            </w:r>
          </w:p>
        </w:tc>
      </w:tr>
      <w:tr>
        <w:trPr>
          <w:trHeight w:val="228"/>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2013</w:t>
            </w:r>
          </w:p>
        </w:tc>
      </w:tr>
      <w:tr>
        <w:trPr>
          <w:trHeight w:val="257"/>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47,822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43,927</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Work-in-process</w:t>
            </w:r>
          </w:p>
        </w:tc>
        <w:tc>
          <w:tcPr>
            <w:tcW w:w="360" w:type="dxa"/>
            <w:vAlign w:val="bottom"/>
          </w:tcPr>
          <w:p>
            <w:pPr>
              <w:spacing w:after="0"/>
              <w:rPr>
                <w:sz w:val="22"/>
                <w:szCs w:val="22"/>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49,451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46,257</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36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55,481</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52,201</w:t>
            </w:r>
          </w:p>
        </w:tc>
      </w:tr>
      <w:tr>
        <w:trPr>
          <w:trHeight w:val="247"/>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Pr>
          <w:p>
            <w:pPr>
              <w:spacing w:after="0"/>
              <w:rPr>
                <w:sz w:val="21"/>
                <w:szCs w:val="21"/>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152,754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142,385</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36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(30,276)</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(29,844)</w:t>
            </w:r>
          </w:p>
        </w:tc>
      </w:tr>
      <w:tr>
        <w:trPr>
          <w:trHeight w:val="24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inventories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122,478</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112,541</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above value of inventories, before reduction for the LIFO reserve, approximates replacement cost. Of the $152.8 million and $142.4 million inventory at November 30, 2013 and August 31, 2013, respectively, $143.1 million and $136.1 million is valued on a LIFO basis. Towables inventory of $9.7 million and $6.3 million at November 30, 2013 and August 31, 2013, respectively, is valued on a FIFO basis.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Property, Plant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gridSpan w:val="2"/>
          </w:tcPr>
          <w:p>
            <w:pPr>
              <w:ind w:left="220"/>
              <w:spacing w:after="0"/>
              <w:rPr>
                <w:sz w:val="20"/>
                <w:szCs w:val="20"/>
                <w:color w:val="auto"/>
              </w:rPr>
            </w:pPr>
            <w:r>
              <w:rPr>
                <w:rFonts w:ascii="Arial" w:cs="Arial" w:eastAsia="Arial" w:hAnsi="Arial"/>
                <w:sz w:val="16"/>
                <w:szCs w:val="16"/>
                <w:b w:val="1"/>
                <w:bCs w:val="1"/>
                <w:color w:val="auto"/>
              </w:rPr>
              <w:t>November 30,</w:t>
            </w:r>
          </w:p>
        </w:tc>
        <w:tc>
          <w:tcPr>
            <w:tcW w:w="400" w:type="dxa"/>
            <w:vAlign w:val="bottom"/>
          </w:tcPr>
          <w:p>
            <w:pPr>
              <w:spacing w:after="0"/>
              <w:rPr>
                <w:sz w:val="16"/>
                <w:szCs w:val="16"/>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31,</w:t>
            </w:r>
          </w:p>
        </w:tc>
      </w:tr>
      <w:tr>
        <w:trPr>
          <w:trHeight w:val="228"/>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2013</w:t>
            </w:r>
          </w:p>
        </w:tc>
      </w:tr>
      <w:tr>
        <w:trPr>
          <w:trHeight w:val="257"/>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757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757</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Buildings and building improvements</w:t>
            </w:r>
          </w:p>
        </w:tc>
        <w:tc>
          <w:tcPr>
            <w:tcW w:w="360" w:type="dxa"/>
            <w:vAlign w:val="bottom"/>
          </w:tcPr>
          <w:p>
            <w:pPr>
              <w:spacing w:after="0"/>
              <w:rPr>
                <w:sz w:val="22"/>
                <w:szCs w:val="22"/>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50,570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50,297</w:t>
            </w:r>
          </w:p>
        </w:tc>
      </w:tr>
      <w:tr>
        <w:trPr>
          <w:trHeight w:val="280"/>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36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92,014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91,224</w:t>
            </w:r>
          </w:p>
        </w:tc>
      </w:tr>
      <w:tr>
        <w:trPr>
          <w:trHeight w:val="264"/>
        </w:trPr>
        <w:tc>
          <w:tcPr>
            <w:tcW w:w="6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Transportation</w:t>
            </w:r>
          </w:p>
        </w:tc>
        <w:tc>
          <w:tcPr>
            <w:tcW w:w="3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9,032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9,044</w:t>
            </w:r>
          </w:p>
        </w:tc>
      </w:tr>
      <w:tr>
        <w:trPr>
          <w:trHeight w:val="257"/>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gross</w:t>
            </w:r>
          </w:p>
        </w:tc>
        <w:tc>
          <w:tcPr>
            <w:tcW w:w="360" w:type="dxa"/>
            <w:vAlign w:val="bottom"/>
            <w:shd w:val="clear" w:color="auto" w:fill="CCEEFF"/>
          </w:tcPr>
          <w:p>
            <w:pPr>
              <w:spacing w:after="0"/>
              <w:rPr>
                <w:sz w:val="22"/>
                <w:szCs w:val="22"/>
                <w:color w:val="auto"/>
              </w:rPr>
            </w:pPr>
          </w:p>
        </w:tc>
        <w:tc>
          <w:tcPr>
            <w:tcW w:w="19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152,373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151,322</w:t>
            </w:r>
          </w:p>
        </w:tc>
      </w:tr>
      <w:tr>
        <w:trPr>
          <w:trHeight w:val="264"/>
        </w:trPr>
        <w:tc>
          <w:tcPr>
            <w:tcW w:w="6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Less accumulated depreciation</w:t>
            </w:r>
          </w:p>
        </w:tc>
        <w:tc>
          <w:tcPr>
            <w:tcW w:w="3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(131,316)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(131,056)</w:t>
            </w:r>
          </w:p>
        </w:tc>
      </w:tr>
      <w:tr>
        <w:trPr>
          <w:trHeight w:val="240"/>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net</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21,057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20,266</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On December 19, 2013 3M exercised an option to purchase warehouse facilities that 3M had leased from us since 1980. Net proceeds from the sale were $2.2 million, resulting in a gain of approximately $630,000. We received lease payments of $860,000 and recorded depreciation charges of $148,000 in Fiscal 2013 related to these warehouse facilities.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Credit Facilities</w:t>
      </w:r>
    </w:p>
    <w:p>
      <w:pPr>
        <w:spacing w:after="0" w:line="26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On October 31, 2012, we entered into the Credit Agreement with GECC. The Credit Agreement provides for an initial $35.0 million revolving credit facility based on the Company's eligible inventory and expires on October 31, 2015, unless terminated earlier in accordance with its terms. There is no termination fee associated with the Credit Agreement.</w:t>
      </w:r>
    </w:p>
    <w:p>
      <w:pPr>
        <w:spacing w:after="0" w:line="22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Credit Agreement contains no financial covenant restrictions for borrowings where we have excess borrowing availability under the facility of greater than $5.0 million. The Credit Agreement requires us to comply with a fixed charge ratio if excess borrowing availability under the facility is less than $5.0 million. In addition the Credit Agreement also includes a framework to expand the size of the facility up to $50.0 million, based on mutually agreeable terms at the time of the expansion. Interest on loans made under the new facility will be based on LIBOR plus a margin of 3.0%. The initial unused line fee associated with the Credit Agreement is 0.5% per annum and has the ability to be lowered based upon facility usage.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29"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The Credit Agreement contains typical affirmative representations and covenants for a credit agreement of this size and nature. Additionally, the Credit Agreement contains negative covenants limiting our ability, among other things, to incur debt, grant liens, make acquisitions, make certain investments, pay certain dividends and distributions, engage in mergers, consolidations or acquisitions and sell certain assets. Obligations under the Credit Agreement are secured by a security interest in all of our accounts and other receivables, chattel paper, documents, deposit accounts, instruments, equipment, inventory, investment property, leasehold interest, cash and cash equivalents, letter-of-credit rights, most real property and fixtures and certain other business assets.</w:t>
      </w:r>
    </w:p>
    <w:p>
      <w:pPr>
        <w:spacing w:after="0" w:line="230" w:lineRule="exact"/>
        <w:rPr>
          <w:sz w:val="20"/>
          <w:szCs w:val="20"/>
          <w:color w:val="auto"/>
        </w:rPr>
      </w:pPr>
    </w:p>
    <w:p>
      <w:pPr>
        <w:ind w:right="1560"/>
        <w:spacing w:after="0" w:line="471" w:lineRule="auto"/>
        <w:rPr>
          <w:sz w:val="20"/>
          <w:szCs w:val="20"/>
          <w:color w:val="auto"/>
        </w:rPr>
      </w:pPr>
      <w:r>
        <w:rPr>
          <w:rFonts w:ascii="Arial" w:cs="Arial" w:eastAsia="Arial" w:hAnsi="Arial"/>
          <w:sz w:val="16"/>
          <w:szCs w:val="16"/>
          <w:color w:val="auto"/>
        </w:rPr>
        <w:t xml:space="preserve">As of the date of this report, we are in compliance with all terms of the Credit Agreement, and no borrowings have been made thereunder. </w:t>
      </w:r>
      <w:r>
        <w:rPr>
          <w:rFonts w:ascii="Arial" w:cs="Arial" w:eastAsia="Arial" w:hAnsi="Arial"/>
          <w:sz w:val="16"/>
          <w:szCs w:val="16"/>
          <w:b w:val="1"/>
          <w:bCs w:val="1"/>
          <w:color w:val="auto"/>
        </w:rPr>
        <w:t>Note 7: Warranty</w:t>
      </w:r>
    </w:p>
    <w:p>
      <w:pPr>
        <w:spacing w:after="0" w:line="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provide our motorhome customers a comprehensive 12-month/15,000-mile warranty on our Class A, B and C motorhomes, and a 3-year/36,000-mile structural warranty on Class A and C sidewalls and floors. We provide a comprehensive 12-month warranty on all towable products. We have also incurred costs for certain warranty-type expenses which occurred after the normal warranty period. We have voluntarily agreed to pay such costs to help protect the reputation of our products and the goodwill of our customers.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20" w:type="dxa"/>
            <w:vAlign w:val="bottom"/>
            <w:gridSpan w:val="3"/>
          </w:tcPr>
          <w:p>
            <w:pPr>
              <w:spacing w:after="0"/>
              <w:rPr>
                <w:sz w:val="20"/>
                <w:szCs w:val="20"/>
                <w:color w:val="auto"/>
              </w:rPr>
            </w:pPr>
            <w:r>
              <w:rPr>
                <w:rFonts w:ascii="Arial" w:cs="Arial" w:eastAsia="Arial" w:hAnsi="Arial"/>
                <w:sz w:val="16"/>
                <w:szCs w:val="16"/>
                <w:color w:val="auto"/>
              </w:rPr>
              <w:t>Changes in our product warranty liability are as follows:</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7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6"/>
          </w:tcPr>
          <w:p>
            <w:pPr>
              <w:jc w:val="right"/>
              <w:ind w:right="1379"/>
              <w:spacing w:after="0"/>
              <w:rPr>
                <w:sz w:val="20"/>
                <w:szCs w:val="20"/>
                <w:color w:val="auto"/>
              </w:rPr>
            </w:pPr>
            <w:r>
              <w:rPr>
                <w:rFonts w:ascii="Arial" w:cs="Arial" w:eastAsia="Arial" w:hAnsi="Arial"/>
                <w:sz w:val="16"/>
                <w:szCs w:val="16"/>
                <w:b w:val="1"/>
                <w:bCs w:val="1"/>
                <w:color w:val="auto"/>
              </w:rPr>
              <w:t>Quarter Ended</w:t>
            </w:r>
          </w:p>
        </w:tc>
        <w:tc>
          <w:tcPr>
            <w:tcW w:w="0" w:type="dxa"/>
            <w:vAlign w:val="bottom"/>
          </w:tcPr>
          <w:p>
            <w:pPr>
              <w:spacing w:after="0"/>
              <w:rPr>
                <w:sz w:val="1"/>
                <w:szCs w:val="1"/>
                <w:color w:val="auto"/>
              </w:rPr>
            </w:pPr>
          </w:p>
        </w:tc>
      </w:tr>
      <w:tr>
        <w:trPr>
          <w:trHeight w:val="198"/>
        </w:trPr>
        <w:tc>
          <w:tcPr>
            <w:tcW w:w="7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3"/>
          </w:tcPr>
          <w:p>
            <w:pPr>
              <w:ind w:left="160"/>
              <w:spacing w:after="0"/>
              <w:rPr>
                <w:sz w:val="20"/>
                <w:szCs w:val="20"/>
                <w:color w:val="auto"/>
              </w:rPr>
            </w:pPr>
            <w:r>
              <w:rPr>
                <w:rFonts w:ascii="Arial" w:cs="Arial" w:eastAsia="Arial" w:hAnsi="Arial"/>
                <w:sz w:val="16"/>
                <w:szCs w:val="16"/>
                <w:b w:val="1"/>
                <w:bCs w:val="1"/>
                <w:color w:val="auto"/>
              </w:rPr>
              <w:t>November 30,</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Pr>
          <w:p>
            <w:pPr>
              <w:jc w:val="right"/>
              <w:ind w:right="459"/>
              <w:spacing w:after="0"/>
              <w:rPr>
                <w:sz w:val="20"/>
                <w:szCs w:val="20"/>
                <w:color w:val="auto"/>
              </w:rPr>
            </w:pPr>
            <w:r>
              <w:rPr>
                <w:rFonts w:ascii="Arial" w:cs="Arial" w:eastAsia="Arial" w:hAnsi="Arial"/>
                <w:sz w:val="16"/>
                <w:szCs w:val="16"/>
                <w:b w:val="1"/>
                <w:bCs w:val="1"/>
                <w:color w:val="auto"/>
              </w:rPr>
              <w:t>December 1,</w:t>
            </w:r>
          </w:p>
        </w:tc>
        <w:tc>
          <w:tcPr>
            <w:tcW w:w="0" w:type="dxa"/>
            <w:vAlign w:val="bottom"/>
          </w:tcPr>
          <w:p>
            <w:pPr>
              <w:spacing w:after="0"/>
              <w:rPr>
                <w:sz w:val="1"/>
                <w:szCs w:val="1"/>
                <w:color w:val="auto"/>
              </w:rPr>
            </w:pPr>
          </w:p>
        </w:tc>
      </w:tr>
      <w:tr>
        <w:trPr>
          <w:trHeight w:val="228"/>
        </w:trPr>
        <w:tc>
          <w:tcPr>
            <w:tcW w:w="72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gridSpan w:val="2"/>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57"/>
        </w:trPr>
        <w:tc>
          <w:tcPr>
            <w:tcW w:w="7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8,443</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6,990</w:t>
            </w:r>
          </w:p>
        </w:tc>
        <w:tc>
          <w:tcPr>
            <w:tcW w:w="0" w:type="dxa"/>
            <w:vAlign w:val="bottom"/>
          </w:tcPr>
          <w:p>
            <w:pPr>
              <w:spacing w:after="0"/>
              <w:rPr>
                <w:sz w:val="1"/>
                <w:szCs w:val="1"/>
                <w:color w:val="auto"/>
              </w:rPr>
            </w:pPr>
          </w:p>
        </w:tc>
      </w:tr>
      <w:tr>
        <w:trPr>
          <w:trHeight w:val="260"/>
        </w:trPr>
        <w:tc>
          <w:tcPr>
            <w:tcW w:w="7320" w:type="dxa"/>
            <w:vAlign w:val="bottom"/>
            <w:gridSpan w:val="3"/>
          </w:tcPr>
          <w:p>
            <w:pPr>
              <w:ind w:left="40"/>
              <w:spacing w:after="0"/>
              <w:rPr>
                <w:sz w:val="20"/>
                <w:szCs w:val="20"/>
                <w:color w:val="auto"/>
              </w:rPr>
            </w:pPr>
            <w:r>
              <w:rPr>
                <w:rFonts w:ascii="Arial" w:cs="Arial" w:eastAsia="Arial" w:hAnsi="Arial"/>
                <w:sz w:val="16"/>
                <w:szCs w:val="16"/>
                <w:color w:val="auto"/>
              </w:rPr>
              <w:t>Provision</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tcPr>
          <w:p>
            <w:pPr>
              <w:jc w:val="right"/>
              <w:ind w:right="339"/>
              <w:spacing w:after="0"/>
              <w:rPr>
                <w:sz w:val="20"/>
                <w:szCs w:val="20"/>
                <w:color w:val="auto"/>
              </w:rPr>
            </w:pPr>
            <w:r>
              <w:rPr>
                <w:rFonts w:ascii="Arial" w:cs="Arial" w:eastAsia="Arial" w:hAnsi="Arial"/>
                <w:sz w:val="16"/>
                <w:szCs w:val="16"/>
                <w:color w:val="auto"/>
              </w:rPr>
              <w:t>2,770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2,486</w:t>
            </w:r>
          </w:p>
        </w:tc>
        <w:tc>
          <w:tcPr>
            <w:tcW w:w="0" w:type="dxa"/>
            <w:vAlign w:val="bottom"/>
          </w:tcPr>
          <w:p>
            <w:pPr>
              <w:spacing w:after="0"/>
              <w:rPr>
                <w:sz w:val="1"/>
                <w:szCs w:val="1"/>
                <w:color w:val="auto"/>
              </w:rPr>
            </w:pPr>
          </w:p>
        </w:tc>
      </w:tr>
      <w:tr>
        <w:trPr>
          <w:trHeight w:val="273"/>
        </w:trPr>
        <w:tc>
          <w:tcPr>
            <w:tcW w:w="7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(2,868)</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(1,927)</w:t>
            </w:r>
          </w:p>
        </w:tc>
        <w:tc>
          <w:tcPr>
            <w:tcW w:w="0" w:type="dxa"/>
            <w:vAlign w:val="bottom"/>
          </w:tcPr>
          <w:p>
            <w:pPr>
              <w:spacing w:after="0"/>
              <w:rPr>
                <w:sz w:val="1"/>
                <w:szCs w:val="1"/>
                <w:color w:val="auto"/>
              </w:rPr>
            </w:pPr>
          </w:p>
        </w:tc>
      </w:tr>
      <w:tr>
        <w:trPr>
          <w:trHeight w:val="237"/>
        </w:trPr>
        <w:tc>
          <w:tcPr>
            <w:tcW w:w="7320" w:type="dxa"/>
            <w:vAlign w:val="bottom"/>
            <w:gridSpan w:val="3"/>
          </w:tcPr>
          <w:p>
            <w:pPr>
              <w:ind w:left="4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8,345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7,549</w:t>
            </w:r>
          </w:p>
        </w:tc>
        <w:tc>
          <w:tcPr>
            <w:tcW w:w="0" w:type="dxa"/>
            <w:vAlign w:val="bottom"/>
          </w:tcPr>
          <w:p>
            <w:pPr>
              <w:spacing w:after="0"/>
              <w:rPr>
                <w:sz w:val="1"/>
                <w:szCs w:val="1"/>
                <w:color w:val="auto"/>
              </w:rPr>
            </w:pPr>
          </w:p>
        </w:tc>
      </w:tr>
      <w:tr>
        <w:trPr>
          <w:trHeight w:val="20"/>
        </w:trPr>
        <w:tc>
          <w:tcPr>
            <w:tcW w:w="73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Note 8: Employee and Retiree Benefits</w:t>
            </w: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3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320" w:type="dxa"/>
            <w:vAlign w:val="bottom"/>
            <w:gridSpan w:val="3"/>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7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November 30,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jc w:val="right"/>
              <w:ind w:right="499"/>
              <w:spacing w:after="0"/>
              <w:rPr>
                <w:sz w:val="20"/>
                <w:szCs w:val="20"/>
                <w:color w:val="auto"/>
              </w:rPr>
            </w:pPr>
            <w:r>
              <w:rPr>
                <w:rFonts w:ascii="Arial" w:cs="Arial" w:eastAsia="Arial" w:hAnsi="Arial"/>
                <w:sz w:val="16"/>
                <w:szCs w:val="16"/>
                <w:b w:val="1"/>
                <w:bCs w:val="1"/>
                <w:color w:val="auto"/>
              </w:rPr>
              <w:t>August 31,</w:t>
            </w:r>
          </w:p>
        </w:tc>
        <w:tc>
          <w:tcPr>
            <w:tcW w:w="0" w:type="dxa"/>
            <w:vAlign w:val="bottom"/>
          </w:tcPr>
          <w:p>
            <w:pPr>
              <w:spacing w:after="0"/>
              <w:rPr>
                <w:sz w:val="1"/>
                <w:szCs w:val="1"/>
                <w:color w:val="auto"/>
              </w:rPr>
            </w:pPr>
          </w:p>
        </w:tc>
      </w:tr>
      <w:tr>
        <w:trPr>
          <w:trHeight w:val="228"/>
        </w:trPr>
        <w:tc>
          <w:tcPr>
            <w:tcW w:w="72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57"/>
        </w:trPr>
        <w:tc>
          <w:tcPr>
            <w:tcW w:w="7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cost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36,468</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36,244</w:t>
            </w:r>
          </w:p>
        </w:tc>
        <w:tc>
          <w:tcPr>
            <w:tcW w:w="0" w:type="dxa"/>
            <w:vAlign w:val="bottom"/>
          </w:tcPr>
          <w:p>
            <w:pPr>
              <w:spacing w:after="0"/>
              <w:rPr>
                <w:sz w:val="1"/>
                <w:szCs w:val="1"/>
                <w:color w:val="auto"/>
              </w:rPr>
            </w:pPr>
          </w:p>
        </w:tc>
      </w:tr>
      <w:tr>
        <w:trPr>
          <w:trHeight w:val="260"/>
        </w:trPr>
        <w:tc>
          <w:tcPr>
            <w:tcW w:w="7320" w:type="dxa"/>
            <w:vAlign w:val="bottom"/>
            <w:gridSpan w:val="3"/>
          </w:tcPr>
          <w:p>
            <w:pPr>
              <w:ind w:left="40"/>
              <w:spacing w:after="0"/>
              <w:rPr>
                <w:sz w:val="20"/>
                <w:szCs w:val="20"/>
                <w:color w:val="auto"/>
              </w:rPr>
            </w:pPr>
            <w:r>
              <w:rPr>
                <w:rFonts w:ascii="Arial" w:cs="Arial" w:eastAsia="Arial" w:hAnsi="Arial"/>
                <w:sz w:val="16"/>
                <w:szCs w:val="16"/>
                <w:color w:val="auto"/>
              </w:rPr>
              <w:t>Non-qualified deferred compensation</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tcPr>
          <w:p>
            <w:pPr>
              <w:jc w:val="right"/>
              <w:ind w:right="319"/>
              <w:spacing w:after="0"/>
              <w:rPr>
                <w:sz w:val="20"/>
                <w:szCs w:val="20"/>
                <w:color w:val="auto"/>
              </w:rPr>
            </w:pPr>
            <w:r>
              <w:rPr>
                <w:rFonts w:ascii="Arial" w:cs="Arial" w:eastAsia="Arial" w:hAnsi="Arial"/>
                <w:sz w:val="16"/>
                <w:szCs w:val="16"/>
                <w:color w:val="auto"/>
              </w:rPr>
              <w:t>22,014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22,366</w:t>
            </w:r>
          </w:p>
        </w:tc>
        <w:tc>
          <w:tcPr>
            <w:tcW w:w="0" w:type="dxa"/>
            <w:vAlign w:val="bottom"/>
          </w:tcPr>
          <w:p>
            <w:pPr>
              <w:spacing w:after="0"/>
              <w:rPr>
                <w:sz w:val="1"/>
                <w:szCs w:val="1"/>
                <w:color w:val="auto"/>
              </w:rPr>
            </w:pPr>
          </w:p>
        </w:tc>
      </w:tr>
      <w:tr>
        <w:trPr>
          <w:trHeight w:val="280"/>
        </w:trPr>
        <w:tc>
          <w:tcPr>
            <w:tcW w:w="7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Executive share option plan liability</w:t>
            </w: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6,506</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6,959</w:t>
            </w:r>
          </w:p>
        </w:tc>
        <w:tc>
          <w:tcPr>
            <w:tcW w:w="0" w:type="dxa"/>
            <w:vAlign w:val="bottom"/>
          </w:tcPr>
          <w:p>
            <w:pPr>
              <w:spacing w:after="0"/>
              <w:rPr>
                <w:sz w:val="1"/>
                <w:szCs w:val="1"/>
                <w:color w:val="auto"/>
              </w:rPr>
            </w:pPr>
          </w:p>
        </w:tc>
      </w:tr>
      <w:tr>
        <w:trPr>
          <w:trHeight w:val="260"/>
        </w:trPr>
        <w:tc>
          <w:tcPr>
            <w:tcW w:w="7320" w:type="dxa"/>
            <w:vAlign w:val="bottom"/>
            <w:gridSpan w:val="3"/>
          </w:tcPr>
          <w:p>
            <w:pPr>
              <w:ind w:left="40"/>
              <w:spacing w:after="0"/>
              <w:rPr>
                <w:sz w:val="20"/>
                <w:szCs w:val="20"/>
                <w:color w:val="auto"/>
              </w:rPr>
            </w:pPr>
            <w:r>
              <w:rPr>
                <w:rFonts w:ascii="Arial" w:cs="Arial" w:eastAsia="Arial" w:hAnsi="Arial"/>
                <w:sz w:val="16"/>
                <w:szCs w:val="16"/>
                <w:color w:val="auto"/>
              </w:rPr>
              <w:t>SERP benefit liability</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tcPr>
          <w:p>
            <w:pPr>
              <w:jc w:val="right"/>
              <w:ind w:right="319"/>
              <w:spacing w:after="0"/>
              <w:rPr>
                <w:sz w:val="20"/>
                <w:szCs w:val="20"/>
                <w:color w:val="auto"/>
              </w:rPr>
            </w:pPr>
            <w:r>
              <w:rPr>
                <w:rFonts w:ascii="Arial" w:cs="Arial" w:eastAsia="Arial" w:hAnsi="Arial"/>
                <w:sz w:val="16"/>
                <w:szCs w:val="16"/>
                <w:color w:val="auto"/>
              </w:rPr>
              <w:t>2,914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2,876</w:t>
            </w:r>
          </w:p>
        </w:tc>
        <w:tc>
          <w:tcPr>
            <w:tcW w:w="0" w:type="dxa"/>
            <w:vAlign w:val="bottom"/>
          </w:tcPr>
          <w:p>
            <w:pPr>
              <w:spacing w:after="0"/>
              <w:rPr>
                <w:sz w:val="1"/>
                <w:szCs w:val="1"/>
                <w:color w:val="auto"/>
              </w:rPr>
            </w:pPr>
          </w:p>
        </w:tc>
      </w:tr>
      <w:tr>
        <w:trPr>
          <w:trHeight w:val="280"/>
        </w:trPr>
        <w:tc>
          <w:tcPr>
            <w:tcW w:w="7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w:t>
            </w: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175</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Officer stock-based compensation</w:t>
            </w:r>
          </w:p>
        </w:tc>
        <w:tc>
          <w:tcPr>
            <w:tcW w:w="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286</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57"/>
        </w:trPr>
        <w:tc>
          <w:tcPr>
            <w:tcW w:w="7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postretirement health care and deferred compensation benefits</w:t>
            </w: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68,363</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69,093</w:t>
            </w: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Less current portion</w:t>
            </w:r>
          </w:p>
        </w:tc>
        <w:tc>
          <w:tcPr>
            <w:tcW w:w="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(4,878)</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(5,019)</w:t>
            </w:r>
          </w:p>
        </w:tc>
        <w:tc>
          <w:tcPr>
            <w:tcW w:w="0" w:type="dxa"/>
            <w:vAlign w:val="bottom"/>
          </w:tcPr>
          <w:p>
            <w:pPr>
              <w:spacing w:after="0"/>
              <w:rPr>
                <w:sz w:val="1"/>
                <w:szCs w:val="1"/>
                <w:color w:val="auto"/>
              </w:rPr>
            </w:pPr>
          </w:p>
        </w:tc>
      </w:tr>
      <w:tr>
        <w:trPr>
          <w:trHeight w:val="240"/>
        </w:trPr>
        <w:tc>
          <w:tcPr>
            <w:tcW w:w="7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Long-term postretirement health care and deferred compensation benefits</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63,485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64,074</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We use a September 1 measurement date for this plan and our postretirement health care plan currently is not funded. Changes in the postretirement benefit plan include:</w:t>
      </w:r>
    </w:p>
    <w:p>
      <w:pPr>
        <w:spacing w:after="0" w:line="1" w:lineRule="exact"/>
        <w:rPr>
          <w:sz w:val="20"/>
          <w:szCs w:val="20"/>
          <w:color w:val="auto"/>
        </w:rPr>
      </w:pPr>
    </w:p>
    <w:p>
      <w:pPr>
        <w:ind w:left="340" w:right="12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Fiscal 2005, we established dollar caps on the amount that we will pay for postretirement health care benefits per retiree on an annual basis so that we were not exposed to continued medical inflation. Retirees are required to pay a monthly premium in excess of the employer dollar caps for medical coverage based on years of service and age at retirement.</w:t>
      </w:r>
    </w:p>
    <w:p>
      <w:pPr>
        <w:spacing w:after="0" w:line="1" w:lineRule="exact"/>
        <w:rPr>
          <w:rFonts w:ascii="Arial" w:cs="Arial" w:eastAsia="Arial" w:hAnsi="Arial"/>
          <w:sz w:val="16"/>
          <w:szCs w:val="16"/>
          <w:color w:val="auto"/>
        </w:rPr>
      </w:pPr>
    </w:p>
    <w:p>
      <w:pPr>
        <w:ind w:left="340" w:right="14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January 2012 the employer established dollar caps were reduced by 10%, which reduced our liability for postretirement health care by $4.6 million and is being amortized as prior service credit over 7.8 years.</w:t>
      </w:r>
    </w:p>
    <w:p>
      <w:pPr>
        <w:ind w:left="340" w:right="80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January 2013 the employer established dollar caps were further reduced by 10%, which reduced our liability for postretirement health care by approximately $4.3 million and is being amortized as prior service credit over 7.5 years.</w:t>
      </w:r>
    </w:p>
    <w:p>
      <w:pPr>
        <w:ind w:left="340" w:right="700" w:hanging="332"/>
        <w:spacing w:after="0" w:line="260"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October 2013, our Board of Directors approved an additional reduction in the employer dollar caps to be effective in January 2014 whereby the employer established dollar caps for postretirement health care benefits per eligible employee will be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75" w:lineRule="exact"/>
        <w:rPr>
          <w:sz w:val="20"/>
          <w:szCs w:val="20"/>
          <w:color w:val="auto"/>
        </w:rPr>
      </w:pPr>
    </w:p>
    <w:p>
      <w:pPr>
        <w:ind w:left="340" w:right="520"/>
        <w:spacing w:after="0" w:line="348" w:lineRule="auto"/>
        <w:rPr>
          <w:sz w:val="20"/>
          <w:szCs w:val="20"/>
          <w:color w:val="auto"/>
        </w:rPr>
      </w:pPr>
      <w:r>
        <w:rPr>
          <w:rFonts w:ascii="Arial" w:cs="Arial" w:eastAsia="Arial" w:hAnsi="Arial"/>
          <w:sz w:val="16"/>
          <w:szCs w:val="16"/>
          <w:color w:val="auto"/>
        </w:rPr>
        <w:t>reduced by 10%, which is estimated to reduce our liability for postretirement health care by approximately $3.6 million and will be amortized as prior service credit over 7.3 years.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60" w:type="dxa"/>
            <w:vAlign w:val="bottom"/>
            <w:gridSpan w:val="2"/>
          </w:tcPr>
          <w:p>
            <w:pPr>
              <w:spacing w:after="0"/>
              <w:rPr>
                <w:sz w:val="20"/>
                <w:szCs w:val="20"/>
                <w:color w:val="auto"/>
              </w:rPr>
            </w:pPr>
            <w:r>
              <w:rPr>
                <w:rFonts w:ascii="Arial" w:cs="Arial" w:eastAsia="Arial" w:hAnsi="Arial"/>
                <w:sz w:val="16"/>
                <w:szCs w:val="16"/>
                <w:color w:val="auto"/>
              </w:rPr>
              <w:t>Net periodic postretirement benefit income consisted of the following components:</w:t>
            </w: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91"/>
        </w:trPr>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right"/>
              <w:ind w:right="1179"/>
              <w:spacing w:after="0"/>
              <w:rPr>
                <w:sz w:val="20"/>
                <w:szCs w:val="20"/>
                <w:color w:val="auto"/>
              </w:rPr>
            </w:pPr>
            <w:r>
              <w:rPr>
                <w:rFonts w:ascii="Arial" w:cs="Arial" w:eastAsia="Arial" w:hAnsi="Arial"/>
                <w:sz w:val="16"/>
                <w:szCs w:val="16"/>
                <w:b w:val="1"/>
                <w:bCs w:val="1"/>
                <w:color w:val="auto"/>
              </w:rPr>
              <w:t>Quarter Ended</w:t>
            </w:r>
          </w:p>
        </w:tc>
      </w:tr>
      <w:tr>
        <w:trPr>
          <w:trHeight w:val="198"/>
        </w:trPr>
        <w:tc>
          <w:tcPr>
            <w:tcW w:w="7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November 30,</w:t>
            </w:r>
          </w:p>
        </w:tc>
        <w:tc>
          <w:tcPr>
            <w:tcW w:w="240" w:type="dxa"/>
            <w:vAlign w:val="bottom"/>
          </w:tcPr>
          <w:p>
            <w:pPr>
              <w:spacing w:after="0"/>
              <w:rPr>
                <w:sz w:val="17"/>
                <w:szCs w:val="17"/>
                <w:color w:val="auto"/>
              </w:rPr>
            </w:pPr>
          </w:p>
        </w:tc>
        <w:tc>
          <w:tcPr>
            <w:tcW w:w="1520" w:type="dxa"/>
            <w:vAlign w:val="bottom"/>
          </w:tcPr>
          <w:p>
            <w:pPr>
              <w:jc w:val="right"/>
              <w:ind w:right="339"/>
              <w:spacing w:after="0"/>
              <w:rPr>
                <w:sz w:val="20"/>
                <w:szCs w:val="20"/>
                <w:color w:val="auto"/>
              </w:rPr>
            </w:pPr>
            <w:r>
              <w:rPr>
                <w:rFonts w:ascii="Arial" w:cs="Arial" w:eastAsia="Arial" w:hAnsi="Arial"/>
                <w:sz w:val="16"/>
                <w:szCs w:val="16"/>
                <w:b w:val="1"/>
                <w:bCs w:val="1"/>
                <w:color w:val="auto"/>
              </w:rPr>
              <w:t>December 1,</w:t>
            </w:r>
          </w:p>
        </w:tc>
      </w:tr>
      <w:tr>
        <w:trPr>
          <w:trHeight w:val="228"/>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2012</w:t>
            </w:r>
          </w:p>
        </w:tc>
      </w:tr>
      <w:tr>
        <w:trPr>
          <w:trHeight w:val="257"/>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395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394</w:t>
            </w:r>
          </w:p>
        </w:tc>
      </w:tr>
      <w:tr>
        <w:trPr>
          <w:trHeight w:val="260"/>
        </w:trPr>
        <w:tc>
          <w:tcPr>
            <w:tcW w:w="7760" w:type="dxa"/>
            <w:vAlign w:val="bottom"/>
            <w:gridSpan w:val="2"/>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22"/>
                <w:szCs w:val="22"/>
                <w:color w:val="auto"/>
              </w:rPr>
            </w:pPr>
          </w:p>
        </w:tc>
        <w:tc>
          <w:tcPr>
            <w:tcW w:w="1560" w:type="dxa"/>
            <w:vAlign w:val="bottom"/>
          </w:tcPr>
          <w:p>
            <w:pPr>
              <w:jc w:val="right"/>
              <w:ind w:right="3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152</w:t>
            </w:r>
          </w:p>
        </w:tc>
      </w:tr>
      <w:tr>
        <w:trPr>
          <w:trHeight w:val="28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benefit</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(1,281)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(1,176)</w:t>
            </w:r>
          </w:p>
        </w:tc>
      </w:tr>
      <w:tr>
        <w:trPr>
          <w:trHeight w:val="264"/>
        </w:trPr>
        <w:tc>
          <w:tcPr>
            <w:tcW w:w="77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net actuarial loss</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396</w:t>
            </w:r>
          </w:p>
        </w:tc>
      </w:tr>
      <w:tr>
        <w:trPr>
          <w:trHeight w:val="24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(234)</w:t>
            </w:r>
          </w:p>
        </w:tc>
      </w:tr>
      <w:tr>
        <w:trPr>
          <w:trHeight w:val="20"/>
        </w:trPr>
        <w:tc>
          <w:tcPr>
            <w:tcW w:w="7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67"/>
        </w:trPr>
        <w:tc>
          <w:tcPr>
            <w:tcW w:w="7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54"/>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Payments for postretirement health care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291</w:t>
            </w:r>
          </w:p>
        </w:tc>
      </w:tr>
      <w:tr>
        <w:trPr>
          <w:trHeight w:val="20"/>
        </w:trPr>
        <w:tc>
          <w:tcPr>
            <w:tcW w:w="7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Stock-Based Compensation Plans</w:t>
      </w:r>
    </w:p>
    <w:p>
      <w:pPr>
        <w:spacing w:after="0" w:line="187" w:lineRule="exact"/>
        <w:rPr>
          <w:sz w:val="20"/>
          <w:szCs w:val="20"/>
          <w:color w:val="auto"/>
        </w:rPr>
      </w:pPr>
    </w:p>
    <w:p>
      <w:pPr>
        <w:jc w:val="both"/>
        <w:ind w:right="360"/>
        <w:spacing w:after="0" w:line="260" w:lineRule="auto"/>
        <w:rPr>
          <w:sz w:val="20"/>
          <w:szCs w:val="20"/>
          <w:color w:val="auto"/>
        </w:rPr>
      </w:pPr>
      <w:r>
        <w:rPr>
          <w:rFonts w:ascii="Arial" w:cs="Arial" w:eastAsia="Arial" w:hAnsi="Arial"/>
          <w:sz w:val="16"/>
          <w:szCs w:val="16"/>
          <w:color w:val="auto"/>
        </w:rPr>
        <w:t>We have a 2004 Incentive Compensation Plan approved by shareholders (as amended, the "Plan") in place which allows us to grant or issue non-qualified stock options, incentive stock options, share awards and other equity compensation to key employees and to non-employee directors.</w:t>
      </w:r>
    </w:p>
    <w:p>
      <w:pPr>
        <w:spacing w:after="0" w:line="142"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On October 16, 2013 and October 10, 2012 the Board of Directors granted an aggregate of 84,200 and 155,600 shares, respectively, of restricted common stock to our key employees and non-employee directors. The value of the restricted stock award is determined using the intrinsic value method which, in this case, is based on the number of shares granted and the closing price of our common stock on the date of grant.</w:t>
      </w:r>
    </w:p>
    <w:p>
      <w:pPr>
        <w:spacing w:after="0" w:line="147"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Stock-based compensation expense was $952,000 and $687,000 during the first quarters of Fiscal 2014 and 2013, respectively. Of the $952,000 in Fiscal 2014, $704,000 related to the October 16, 2013 grant of 84,200 shares. The remainder is related to the amortization of previously granted restricted stock awards, as well as non-employee director stock units issued in lieu of director fees. Compensation expense is recognized over the requisite service period of the award or over a period ending with the employee's eligible retirement date, if earlier.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 company lends the dealer all, or substantially all, of the purchase price, collateralized by a security interest in the recreation vehicles purchased.</w:t>
      </w:r>
    </w:p>
    <w:p>
      <w:pPr>
        <w:spacing w:after="0" w:line="14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or dealer invoice less periodic reductions based on the time since the date of the original invoice. Our contingent liability on these repurchase agreements was approximately $274.5 million and $232.9 million at November 30, 2013 and August 31, 2013, respectively.</w:t>
      </w:r>
    </w:p>
    <w:p>
      <w:pPr>
        <w:spacing w:after="0" w:line="14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recreation vehicles to repurchase current inventory if a dealership exits the business. Incremental repurchase exposure beyond existing repurchase agreements, related to dealer inventory in states that we have had historical experience of repurchasing inventory, totaled $4.9 million and $5.0 million at November 30, 2013 and August 31, 2013, respectively.</w:t>
      </w:r>
    </w:p>
    <w:p>
      <w:pPr>
        <w:spacing w:after="0" w:line="14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risk of loss related to our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we established an associated loss reserve. Our accrued losses on repurchases were $1.6 million as of November 30, 2013 and $1.3 million as of August 31, 2013.</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41"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790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47"/>
        </w:trPr>
        <w:tc>
          <w:tcPr>
            <w:tcW w:w="7900" w:type="dxa"/>
            <w:vAlign w:val="bottom"/>
            <w:gridSpan w:val="3"/>
          </w:tcPr>
          <w:p>
            <w:pPr>
              <w:spacing w:after="0"/>
              <w:rPr>
                <w:sz w:val="20"/>
                <w:szCs w:val="20"/>
                <w:color w:val="auto"/>
              </w:rPr>
            </w:pPr>
            <w:r>
              <w:rPr>
                <w:rFonts w:ascii="Arial" w:cs="Arial" w:eastAsia="Arial" w:hAnsi="Arial"/>
                <w:sz w:val="16"/>
                <w:szCs w:val="16"/>
                <w:color w:val="auto"/>
              </w:rPr>
              <w:t>A summary of repurchase activity is as follows: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ind w:left="1000"/>
              <w:spacing w:after="0"/>
              <w:rPr>
                <w:sz w:val="20"/>
                <w:szCs w:val="20"/>
                <w:color w:val="auto"/>
              </w:rPr>
            </w:pPr>
            <w:r>
              <w:rPr>
                <w:rFonts w:ascii="Arial" w:cs="Arial" w:eastAsia="Arial" w:hAnsi="Arial"/>
                <w:sz w:val="16"/>
                <w:szCs w:val="16"/>
                <w:b w:val="1"/>
                <w:bCs w:val="1"/>
                <w:color w:val="auto"/>
              </w:rPr>
              <w:t>Quarter Ended</w:t>
            </w:r>
          </w:p>
        </w:tc>
      </w:tr>
      <w:tr>
        <w:trPr>
          <w:trHeight w:val="198"/>
        </w:trPr>
        <w:tc>
          <w:tcPr>
            <w:tcW w:w="126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30,</w:t>
            </w:r>
          </w:p>
        </w:tc>
        <w:tc>
          <w:tcPr>
            <w:tcW w:w="240" w:type="dxa"/>
            <w:vAlign w:val="bottom"/>
          </w:tcPr>
          <w:p>
            <w:pPr>
              <w:spacing w:after="0"/>
              <w:rPr>
                <w:sz w:val="17"/>
                <w:szCs w:val="17"/>
                <w:color w:val="auto"/>
              </w:rPr>
            </w:pPr>
          </w:p>
        </w:tc>
        <w:tc>
          <w:tcPr>
            <w:tcW w:w="1460" w:type="dxa"/>
            <w:vAlign w:val="bottom"/>
          </w:tcPr>
          <w:p>
            <w:pPr>
              <w:ind w:left="100"/>
              <w:spacing w:after="0"/>
              <w:rPr>
                <w:sz w:val="20"/>
                <w:szCs w:val="20"/>
                <w:color w:val="auto"/>
              </w:rPr>
            </w:pPr>
            <w:r>
              <w:rPr>
                <w:rFonts w:ascii="Arial" w:cs="Arial" w:eastAsia="Arial" w:hAnsi="Arial"/>
                <w:sz w:val="16"/>
                <w:szCs w:val="16"/>
                <w:b w:val="1"/>
                <w:bCs w:val="1"/>
                <w:color w:val="auto"/>
              </w:rPr>
              <w:t>December 1,</w:t>
            </w:r>
          </w:p>
        </w:tc>
      </w:tr>
      <w:tr>
        <w:trPr>
          <w:trHeight w:val="228"/>
        </w:trPr>
        <w:tc>
          <w:tcPr>
            <w:tcW w:w="77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2012</w:t>
            </w:r>
          </w:p>
        </w:tc>
      </w:tr>
      <w:tr>
        <w:trPr>
          <w:trHeight w:val="270"/>
        </w:trPr>
        <w:tc>
          <w:tcPr>
            <w:tcW w:w="79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Inventory repurchased:</w:t>
            </w: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0"/>
        </w:trPr>
        <w:tc>
          <w:tcPr>
            <w:tcW w:w="7900" w:type="dxa"/>
            <w:vAlign w:val="bottom"/>
            <w:gridSpan w:val="3"/>
          </w:tcPr>
          <w:p>
            <w:pPr>
              <w:ind w:left="280"/>
              <w:spacing w:after="0"/>
              <w:rPr>
                <w:sz w:val="20"/>
                <w:szCs w:val="20"/>
                <w:color w:val="auto"/>
              </w:rPr>
            </w:pPr>
            <w:r>
              <w:rPr>
                <w:rFonts w:ascii="Arial" w:cs="Arial" w:eastAsia="Arial" w:hAnsi="Arial"/>
                <w:sz w:val="16"/>
                <w:szCs w:val="16"/>
                <w:color w:val="auto"/>
              </w:rPr>
              <w:t>Units</w:t>
            </w:r>
          </w:p>
        </w:tc>
        <w:tc>
          <w:tcPr>
            <w:tcW w:w="200" w:type="dxa"/>
            <w:vAlign w:val="bottom"/>
          </w:tcPr>
          <w:p>
            <w:pPr>
              <w:spacing w:after="0"/>
              <w:rPr>
                <w:sz w:val="22"/>
                <w:szCs w:val="22"/>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ind w:left="1180"/>
              <w:spacing w:after="0"/>
              <w:rPr>
                <w:sz w:val="20"/>
                <w:szCs w:val="20"/>
                <w:color w:val="auto"/>
              </w:rPr>
            </w:pPr>
            <w:r>
              <w:rPr>
                <w:rFonts w:ascii="Arial" w:cs="Arial" w:eastAsia="Arial" w:hAnsi="Arial"/>
                <w:sz w:val="16"/>
                <w:szCs w:val="16"/>
                <w:color w:val="auto"/>
              </w:rPr>
              <w:t>—</w:t>
            </w:r>
          </w:p>
        </w:tc>
      </w:tr>
      <w:tr>
        <w:trPr>
          <w:trHeight w:val="280"/>
        </w:trPr>
        <w:tc>
          <w:tcPr>
            <w:tcW w:w="7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Dollars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w:t>
            </w:r>
          </w:p>
        </w:tc>
      </w:tr>
      <w:tr>
        <w:trPr>
          <w:trHeight w:val="260"/>
        </w:trPr>
        <w:tc>
          <w:tcPr>
            <w:tcW w:w="7900" w:type="dxa"/>
            <w:vAlign w:val="bottom"/>
            <w:gridSpan w:val="3"/>
          </w:tcPr>
          <w:p>
            <w:pPr>
              <w:ind w:left="40"/>
              <w:spacing w:after="0"/>
              <w:rPr>
                <w:sz w:val="20"/>
                <w:szCs w:val="20"/>
                <w:color w:val="auto"/>
              </w:rPr>
            </w:pPr>
            <w:r>
              <w:rPr>
                <w:rFonts w:ascii="Arial" w:cs="Arial" w:eastAsia="Arial" w:hAnsi="Arial"/>
                <w:sz w:val="16"/>
                <w:szCs w:val="16"/>
                <w:color w:val="auto"/>
              </w:rPr>
              <w:t>Inventory resold:</w:t>
            </w: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80"/>
        </w:trPr>
        <w:tc>
          <w:tcPr>
            <w:tcW w:w="7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w:t>
            </w:r>
          </w:p>
        </w:tc>
      </w:tr>
      <w:tr>
        <w:trPr>
          <w:trHeight w:val="260"/>
        </w:trPr>
        <w:tc>
          <w:tcPr>
            <w:tcW w:w="7900" w:type="dxa"/>
            <w:vAlign w:val="bottom"/>
            <w:gridSpan w:val="3"/>
          </w:tcPr>
          <w:p>
            <w:pPr>
              <w:ind w:left="280"/>
              <w:spacing w:after="0"/>
              <w:rPr>
                <w:sz w:val="20"/>
                <w:szCs w:val="20"/>
                <w:color w:val="auto"/>
              </w:rPr>
            </w:pPr>
            <w:r>
              <w:rPr>
                <w:rFonts w:ascii="Arial" w:cs="Arial" w:eastAsia="Arial" w:hAnsi="Arial"/>
                <w:sz w:val="16"/>
                <w:szCs w:val="16"/>
                <w:color w:val="auto"/>
              </w:rPr>
              <w:t>Cash collected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ind w:left="1180"/>
              <w:spacing w:after="0"/>
              <w:rPr>
                <w:sz w:val="20"/>
                <w:szCs w:val="20"/>
                <w:color w:val="auto"/>
              </w:rPr>
            </w:pPr>
            <w:r>
              <w:rPr>
                <w:rFonts w:ascii="Arial" w:cs="Arial" w:eastAsia="Arial" w:hAnsi="Arial"/>
                <w:sz w:val="16"/>
                <w:szCs w:val="16"/>
                <w:color w:val="auto"/>
              </w:rPr>
              <w:t>—</w:t>
            </w:r>
          </w:p>
        </w:tc>
      </w:tr>
      <w:tr>
        <w:trPr>
          <w:trHeight w:val="280"/>
        </w:trPr>
        <w:tc>
          <w:tcPr>
            <w:tcW w:w="7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Loss recognized</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w:t>
            </w:r>
          </w:p>
        </w:tc>
      </w:tr>
      <w:tr>
        <w:trPr>
          <w:trHeight w:val="251"/>
        </w:trPr>
        <w:tc>
          <w:tcPr>
            <w:tcW w:w="7900" w:type="dxa"/>
            <w:vAlign w:val="bottom"/>
            <w:gridSpan w:val="3"/>
          </w:tcPr>
          <w:p>
            <w:pPr>
              <w:ind w:left="40"/>
              <w:spacing w:after="0"/>
              <w:rPr>
                <w:sz w:val="20"/>
                <w:szCs w:val="20"/>
                <w:color w:val="auto"/>
              </w:rPr>
            </w:pPr>
            <w:r>
              <w:rPr>
                <w:rFonts w:ascii="Arial" w:cs="Arial" w:eastAsia="Arial" w:hAnsi="Arial"/>
                <w:sz w:val="16"/>
                <w:szCs w:val="16"/>
                <w:color w:val="auto"/>
              </w:rPr>
              <w:t>Units in ending inventory</w:t>
            </w: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460" w:type="dxa"/>
            <w:vAlign w:val="bottom"/>
          </w:tcPr>
          <w:p>
            <w:pPr>
              <w:ind w:left="1180"/>
              <w:spacing w:after="0"/>
              <w:rPr>
                <w:sz w:val="20"/>
                <w:szCs w:val="20"/>
                <w:color w:val="auto"/>
              </w:rPr>
            </w:pPr>
            <w:r>
              <w:rPr>
                <w:rFonts w:ascii="Arial" w:cs="Arial" w:eastAsia="Arial" w:hAnsi="Arial"/>
                <w:sz w:val="16"/>
                <w:szCs w:val="16"/>
                <w:color w:val="auto"/>
              </w:rPr>
              <w:t>—</w:t>
            </w:r>
          </w:p>
        </w:tc>
      </w:tr>
    </w:tbl>
    <w:p>
      <w:pPr>
        <w:spacing w:after="0" w:line="210" w:lineRule="exact"/>
        <w:rPr>
          <w:sz w:val="20"/>
          <w:szCs w:val="20"/>
          <w:color w:val="auto"/>
        </w:rPr>
      </w:pPr>
    </w:p>
    <w:p>
      <w:pPr>
        <w:ind w:right="460"/>
        <w:spacing w:after="0" w:line="253" w:lineRule="auto"/>
        <w:rPr>
          <w:sz w:val="20"/>
          <w:szCs w:val="20"/>
          <w:color w:val="auto"/>
        </w:rPr>
      </w:pPr>
      <w:r>
        <w:rPr>
          <w:rFonts w:ascii="Arial" w:cs="Arial" w:eastAsia="Arial" w:hAnsi="Arial"/>
          <w:sz w:val="16"/>
          <w:szCs w:val="16"/>
          <w:color w:val="auto"/>
        </w:rPr>
        <w:t>We do not believe there is a reasonable likelihood that there will be a material change in the future estimates or assumptions we use to calculate our loss reserve for repurchase commitments. A hypothetical change of a 10% increase or decrease in our significant repurchase commitment assumptions at November 30, 2013 would have affected net income by approximately $290,000.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are involved in various legal proceedings which are ordinary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Income Taxes</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 xml:space="preserve">We account for income taxes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6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Significant judgment is required in determining our provision for income taxes, our deferred tax assets and liabilities and any valuation allowance recorded against our deferred tax assets. Valuation allowances arise due to uncertainty of realizing deferred tax assets. ASC 740 requires that companies assess whether valuation allowances should be established against their deferred tax assets based on the consideration of all available evidence, using a “more-likely-than-not” standard. In making such assessments, significant weight is given to evidence that can be objectively verified. A company's current or previous losses are given more weight than its future outlook. Based on ASC 740 guidelines, as of November 30, 2013 and August 31, 2013, we have applied a valuation allowance of $1.4 million and $1.6 million, respectively, against our deferred tax assets. We will continue to assess the likelihood that our deferred tax assets will be realizable at each reporting period and our valuation allowance will be adjusted accordingly, which could materially impact our financial position and results of operations.</w:t>
      </w:r>
    </w:p>
    <w:p>
      <w:pPr>
        <w:spacing w:after="0" w:line="37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Although certain years are no longer subject to examinations by the IRS and various state taxing authorities, net operating loss carryforwards generated in those years may still be adjusted upon examination by the IRS or state taxing authorities if they either have been or will be used in a future period. Due to such carryback claims, our federal returns from Fiscal 2004 to present continue to be subject to review by the IRS. Periodically, various state and local jurisdictions conduct audits, therefore, a variety of years are subject to state and local jurisdiction review.</w:t>
      </w:r>
    </w:p>
    <w:p>
      <w:pPr>
        <w:spacing w:after="0" w:line="176"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As of November 30, 2013, our unrecognized tax benefits were $2.1 million, of which if realized $2.7 million could have a positive impact on the overall effective tax rate. It is our policy to recognize interest and penalties accrued relative to unrecognized tax benefits as tax expense. As of November 30, 2013, we had accrued $1.7 million in interest and penalties which are not included in the unrecognized tax benefits of $2.1 million. We do not anticipate any significant changes in unrecognized tax benefits within the next twelve months. Actual results may differ materially from this estimate.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18"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836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47"/>
        </w:trPr>
        <w:tc>
          <w:tcPr>
            <w:tcW w:w="8360" w:type="dxa"/>
            <w:vAlign w:val="bottom"/>
            <w:gridSpan w:val="3"/>
          </w:tcPr>
          <w:p>
            <w:pPr>
              <w:spacing w:after="0"/>
              <w:rPr>
                <w:sz w:val="20"/>
                <w:szCs w:val="20"/>
                <w:color w:val="auto"/>
              </w:rPr>
            </w:pPr>
            <w:r>
              <w:rPr>
                <w:rFonts w:ascii="Arial" w:cs="Arial" w:eastAsia="Arial" w:hAnsi="Arial"/>
                <w:sz w:val="16"/>
                <w:szCs w:val="16"/>
                <w:b w:val="1"/>
                <w:bCs w:val="1"/>
                <w:color w:val="auto"/>
              </w:rPr>
              <w:t>Note 12: Earnings Per Share</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51"/>
        </w:trPr>
        <w:tc>
          <w:tcPr>
            <w:tcW w:w="8360" w:type="dxa"/>
            <w:vAlign w:val="bottom"/>
            <w:gridSpan w:val="3"/>
          </w:tcPr>
          <w:p>
            <w:pPr>
              <w:spacing w:after="0"/>
              <w:rPr>
                <w:sz w:val="20"/>
                <w:szCs w:val="20"/>
                <w:color w:val="auto"/>
              </w:rPr>
            </w:pPr>
            <w:r>
              <w:rPr>
                <w:rFonts w:ascii="Arial" w:cs="Arial" w:eastAsia="Arial" w:hAnsi="Arial"/>
                <w:sz w:val="16"/>
                <w:szCs w:val="16"/>
                <w:color w:val="auto"/>
              </w:rPr>
              <w:t>The following table reflects the calculation of basic and diluted income per share:</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Quarter Ended</w:t>
            </w:r>
          </w:p>
        </w:tc>
      </w:tr>
      <w:tr>
        <w:trPr>
          <w:trHeight w:val="198"/>
        </w:trPr>
        <w:tc>
          <w:tcPr>
            <w:tcW w:w="126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30,</w:t>
            </w:r>
          </w:p>
        </w:tc>
        <w:tc>
          <w:tcPr>
            <w:tcW w:w="1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1,</w:t>
            </w:r>
          </w:p>
        </w:tc>
      </w:tr>
      <w:tr>
        <w:trPr>
          <w:trHeight w:val="228"/>
        </w:trPr>
        <w:tc>
          <w:tcPr>
            <w:tcW w:w="82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270"/>
        </w:trPr>
        <w:tc>
          <w:tcPr>
            <w:tcW w:w="83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8360" w:type="dxa"/>
            <w:vAlign w:val="bottom"/>
            <w:gridSpan w:val="3"/>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11,146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7,391</w:t>
            </w:r>
          </w:p>
        </w:tc>
      </w:tr>
      <w:tr>
        <w:trPr>
          <w:trHeight w:val="280"/>
        </w:trPr>
        <w:tc>
          <w:tcPr>
            <w:tcW w:w="83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27,851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28,301</w:t>
            </w:r>
          </w:p>
        </w:tc>
      </w:tr>
      <w:tr>
        <w:trPr>
          <w:trHeight w:val="260"/>
        </w:trPr>
        <w:tc>
          <w:tcPr>
            <w:tcW w:w="8360" w:type="dxa"/>
            <w:vAlign w:val="bottom"/>
            <w:gridSpan w:val="3"/>
          </w:tcPr>
          <w:p>
            <w:pPr>
              <w:ind w:left="40"/>
              <w:spacing w:after="0"/>
              <w:rPr>
                <w:sz w:val="20"/>
                <w:szCs w:val="20"/>
                <w:color w:val="auto"/>
              </w:rPr>
            </w:pPr>
            <w:r>
              <w:rPr>
                <w:rFonts w:ascii="Arial" w:cs="Arial" w:eastAsia="Arial" w:hAnsi="Arial"/>
                <w:sz w:val="16"/>
                <w:szCs w:val="16"/>
                <w:color w:val="auto"/>
              </w:rPr>
              <w:t>Net income per share - basic</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0.26</w:t>
            </w:r>
          </w:p>
        </w:tc>
      </w:tr>
      <w:tr>
        <w:trPr>
          <w:trHeight w:val="293"/>
        </w:trPr>
        <w:tc>
          <w:tcPr>
            <w:tcW w:w="1260" w:type="dxa"/>
            <w:vAlign w:val="bottom"/>
            <w:shd w:val="clear" w:color="auto" w:fill="CCEEFF"/>
          </w:tcPr>
          <w:p>
            <w:pPr>
              <w:spacing w:after="0"/>
              <w:rPr>
                <w:sz w:val="24"/>
                <w:szCs w:val="24"/>
                <w:color w:val="auto"/>
              </w:rPr>
            </w:pPr>
          </w:p>
        </w:tc>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8360" w:type="dxa"/>
            <w:vAlign w:val="bottom"/>
            <w:gridSpan w:val="3"/>
          </w:tcPr>
          <w:p>
            <w:pPr>
              <w:ind w:left="40"/>
              <w:spacing w:after="0"/>
              <w:rPr>
                <w:sz w:val="20"/>
                <w:szCs w:val="20"/>
                <w:color w:val="auto"/>
              </w:rPr>
            </w:pPr>
            <w:r>
              <w:rPr>
                <w:rFonts w:ascii="Arial" w:cs="Arial" w:eastAsia="Arial" w:hAnsi="Arial"/>
                <w:sz w:val="16"/>
                <w:szCs w:val="16"/>
                <w:color w:val="auto"/>
              </w:rPr>
              <w:t>Income per share - assuming dilution</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80"/>
        </w:trPr>
        <w:tc>
          <w:tcPr>
            <w:tcW w:w="83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7,391</w:t>
            </w:r>
          </w:p>
        </w:tc>
      </w:tr>
      <w:tr>
        <w:trPr>
          <w:trHeight w:val="260"/>
        </w:trPr>
        <w:tc>
          <w:tcPr>
            <w:tcW w:w="8360" w:type="dxa"/>
            <w:vAlign w:val="bottom"/>
            <w:gridSpan w:val="3"/>
          </w:tcPr>
          <w:p>
            <w:pPr>
              <w:ind w:left="40"/>
              <w:spacing w:after="0"/>
              <w:rPr>
                <w:sz w:val="20"/>
                <w:szCs w:val="20"/>
                <w:color w:val="auto"/>
              </w:rPr>
            </w:pPr>
            <w:r>
              <w:rPr>
                <w:rFonts w:ascii="Arial" w:cs="Arial" w:eastAsia="Arial" w:hAnsi="Arial"/>
                <w:sz w:val="16"/>
                <w:szCs w:val="16"/>
                <w:color w:val="auto"/>
              </w:rPr>
              <w:t>Weighted average shares outstanding</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27,851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28,301</w:t>
            </w:r>
          </w:p>
        </w:tc>
      </w:tr>
      <w:tr>
        <w:trPr>
          <w:trHeight w:val="280"/>
        </w:trPr>
        <w:tc>
          <w:tcPr>
            <w:tcW w:w="83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r>
      <w:tr>
        <w:trPr>
          <w:trHeight w:val="260"/>
        </w:trPr>
        <w:tc>
          <w:tcPr>
            <w:tcW w:w="8360" w:type="dxa"/>
            <w:vAlign w:val="bottom"/>
            <w:gridSpan w:val="3"/>
          </w:tcPr>
          <w:p>
            <w:pPr>
              <w:ind w:left="4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27,971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28,361</w:t>
            </w:r>
          </w:p>
        </w:tc>
      </w:tr>
      <w:tr>
        <w:trPr>
          <w:trHeight w:val="280"/>
        </w:trPr>
        <w:tc>
          <w:tcPr>
            <w:tcW w:w="83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income per share - assuming dilution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0.26</w:t>
            </w:r>
          </w:p>
        </w:tc>
      </w:tr>
    </w:tbl>
    <w:p>
      <w:pPr>
        <w:spacing w:after="0" w:line="19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At the end of the first quarters of Fiscal 2014 and Fiscal 2013, there were options outstanding to purchase 364,042 shares and 689,328 shares, respectively, of common stock at an average price of $32.36 and $29.57, respectively, which were not included in the computation of diluted income per share because they are considered anti-dilutive under the treasury stock method per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Comprehensive Income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Changes in AOCI by component, net of tax, were:</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2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Quarter Ended</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50"/>
        </w:trPr>
        <w:tc>
          <w:tcPr>
            <w:tcW w:w="25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November 30, 2013</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December 1, 2012</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198"/>
        </w:trPr>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Unrealized Gains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Unrealized Gains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9"/>
        </w:trPr>
        <w:tc>
          <w:tcPr>
            <w:tcW w:w="2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and Losses on</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rPr>
              <w:t>and Losses on</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2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rPr>
              <w:t>Available-</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Available-</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258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auto"/>
              </w:rPr>
              <w:t>Defined Benefit</w:t>
            </w:r>
          </w:p>
        </w:tc>
        <w:tc>
          <w:tcPr>
            <w:tcW w:w="200" w:type="dxa"/>
            <w:vAlign w:val="bottom"/>
          </w:tcPr>
          <w:p>
            <w:pPr>
              <w:spacing w:after="0"/>
              <w:rPr>
                <w:sz w:val="16"/>
                <w:szCs w:val="16"/>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for-Sale</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auto"/>
              </w:rPr>
              <w:t>Defined Benefit</w:t>
            </w:r>
          </w:p>
        </w:tc>
        <w:tc>
          <w:tcPr>
            <w:tcW w:w="200" w:type="dxa"/>
            <w:vAlign w:val="bottom"/>
          </w:tcPr>
          <w:p>
            <w:pPr>
              <w:spacing w:after="0"/>
              <w:rPr>
                <w:sz w:val="16"/>
                <w:szCs w:val="16"/>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for-Sale</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8"/>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w w:val="99"/>
              </w:rPr>
              <w:t>Pension Items</w:t>
            </w:r>
          </w:p>
        </w:tc>
        <w:tc>
          <w:tcPr>
            <w:tcW w:w="200" w:type="dxa"/>
            <w:vAlign w:val="bottom"/>
          </w:tcPr>
          <w:p>
            <w:pPr>
              <w:spacing w:after="0"/>
              <w:rPr>
                <w:sz w:val="19"/>
                <w:szCs w:val="19"/>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Securities</w:t>
            </w:r>
          </w:p>
        </w:tc>
        <w:tc>
          <w:tcPr>
            <w:tcW w:w="28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Pension Items</w:t>
            </w:r>
          </w:p>
        </w:tc>
        <w:tc>
          <w:tcPr>
            <w:tcW w:w="200" w:type="dxa"/>
            <w:vAlign w:val="bottom"/>
          </w:tcPr>
          <w:p>
            <w:pPr>
              <w:spacing w:after="0"/>
              <w:rPr>
                <w:sz w:val="19"/>
                <w:szCs w:val="19"/>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rPr>
              <w:t>Securities</w:t>
            </w:r>
          </w:p>
        </w:tc>
        <w:tc>
          <w:tcPr>
            <w:tcW w:w="320" w:type="dxa"/>
            <w:vAlign w:val="bottom"/>
          </w:tcPr>
          <w:p>
            <w:pPr>
              <w:spacing w:after="0"/>
              <w:rPr>
                <w:sz w:val="19"/>
                <w:szCs w:val="19"/>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57"/>
        </w:trPr>
        <w:tc>
          <w:tcPr>
            <w:tcW w:w="2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(151)</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849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(3,326)</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(360)</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(3,686)</w:t>
            </w:r>
          </w:p>
        </w:tc>
      </w:tr>
      <w:tr>
        <w:trPr>
          <w:trHeight w:val="270"/>
        </w:trPr>
        <w:tc>
          <w:tcPr>
            <w:tcW w:w="2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2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OCI before reclassifications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151</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w:t>
            </w:r>
          </w:p>
        </w:tc>
      </w:tr>
      <w:tr>
        <w:trPr>
          <w:trHeight w:val="264"/>
        </w:trPr>
        <w:tc>
          <w:tcPr>
            <w:tcW w:w="25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Amounts reclassified from AOCI</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(636)</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(636)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(481)</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(481)</w:t>
            </w:r>
          </w:p>
        </w:tc>
      </w:tr>
      <w:tr>
        <w:trPr>
          <w:trHeight w:val="250"/>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current-period OCI</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(636)</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151</w:t>
            </w: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(485)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(481)</w:t>
            </w:r>
          </w:p>
        </w:tc>
        <w:tc>
          <w:tcPr>
            <w:tcW w:w="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(482)</w:t>
            </w:r>
          </w:p>
        </w:tc>
      </w:tr>
      <w:tr>
        <w:trPr>
          <w:trHeight w:val="270"/>
        </w:trPr>
        <w:tc>
          <w:tcPr>
            <w:tcW w:w="2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4"/>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364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364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(3,807)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(361)</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(4,168)</w:t>
            </w:r>
          </w:p>
        </w:tc>
      </w:tr>
      <w:tr>
        <w:trPr>
          <w:trHeight w:val="20"/>
        </w:trPr>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out of AOCI in net periodic benefit costs, net of tax, were:</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4"/>
          </w:tcPr>
          <w:p>
            <w:pPr>
              <w:jc w:val="right"/>
              <w:ind w:right="1259"/>
              <w:spacing w:after="0"/>
              <w:rPr>
                <w:sz w:val="20"/>
                <w:szCs w:val="20"/>
                <w:color w:val="auto"/>
              </w:rPr>
            </w:pPr>
            <w:r>
              <w:rPr>
                <w:rFonts w:ascii="Arial" w:cs="Arial" w:eastAsia="Arial" w:hAnsi="Arial"/>
                <w:sz w:val="16"/>
                <w:szCs w:val="16"/>
                <w:b w:val="1"/>
                <w:bCs w:val="1"/>
                <w:color w:val="auto"/>
              </w:rPr>
              <w:t>Quarter Ended</w:t>
            </w:r>
          </w:p>
        </w:tc>
      </w:tr>
      <w:tr>
        <w:trPr>
          <w:trHeight w:val="184"/>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40" w:type="dxa"/>
            <w:vAlign w:val="bottom"/>
            <w:gridSpan w:val="2"/>
          </w:tcPr>
          <w:p>
            <w:pPr>
              <w:ind w:left="20"/>
              <w:spacing w:after="0"/>
              <w:rPr>
                <w:sz w:val="20"/>
                <w:szCs w:val="20"/>
                <w:color w:val="auto"/>
              </w:rPr>
            </w:pPr>
            <w:r>
              <w:rPr>
                <w:rFonts w:ascii="Arial" w:cs="Arial" w:eastAsia="Arial" w:hAnsi="Arial"/>
                <w:sz w:val="16"/>
                <w:szCs w:val="16"/>
                <w:b w:val="1"/>
                <w:bCs w:val="1"/>
                <w:color w:val="auto"/>
              </w:rPr>
              <w:t>Location on Consolidated Statements of</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28"/>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Operations and Comprehensive Income</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November 30, 2013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December 1, 2012</w:t>
            </w:r>
          </w:p>
        </w:tc>
      </w:tr>
      <w:tr>
        <w:trPr>
          <w:trHeight w:val="257"/>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credit</w:t>
            </w: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(637)</w:t>
            </w:r>
          </w:p>
        </w:tc>
      </w:tr>
      <w:tr>
        <w:trPr>
          <w:trHeight w:val="264"/>
        </w:trPr>
        <w:tc>
          <w:tcPr>
            <w:tcW w:w="34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Operating expenses</w:t>
            </w:r>
          </w:p>
        </w:tc>
        <w:tc>
          <w:tcPr>
            <w:tcW w:w="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(800)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(97)</w:t>
            </w:r>
          </w:p>
        </w:tc>
      </w:tr>
      <w:tr>
        <w:trPr>
          <w:trHeight w:val="257"/>
        </w:trPr>
        <w:tc>
          <w:tcPr>
            <w:tcW w:w="3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(734)</w:t>
            </w:r>
          </w:p>
        </w:tc>
      </w:tr>
      <w:tr>
        <w:trPr>
          <w:trHeight w:val="270"/>
        </w:trPr>
        <w:tc>
          <w:tcPr>
            <w:tcW w:w="3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70"/>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 of net actuarial loss</w:t>
            </w: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16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220</w:t>
            </w:r>
          </w:p>
        </w:tc>
      </w:tr>
      <w:tr>
        <w:trPr>
          <w:trHeight w:val="264"/>
        </w:trPr>
        <w:tc>
          <w:tcPr>
            <w:tcW w:w="34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Operating expenses</w:t>
            </w:r>
          </w:p>
        </w:tc>
        <w:tc>
          <w:tcPr>
            <w:tcW w:w="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33</w:t>
            </w:r>
          </w:p>
        </w:tc>
      </w:tr>
      <w:tr>
        <w:trPr>
          <w:trHeight w:val="257"/>
        </w:trPr>
        <w:tc>
          <w:tcPr>
            <w:tcW w:w="3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253</w:t>
            </w:r>
          </w:p>
        </w:tc>
      </w:tr>
      <w:tr>
        <w:trPr>
          <w:trHeight w:val="270"/>
        </w:trPr>
        <w:tc>
          <w:tcPr>
            <w:tcW w:w="3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54"/>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(636)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(481)</w:t>
            </w: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18" w:right="2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Subsequent Event</w:t>
      </w:r>
    </w:p>
    <w:p>
      <w:pPr>
        <w:spacing w:after="0" w:line="21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evaluated all events or transactions occurring between the balance sheet date for the quarterly period ended November 30, 2013 and the date of issuance of the financial statements that would require recognition or disclosure in the financial statements. There were no material subsequent events, except as described in Note 5.</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Management's Discussion and Analysis of Financial Condition and Results of Operations</w:t>
      </w:r>
    </w:p>
    <w:p>
      <w:pPr>
        <w:spacing w:after="0" w:line="187" w:lineRule="exact"/>
        <w:rPr>
          <w:sz w:val="20"/>
          <w:szCs w:val="20"/>
          <w:color w:val="auto"/>
        </w:rPr>
      </w:pPr>
    </w:p>
    <w:p>
      <w:pPr>
        <w:ind w:right="100"/>
        <w:spacing w:after="0" w:line="192" w:lineRule="exact"/>
        <w:rPr>
          <w:sz w:val="20"/>
          <w:szCs w:val="20"/>
          <w:color w:val="auto"/>
        </w:rPr>
      </w:pPr>
      <w:r>
        <w:rPr>
          <w:rFonts w:ascii="Arial" w:cs="Arial" w:eastAsia="Arial" w:hAnsi="Arial"/>
          <w:sz w:val="16"/>
          <w:szCs w:val="16"/>
          <w:color w:val="auto"/>
        </w:rPr>
        <w:t>This management's discussion should be read in conjunction with the Condensed Unaudited Financial Statements contained in this Form 10-Q as well as the Management's Discussion and Analysis and Risk Factors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August 31, 2013.</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2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Certain of the matters discussed in this Quarterly Report on Form 10-Q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increases in interest rates, availability of credit, low consumer confidence,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which may be disclosed throughout this report. Although we believe that the expectations reflected in the “forward-looking statements” are reasonable, we cannot guarantee future results, or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NYSE.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18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more than 50 years. We produce all of our motorhomes in vertically integrated manufacturing facilities in Iowa and we produce all of our travel trailer and fifth wheels in Indiana. We distribute our products primarily through independent dealers throughout the US and Canada, who then retail the products to the end consumer.</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60"/>
          </w:cols>
          <w:pgMar w:left="240" w:top="141" w:right="29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62" w:lineRule="exact"/>
        <w:rPr>
          <w:sz w:val="20"/>
          <w:szCs w:val="20"/>
          <w:color w:val="auto"/>
        </w:rPr>
      </w:pPr>
    </w:p>
    <w:p>
      <w:pPr>
        <w:ind w:right="640"/>
        <w:spacing w:after="0" w:line="295"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Note that this data is subject to adjustment and is continuously updated.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3"/>
          </w:tcPr>
          <w:p>
            <w:pPr>
              <w:ind w:left="540"/>
              <w:spacing w:after="0"/>
              <w:rPr>
                <w:sz w:val="20"/>
                <w:szCs w:val="20"/>
                <w:color w:val="auto"/>
              </w:rPr>
            </w:pPr>
            <w:r>
              <w:rPr>
                <w:rFonts w:ascii="Arial" w:cs="Arial" w:eastAsia="Arial" w:hAnsi="Arial"/>
                <w:sz w:val="14"/>
                <w:szCs w:val="14"/>
                <w:b w:val="1"/>
                <w:bCs w:val="1"/>
                <w:color w:val="auto"/>
              </w:rPr>
              <w:t>Through October 31</w:t>
            </w:r>
          </w:p>
        </w:tc>
        <w:tc>
          <w:tcPr>
            <w:tcW w:w="1300" w:type="dxa"/>
            <w:vAlign w:val="bottom"/>
          </w:tcPr>
          <w:p>
            <w:pPr>
              <w:spacing w:after="0"/>
              <w:rPr>
                <w:sz w:val="17"/>
                <w:szCs w:val="17"/>
                <w:color w:val="auto"/>
              </w:rPr>
            </w:pPr>
          </w:p>
        </w:tc>
        <w:tc>
          <w:tcPr>
            <w:tcW w:w="1540" w:type="dxa"/>
            <w:vAlign w:val="bottom"/>
          </w:tcPr>
          <w:p>
            <w:pPr>
              <w:jc w:val="center"/>
              <w:ind w:right="21"/>
              <w:spacing w:after="0"/>
              <w:rPr>
                <w:sz w:val="20"/>
                <w:szCs w:val="20"/>
                <w:color w:val="auto"/>
              </w:rPr>
            </w:pPr>
            <w:r>
              <w:rPr>
                <w:rFonts w:ascii="Arial" w:cs="Arial" w:eastAsia="Arial" w:hAnsi="Arial"/>
                <w:sz w:val="14"/>
                <w:szCs w:val="14"/>
                <w:b w:val="1"/>
                <w:bCs w:val="1"/>
                <w:color w:val="auto"/>
              </w:rPr>
              <w:t>Calendar Year</w:t>
            </w:r>
          </w:p>
        </w:tc>
        <w:tc>
          <w:tcPr>
            <w:tcW w:w="1180" w:type="dxa"/>
            <w:vAlign w:val="bottom"/>
          </w:tcPr>
          <w:p>
            <w:pPr>
              <w:spacing w:after="0"/>
              <w:rPr>
                <w:sz w:val="17"/>
                <w:szCs w:val="17"/>
                <w:color w:val="auto"/>
              </w:rPr>
            </w:pPr>
          </w:p>
        </w:tc>
      </w:tr>
      <w:tr>
        <w:trPr>
          <w:trHeight w:val="250"/>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Retail Motorized:</w:t>
            </w:r>
          </w:p>
        </w:tc>
        <w:tc>
          <w:tcPr>
            <w:tcW w:w="12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2013</w:t>
            </w:r>
          </w:p>
        </w:tc>
        <w:tc>
          <w:tcPr>
            <w:tcW w:w="110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2012</w:t>
            </w:r>
          </w:p>
        </w:tc>
        <w:tc>
          <w:tcPr>
            <w:tcW w:w="1540" w:type="dxa"/>
            <w:vAlign w:val="bottom"/>
            <w:tcBorders>
              <w:top w:val="single" w:sz="8" w:color="auto"/>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2011</w:t>
            </w:r>
          </w:p>
        </w:tc>
        <w:tc>
          <w:tcPr>
            <w:tcW w:w="118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2010</w:t>
            </w:r>
          </w:p>
        </w:tc>
      </w:tr>
      <w:tr>
        <w:trPr>
          <w:trHeight w:val="256"/>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22.5%</w:t>
            </w: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23.6%</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24.2%</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22.2%</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23.7%</w:t>
            </w:r>
          </w:p>
        </w:tc>
      </w:tr>
      <w:tr>
        <w:trPr>
          <w:trHeight w:val="264"/>
        </w:trPr>
        <w:tc>
          <w:tcPr>
            <w:tcW w:w="4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13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17.9%</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19.4%</w:t>
            </w:r>
          </w:p>
        </w:tc>
        <w:tc>
          <w:tcPr>
            <w:tcW w:w="2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19.4%</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17.6%</w:t>
            </w: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15.2%</w:t>
            </w:r>
          </w:p>
        </w:tc>
      </w:tr>
      <w:tr>
        <w:trPr>
          <w:trHeight w:val="257"/>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3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20.7%</w:t>
            </w: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21.8%</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22.2%</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20.2%</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19.5%</w:t>
            </w:r>
          </w:p>
        </w:tc>
      </w:tr>
      <w:tr>
        <w:trPr>
          <w:trHeight w:val="264"/>
        </w:trPr>
        <w:tc>
          <w:tcPr>
            <w:tcW w:w="4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C</w:t>
            </w:r>
          </w:p>
        </w:tc>
        <w:tc>
          <w:tcPr>
            <w:tcW w:w="13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16.9%</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17.8%</w:t>
            </w:r>
          </w:p>
        </w:tc>
        <w:tc>
          <w:tcPr>
            <w:tcW w:w="2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18.3%</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17.4%</w:t>
            </w: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17.9%</w:t>
            </w:r>
          </w:p>
        </w:tc>
      </w:tr>
      <w:tr>
        <w:trPr>
          <w:trHeight w:val="24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13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19.0%</w:t>
            </w:r>
          </w:p>
        </w:tc>
        <w:tc>
          <w:tcPr>
            <w:tcW w:w="11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20.0%</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20.5%</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19.0%</w:t>
            </w:r>
          </w:p>
        </w:tc>
        <w:tc>
          <w:tcPr>
            <w:tcW w:w="11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18.8%</w:t>
            </w: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4"/>
        </w:trPr>
        <w:tc>
          <w:tcPr>
            <w:tcW w:w="4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4"/>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13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17.6%</w:t>
            </w:r>
          </w:p>
        </w:tc>
        <w:tc>
          <w:tcPr>
            <w:tcW w:w="11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17.1%</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17.6%</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7.9%</w:t>
            </w:r>
          </w:p>
        </w:tc>
        <w:tc>
          <w:tcPr>
            <w:tcW w:w="11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15.6%</w:t>
            </w: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18"/>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3"/>
          </w:tcPr>
          <w:p>
            <w:pPr>
              <w:ind w:left="540"/>
              <w:spacing w:after="0"/>
              <w:rPr>
                <w:sz w:val="20"/>
                <w:szCs w:val="20"/>
                <w:color w:val="auto"/>
              </w:rPr>
            </w:pPr>
            <w:r>
              <w:rPr>
                <w:rFonts w:ascii="Arial" w:cs="Arial" w:eastAsia="Arial" w:hAnsi="Arial"/>
                <w:sz w:val="14"/>
                <w:szCs w:val="14"/>
                <w:b w:val="1"/>
                <w:bCs w:val="1"/>
                <w:color w:val="auto"/>
              </w:rPr>
              <w:t>Through October 31</w:t>
            </w:r>
          </w:p>
        </w:tc>
        <w:tc>
          <w:tcPr>
            <w:tcW w:w="1300" w:type="dxa"/>
            <w:vAlign w:val="bottom"/>
          </w:tcPr>
          <w:p>
            <w:pPr>
              <w:spacing w:after="0"/>
              <w:rPr>
                <w:sz w:val="24"/>
                <w:szCs w:val="24"/>
                <w:color w:val="auto"/>
              </w:rPr>
            </w:pPr>
          </w:p>
        </w:tc>
        <w:tc>
          <w:tcPr>
            <w:tcW w:w="1540" w:type="dxa"/>
            <w:vAlign w:val="bottom"/>
          </w:tcPr>
          <w:p>
            <w:pPr>
              <w:jc w:val="center"/>
              <w:ind w:right="21"/>
              <w:spacing w:after="0"/>
              <w:rPr>
                <w:sz w:val="20"/>
                <w:szCs w:val="20"/>
                <w:color w:val="auto"/>
              </w:rPr>
            </w:pPr>
            <w:r>
              <w:rPr>
                <w:rFonts w:ascii="Arial" w:cs="Arial" w:eastAsia="Arial" w:hAnsi="Arial"/>
                <w:sz w:val="14"/>
                <w:szCs w:val="14"/>
                <w:b w:val="1"/>
                <w:bCs w:val="1"/>
                <w:color w:val="auto"/>
              </w:rPr>
              <w:t>Calendar Year</w:t>
            </w:r>
          </w:p>
        </w:tc>
        <w:tc>
          <w:tcPr>
            <w:tcW w:w="1180" w:type="dxa"/>
            <w:vAlign w:val="bottom"/>
          </w:tcPr>
          <w:p>
            <w:pPr>
              <w:spacing w:after="0"/>
              <w:rPr>
                <w:sz w:val="24"/>
                <w:szCs w:val="24"/>
                <w:color w:val="auto"/>
              </w:rPr>
            </w:pPr>
          </w:p>
        </w:tc>
      </w:tr>
      <w:tr>
        <w:trPr>
          <w:trHeight w:val="250"/>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Canadian Retail Motorized:</w:t>
            </w:r>
          </w:p>
        </w:tc>
        <w:tc>
          <w:tcPr>
            <w:tcW w:w="12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2013</w:t>
            </w:r>
          </w:p>
        </w:tc>
        <w:tc>
          <w:tcPr>
            <w:tcW w:w="110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2012</w:t>
            </w:r>
          </w:p>
        </w:tc>
        <w:tc>
          <w:tcPr>
            <w:tcW w:w="1540" w:type="dxa"/>
            <w:vAlign w:val="bottom"/>
            <w:tcBorders>
              <w:top w:val="single" w:sz="8" w:color="auto"/>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2011</w:t>
            </w:r>
          </w:p>
        </w:tc>
        <w:tc>
          <w:tcPr>
            <w:tcW w:w="118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2010</w:t>
            </w:r>
          </w:p>
        </w:tc>
      </w:tr>
      <w:tr>
        <w:trPr>
          <w:trHeight w:val="256"/>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13.5%</w:t>
            </w: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15.2%</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15.3%</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16.5%</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14.9%</w:t>
            </w:r>
          </w:p>
        </w:tc>
      </w:tr>
      <w:tr>
        <w:trPr>
          <w:trHeight w:val="264"/>
        </w:trPr>
        <w:tc>
          <w:tcPr>
            <w:tcW w:w="4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13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14.8%</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16.7%</w:t>
            </w:r>
          </w:p>
        </w:tc>
        <w:tc>
          <w:tcPr>
            <w:tcW w:w="2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17.3%</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18.0%</w:t>
            </w: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9.9%</w:t>
            </w:r>
          </w:p>
        </w:tc>
      </w:tr>
      <w:tr>
        <w:trPr>
          <w:trHeight w:val="257"/>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3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14.0%</w:t>
            </w: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15.8%</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16.1%</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17.1%</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12.6%</w:t>
            </w:r>
          </w:p>
        </w:tc>
      </w:tr>
      <w:tr>
        <w:trPr>
          <w:trHeight w:val="264"/>
        </w:trPr>
        <w:tc>
          <w:tcPr>
            <w:tcW w:w="4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C</w:t>
            </w:r>
          </w:p>
        </w:tc>
        <w:tc>
          <w:tcPr>
            <w:tcW w:w="13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11.7%</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14.6%</w:t>
            </w:r>
          </w:p>
        </w:tc>
        <w:tc>
          <w:tcPr>
            <w:tcW w:w="2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14.9%</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15.9%</w:t>
            </w: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13.8%</w:t>
            </w:r>
          </w:p>
        </w:tc>
      </w:tr>
      <w:tr>
        <w:trPr>
          <w:trHeight w:val="24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13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12.7%</w:t>
            </w:r>
          </w:p>
        </w:tc>
        <w:tc>
          <w:tcPr>
            <w:tcW w:w="11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15.2%</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15.5%</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16.5%</w:t>
            </w:r>
          </w:p>
        </w:tc>
        <w:tc>
          <w:tcPr>
            <w:tcW w:w="11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13.2%</w:t>
            </w: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4"/>
        </w:trPr>
        <w:tc>
          <w:tcPr>
            <w:tcW w:w="4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4"/>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13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20.1%</w:t>
            </w:r>
          </w:p>
        </w:tc>
        <w:tc>
          <w:tcPr>
            <w:tcW w:w="11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12.1%</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12.7%</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7.1%</w:t>
            </w:r>
          </w:p>
        </w:tc>
        <w:tc>
          <w:tcPr>
            <w:tcW w:w="11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4.8%</w:t>
            </w: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20" w:type="dxa"/>
            <w:vAlign w:val="bottom"/>
            <w:gridSpan w:val="3"/>
          </w:tcPr>
          <w:p>
            <w:pPr>
              <w:jc w:val="right"/>
              <w:ind w:right="1125"/>
              <w:spacing w:after="0"/>
              <w:rPr>
                <w:sz w:val="20"/>
                <w:szCs w:val="20"/>
                <w:color w:val="auto"/>
              </w:rPr>
            </w:pPr>
            <w:r>
              <w:rPr>
                <w:rFonts w:ascii="Arial" w:cs="Arial" w:eastAsia="Arial" w:hAnsi="Arial"/>
                <w:sz w:val="14"/>
                <w:szCs w:val="14"/>
                <w:b w:val="1"/>
                <w:bCs w:val="1"/>
                <w:color w:val="auto"/>
              </w:rPr>
              <w:t>US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40" w:type="dxa"/>
            <w:vAlign w:val="bottom"/>
            <w:gridSpan w:val="3"/>
          </w:tcPr>
          <w:p>
            <w:pPr>
              <w:jc w:val="right"/>
              <w:ind w:right="905"/>
              <w:spacing w:after="0"/>
              <w:rPr>
                <w:sz w:val="20"/>
                <w:szCs w:val="20"/>
                <w:color w:val="auto"/>
              </w:rPr>
            </w:pPr>
            <w:r>
              <w:rPr>
                <w:rFonts w:ascii="Arial" w:cs="Arial" w:eastAsia="Arial" w:hAnsi="Arial"/>
                <w:sz w:val="14"/>
                <w:szCs w:val="14"/>
                <w:b w:val="1"/>
                <w:bCs w:val="1"/>
                <w:color w:val="auto"/>
              </w:rPr>
              <w:t>Canadian</w:t>
            </w:r>
          </w:p>
        </w:tc>
        <w:tc>
          <w:tcPr>
            <w:tcW w:w="1120" w:type="dxa"/>
            <w:vAlign w:val="bottom"/>
          </w:tcPr>
          <w:p>
            <w:pPr>
              <w:spacing w:after="0"/>
              <w:rPr>
                <w:sz w:val="16"/>
                <w:szCs w:val="16"/>
                <w:color w:val="auto"/>
              </w:rPr>
            </w:pPr>
          </w:p>
        </w:tc>
      </w:tr>
      <w:tr>
        <w:trPr>
          <w:trHeight w:val="39"/>
        </w:trPr>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1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2"/>
          </w:tcPr>
          <w:p>
            <w:pPr>
              <w:spacing w:after="0"/>
              <w:rPr>
                <w:sz w:val="3"/>
                <w:szCs w:val="3"/>
                <w:color w:val="auto"/>
              </w:rPr>
            </w:pPr>
          </w:p>
        </w:tc>
      </w:tr>
      <w:tr>
        <w:trPr>
          <w:trHeight w:val="258"/>
        </w:trPr>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20" w:type="dxa"/>
            <w:vAlign w:val="bottom"/>
            <w:tcBorders>
              <w:bottom w:val="single" w:sz="8" w:color="auto"/>
            </w:tcBorders>
            <w:gridSpan w:val="2"/>
          </w:tcPr>
          <w:p>
            <w:pPr>
              <w:jc w:val="right"/>
              <w:ind w:right="261"/>
              <w:spacing w:after="0"/>
              <w:rPr>
                <w:sz w:val="20"/>
                <w:szCs w:val="20"/>
                <w:color w:val="auto"/>
              </w:rPr>
            </w:pPr>
            <w:r>
              <w:rPr>
                <w:rFonts w:ascii="Arial" w:cs="Arial" w:eastAsia="Arial" w:hAnsi="Arial"/>
                <w:sz w:val="14"/>
                <w:szCs w:val="14"/>
                <w:b w:val="1"/>
                <w:bCs w:val="1"/>
                <w:color w:val="auto"/>
              </w:rPr>
              <w:t>Through October 31</w:t>
            </w:r>
          </w:p>
        </w:tc>
        <w:tc>
          <w:tcPr>
            <w:tcW w:w="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380" w:type="dxa"/>
            <w:vAlign w:val="bottom"/>
            <w:tcBorders>
              <w:bottom w:val="single" w:sz="8" w:color="auto"/>
            </w:tcBorders>
            <w:gridSpan w:val="2"/>
          </w:tcPr>
          <w:p>
            <w:pPr>
              <w:jc w:val="right"/>
              <w:ind w:right="621"/>
              <w:spacing w:after="0"/>
              <w:rPr>
                <w:sz w:val="20"/>
                <w:szCs w:val="20"/>
                <w:color w:val="auto"/>
              </w:rPr>
            </w:pPr>
            <w:r>
              <w:rPr>
                <w:rFonts w:ascii="Arial" w:cs="Arial" w:eastAsia="Arial" w:hAnsi="Arial"/>
                <w:sz w:val="14"/>
                <w:szCs w:val="14"/>
                <w:b w:val="1"/>
                <w:bCs w:val="1"/>
                <w:color w:val="auto"/>
              </w:rPr>
              <w:t>Calendar Year</w:t>
            </w:r>
          </w:p>
        </w:tc>
        <w:tc>
          <w:tcPr>
            <w:tcW w:w="100" w:type="dxa"/>
            <w:vAlign w:val="bottom"/>
          </w:tcPr>
          <w:p>
            <w:pPr>
              <w:spacing w:after="0"/>
              <w:rPr>
                <w:sz w:val="22"/>
                <w:szCs w:val="22"/>
                <w:color w:val="auto"/>
              </w:rPr>
            </w:pPr>
          </w:p>
        </w:tc>
        <w:tc>
          <w:tcPr>
            <w:tcW w:w="212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4"/>
                <w:szCs w:val="14"/>
                <w:b w:val="1"/>
                <w:bCs w:val="1"/>
                <w:color w:val="auto"/>
              </w:rPr>
              <w:t>Through October 31</w:t>
            </w:r>
          </w:p>
        </w:tc>
        <w:tc>
          <w:tcPr>
            <w:tcW w:w="2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Borders>
              <w:bottom w:val="single" w:sz="8" w:color="auto"/>
            </w:tcBorders>
            <w:gridSpan w:val="2"/>
          </w:tcPr>
          <w:p>
            <w:pPr>
              <w:jc w:val="right"/>
              <w:ind w:right="621"/>
              <w:spacing w:after="0"/>
              <w:rPr>
                <w:sz w:val="20"/>
                <w:szCs w:val="20"/>
                <w:color w:val="auto"/>
              </w:rPr>
            </w:pPr>
            <w:r>
              <w:rPr>
                <w:rFonts w:ascii="Arial" w:cs="Arial" w:eastAsia="Arial" w:hAnsi="Arial"/>
                <w:sz w:val="14"/>
                <w:szCs w:val="14"/>
                <w:b w:val="1"/>
                <w:bCs w:val="1"/>
                <w:color w:val="auto"/>
              </w:rPr>
              <w:t>Calendar Year</w:t>
            </w:r>
          </w:p>
        </w:tc>
      </w:tr>
      <w:tr>
        <w:trPr>
          <w:trHeight w:val="250"/>
        </w:trPr>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Retail Towables:</w:t>
            </w:r>
          </w:p>
        </w:tc>
        <w:tc>
          <w:tcPr>
            <w:tcW w:w="1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2013</w:t>
            </w:r>
          </w:p>
        </w:tc>
        <w:tc>
          <w:tcPr>
            <w:tcW w:w="9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2012</w:t>
            </w:r>
          </w:p>
        </w:tc>
        <w:tc>
          <w:tcPr>
            <w:tcW w:w="11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2013</w:t>
            </w:r>
          </w:p>
        </w:tc>
        <w:tc>
          <w:tcPr>
            <w:tcW w:w="8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2012</w:t>
            </w:r>
          </w:p>
        </w:tc>
        <w:tc>
          <w:tcPr>
            <w:tcW w:w="11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2011</w:t>
            </w:r>
          </w:p>
        </w:tc>
      </w:tr>
      <w:tr>
        <w:trPr>
          <w:trHeight w:val="256"/>
        </w:trPr>
        <w:tc>
          <w:tcPr>
            <w:tcW w:w="1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260" w:type="dxa"/>
            <w:vAlign w:val="bottom"/>
            <w:shd w:val="clear" w:color="auto" w:fill="CCEEFF"/>
          </w:tcPr>
          <w:p>
            <w:pPr>
              <w:jc w:val="right"/>
              <w:ind w:right="283"/>
              <w:spacing w:after="0"/>
              <w:rPr>
                <w:sz w:val="20"/>
                <w:szCs w:val="20"/>
                <w:color w:val="auto"/>
              </w:rPr>
            </w:pPr>
            <w:r>
              <w:rPr>
                <w:rFonts w:ascii="Arial" w:cs="Arial" w:eastAsia="Arial" w:hAnsi="Arial"/>
                <w:sz w:val="16"/>
                <w:szCs w:val="16"/>
                <w:color w:val="auto"/>
              </w:rPr>
              <w:t>1.0%</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0.8%</w:t>
            </w:r>
          </w:p>
        </w:tc>
        <w:tc>
          <w:tcPr>
            <w:tcW w:w="1520" w:type="dxa"/>
            <w:vAlign w:val="bottom"/>
            <w:gridSpan w:val="3"/>
            <w:shd w:val="clear" w:color="auto" w:fill="CCEEFF"/>
          </w:tcPr>
          <w:p>
            <w:pPr>
              <w:jc w:val="right"/>
              <w:ind w:right="265"/>
              <w:spacing w:after="0"/>
              <w:rPr>
                <w:sz w:val="20"/>
                <w:szCs w:val="20"/>
                <w:color w:val="auto"/>
              </w:rPr>
            </w:pPr>
            <w:r>
              <w:rPr>
                <w:rFonts w:ascii="Arial" w:cs="Arial" w:eastAsia="Arial" w:hAnsi="Arial"/>
                <w:sz w:val="16"/>
                <w:szCs w:val="16"/>
                <w:color w:val="auto"/>
              </w:rPr>
              <w:t>0.8%</w:t>
            </w:r>
          </w:p>
        </w:tc>
        <w:tc>
          <w:tcPr>
            <w:tcW w:w="11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83"/>
              <w:spacing w:after="0"/>
              <w:rPr>
                <w:sz w:val="20"/>
                <w:szCs w:val="20"/>
                <w:color w:val="auto"/>
              </w:rPr>
            </w:pPr>
            <w:r>
              <w:rPr>
                <w:rFonts w:ascii="Arial" w:cs="Arial" w:eastAsia="Arial" w:hAnsi="Arial"/>
                <w:sz w:val="16"/>
                <w:szCs w:val="16"/>
                <w:color w:val="auto"/>
              </w:rPr>
              <w:t>0.9%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640" w:type="dxa"/>
            <w:vAlign w:val="bottom"/>
            <w:gridSpan w:val="3"/>
            <w:shd w:val="clear" w:color="auto" w:fill="CCEEFF"/>
          </w:tcPr>
          <w:p>
            <w:pPr>
              <w:jc w:val="right"/>
              <w:ind w:right="285"/>
              <w:spacing w:after="0"/>
              <w:rPr>
                <w:sz w:val="20"/>
                <w:szCs w:val="20"/>
                <w:color w:val="auto"/>
              </w:rPr>
            </w:pPr>
            <w:r>
              <w:rPr>
                <w:rFonts w:ascii="Arial" w:cs="Arial" w:eastAsia="Arial" w:hAnsi="Arial"/>
                <w:sz w:val="16"/>
                <w:szCs w:val="16"/>
                <w:color w:val="auto"/>
              </w:rPr>
              <w:t>0.6%</w:t>
            </w:r>
          </w:p>
        </w:tc>
        <w:tc>
          <w:tcPr>
            <w:tcW w:w="11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0.5%</w:t>
            </w:r>
          </w:p>
        </w:tc>
      </w:tr>
      <w:tr>
        <w:trPr>
          <w:trHeight w:val="264"/>
        </w:trPr>
        <w:tc>
          <w:tcPr>
            <w:tcW w:w="15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126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0.8%</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color w:val="auto"/>
              </w:rPr>
              <w:t>1.1%</w:t>
            </w:r>
          </w:p>
        </w:tc>
        <w:tc>
          <w:tcPr>
            <w:tcW w:w="11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1.4%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color w:val="auto"/>
              </w:rPr>
              <w:t>1.5%</w:t>
            </w:r>
          </w:p>
        </w:tc>
        <w:tc>
          <w:tcPr>
            <w:tcW w:w="11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0.6%</w:t>
            </w:r>
          </w:p>
        </w:tc>
      </w:tr>
      <w:tr>
        <w:trPr>
          <w:trHeight w:val="240"/>
        </w:trPr>
        <w:tc>
          <w:tcPr>
            <w:tcW w:w="1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towables</w:t>
            </w:r>
          </w:p>
        </w:tc>
        <w:tc>
          <w:tcPr>
            <w:tcW w:w="1260" w:type="dxa"/>
            <w:vAlign w:val="bottom"/>
            <w:shd w:val="clear" w:color="auto" w:fill="CCEEFF"/>
          </w:tcPr>
          <w:p>
            <w:pPr>
              <w:jc w:val="right"/>
              <w:ind w:right="283"/>
              <w:spacing w:after="0"/>
              <w:rPr>
                <w:sz w:val="20"/>
                <w:szCs w:val="20"/>
                <w:color w:val="auto"/>
              </w:rPr>
            </w:pPr>
            <w:r>
              <w:rPr>
                <w:rFonts w:ascii="Arial" w:cs="Arial" w:eastAsia="Arial" w:hAnsi="Arial"/>
                <w:sz w:val="16"/>
                <w:szCs w:val="16"/>
                <w:color w:val="auto"/>
              </w:rPr>
              <w:t>0.9%</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0.9%</w:t>
            </w:r>
          </w:p>
        </w:tc>
        <w:tc>
          <w:tcPr>
            <w:tcW w:w="1520" w:type="dxa"/>
            <w:vAlign w:val="bottom"/>
            <w:gridSpan w:val="3"/>
            <w:shd w:val="clear" w:color="auto" w:fill="CCEEFF"/>
          </w:tcPr>
          <w:p>
            <w:pPr>
              <w:jc w:val="right"/>
              <w:ind w:right="265"/>
              <w:spacing w:after="0"/>
              <w:rPr>
                <w:sz w:val="20"/>
                <w:szCs w:val="20"/>
                <w:color w:val="auto"/>
              </w:rPr>
            </w:pPr>
            <w:r>
              <w:rPr>
                <w:rFonts w:ascii="Arial" w:cs="Arial" w:eastAsia="Arial" w:hAnsi="Arial"/>
                <w:sz w:val="16"/>
                <w:szCs w:val="16"/>
                <w:color w:val="auto"/>
              </w:rPr>
              <w:t>0.9%</w:t>
            </w:r>
          </w:p>
        </w:tc>
        <w:tc>
          <w:tcPr>
            <w:tcW w:w="11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283"/>
              <w:spacing w:after="0"/>
              <w:rPr>
                <w:sz w:val="20"/>
                <w:szCs w:val="20"/>
                <w:color w:val="auto"/>
              </w:rPr>
            </w:pPr>
            <w:r>
              <w:rPr>
                <w:rFonts w:ascii="Arial" w:cs="Arial" w:eastAsia="Arial" w:hAnsi="Arial"/>
                <w:sz w:val="16"/>
                <w:szCs w:val="16"/>
                <w:color w:val="auto"/>
              </w:rPr>
              <w:t>1.0%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640" w:type="dxa"/>
            <w:vAlign w:val="bottom"/>
            <w:gridSpan w:val="3"/>
            <w:shd w:val="clear" w:color="auto" w:fill="CCEEFF"/>
          </w:tcPr>
          <w:p>
            <w:pPr>
              <w:jc w:val="right"/>
              <w:ind w:right="285"/>
              <w:spacing w:after="0"/>
              <w:rPr>
                <w:sz w:val="20"/>
                <w:szCs w:val="20"/>
                <w:color w:val="auto"/>
              </w:rPr>
            </w:pPr>
            <w:r>
              <w:rPr>
                <w:rFonts w:ascii="Arial" w:cs="Arial" w:eastAsia="Arial" w:hAnsi="Arial"/>
                <w:sz w:val="16"/>
                <w:szCs w:val="16"/>
                <w:color w:val="auto"/>
              </w:rPr>
              <w:t>0.9%</w:t>
            </w:r>
          </w:p>
        </w:tc>
        <w:tc>
          <w:tcPr>
            <w:tcW w:w="11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0.5%</w:t>
            </w: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gridSpan w:val="5"/>
          </w:tcPr>
          <w:p>
            <w:pPr>
              <w:spacing w:after="0"/>
              <w:rPr>
                <w:sz w:val="20"/>
                <w:szCs w:val="20"/>
                <w:color w:val="auto"/>
              </w:rPr>
            </w:pPr>
            <w:r>
              <w:rPr>
                <w:rFonts w:ascii="Arial" w:cs="Arial" w:eastAsia="Arial" w:hAnsi="Arial"/>
                <w:sz w:val="16"/>
                <w:szCs w:val="16"/>
                <w:color w:val="auto"/>
              </w:rPr>
              <w:t>Presented in fiscal quarters, certain key metrics are shown below:</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6"/>
                <w:szCs w:val="16"/>
                <w:b w:val="1"/>
                <w:bCs w:val="1"/>
                <w:color w:val="auto"/>
              </w:rPr>
              <w:t>Class A, B &amp; C Motorhomes</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6"/>
                <w:szCs w:val="16"/>
                <w:b w:val="1"/>
                <w:bCs w:val="1"/>
                <w:color w:val="auto"/>
              </w:rPr>
              <w:t>Travel Trailers &amp; Fifth Wheels</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6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As of Quarter End</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6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As of Quarter End</w:t>
            </w: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60"/>
              <w:spacing w:after="0"/>
              <w:rPr>
                <w:sz w:val="20"/>
                <w:szCs w:val="20"/>
                <w:color w:val="auto"/>
              </w:rPr>
            </w:pPr>
            <w:r>
              <w:rPr>
                <w:rFonts w:ascii="Arial" w:cs="Arial" w:eastAsia="Arial" w:hAnsi="Arial"/>
                <w:sz w:val="14"/>
                <w:szCs w:val="14"/>
                <w:b w:val="1"/>
                <w:bCs w:val="1"/>
                <w:color w:val="auto"/>
              </w:rPr>
              <w:t>Wholesale</w:t>
            </w:r>
          </w:p>
        </w:tc>
        <w:tc>
          <w:tcPr>
            <w:tcW w:w="1260" w:type="dxa"/>
            <w:vAlign w:val="bottom"/>
          </w:tcPr>
          <w:p>
            <w:pPr>
              <w:jc w:val="right"/>
              <w:ind w:right="360"/>
              <w:spacing w:after="0"/>
              <w:rPr>
                <w:sz w:val="20"/>
                <w:szCs w:val="20"/>
                <w:color w:val="auto"/>
              </w:rPr>
            </w:pPr>
            <w:r>
              <w:rPr>
                <w:rFonts w:ascii="Arial" w:cs="Arial" w:eastAsia="Arial" w:hAnsi="Arial"/>
                <w:sz w:val="14"/>
                <w:szCs w:val="14"/>
                <w:b w:val="1"/>
                <w:bCs w:val="1"/>
                <w:color w:val="auto"/>
              </w:rPr>
              <w:t>Retail</w:t>
            </w:r>
          </w:p>
        </w:tc>
        <w:tc>
          <w:tcPr>
            <w:tcW w:w="1220" w:type="dxa"/>
            <w:vAlign w:val="bottom"/>
          </w:tcPr>
          <w:p>
            <w:pPr>
              <w:jc w:val="right"/>
              <w:ind w:right="361"/>
              <w:spacing w:after="0"/>
              <w:rPr>
                <w:sz w:val="20"/>
                <w:szCs w:val="20"/>
                <w:color w:val="auto"/>
              </w:rPr>
            </w:pPr>
            <w:r>
              <w:rPr>
                <w:rFonts w:ascii="Arial" w:cs="Arial" w:eastAsia="Arial" w:hAnsi="Arial"/>
                <w:sz w:val="14"/>
                <w:szCs w:val="14"/>
                <w:b w:val="1"/>
                <w:bCs w:val="1"/>
                <w:color w:val="auto"/>
              </w:rPr>
              <w:t>Dealer</w:t>
            </w: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Order</w:t>
            </w:r>
          </w:p>
        </w:tc>
        <w:tc>
          <w:tcPr>
            <w:tcW w:w="1120" w:type="dxa"/>
            <w:vAlign w:val="bottom"/>
          </w:tcPr>
          <w:p>
            <w:pPr>
              <w:jc w:val="right"/>
              <w:ind w:right="120"/>
              <w:spacing w:after="0"/>
              <w:rPr>
                <w:sz w:val="20"/>
                <w:szCs w:val="20"/>
                <w:color w:val="auto"/>
              </w:rPr>
            </w:pPr>
            <w:r>
              <w:rPr>
                <w:rFonts w:ascii="Arial" w:cs="Arial" w:eastAsia="Arial" w:hAnsi="Arial"/>
                <w:sz w:val="14"/>
                <w:szCs w:val="14"/>
                <w:b w:val="1"/>
                <w:bCs w:val="1"/>
                <w:color w:val="auto"/>
              </w:rPr>
              <w:t>Wholesale</w:t>
            </w:r>
          </w:p>
        </w:tc>
        <w:tc>
          <w:tcPr>
            <w:tcW w:w="1260" w:type="dxa"/>
            <w:vAlign w:val="bottom"/>
          </w:tcPr>
          <w:p>
            <w:pPr>
              <w:jc w:val="right"/>
              <w:ind w:right="360"/>
              <w:spacing w:after="0"/>
              <w:rPr>
                <w:sz w:val="20"/>
                <w:szCs w:val="20"/>
                <w:color w:val="auto"/>
              </w:rPr>
            </w:pPr>
            <w:r>
              <w:rPr>
                <w:rFonts w:ascii="Arial" w:cs="Arial" w:eastAsia="Arial" w:hAnsi="Arial"/>
                <w:sz w:val="14"/>
                <w:szCs w:val="14"/>
                <w:b w:val="1"/>
                <w:bCs w:val="1"/>
                <w:color w:val="auto"/>
              </w:rPr>
              <w:t>Retail</w:t>
            </w:r>
          </w:p>
        </w:tc>
        <w:tc>
          <w:tcPr>
            <w:tcW w:w="1240" w:type="dxa"/>
            <w:vAlign w:val="bottom"/>
          </w:tcPr>
          <w:p>
            <w:pPr>
              <w:jc w:val="right"/>
              <w:ind w:right="381"/>
              <w:spacing w:after="0"/>
              <w:rPr>
                <w:sz w:val="20"/>
                <w:szCs w:val="20"/>
                <w:color w:val="auto"/>
              </w:rPr>
            </w:pPr>
            <w:r>
              <w:rPr>
                <w:rFonts w:ascii="Arial" w:cs="Arial" w:eastAsia="Arial" w:hAnsi="Arial"/>
                <w:sz w:val="14"/>
                <w:szCs w:val="14"/>
                <w:b w:val="1"/>
                <w:bCs w:val="1"/>
                <w:color w:val="auto"/>
              </w:rPr>
              <w:t>Dealer</w:t>
            </w:r>
          </w:p>
        </w:tc>
        <w:tc>
          <w:tcPr>
            <w:tcW w:w="1020" w:type="dxa"/>
            <w:vAlign w:val="bottom"/>
          </w:tcPr>
          <w:p>
            <w:pPr>
              <w:jc w:val="right"/>
              <w:ind w:right="301"/>
              <w:spacing w:after="0"/>
              <w:rPr>
                <w:sz w:val="20"/>
                <w:szCs w:val="20"/>
                <w:color w:val="auto"/>
              </w:rPr>
            </w:pPr>
            <w:r>
              <w:rPr>
                <w:rFonts w:ascii="Arial" w:cs="Arial" w:eastAsia="Arial" w:hAnsi="Arial"/>
                <w:sz w:val="14"/>
                <w:szCs w:val="14"/>
                <w:b w:val="1"/>
                <w:bCs w:val="1"/>
                <w:color w:val="auto"/>
              </w:rPr>
              <w:t>Order</w:t>
            </w:r>
          </w:p>
        </w:tc>
        <w:tc>
          <w:tcPr>
            <w:tcW w:w="0" w:type="dxa"/>
            <w:vAlign w:val="bottom"/>
          </w:tcPr>
          <w:p>
            <w:pPr>
              <w:spacing w:after="0"/>
              <w:rPr>
                <w:sz w:val="1"/>
                <w:szCs w:val="1"/>
                <w:color w:val="auto"/>
              </w:rPr>
            </w:pPr>
          </w:p>
        </w:tc>
      </w:tr>
      <w:tr>
        <w:trPr>
          <w:trHeight w:val="276"/>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Deliveries</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Registrations</w:t>
            </w:r>
          </w:p>
        </w:tc>
        <w:tc>
          <w:tcPr>
            <w:tcW w:w="12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Inventory</w:t>
            </w:r>
          </w:p>
        </w:tc>
        <w:tc>
          <w:tcPr>
            <w:tcW w:w="10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Backlog</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Deliveries</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Registrations</w:t>
            </w:r>
          </w:p>
        </w:tc>
        <w:tc>
          <w:tcPr>
            <w:tcW w:w="12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Inventory</w:t>
            </w: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Backlog</w:t>
            </w:r>
          </w:p>
        </w:tc>
        <w:tc>
          <w:tcPr>
            <w:tcW w:w="0" w:type="dxa"/>
            <w:vAlign w:val="bottom"/>
          </w:tcPr>
          <w:p>
            <w:pPr>
              <w:spacing w:after="0"/>
              <w:rPr>
                <w:sz w:val="1"/>
                <w:szCs w:val="1"/>
                <w:color w:val="auto"/>
              </w:rPr>
            </w:pPr>
          </w:p>
        </w:tc>
      </w:tr>
      <w:tr>
        <w:trPr>
          <w:trHeight w:val="25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Q2 2012</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1,001</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872</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2,074</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1,004</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562</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332</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1,376</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60"/>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Q3 2012</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1,280</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1,414</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1,940</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1,237</w:t>
            </w:r>
          </w:p>
        </w:tc>
        <w:tc>
          <w:tcPr>
            <w:tcW w:w="1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646</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652</w:t>
            </w: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1,370</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80"/>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Q4 2012</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1,321</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1,334</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1,927</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1,473</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695</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700</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1,365</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Q1 2013</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1,534</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1,416</w:t>
            </w:r>
          </w:p>
        </w:tc>
        <w:tc>
          <w:tcPr>
            <w:tcW w:w="12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2,045</w:t>
            </w:r>
          </w:p>
        </w:tc>
        <w:tc>
          <w:tcPr>
            <w:tcW w:w="104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2,118</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557</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367</w:t>
            </w:r>
          </w:p>
        </w:tc>
        <w:tc>
          <w:tcPr>
            <w:tcW w:w="124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1,555</w:t>
            </w:r>
          </w:p>
        </w:tc>
        <w:tc>
          <w:tcPr>
            <w:tcW w:w="102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4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Rolling 12 months</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5,136</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5,036</w:t>
            </w:r>
          </w:p>
        </w:tc>
        <w:tc>
          <w:tcPr>
            <w:tcW w:w="1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2,460</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2,051</w:t>
            </w:r>
          </w:p>
        </w:tc>
        <w:tc>
          <w:tcPr>
            <w:tcW w:w="1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ind w:left="40"/>
              <w:spacing w:after="0"/>
              <w:rPr>
                <w:sz w:val="20"/>
                <w:szCs w:val="20"/>
                <w:color w:val="auto"/>
              </w:rPr>
            </w:pPr>
            <w:r>
              <w:rPr>
                <w:rFonts w:ascii="Arial" w:cs="Arial" w:eastAsia="Arial" w:hAnsi="Arial"/>
                <w:sz w:val="16"/>
                <w:szCs w:val="16"/>
                <w:color w:val="auto"/>
              </w:rPr>
              <w:t>Dec 2011-Nov 2012</w:t>
            </w: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960" w:type="dxa"/>
            <w:vAlign w:val="bottom"/>
            <w:gridSpan w:val="2"/>
            <w:vMerge w:val="continue"/>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Q2 2013</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1,419</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1,072</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2,392</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2,752</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548</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328</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1,775</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60"/>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Q3 2013</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1,978</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1,736</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2,634</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2,846</w:t>
            </w:r>
          </w:p>
        </w:tc>
        <w:tc>
          <w:tcPr>
            <w:tcW w:w="1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713</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846</w:t>
            </w: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1,642</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80"/>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Q4 2013</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1,890</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1,870</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2,654</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3,409</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717</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748</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1,611</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Q1 2014</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2,005</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1,524</w:t>
            </w:r>
          </w:p>
        </w:tc>
        <w:tc>
          <w:tcPr>
            <w:tcW w:w="12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3,135</w:t>
            </w:r>
          </w:p>
        </w:tc>
        <w:tc>
          <w:tcPr>
            <w:tcW w:w="104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3,534</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484</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504</w:t>
            </w:r>
          </w:p>
        </w:tc>
        <w:tc>
          <w:tcPr>
            <w:tcW w:w="124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1,591</w:t>
            </w:r>
          </w:p>
        </w:tc>
        <w:tc>
          <w:tcPr>
            <w:tcW w:w="102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4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Rolling 12 months</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7,292</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6,202</w:t>
            </w:r>
          </w:p>
        </w:tc>
        <w:tc>
          <w:tcPr>
            <w:tcW w:w="1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2,462</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2,426</w:t>
            </w:r>
          </w:p>
        </w:tc>
        <w:tc>
          <w:tcPr>
            <w:tcW w:w="1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ind w:left="40"/>
              <w:spacing w:after="0"/>
              <w:rPr>
                <w:sz w:val="20"/>
                <w:szCs w:val="20"/>
                <w:color w:val="auto"/>
              </w:rPr>
            </w:pPr>
            <w:r>
              <w:rPr>
                <w:rFonts w:ascii="Arial" w:cs="Arial" w:eastAsia="Arial" w:hAnsi="Arial"/>
                <w:sz w:val="16"/>
                <w:szCs w:val="16"/>
                <w:color w:val="auto"/>
              </w:rPr>
              <w:t>Dec 2012-Nov 2013</w:t>
            </w: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960" w:type="dxa"/>
            <w:vAlign w:val="bottom"/>
            <w:gridSpan w:val="2"/>
            <w:vMerge w:val="continue"/>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41"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Outlook</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motorhome industry are as follows: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3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76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6"/>
                <w:szCs w:val="16"/>
                <w:b w:val="1"/>
                <w:bCs w:val="1"/>
                <w:color w:val="auto"/>
              </w:rPr>
              <w:t>US and Canada Industry Class A, B &amp; C Motorhomes</w:t>
            </w:r>
          </w:p>
        </w:tc>
        <w:tc>
          <w:tcPr>
            <w:tcW w:w="1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306"/>
        </w:trPr>
        <w:tc>
          <w:tcPr>
            <w:tcW w:w="2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Wholesale Shipments</w:t>
            </w:r>
            <w:r>
              <w:rPr>
                <w:rFonts w:ascii="Arial" w:cs="Arial" w:eastAsia="Arial" w:hAnsi="Arial"/>
                <w:sz w:val="21"/>
                <w:szCs w:val="21"/>
                <w:b w:val="1"/>
                <w:bCs w:val="1"/>
                <w:color w:val="auto"/>
                <w:vertAlign w:val="superscript"/>
              </w:rPr>
              <w:t>(1)</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Retail Registrations</w:t>
            </w:r>
            <w:r>
              <w:rPr>
                <w:rFonts w:ascii="Arial" w:cs="Arial" w:eastAsia="Arial" w:hAnsi="Arial"/>
                <w:sz w:val="21"/>
                <w:szCs w:val="21"/>
                <w:b w:val="1"/>
                <w:bCs w:val="1"/>
                <w:color w:val="auto"/>
                <w:vertAlign w:val="superscript"/>
              </w:rPr>
              <w:t>(2)</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23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6"/>
                <w:szCs w:val="16"/>
                <w:b w:val="1"/>
                <w:bCs w:val="1"/>
                <w:color w:val="auto"/>
              </w:rPr>
              <w:t>Calendar Year</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b w:val="1"/>
                <w:bCs w:val="1"/>
                <w:color w:val="auto"/>
              </w:rPr>
              <w:t>Calendar Year</w:t>
            </w:r>
          </w:p>
        </w:tc>
        <w:tc>
          <w:tcPr>
            <w:tcW w:w="9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2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(Decrease)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83"/>
        </w:trPr>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2012</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2011</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Increase</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2011</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Increase</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24"/>
                <w:szCs w:val="24"/>
                <w:color w:val="auto"/>
              </w:rPr>
            </w:pPr>
          </w:p>
        </w:tc>
      </w:tr>
      <w:tr>
        <w:trPr>
          <w:trHeight w:val="270"/>
        </w:trPr>
        <w:tc>
          <w:tcPr>
            <w:tcW w:w="23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6,869</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6,888</w:t>
            </w:r>
          </w:p>
        </w:tc>
        <w:tc>
          <w:tcPr>
            <w:tcW w:w="12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5,706</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5,114</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592</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20" w:type="dxa"/>
            <w:vAlign w:val="bottom"/>
          </w:tcPr>
          <w:p>
            <w:pPr>
              <w:spacing w:after="0"/>
              <w:rPr>
                <w:sz w:val="23"/>
                <w:szCs w:val="23"/>
                <w:color w:val="auto"/>
              </w:rPr>
            </w:pPr>
          </w:p>
        </w:tc>
      </w:tr>
      <w:tr>
        <w:trPr>
          <w:trHeight w:val="260"/>
        </w:trPr>
        <w:tc>
          <w:tcPr>
            <w:tcW w:w="2340" w:type="dxa"/>
            <w:vAlign w:val="bottom"/>
          </w:tcPr>
          <w:p>
            <w:pPr>
              <w:ind w:left="40"/>
              <w:spacing w:after="0"/>
              <w:rPr>
                <w:sz w:val="20"/>
                <w:szCs w:val="20"/>
                <w:color w:val="auto"/>
              </w:rPr>
            </w:pPr>
            <w:r>
              <w:rPr>
                <w:rFonts w:ascii="Arial" w:cs="Arial" w:eastAsia="Arial" w:hAnsi="Arial"/>
                <w:sz w:val="16"/>
                <w:szCs w:val="16"/>
                <w:color w:val="auto"/>
              </w:rPr>
              <w:t>Q2</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7,707</w:t>
            </w:r>
          </w:p>
        </w:tc>
        <w:tc>
          <w:tcPr>
            <w:tcW w:w="36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7,868</w:t>
            </w: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(161)</w:t>
            </w:r>
          </w:p>
        </w:tc>
        <w:tc>
          <w:tcPr>
            <w:tcW w:w="1040" w:type="dxa"/>
            <w:vAlign w:val="bottom"/>
          </w:tcPr>
          <w:p>
            <w:pPr>
              <w:jc w:val="right"/>
              <w:spacing w:after="0"/>
              <w:rPr>
                <w:sz w:val="20"/>
                <w:szCs w:val="20"/>
                <w:color w:val="auto"/>
              </w:rPr>
            </w:pPr>
            <w:r>
              <w:rPr>
                <w:rFonts w:ascii="Arial" w:cs="Arial" w:eastAsia="Arial" w:hAnsi="Arial"/>
                <w:sz w:val="16"/>
                <w:szCs w:val="16"/>
                <w:color w:val="auto"/>
              </w:rPr>
              <w:t>(2.0)%</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color w:val="auto"/>
              </w:rPr>
              <w:t>8,206</w:t>
            </w:r>
          </w:p>
        </w:tc>
        <w:tc>
          <w:tcPr>
            <w:tcW w:w="3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8,140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66</w:t>
            </w:r>
          </w:p>
        </w:tc>
        <w:tc>
          <w:tcPr>
            <w:tcW w:w="980" w:type="dxa"/>
            <w:vAlign w:val="bottom"/>
          </w:tcPr>
          <w:p>
            <w:pPr>
              <w:jc w:val="right"/>
              <w:spacing w:after="0"/>
              <w:rPr>
                <w:sz w:val="20"/>
                <w:szCs w:val="20"/>
                <w:color w:val="auto"/>
              </w:rPr>
            </w:pPr>
            <w:r>
              <w:rPr>
                <w:rFonts w:ascii="Arial" w:cs="Arial" w:eastAsia="Arial" w:hAnsi="Arial"/>
                <w:sz w:val="16"/>
                <w:szCs w:val="16"/>
                <w:color w:val="auto"/>
              </w:rPr>
              <w:t>0.8%</w:t>
            </w:r>
          </w:p>
        </w:tc>
        <w:tc>
          <w:tcPr>
            <w:tcW w:w="20" w:type="dxa"/>
            <w:vAlign w:val="bottom"/>
          </w:tcPr>
          <w:p>
            <w:pPr>
              <w:spacing w:after="0"/>
              <w:rPr>
                <w:sz w:val="22"/>
                <w:szCs w:val="22"/>
                <w:color w:val="auto"/>
              </w:rPr>
            </w:pPr>
          </w:p>
        </w:tc>
      </w:tr>
      <w:tr>
        <w:trPr>
          <w:trHeight w:val="280"/>
        </w:trPr>
        <w:tc>
          <w:tcPr>
            <w:tcW w:w="23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6,678</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5,267</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1,411</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26.8 %</w:t>
            </w:r>
          </w:p>
        </w:tc>
        <w:tc>
          <w:tcPr>
            <w:tcW w:w="10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6,916</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6,102</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814</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20" w:type="dxa"/>
            <w:vAlign w:val="bottom"/>
          </w:tcPr>
          <w:p>
            <w:pPr>
              <w:spacing w:after="0"/>
              <w:rPr>
                <w:sz w:val="24"/>
                <w:szCs w:val="24"/>
                <w:color w:val="auto"/>
              </w:rPr>
            </w:pPr>
          </w:p>
        </w:tc>
      </w:tr>
      <w:tr>
        <w:trPr>
          <w:trHeight w:val="264"/>
        </w:trPr>
        <w:tc>
          <w:tcPr>
            <w:tcW w:w="2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6,944</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4,807</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2,137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44.5 %</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4,922</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4,623</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22"/>
                <w:szCs w:val="22"/>
                <w:color w:val="auto"/>
              </w:rPr>
            </w:pPr>
          </w:p>
        </w:tc>
      </w:tr>
      <w:tr>
        <w:trPr>
          <w:trHeight w:val="267"/>
        </w:trPr>
        <w:tc>
          <w:tcPr>
            <w:tcW w:w="234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28,198</w:t>
            </w: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24,830</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3,368</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25,750</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23,979</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1,771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0" w:type="dxa"/>
            <w:vAlign w:val="bottom"/>
          </w:tcPr>
          <w:p>
            <w:pPr>
              <w:spacing w:after="0"/>
              <w:rPr>
                <w:sz w:val="23"/>
                <w:szCs w:val="23"/>
                <w:color w:val="auto"/>
              </w:rPr>
            </w:pPr>
          </w:p>
        </w:tc>
      </w:tr>
      <w:tr>
        <w:trPr>
          <w:trHeight w:val="20"/>
        </w:trPr>
        <w:tc>
          <w:tcPr>
            <w:tcW w:w="2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6"/>
        </w:trPr>
        <w:tc>
          <w:tcPr>
            <w:tcW w:w="234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2013</w:t>
            </w:r>
          </w:p>
        </w:tc>
        <w:tc>
          <w:tcPr>
            <w:tcW w:w="36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2012</w:t>
            </w: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Increase</w:t>
            </w: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24"/>
                <w:szCs w:val="24"/>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2012</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Increase</w:t>
            </w:r>
          </w:p>
        </w:tc>
        <w:tc>
          <w:tcPr>
            <w:tcW w:w="980" w:type="dxa"/>
            <w:vAlign w:val="bottom"/>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24"/>
                <w:szCs w:val="24"/>
                <w:color w:val="auto"/>
              </w:rPr>
            </w:pPr>
          </w:p>
        </w:tc>
      </w:tr>
      <w:tr>
        <w:trPr>
          <w:trHeight w:val="280"/>
        </w:trPr>
        <w:tc>
          <w:tcPr>
            <w:tcW w:w="23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8,500</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6,869</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1,631</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23.7 %</w:t>
            </w:r>
          </w:p>
        </w:tc>
        <w:tc>
          <w:tcPr>
            <w:tcW w:w="10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7,137</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5,706</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1,431</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20" w:type="dxa"/>
            <w:vAlign w:val="bottom"/>
          </w:tcPr>
          <w:p>
            <w:pPr>
              <w:spacing w:after="0"/>
              <w:rPr>
                <w:sz w:val="24"/>
                <w:szCs w:val="24"/>
                <w:color w:val="auto"/>
              </w:rPr>
            </w:pPr>
          </w:p>
        </w:tc>
      </w:tr>
      <w:tr>
        <w:trPr>
          <w:trHeight w:val="260"/>
        </w:trPr>
        <w:tc>
          <w:tcPr>
            <w:tcW w:w="2340" w:type="dxa"/>
            <w:vAlign w:val="bottom"/>
          </w:tcPr>
          <w:p>
            <w:pPr>
              <w:ind w:left="40"/>
              <w:spacing w:after="0"/>
              <w:rPr>
                <w:sz w:val="20"/>
                <w:szCs w:val="20"/>
                <w:color w:val="auto"/>
              </w:rPr>
            </w:pPr>
            <w:r>
              <w:rPr>
                <w:rFonts w:ascii="Arial" w:cs="Arial" w:eastAsia="Arial" w:hAnsi="Arial"/>
                <w:sz w:val="16"/>
                <w:szCs w:val="16"/>
                <w:color w:val="auto"/>
              </w:rPr>
              <w:t>Q2</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10,972</w:t>
            </w:r>
          </w:p>
        </w:tc>
        <w:tc>
          <w:tcPr>
            <w:tcW w:w="36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7,707</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3,265</w:t>
            </w:r>
          </w:p>
        </w:tc>
        <w:tc>
          <w:tcPr>
            <w:tcW w:w="1040" w:type="dxa"/>
            <w:vAlign w:val="bottom"/>
          </w:tcPr>
          <w:p>
            <w:pPr>
              <w:jc w:val="right"/>
              <w:spacing w:after="0"/>
              <w:rPr>
                <w:sz w:val="20"/>
                <w:szCs w:val="20"/>
                <w:color w:val="auto"/>
              </w:rPr>
            </w:pPr>
            <w:r>
              <w:rPr>
                <w:rFonts w:ascii="Arial" w:cs="Arial" w:eastAsia="Arial" w:hAnsi="Arial"/>
                <w:sz w:val="16"/>
                <w:szCs w:val="16"/>
                <w:color w:val="auto"/>
              </w:rPr>
              <w:t>42.4 %</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color w:val="auto"/>
              </w:rPr>
              <w:t>10,890</w:t>
            </w:r>
          </w:p>
        </w:tc>
        <w:tc>
          <w:tcPr>
            <w:tcW w:w="3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8,206</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2,684</w:t>
            </w:r>
          </w:p>
        </w:tc>
        <w:tc>
          <w:tcPr>
            <w:tcW w:w="980" w:type="dxa"/>
            <w:vAlign w:val="bottom"/>
          </w:tcPr>
          <w:p>
            <w:pPr>
              <w:jc w:val="right"/>
              <w:spacing w:after="0"/>
              <w:rPr>
                <w:sz w:val="20"/>
                <w:szCs w:val="20"/>
                <w:color w:val="auto"/>
              </w:rPr>
            </w:pPr>
            <w:r>
              <w:rPr>
                <w:rFonts w:ascii="Arial" w:cs="Arial" w:eastAsia="Arial" w:hAnsi="Arial"/>
                <w:sz w:val="16"/>
                <w:szCs w:val="16"/>
                <w:color w:val="auto"/>
              </w:rPr>
              <w:t>32.7%</w:t>
            </w:r>
          </w:p>
        </w:tc>
        <w:tc>
          <w:tcPr>
            <w:tcW w:w="20" w:type="dxa"/>
            <w:vAlign w:val="bottom"/>
          </w:tcPr>
          <w:p>
            <w:pPr>
              <w:spacing w:after="0"/>
              <w:rPr>
                <w:sz w:val="22"/>
                <w:szCs w:val="22"/>
                <w:color w:val="auto"/>
              </w:rPr>
            </w:pPr>
          </w:p>
        </w:tc>
      </w:tr>
      <w:tr>
        <w:trPr>
          <w:trHeight w:val="273"/>
        </w:trPr>
        <w:tc>
          <w:tcPr>
            <w:tcW w:w="2340" w:type="dxa"/>
            <w:vAlign w:val="bottom"/>
            <w:tcBorders>
              <w:left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9,469</w:t>
            </w: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6,678</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2,791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41.8 %</w:t>
            </w:r>
          </w:p>
        </w:tc>
        <w:tc>
          <w:tcPr>
            <w:tcW w:w="100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9,052</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6,916</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2,136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20" w:type="dxa"/>
            <w:vAlign w:val="bottom"/>
            <w:tcBorders>
              <w:bottom w:val="single" w:sz="8" w:color="auto"/>
            </w:tcBorders>
          </w:tcPr>
          <w:p>
            <w:pPr>
              <w:spacing w:after="0"/>
              <w:rPr>
                <w:sz w:val="23"/>
                <w:szCs w:val="23"/>
                <w:color w:val="auto"/>
              </w:rPr>
            </w:pPr>
          </w:p>
        </w:tc>
      </w:tr>
      <w:tr>
        <w:trPr>
          <w:trHeight w:val="260"/>
        </w:trPr>
        <w:tc>
          <w:tcPr>
            <w:tcW w:w="2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October</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3,454</w:t>
            </w:r>
          </w:p>
        </w:tc>
        <w:tc>
          <w:tcPr>
            <w:tcW w:w="36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2,506</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948</w:t>
            </w:r>
          </w:p>
        </w:tc>
        <w:tc>
          <w:tcPr>
            <w:tcW w:w="1040" w:type="dxa"/>
            <w:vAlign w:val="bottom"/>
          </w:tcPr>
          <w:p>
            <w:pPr>
              <w:jc w:val="right"/>
              <w:spacing w:after="0"/>
              <w:rPr>
                <w:sz w:val="20"/>
                <w:szCs w:val="20"/>
                <w:color w:val="auto"/>
              </w:rPr>
            </w:pPr>
            <w:r>
              <w:rPr>
                <w:rFonts w:ascii="Arial" w:cs="Arial" w:eastAsia="Arial" w:hAnsi="Arial"/>
                <w:sz w:val="16"/>
                <w:szCs w:val="16"/>
                <w:color w:val="auto"/>
              </w:rPr>
              <w:t>37.8 %</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color w:val="auto"/>
              </w:rPr>
              <w:t>2,558</w:t>
            </w:r>
          </w:p>
        </w:tc>
        <w:tc>
          <w:tcPr>
            <w:tcW w:w="3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1,910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648</w:t>
            </w:r>
          </w:p>
        </w:tc>
        <w:tc>
          <w:tcPr>
            <w:tcW w:w="980" w:type="dxa"/>
            <w:vAlign w:val="bottom"/>
          </w:tcPr>
          <w:p>
            <w:pPr>
              <w:jc w:val="right"/>
              <w:spacing w:after="0"/>
              <w:rPr>
                <w:sz w:val="20"/>
                <w:szCs w:val="20"/>
                <w:color w:val="auto"/>
              </w:rPr>
            </w:pPr>
            <w:r>
              <w:rPr>
                <w:rFonts w:ascii="Arial" w:cs="Arial" w:eastAsia="Arial" w:hAnsi="Arial"/>
                <w:sz w:val="16"/>
                <w:szCs w:val="16"/>
                <w:color w:val="auto"/>
              </w:rPr>
              <w:t>33.9%</w:t>
            </w:r>
          </w:p>
        </w:tc>
        <w:tc>
          <w:tcPr>
            <w:tcW w:w="20" w:type="dxa"/>
            <w:vAlign w:val="bottom"/>
            <w:shd w:val="clear" w:color="auto" w:fill="000000"/>
          </w:tcPr>
          <w:p>
            <w:pPr>
              <w:spacing w:after="0"/>
              <w:rPr>
                <w:sz w:val="22"/>
                <w:szCs w:val="22"/>
                <w:color w:val="auto"/>
              </w:rPr>
            </w:pPr>
          </w:p>
        </w:tc>
      </w:tr>
      <w:tr>
        <w:trPr>
          <w:trHeight w:val="280"/>
        </w:trPr>
        <w:tc>
          <w:tcPr>
            <w:tcW w:w="23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November</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3,037</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2,295</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742</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32.3 %</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1,636</w:t>
            </w:r>
          </w:p>
        </w:tc>
        <w:tc>
          <w:tcPr>
            <w:tcW w:w="1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264"/>
        </w:trPr>
        <w:tc>
          <w:tcPr>
            <w:tcW w:w="2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December</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3,104</w:t>
            </w:r>
          </w:p>
        </w:tc>
        <w:tc>
          <w:tcPr>
            <w:tcW w:w="3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2,143</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961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44.8 %</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1,376</w:t>
            </w:r>
          </w:p>
        </w:tc>
        <w:tc>
          <w:tcPr>
            <w:tcW w:w="1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r>
      <w:tr>
        <w:trPr>
          <w:trHeight w:val="264"/>
        </w:trPr>
        <w:tc>
          <w:tcPr>
            <w:tcW w:w="23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9,595</w:t>
            </w:r>
          </w:p>
        </w:tc>
        <w:tc>
          <w:tcPr>
            <w:tcW w:w="3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6,944</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2,651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38.2 %</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4,922</w:t>
            </w:r>
          </w:p>
        </w:tc>
        <w:tc>
          <w:tcPr>
            <w:tcW w:w="1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0"/>
        </w:trPr>
        <w:tc>
          <w:tcPr>
            <w:tcW w:w="2340" w:type="dxa"/>
            <w:vAlign w:val="bottom"/>
          </w:tcPr>
          <w:p>
            <w:pPr>
              <w:ind w:left="4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38,536</w:t>
            </w:r>
          </w:p>
        </w:tc>
        <w:tc>
          <w:tcPr>
            <w:tcW w:w="3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28,198</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10,338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36.7 %</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25,750</w:t>
            </w:r>
          </w:p>
        </w:tc>
        <w:tc>
          <w:tcPr>
            <w:tcW w:w="1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2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Class A, B and C wholesale shipments as reported by RVIA.</w:t>
      </w:r>
    </w:p>
    <w:p>
      <w:pPr>
        <w:ind w:left="340" w:hanging="332"/>
        <w:spacing w:after="0" w:line="187"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Class A, B and C retail registrations as reported by Stat Surveys for the US and Canada combined.</w:t>
      </w:r>
    </w:p>
    <w:p>
      <w:pPr>
        <w:ind w:left="340" w:right="420" w:hanging="332"/>
        <w:spacing w:after="0" w:line="220"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Monthly and quarterly 2013 Class A, B and C wholesale shipments are based upon the forecast prepared by Dr. Richard Curtin of the University of Michigan Consumer Survey Research Center for RVIA and reported in the Roadsigns RV Winter 2013 Industry Forecast Issue. The revised RVIA annual 2013 and 2014 wholesale shipment forecast is 38,100 and 41,900 respectively.</w:t>
      </w:r>
    </w:p>
    <w:p>
      <w:pPr>
        <w:spacing w:after="0" w:line="1" w:lineRule="exact"/>
        <w:rPr>
          <w:rFonts w:ascii="Arial" w:cs="Arial" w:eastAsia="Arial" w:hAnsi="Arial"/>
          <w:sz w:val="18"/>
          <w:szCs w:val="18"/>
          <w:color w:val="auto"/>
          <w:vertAlign w:val="superscript"/>
        </w:rPr>
      </w:pPr>
    </w:p>
    <w:p>
      <w:pPr>
        <w:ind w:left="340" w:hanging="332"/>
        <w:spacing w:after="0" w:line="199"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Stat Surveys has not issued a projection for retail demand for this period.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towable industry are as follows: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19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6"/>
          </w:tcPr>
          <w:p>
            <w:pPr>
              <w:jc w:val="right"/>
              <w:ind w:right="299"/>
              <w:spacing w:after="0"/>
              <w:rPr>
                <w:sz w:val="20"/>
                <w:szCs w:val="20"/>
                <w:color w:val="auto"/>
              </w:rPr>
            </w:pPr>
            <w:r>
              <w:rPr>
                <w:rFonts w:ascii="Arial" w:cs="Arial" w:eastAsia="Arial" w:hAnsi="Arial"/>
                <w:sz w:val="16"/>
                <w:szCs w:val="16"/>
                <w:b w:val="1"/>
                <w:bCs w:val="1"/>
                <w:color w:val="auto"/>
              </w:rPr>
              <w:t>US and Canada Travel Trailer &amp; Fifth Wheel Industry</w:t>
            </w:r>
          </w:p>
        </w:tc>
        <w:tc>
          <w:tcPr>
            <w:tcW w:w="1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Wholesale Shipments</w:t>
            </w:r>
            <w:r>
              <w:rPr>
                <w:rFonts w:ascii="Arial" w:cs="Arial" w:eastAsia="Arial" w:hAnsi="Arial"/>
                <w:sz w:val="21"/>
                <w:szCs w:val="21"/>
                <w:b w:val="1"/>
                <w:bCs w:val="1"/>
                <w:color w:val="auto"/>
                <w:vertAlign w:val="superscript"/>
              </w:rPr>
              <w:t>(1)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4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Retail Registrations</w:t>
            </w:r>
            <w:r>
              <w:rPr>
                <w:rFonts w:ascii="Arial" w:cs="Arial" w:eastAsia="Arial" w:hAnsi="Arial"/>
                <w:sz w:val="21"/>
                <w:szCs w:val="21"/>
                <w:b w:val="1"/>
                <w:bCs w:val="1"/>
                <w:color w:val="auto"/>
                <w:vertAlign w:val="superscript"/>
              </w:rPr>
              <w:t>(2)</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2"/>
          </w:tcPr>
          <w:p>
            <w:pPr>
              <w:jc w:val="right"/>
              <w:ind w:right="759"/>
              <w:spacing w:after="0"/>
              <w:rPr>
                <w:sz w:val="20"/>
                <w:szCs w:val="20"/>
                <w:color w:val="auto"/>
              </w:rPr>
            </w:pPr>
            <w:r>
              <w:rPr>
                <w:rFonts w:ascii="Arial" w:cs="Arial" w:eastAsia="Arial" w:hAnsi="Arial"/>
                <w:sz w:val="16"/>
                <w:szCs w:val="16"/>
                <w:b w:val="1"/>
                <w:bCs w:val="1"/>
                <w:color w:val="auto"/>
              </w:rPr>
              <w:t>Calendar Year</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Calendar Year</w:t>
            </w: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2011</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Increase</w:t>
            </w: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2011</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Increase</w:t>
            </w: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9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60,402</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54,132</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6,270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39,093</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33,698</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5,395</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960" w:type="dxa"/>
            <w:vAlign w:val="bottom"/>
          </w:tcPr>
          <w:p>
            <w:pPr>
              <w:ind w:left="40"/>
              <w:spacing w:after="0"/>
              <w:rPr>
                <w:sz w:val="20"/>
                <w:szCs w:val="20"/>
                <w:color w:val="auto"/>
              </w:rPr>
            </w:pPr>
            <w:r>
              <w:rPr>
                <w:rFonts w:ascii="Arial" w:cs="Arial" w:eastAsia="Arial" w:hAnsi="Arial"/>
                <w:sz w:val="16"/>
                <w:szCs w:val="16"/>
                <w:color w:val="auto"/>
              </w:rPr>
              <w:t>Q2</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71,095</w:t>
            </w:r>
          </w:p>
        </w:tc>
        <w:tc>
          <w:tcPr>
            <w:tcW w:w="28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65,987</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5,108</w:t>
            </w:r>
          </w:p>
        </w:tc>
        <w:tc>
          <w:tcPr>
            <w:tcW w:w="940" w:type="dxa"/>
            <w:vAlign w:val="bottom"/>
          </w:tcPr>
          <w:p>
            <w:pPr>
              <w:jc w:val="right"/>
              <w:spacing w:after="0"/>
              <w:rPr>
                <w:sz w:val="20"/>
                <w:szCs w:val="20"/>
                <w:color w:val="auto"/>
              </w:rPr>
            </w:pPr>
            <w:r>
              <w:rPr>
                <w:rFonts w:ascii="Arial" w:cs="Arial" w:eastAsia="Arial" w:hAnsi="Arial"/>
                <w:sz w:val="16"/>
                <w:szCs w:val="16"/>
                <w:color w:val="auto"/>
              </w:rPr>
              <w:t>7.7%</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color w:val="auto"/>
              </w:rPr>
              <w:t>83,990</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79,155</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4,835</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9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56,601</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47,547</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9,054</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67,344</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63,014</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4,330</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54,782</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45,266</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9,516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32,469</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30,044</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2,425</w:t>
            </w: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196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242,880</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212,932</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29,948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222,896</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205,911</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16,985</w:t>
            </w: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96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280" w:type="dxa"/>
            <w:vAlign w:val="bottom"/>
          </w:tcPr>
          <w:p>
            <w:pPr>
              <w:spacing w:after="0"/>
              <w:rPr>
                <w:sz w:val="24"/>
                <w:szCs w:val="24"/>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2012</w:t>
            </w: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Increase</w:t>
            </w: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1220" w:type="dxa"/>
            <w:vAlign w:val="bottom"/>
          </w:tcPr>
          <w:p>
            <w:pPr>
              <w:jc w:val="right"/>
              <w:ind w:right="119"/>
              <w:spacing w:after="0"/>
              <w:rPr>
                <w:sz w:val="20"/>
                <w:szCs w:val="20"/>
                <w:color w:val="auto"/>
              </w:rPr>
            </w:pPr>
            <w:r>
              <w:rPr>
                <w:rFonts w:ascii="Arial" w:cs="Arial" w:eastAsia="Arial" w:hAnsi="Arial"/>
                <w:sz w:val="16"/>
                <w:szCs w:val="16"/>
                <w:b w:val="1"/>
                <w:bCs w:val="1"/>
                <w:color w:val="auto"/>
              </w:rPr>
              <w:t>Increase</w:t>
            </w:r>
          </w:p>
        </w:tc>
        <w:tc>
          <w:tcPr>
            <w:tcW w:w="1120" w:type="dxa"/>
            <w:vAlign w:val="bottom"/>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9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66,745</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60,402</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6,343</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42,852</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39,093</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3,759</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960" w:type="dxa"/>
            <w:vAlign w:val="bottom"/>
          </w:tcPr>
          <w:p>
            <w:pPr>
              <w:ind w:left="40"/>
              <w:spacing w:after="0"/>
              <w:rPr>
                <w:sz w:val="20"/>
                <w:szCs w:val="20"/>
                <w:color w:val="auto"/>
              </w:rPr>
            </w:pPr>
            <w:r>
              <w:rPr>
                <w:rFonts w:ascii="Arial" w:cs="Arial" w:eastAsia="Arial" w:hAnsi="Arial"/>
                <w:sz w:val="16"/>
                <w:szCs w:val="16"/>
                <w:color w:val="auto"/>
              </w:rPr>
              <w:t>Q2</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79,935</w:t>
            </w:r>
          </w:p>
        </w:tc>
        <w:tc>
          <w:tcPr>
            <w:tcW w:w="28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71,095</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8,840</w:t>
            </w:r>
          </w:p>
        </w:tc>
        <w:tc>
          <w:tcPr>
            <w:tcW w:w="940" w:type="dxa"/>
            <w:vAlign w:val="bottom"/>
          </w:tcPr>
          <w:p>
            <w:pPr>
              <w:jc w:val="right"/>
              <w:spacing w:after="0"/>
              <w:rPr>
                <w:sz w:val="20"/>
                <w:szCs w:val="20"/>
                <w:color w:val="auto"/>
              </w:rPr>
            </w:pPr>
            <w:r>
              <w:rPr>
                <w:rFonts w:ascii="Arial" w:cs="Arial" w:eastAsia="Arial" w:hAnsi="Arial"/>
                <w:sz w:val="16"/>
                <w:szCs w:val="16"/>
                <w:color w:val="auto"/>
              </w:rPr>
              <w:t>12.4%</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color w:val="auto"/>
              </w:rPr>
              <w:t>94,526</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83,990</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10,536</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1960" w:type="dxa"/>
            <w:vAlign w:val="bottom"/>
            <w:tcBorders>
              <w:left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61,251</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56,601</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4,650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79,321</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67,344</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11,977</w:t>
            </w: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17.8%</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96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October</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24,383</w:t>
            </w:r>
          </w:p>
        </w:tc>
        <w:tc>
          <w:tcPr>
            <w:tcW w:w="28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21,374</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3,009</w:t>
            </w:r>
          </w:p>
        </w:tc>
        <w:tc>
          <w:tcPr>
            <w:tcW w:w="940" w:type="dxa"/>
            <w:vAlign w:val="bottom"/>
          </w:tcPr>
          <w:p>
            <w:pPr>
              <w:jc w:val="right"/>
              <w:spacing w:after="0"/>
              <w:rPr>
                <w:sz w:val="20"/>
                <w:szCs w:val="20"/>
                <w:color w:val="auto"/>
              </w:rPr>
            </w:pPr>
            <w:r>
              <w:rPr>
                <w:rFonts w:ascii="Arial" w:cs="Arial" w:eastAsia="Arial" w:hAnsi="Arial"/>
                <w:sz w:val="16"/>
                <w:szCs w:val="16"/>
                <w:color w:val="auto"/>
              </w:rPr>
              <w:t>14.1%</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color w:val="auto"/>
              </w:rPr>
              <w:t>16,871</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14,812</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2,059</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13.9%</w:t>
            </w: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96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November</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17,932</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17,480</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10,083</w:t>
            </w:r>
          </w:p>
        </w:tc>
        <w:tc>
          <w:tcPr>
            <w:tcW w:w="1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December</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18,448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15,928</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2,520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7,574</w:t>
            </w:r>
          </w:p>
        </w:tc>
        <w:tc>
          <w:tcPr>
            <w:tcW w:w="1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9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60,763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54,782</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5,981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32,469</w:t>
            </w:r>
          </w:p>
        </w:tc>
        <w:tc>
          <w:tcPr>
            <w:tcW w:w="1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1960" w:type="dxa"/>
            <w:vAlign w:val="bottom"/>
            <w:vMerge w:val="restart"/>
          </w:tcPr>
          <w:p>
            <w:pPr>
              <w:ind w:left="40"/>
              <w:spacing w:after="0"/>
              <w:rPr>
                <w:sz w:val="20"/>
                <w:szCs w:val="20"/>
                <w:color w:val="auto"/>
              </w:rPr>
            </w:pPr>
            <w:r>
              <w:rPr>
                <w:rFonts w:ascii="Arial" w:cs="Arial" w:eastAsia="Arial" w:hAnsi="Arial"/>
                <w:sz w:val="16"/>
                <w:szCs w:val="16"/>
                <w:color w:val="auto"/>
              </w:rPr>
              <w:t>Total</w:t>
            </w: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color w:val="auto"/>
              </w:rPr>
              <w:t>268,694</w:t>
            </w:r>
          </w:p>
        </w:tc>
        <w:tc>
          <w:tcPr>
            <w:tcW w:w="280" w:type="dxa"/>
            <w:vAlign w:val="bottom"/>
          </w:tcPr>
          <w:p>
            <w:pPr>
              <w:jc w:val="right"/>
              <w:spacing w:after="0"/>
              <w:rPr>
                <w:sz w:val="20"/>
                <w:szCs w:val="20"/>
                <w:color w:val="auto"/>
              </w:rPr>
            </w:pPr>
            <w:r>
              <w:rPr>
                <w:rFonts w:ascii="Arial" w:cs="Arial" w:eastAsia="Arial" w:hAnsi="Arial"/>
                <w:sz w:val="11"/>
                <w:szCs w:val="11"/>
                <w:color w:val="auto"/>
              </w:rPr>
              <w:t>(3)</w:t>
            </w:r>
          </w:p>
        </w:tc>
        <w:tc>
          <w:tcPr>
            <w:tcW w:w="1220" w:type="dxa"/>
            <w:vAlign w:val="bottom"/>
            <w:vMerge w:val="restart"/>
          </w:tcPr>
          <w:p>
            <w:pPr>
              <w:jc w:val="right"/>
              <w:ind w:right="59"/>
              <w:spacing w:after="0"/>
              <w:rPr>
                <w:sz w:val="20"/>
                <w:szCs w:val="20"/>
                <w:color w:val="auto"/>
              </w:rPr>
            </w:pPr>
            <w:r>
              <w:rPr>
                <w:rFonts w:ascii="Arial" w:cs="Arial" w:eastAsia="Arial" w:hAnsi="Arial"/>
                <w:sz w:val="16"/>
                <w:szCs w:val="16"/>
                <w:color w:val="auto"/>
              </w:rPr>
              <w:t>242,880</w:t>
            </w:r>
          </w:p>
        </w:tc>
        <w:tc>
          <w:tcPr>
            <w:tcW w:w="1120" w:type="dxa"/>
            <w:vAlign w:val="bottom"/>
            <w:vMerge w:val="restart"/>
          </w:tcPr>
          <w:p>
            <w:pPr>
              <w:jc w:val="right"/>
              <w:ind w:right="59"/>
              <w:spacing w:after="0"/>
              <w:rPr>
                <w:sz w:val="20"/>
                <w:szCs w:val="20"/>
                <w:color w:val="auto"/>
              </w:rPr>
            </w:pPr>
            <w:r>
              <w:rPr>
                <w:rFonts w:ascii="Arial" w:cs="Arial" w:eastAsia="Arial" w:hAnsi="Arial"/>
                <w:sz w:val="16"/>
                <w:szCs w:val="16"/>
                <w:color w:val="auto"/>
              </w:rPr>
              <w:t>25,814</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ind w:right="19"/>
              <w:spacing w:after="0"/>
              <w:rPr>
                <w:sz w:val="20"/>
                <w:szCs w:val="20"/>
                <w:color w:val="auto"/>
              </w:rPr>
            </w:pPr>
            <w:r>
              <w:rPr>
                <w:rFonts w:ascii="Arial" w:cs="Arial" w:eastAsia="Arial" w:hAnsi="Arial"/>
                <w:sz w:val="16"/>
                <w:szCs w:val="16"/>
                <w:color w:val="auto"/>
              </w:rPr>
              <w:t>222,896</w:t>
            </w: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960" w:type="dxa"/>
            <w:vAlign w:val="bottom"/>
            <w:vMerge w:val="continue"/>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vMerge w:val="continue"/>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Towable wholesale shipments as reported by RVIA.</w:t>
      </w:r>
    </w:p>
    <w:p>
      <w:pPr>
        <w:ind w:left="340" w:hanging="332"/>
        <w:spacing w:after="0" w:line="187" w:lineRule="auto"/>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Towable retail registrations as reported by Stat Surveys for the US and Canada combined.</w:t>
      </w:r>
    </w:p>
    <w:p>
      <w:pPr>
        <w:ind w:left="340" w:right="200" w:hanging="332"/>
        <w:spacing w:after="0" w:line="220" w:lineRule="auto"/>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Monthly and quarterly 2013 towable wholesale shipments are based upon the forecast prepared by Dr. Richard Curtin of the University of Michigan Consumer Survey Research Center for RVIA and reported in the Roadsigns RV Winter 2013 Industry Forecast Issue. The revised RVIA annual 2013 and 2014 wholesale shipment forecast is 263,900 and 279,100 respectively.</w:t>
      </w:r>
    </w:p>
    <w:p>
      <w:pPr>
        <w:spacing w:after="0" w:line="1"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5"/>
        </w:numPr>
        <w:rPr>
          <w:rFonts w:ascii="Arial" w:cs="Arial" w:eastAsia="Arial" w:hAnsi="Arial"/>
          <w:sz w:val="11"/>
          <w:szCs w:val="11"/>
          <w:color w:val="auto"/>
        </w:rPr>
      </w:pPr>
      <w:r>
        <w:rPr>
          <w:rFonts w:ascii="Arial" w:cs="Arial" w:eastAsia="Arial" w:hAnsi="Arial"/>
          <w:sz w:val="14"/>
          <w:szCs w:val="14"/>
          <w:color w:val="auto"/>
        </w:rPr>
        <w:t>Stat Surveys has not issued a projection for retail demand for this period.</w:t>
      </w:r>
    </w:p>
    <w:p>
      <w:pPr>
        <w:sectPr>
          <w:pgSz w:w="11900" w:h="16838" w:orient="portrait"/>
          <w:cols w:equalWidth="0" w:num="1">
            <w:col w:w="11440"/>
          </w:cols>
          <w:pgMar w:left="240" w:top="141" w:right="219" w:bottom="984"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40"/>
          </w:cols>
          <w:pgMar w:left="240" w:top="141" w:right="219" w:bottom="984" w:gutter="0" w:footer="0" w:header="0"/>
          <w:type w:val="continuous"/>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Outlook</w:t>
      </w:r>
    </w:p>
    <w:p>
      <w:pPr>
        <w:spacing w:after="0" w:line="187"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Our motorized dealer backlog is an indicator of demand for our product in the current marketplace. We have experienced positive growth in this measure for eight consecutive fiscal quarters. We believe the increase is a result of the overall growth of the RV industry coupled with positive dealer response and increased retail registration activity of our products.</w:t>
      </w:r>
    </w:p>
    <w:p>
      <w:pPr>
        <w:spacing w:after="0" w:line="174"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As a result of the improved demand, we have been increasing our production rates and recently leased an additional production facility. In addition to the increased production capacity, we also expect to have increased access to Class A gas chassis late in our second fiscal quarter. Recently the availability of these chassis has been limited.</w:t>
      </w:r>
    </w:p>
    <w:p>
      <w:pPr>
        <w:spacing w:after="0" w:line="17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Another positive outcome of the increased demand is an improved sales incentive environment. Coupled with the operating leverage within our business model, we are able to achieve stronger operating margins. During the first quarter of Fiscal 2014 we achieved operating margins of 7.2%, an increase of 2.1% when compared to the first quarter of Fiscal 2013.</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Our motorized sales order backlog of 3,534 as of November 30, 2013 represents orders to be shipped in the next two quarters.</w:t>
      </w:r>
    </w:p>
    <w:p>
      <w:pPr>
        <w:spacing w:after="0" w:line="19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We believe that the level of our dealer inventory at the end of the first quarter of Fiscal 2014 is aligned with current market conditions given the improved retail demand and increased sales order backlog of our product.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Our unit order backlog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75"/>
        </w:trPr>
        <w:tc>
          <w:tcPr>
            <w:tcW w:w="3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ind w:right="420"/>
              <w:spacing w:after="0"/>
              <w:rPr>
                <w:sz w:val="20"/>
                <w:szCs w:val="20"/>
                <w:color w:val="auto"/>
              </w:rPr>
            </w:pPr>
            <w:r>
              <w:rPr>
                <w:rFonts w:ascii="Arial" w:cs="Arial" w:eastAsia="Arial" w:hAnsi="Arial"/>
                <w:sz w:val="14"/>
                <w:szCs w:val="14"/>
                <w:b w:val="1"/>
                <w:bCs w:val="1"/>
                <w:color w:val="auto"/>
              </w:rPr>
              <w:t>Increase</w:t>
            </w:r>
          </w:p>
        </w:tc>
        <w:tc>
          <w:tcPr>
            <w:tcW w:w="1340" w:type="dxa"/>
            <w:vAlign w:val="bottom"/>
          </w:tcPr>
          <w:p>
            <w:pPr>
              <w:jc w:val="right"/>
              <w:ind w:right="560"/>
              <w:spacing w:after="0"/>
              <w:rPr>
                <w:sz w:val="20"/>
                <w:szCs w:val="20"/>
                <w:color w:val="auto"/>
              </w:rPr>
            </w:pPr>
            <w:r>
              <w:rPr>
                <w:rFonts w:ascii="Arial" w:cs="Arial" w:eastAsia="Arial" w:hAnsi="Arial"/>
                <w:sz w:val="14"/>
                <w:szCs w:val="14"/>
                <w:b w:val="1"/>
                <w:bCs w:val="1"/>
                <w:color w:val="auto"/>
              </w:rPr>
              <w:t>%</w:t>
            </w:r>
          </w:p>
        </w:tc>
      </w:tr>
      <w:tr>
        <w:trPr>
          <w:trHeight w:val="196"/>
        </w:trPr>
        <w:tc>
          <w:tcPr>
            <w:tcW w:w="3260" w:type="dxa"/>
            <w:vAlign w:val="bottom"/>
          </w:tcPr>
          <w:p>
            <w:pPr>
              <w:ind w:left="40"/>
              <w:spacing w:after="0"/>
              <w:rPr>
                <w:sz w:val="20"/>
                <w:szCs w:val="20"/>
                <w:color w:val="auto"/>
              </w:rPr>
            </w:pPr>
            <w:r>
              <w:rPr>
                <w:rFonts w:ascii="Arial" w:cs="Arial" w:eastAsia="Arial" w:hAnsi="Arial"/>
                <w:sz w:val="14"/>
                <w:szCs w:val="14"/>
                <w:b w:val="1"/>
                <w:bCs w:val="1"/>
                <w:color w:val="auto"/>
              </w:rPr>
              <w:t>(In units)</w:t>
            </w:r>
          </w:p>
        </w:tc>
        <w:tc>
          <w:tcPr>
            <w:tcW w:w="320" w:type="dxa"/>
            <w:vAlign w:val="bottom"/>
          </w:tcPr>
          <w:p>
            <w:pPr>
              <w:spacing w:after="0"/>
              <w:rPr>
                <w:sz w:val="17"/>
                <w:szCs w:val="17"/>
                <w:color w:val="auto"/>
              </w:rPr>
            </w:pPr>
          </w:p>
        </w:tc>
        <w:tc>
          <w:tcPr>
            <w:tcW w:w="2340" w:type="dxa"/>
            <w:vAlign w:val="bottom"/>
            <w:gridSpan w:val="3"/>
          </w:tcPr>
          <w:p>
            <w:pPr>
              <w:ind w:left="320"/>
              <w:spacing w:after="0"/>
              <w:rPr>
                <w:sz w:val="20"/>
                <w:szCs w:val="20"/>
                <w:color w:val="auto"/>
              </w:rPr>
            </w:pPr>
            <w:r>
              <w:rPr>
                <w:rFonts w:ascii="Arial" w:cs="Arial" w:eastAsia="Arial" w:hAnsi="Arial"/>
                <w:sz w:val="14"/>
                <w:szCs w:val="14"/>
                <w:b w:val="1"/>
                <w:bCs w:val="1"/>
                <w:color w:val="auto"/>
              </w:rPr>
              <w:t>November 30, 2013</w:t>
            </w:r>
          </w:p>
        </w:tc>
        <w:tc>
          <w:tcPr>
            <w:tcW w:w="320" w:type="dxa"/>
            <w:vAlign w:val="bottom"/>
          </w:tcPr>
          <w:p>
            <w:pPr>
              <w:spacing w:after="0"/>
              <w:rPr>
                <w:sz w:val="17"/>
                <w:szCs w:val="17"/>
                <w:color w:val="auto"/>
              </w:rPr>
            </w:pPr>
          </w:p>
        </w:tc>
        <w:tc>
          <w:tcPr>
            <w:tcW w:w="2340" w:type="dxa"/>
            <w:vAlign w:val="bottom"/>
            <w:gridSpan w:val="3"/>
          </w:tcPr>
          <w:p>
            <w:pPr>
              <w:ind w:left="360"/>
              <w:spacing w:after="0"/>
              <w:rPr>
                <w:sz w:val="20"/>
                <w:szCs w:val="20"/>
                <w:color w:val="auto"/>
              </w:rPr>
            </w:pPr>
            <w:r>
              <w:rPr>
                <w:rFonts w:ascii="Arial" w:cs="Arial" w:eastAsia="Arial" w:hAnsi="Arial"/>
                <w:sz w:val="14"/>
                <w:szCs w:val="14"/>
                <w:b w:val="1"/>
                <w:bCs w:val="1"/>
                <w:color w:val="auto"/>
              </w:rPr>
              <w:t>December 1, 2012</w:t>
            </w:r>
          </w:p>
        </w:tc>
        <w:tc>
          <w:tcPr>
            <w:tcW w:w="240" w:type="dxa"/>
            <w:vAlign w:val="bottom"/>
          </w:tcPr>
          <w:p>
            <w:pPr>
              <w:spacing w:after="0"/>
              <w:rPr>
                <w:sz w:val="17"/>
                <w:szCs w:val="17"/>
                <w:color w:val="auto"/>
              </w:rPr>
            </w:pPr>
          </w:p>
        </w:tc>
        <w:tc>
          <w:tcPr>
            <w:tcW w:w="1260" w:type="dxa"/>
            <w:vAlign w:val="bottom"/>
          </w:tcPr>
          <w:p>
            <w:pPr>
              <w:jc w:val="right"/>
              <w:ind w:right="340"/>
              <w:spacing w:after="0"/>
              <w:rPr>
                <w:sz w:val="20"/>
                <w:szCs w:val="20"/>
                <w:color w:val="auto"/>
              </w:rPr>
            </w:pPr>
            <w:r>
              <w:rPr>
                <w:rFonts w:ascii="Arial" w:cs="Arial" w:eastAsia="Arial" w:hAnsi="Arial"/>
                <w:sz w:val="14"/>
                <w:szCs w:val="14"/>
                <w:b w:val="1"/>
                <w:bCs w:val="1"/>
                <w:color w:val="auto"/>
              </w:rPr>
              <w:t>(Decrease)</w:t>
            </w:r>
          </w:p>
        </w:tc>
        <w:tc>
          <w:tcPr>
            <w:tcW w:w="1340" w:type="dxa"/>
            <w:vAlign w:val="bottom"/>
          </w:tcPr>
          <w:p>
            <w:pPr>
              <w:jc w:val="right"/>
              <w:ind w:right="360"/>
              <w:spacing w:after="0"/>
              <w:rPr>
                <w:sz w:val="20"/>
                <w:szCs w:val="20"/>
                <w:color w:val="auto"/>
              </w:rPr>
            </w:pPr>
            <w:r>
              <w:rPr>
                <w:rFonts w:ascii="Arial" w:cs="Arial" w:eastAsia="Arial" w:hAnsi="Arial"/>
                <w:sz w:val="14"/>
                <w:szCs w:val="14"/>
                <w:b w:val="1"/>
                <w:bCs w:val="1"/>
                <w:color w:val="auto"/>
              </w:rPr>
              <w:t>Change</w:t>
            </w:r>
          </w:p>
        </w:tc>
      </w:tr>
      <w:tr>
        <w:trPr>
          <w:trHeight w:val="256"/>
        </w:trPr>
        <w:tc>
          <w:tcPr>
            <w:tcW w:w="3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3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1,382</w:t>
            </w:r>
          </w:p>
        </w:tc>
        <w:tc>
          <w:tcPr>
            <w:tcW w:w="13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39.1%</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3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41.7%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498</w:t>
            </w:r>
          </w:p>
        </w:tc>
        <w:tc>
          <w:tcPr>
            <w:tcW w:w="13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56.3 %</w:t>
            </w:r>
          </w:p>
        </w:tc>
      </w:tr>
      <w:tr>
        <w:trPr>
          <w:trHeight w:val="26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521</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13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132</w:t>
            </w:r>
          </w:p>
        </w:tc>
        <w:tc>
          <w:tcPr>
            <w:tcW w:w="13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33.9 %</w:t>
            </w:r>
          </w:p>
        </w:tc>
      </w:tr>
      <w:tr>
        <w:trPr>
          <w:trHeight w:val="257"/>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1,903</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630</w:t>
            </w:r>
          </w:p>
        </w:tc>
        <w:tc>
          <w:tcPr>
            <w:tcW w:w="13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49.5 %</w:t>
            </w:r>
          </w:p>
        </w:tc>
      </w:tr>
      <w:tr>
        <w:trPr>
          <w:trHeight w:val="260"/>
        </w:trPr>
        <w:tc>
          <w:tcPr>
            <w:tcW w:w="3260" w:type="dxa"/>
            <w:vAlign w:val="bottom"/>
          </w:tcPr>
          <w:p>
            <w:pPr>
              <w:ind w:left="40"/>
              <w:spacing w:after="0"/>
              <w:rPr>
                <w:sz w:val="20"/>
                <w:szCs w:val="20"/>
                <w:color w:val="auto"/>
              </w:rPr>
            </w:pPr>
            <w:r>
              <w:rPr>
                <w:rFonts w:ascii="Arial" w:cs="Arial" w:eastAsia="Arial" w:hAnsi="Arial"/>
                <w:sz w:val="16"/>
                <w:szCs w:val="16"/>
                <w:color w:val="auto"/>
              </w:rPr>
              <w:t>Class B</w:t>
            </w:r>
          </w:p>
        </w:tc>
        <w:tc>
          <w:tcPr>
            <w:tcW w:w="32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317</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20"/>
              <w:spacing w:after="0"/>
              <w:rPr>
                <w:sz w:val="20"/>
                <w:szCs w:val="20"/>
                <w:color w:val="auto"/>
              </w:rPr>
            </w:pPr>
            <w:r>
              <w:rPr>
                <w:rFonts w:ascii="Arial" w:cs="Arial" w:eastAsia="Arial" w:hAnsi="Arial"/>
                <w:sz w:val="16"/>
                <w:szCs w:val="16"/>
                <w:color w:val="auto"/>
              </w:rPr>
              <w:t>206</w:t>
            </w: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185.6 %</w:t>
            </w:r>
          </w:p>
        </w:tc>
      </w:tr>
      <w:tr>
        <w:trPr>
          <w:trHeight w:val="273"/>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3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1,314</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w:t>
            </w:r>
          </w:p>
        </w:tc>
        <w:tc>
          <w:tcPr>
            <w:tcW w:w="13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580</w:t>
            </w:r>
          </w:p>
        </w:tc>
        <w:tc>
          <w:tcPr>
            <w:tcW w:w="13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79.0 %</w:t>
            </w:r>
          </w:p>
        </w:tc>
      </w:tr>
      <w:tr>
        <w:trPr>
          <w:trHeight w:val="283"/>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motorhome backlog</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3,534</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2,118</w:t>
            </w:r>
          </w:p>
        </w:tc>
        <w:tc>
          <w:tcPr>
            <w:tcW w:w="13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1,416</w:t>
            </w:r>
          </w:p>
        </w:tc>
        <w:tc>
          <w:tcPr>
            <w:tcW w:w="13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66.9 %</w:t>
            </w:r>
          </w:p>
        </w:tc>
      </w:tr>
      <w:tr>
        <w:trPr>
          <w:trHeight w:val="251"/>
        </w:trPr>
        <w:tc>
          <w:tcPr>
            <w:tcW w:w="3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0"/>
        </w:trPr>
        <w:tc>
          <w:tcPr>
            <w:tcW w:w="326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32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117</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557</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81.1%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(440)</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(79.0)%</w:t>
            </w:r>
          </w:p>
        </w:tc>
      </w:tr>
      <w:tr>
        <w:trPr>
          <w:trHeight w:val="273"/>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3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3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(96)</w:t>
            </w: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(73.8)%</w:t>
            </w:r>
          </w:p>
        </w:tc>
      </w:tr>
      <w:tr>
        <w:trPr>
          <w:trHeight w:val="283"/>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towable backlog</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151</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w:t>
            </w:r>
          </w:p>
        </w:tc>
        <w:tc>
          <w:tcPr>
            <w:tcW w:w="13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(536)</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(78.0)%</w:t>
            </w:r>
          </w:p>
        </w:tc>
      </w:tr>
      <w:tr>
        <w:trPr>
          <w:trHeight w:val="251"/>
        </w:trPr>
        <w:tc>
          <w:tcPr>
            <w:tcW w:w="3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4"/>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Approximate backlog revenue in thousands</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r>
      <w:tr>
        <w:trPr>
          <w:trHeight w:val="256"/>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340,703</w:t>
            </w: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226,457</w:t>
            </w: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114,246</w:t>
            </w:r>
          </w:p>
        </w:tc>
        <w:tc>
          <w:tcPr>
            <w:tcW w:w="13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50.4 %</w:t>
            </w:r>
          </w:p>
        </w:tc>
      </w:tr>
      <w:tr>
        <w:trPr>
          <w:trHeight w:val="251"/>
        </w:trPr>
        <w:tc>
          <w:tcPr>
            <w:tcW w:w="3260" w:type="dxa"/>
            <w:vAlign w:val="bottom"/>
          </w:tcPr>
          <w:p>
            <w:pPr>
              <w:ind w:left="40"/>
              <w:spacing w:after="0"/>
              <w:rPr>
                <w:sz w:val="20"/>
                <w:szCs w:val="20"/>
                <w:color w:val="auto"/>
              </w:rPr>
            </w:pPr>
            <w:r>
              <w:rPr>
                <w:rFonts w:ascii="Arial" w:cs="Arial" w:eastAsia="Arial" w:hAnsi="Arial"/>
                <w:sz w:val="16"/>
                <w:szCs w:val="16"/>
                <w:color w:val="auto"/>
              </w:rPr>
              <w:t>Towable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3,401</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14,049</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(10,648)</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(75.8)%</w:t>
            </w:r>
          </w:p>
        </w:tc>
      </w:tr>
    </w:tbl>
    <w:p>
      <w:pPr>
        <w:spacing w:after="0" w:line="24" w:lineRule="exact"/>
        <w:rPr>
          <w:sz w:val="20"/>
          <w:szCs w:val="20"/>
          <w:color w:val="auto"/>
        </w:rPr>
      </w:pPr>
    </w:p>
    <w:p>
      <w:pPr>
        <w:ind w:left="240" w:right="20" w:hanging="232"/>
        <w:spacing w:after="0" w:line="218" w:lineRule="auto"/>
        <w:tabs>
          <w:tab w:leader="none" w:pos="2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We include in our backlog all accepted purchase orders from dealers to be shipped within the next six months. Orders in backlog can be cancelled or postponed at the option of the purchaser and, therefore, backlog may not necessarily be an accurate measure of future sales.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Quarter Compared to the Comparable Quarter Last Year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statements of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97"/>
        </w:trPr>
        <w:tc>
          <w:tcPr>
            <w:tcW w:w="292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140" w:type="dxa"/>
            <w:vAlign w:val="bottom"/>
          </w:tcPr>
          <w:p>
            <w:pPr>
              <w:spacing w:after="0"/>
              <w:rPr>
                <w:sz w:val="17"/>
                <w:szCs w:val="17"/>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30,</w:t>
            </w:r>
          </w:p>
        </w:tc>
        <w:tc>
          <w:tcPr>
            <w:tcW w:w="1440" w:type="dxa"/>
            <w:vAlign w:val="bottom"/>
            <w:gridSpan w:val="2"/>
          </w:tcPr>
          <w:p>
            <w:pPr>
              <w:ind w:left="46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7"/>
                <w:szCs w:val="17"/>
                <w:color w:val="auto"/>
              </w:rPr>
            </w:pPr>
          </w:p>
        </w:tc>
        <w:tc>
          <w:tcPr>
            <w:tcW w:w="1320" w:type="dxa"/>
            <w:vAlign w:val="bottom"/>
          </w:tcPr>
          <w:p>
            <w:pPr>
              <w:jc w:val="right"/>
              <w:ind w:right="240"/>
              <w:spacing w:after="0"/>
              <w:rPr>
                <w:sz w:val="20"/>
                <w:szCs w:val="20"/>
                <w:color w:val="auto"/>
              </w:rPr>
            </w:pPr>
            <w:r>
              <w:rPr>
                <w:rFonts w:ascii="Arial" w:cs="Arial" w:eastAsia="Arial" w:hAnsi="Arial"/>
                <w:sz w:val="16"/>
                <w:szCs w:val="16"/>
                <w:b w:val="1"/>
                <w:bCs w:val="1"/>
                <w:color w:val="auto"/>
              </w:rPr>
              <w:t>December 1,</w:t>
            </w:r>
          </w:p>
        </w:tc>
        <w:tc>
          <w:tcPr>
            <w:tcW w:w="1440" w:type="dxa"/>
            <w:vAlign w:val="bottom"/>
            <w:gridSpan w:val="2"/>
          </w:tcPr>
          <w:p>
            <w:pPr>
              <w:ind w:left="46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240" w:type="dxa"/>
            <w:vAlign w:val="bottom"/>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4"/>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2013</w:t>
            </w:r>
          </w:p>
        </w:tc>
        <w:tc>
          <w:tcPr>
            <w:tcW w:w="1320" w:type="dxa"/>
            <w:vAlign w:val="bottom"/>
            <w:tcBorders>
              <w:bottom w:val="single" w:sz="8" w:color="auto"/>
            </w:tcBorders>
          </w:tcPr>
          <w:p>
            <w:pPr>
              <w:jc w:val="right"/>
              <w:ind w:right="15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2012</w:t>
            </w:r>
          </w:p>
        </w:tc>
        <w:tc>
          <w:tcPr>
            <w:tcW w:w="134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222,670</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193,554</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29,116</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15.0 %</w:t>
            </w:r>
          </w:p>
        </w:tc>
      </w:tr>
      <w:tr>
        <w:trPr>
          <w:trHeight w:val="264"/>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196,708</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88.3%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172,807</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23,901</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13.8 %</w:t>
            </w:r>
          </w:p>
        </w:tc>
      </w:tr>
      <w:tr>
        <w:trPr>
          <w:trHeight w:val="25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25,962</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20,747</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5,215</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25.1 %</w:t>
            </w:r>
          </w:p>
        </w:tc>
      </w:tr>
      <w:tr>
        <w:trPr>
          <w:trHeight w:val="284"/>
        </w:trPr>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4,333</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4,961</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(628)</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(12.7)%</w:t>
            </w:r>
          </w:p>
        </w:tc>
      </w:tr>
      <w:tr>
        <w:trPr>
          <w:trHeight w:val="260"/>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2"/>
                <w:szCs w:val="22"/>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5,623</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5,812</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(189)</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(3.3)%</w:t>
            </w:r>
          </w:p>
        </w:tc>
      </w:tr>
      <w:tr>
        <w:trPr>
          <w:trHeight w:val="273"/>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Loss on sale of asset held for sale</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28</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(28)</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r>
      <w:tr>
        <w:trPr>
          <w:trHeight w:val="250"/>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9,956</w:t>
            </w:r>
          </w:p>
        </w:tc>
        <w:tc>
          <w:tcPr>
            <w:tcW w:w="13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color w:val="auto"/>
              </w:rPr>
              <w:t>10,801</w:t>
            </w:r>
          </w:p>
        </w:tc>
        <w:tc>
          <w:tcPr>
            <w:tcW w:w="13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(845)</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(7.8)%</w:t>
            </w:r>
          </w:p>
        </w:tc>
      </w:tr>
      <w:tr>
        <w:trPr>
          <w:trHeight w:val="284"/>
        </w:trPr>
        <w:tc>
          <w:tcPr>
            <w:tcW w:w="2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140" w:type="dxa"/>
            <w:vAlign w:val="bottom"/>
          </w:tcPr>
          <w:p>
            <w:pPr>
              <w:spacing w:after="0"/>
              <w:rPr>
                <w:sz w:val="22"/>
                <w:szCs w:val="22"/>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16,006</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9,946</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6,060</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60.9 %</w:t>
            </w:r>
          </w:p>
        </w:tc>
      </w:tr>
      <w:tr>
        <w:trPr>
          <w:trHeight w:val="273"/>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91</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614</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(523)</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(85.2)%</w:t>
            </w:r>
          </w:p>
        </w:tc>
      </w:tr>
      <w:tr>
        <w:trPr>
          <w:trHeight w:val="247"/>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1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16,097</w:t>
            </w:r>
          </w:p>
        </w:tc>
        <w:tc>
          <w:tcPr>
            <w:tcW w:w="1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10,560</w:t>
            </w:r>
          </w:p>
        </w:tc>
        <w:tc>
          <w:tcPr>
            <w:tcW w:w="1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5,537</w:t>
            </w:r>
          </w:p>
        </w:tc>
        <w:tc>
          <w:tcPr>
            <w:tcW w:w="12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52.4 %</w:t>
            </w:r>
          </w:p>
        </w:tc>
      </w:tr>
      <w:tr>
        <w:trPr>
          <w:trHeight w:val="273"/>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4,951</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3,169</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1,782</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56.2 %</w:t>
            </w:r>
          </w:p>
        </w:tc>
      </w:tr>
      <w:tr>
        <w:trPr>
          <w:trHeight w:val="280"/>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11,146</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7,391</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3,755</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50.8 %</w:t>
            </w:r>
          </w:p>
        </w:tc>
      </w:tr>
      <w:tr>
        <w:trPr>
          <w:trHeight w:val="267"/>
        </w:trPr>
        <w:tc>
          <w:tcPr>
            <w:tcW w:w="2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Diluted income per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0.40</w:t>
            </w: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0.26</w:t>
            </w: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0.14</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53.8 %</w:t>
            </w:r>
          </w:p>
        </w:tc>
      </w:tr>
      <w:tr>
        <w:trPr>
          <w:trHeight w:val="28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average shares outstanding</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27,971</w:t>
            </w: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28,361</w:t>
            </w: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(390)</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r>
    </w:tbl>
    <w:p>
      <w:pPr>
        <w:spacing w:after="0" w:line="24"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and ASP, net of discounts, consisted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Quarter Ended</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b w:val="1"/>
                <w:bCs w:val="1"/>
                <w:color w:val="auto"/>
              </w:rPr>
              <w:t>November 30,</w:t>
            </w: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80" w:type="dxa"/>
            <w:vAlign w:val="bottom"/>
          </w:tcPr>
          <w:p>
            <w:pPr>
              <w:spacing w:after="0"/>
              <w:rPr>
                <w:sz w:val="17"/>
                <w:szCs w:val="17"/>
                <w:color w:val="auto"/>
              </w:rPr>
            </w:pPr>
          </w:p>
        </w:tc>
        <w:tc>
          <w:tcPr>
            <w:tcW w:w="1400" w:type="dxa"/>
            <w:vAlign w:val="bottom"/>
          </w:tcPr>
          <w:p>
            <w:pPr>
              <w:jc w:val="right"/>
              <w:ind w:right="318"/>
              <w:spacing w:after="0"/>
              <w:rPr>
                <w:sz w:val="20"/>
                <w:szCs w:val="20"/>
                <w:color w:val="auto"/>
              </w:rPr>
            </w:pPr>
            <w:r>
              <w:rPr>
                <w:rFonts w:ascii="Arial" w:cs="Arial" w:eastAsia="Arial" w:hAnsi="Arial"/>
                <w:sz w:val="16"/>
                <w:szCs w:val="16"/>
                <w:b w:val="1"/>
                <w:bCs w:val="1"/>
                <w:color w:val="auto"/>
              </w:rPr>
              <w:t>December 1,</w:t>
            </w:r>
          </w:p>
        </w:tc>
        <w:tc>
          <w:tcPr>
            <w:tcW w:w="1380" w:type="dxa"/>
            <w:vAlign w:val="bottom"/>
            <w:gridSpan w:val="2"/>
          </w:tcPr>
          <w:p>
            <w:pPr>
              <w:ind w:left="240"/>
              <w:spacing w:after="0"/>
              <w:rPr>
                <w:sz w:val="20"/>
                <w:szCs w:val="20"/>
                <w:color w:val="auto"/>
              </w:rPr>
            </w:pPr>
            <w:r>
              <w:rPr>
                <w:rFonts w:ascii="Arial" w:cs="Arial" w:eastAsia="Arial" w:hAnsi="Arial"/>
                <w:sz w:val="16"/>
                <w:szCs w:val="16"/>
                <w:b w:val="1"/>
                <w:bCs w:val="1"/>
                <w:color w:val="auto"/>
              </w:rPr>
              <w:t>Product</w:t>
            </w:r>
          </w:p>
        </w:tc>
        <w:tc>
          <w:tcPr>
            <w:tcW w:w="200" w:type="dxa"/>
            <w:vAlign w:val="bottom"/>
          </w:tcPr>
          <w:p>
            <w:pPr>
              <w:spacing w:after="0"/>
              <w:rPr>
                <w:sz w:val="17"/>
                <w:szCs w:val="17"/>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124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r>
      <w:tr>
        <w:trPr>
          <w:trHeight w:val="23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2013</w:t>
            </w:r>
          </w:p>
        </w:tc>
        <w:tc>
          <w:tcPr>
            <w:tcW w:w="1280" w:type="dxa"/>
            <w:vAlign w:val="bottom"/>
            <w:tcBorders>
              <w:bottom w:val="single" w:sz="8" w:color="auto"/>
            </w:tcBorders>
          </w:tcPr>
          <w:p>
            <w:pPr>
              <w:jc w:val="right"/>
              <w:ind w:right="31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8"/>
              <w:spacing w:after="0"/>
              <w:rPr>
                <w:sz w:val="20"/>
                <w:szCs w:val="20"/>
                <w:color w:val="auto"/>
              </w:rPr>
            </w:pPr>
            <w:r>
              <w:rPr>
                <w:rFonts w:ascii="Arial" w:cs="Arial" w:eastAsia="Arial" w:hAnsi="Arial"/>
                <w:sz w:val="16"/>
                <w:szCs w:val="16"/>
                <w:b w:val="1"/>
                <w:bCs w:val="1"/>
                <w:color w:val="auto"/>
              </w:rPr>
              <w:t>2012</w:t>
            </w:r>
          </w:p>
        </w:tc>
        <w:tc>
          <w:tcPr>
            <w:tcW w:w="1260" w:type="dxa"/>
            <w:vAlign w:val="bottom"/>
            <w:tcBorders>
              <w:bottom w:val="single" w:sz="8" w:color="auto"/>
            </w:tcBorders>
          </w:tcPr>
          <w:p>
            <w:pPr>
              <w:ind w:left="24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(Decrease)</w:t>
            </w: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64"/>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60"/>
        </w:trPr>
        <w:tc>
          <w:tcPr>
            <w:tcW w:w="2840" w:type="dxa"/>
            <w:vAlign w:val="bottom"/>
            <w:gridSpan w:val="2"/>
          </w:tcPr>
          <w:p>
            <w:pPr>
              <w:ind w:left="180"/>
              <w:spacing w:after="0"/>
              <w:rPr>
                <w:sz w:val="20"/>
                <w:szCs w:val="20"/>
                <w:color w:val="auto"/>
              </w:rPr>
            </w:pPr>
            <w:r>
              <w:rPr>
                <w:rFonts w:ascii="Arial" w:cs="Arial" w:eastAsia="Arial" w:hAnsi="Arial"/>
                <w:sz w:val="16"/>
                <w:szCs w:val="16"/>
                <w:color w:val="auto"/>
              </w:rPr>
              <w:t>Class A gas</w:t>
            </w:r>
          </w:p>
        </w:tc>
        <w:tc>
          <w:tcPr>
            <w:tcW w:w="140" w:type="dxa"/>
            <w:vAlign w:val="bottom"/>
          </w:tcPr>
          <w:p>
            <w:pPr>
              <w:spacing w:after="0"/>
              <w:rPr>
                <w:sz w:val="22"/>
                <w:szCs w:val="22"/>
                <w:color w:val="auto"/>
              </w:rPr>
            </w:pP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710</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178"/>
              <w:spacing w:after="0"/>
              <w:rPr>
                <w:sz w:val="20"/>
                <w:szCs w:val="20"/>
                <w:color w:val="auto"/>
              </w:rPr>
            </w:pPr>
            <w:r>
              <w:rPr>
                <w:rFonts w:ascii="Arial" w:cs="Arial" w:eastAsia="Arial" w:hAnsi="Arial"/>
                <w:sz w:val="16"/>
                <w:szCs w:val="16"/>
                <w:color w:val="auto"/>
              </w:rPr>
              <w:t>620</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color w:val="auto"/>
              </w:rPr>
              <w:t>90</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14.5 %</w:t>
            </w:r>
          </w:p>
        </w:tc>
      </w:tr>
      <w:tr>
        <w:trPr>
          <w:trHeight w:val="273"/>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397</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345</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52</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15.1 %</w:t>
            </w:r>
          </w:p>
        </w:tc>
      </w:tr>
      <w:tr>
        <w:trPr>
          <w:trHeight w:val="247"/>
        </w:trPr>
        <w:tc>
          <w:tcPr>
            <w:tcW w:w="2840" w:type="dxa"/>
            <w:vAlign w:val="bottom"/>
            <w:gridSpan w:val="2"/>
          </w:tcPr>
          <w:p>
            <w:pPr>
              <w:ind w:left="180"/>
              <w:spacing w:after="0"/>
              <w:rPr>
                <w:sz w:val="20"/>
                <w:szCs w:val="20"/>
                <w:color w:val="auto"/>
              </w:rPr>
            </w:pPr>
            <w:r>
              <w:rPr>
                <w:rFonts w:ascii="Arial" w:cs="Arial" w:eastAsia="Arial" w:hAnsi="Arial"/>
                <w:sz w:val="16"/>
                <w:szCs w:val="16"/>
                <w:color w:val="auto"/>
              </w:rPr>
              <w:t>Total Class A</w:t>
            </w:r>
          </w:p>
        </w:tc>
        <w:tc>
          <w:tcPr>
            <w:tcW w:w="140" w:type="dxa"/>
            <w:vAlign w:val="bottom"/>
          </w:tcPr>
          <w:p>
            <w:pPr>
              <w:spacing w:after="0"/>
              <w:rPr>
                <w:sz w:val="21"/>
                <w:szCs w:val="21"/>
                <w:color w:val="auto"/>
              </w:rPr>
            </w:pP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1,107</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78"/>
              <w:spacing w:after="0"/>
              <w:rPr>
                <w:sz w:val="20"/>
                <w:szCs w:val="20"/>
                <w:color w:val="auto"/>
              </w:rPr>
            </w:pPr>
            <w:r>
              <w:rPr>
                <w:rFonts w:ascii="Arial" w:cs="Arial" w:eastAsia="Arial" w:hAnsi="Arial"/>
                <w:sz w:val="16"/>
                <w:szCs w:val="16"/>
                <w:color w:val="auto"/>
              </w:rPr>
              <w:t>965</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62.9%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color w:val="auto"/>
              </w:rPr>
              <w:t>142</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14.7 %</w:t>
            </w:r>
          </w:p>
        </w:tc>
      </w:tr>
      <w:tr>
        <w:trPr>
          <w:trHeight w:val="280"/>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102</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90</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12</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13.3 %</w:t>
            </w:r>
          </w:p>
        </w:tc>
      </w:tr>
      <w:tr>
        <w:trPr>
          <w:trHeight w:val="264"/>
        </w:trPr>
        <w:tc>
          <w:tcPr>
            <w:tcW w:w="28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Class C</w:t>
            </w: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796</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479</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317</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66.2 %</w:t>
            </w:r>
          </w:p>
        </w:tc>
      </w:tr>
      <w:tr>
        <w:trPr>
          <w:trHeight w:val="240"/>
        </w:trPr>
        <w:tc>
          <w:tcPr>
            <w:tcW w:w="2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motorhome deliveries</w:t>
            </w:r>
          </w:p>
        </w:tc>
        <w:tc>
          <w:tcPr>
            <w:tcW w:w="1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2,005</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1,534</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471</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30.7 %</w:t>
            </w:r>
          </w:p>
        </w:tc>
      </w:tr>
      <w:tr>
        <w:trPr>
          <w:trHeight w:val="20"/>
        </w:trPr>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7"/>
        </w:trPr>
        <w:tc>
          <w:tcPr>
            <w:tcW w:w="2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ASP (in thousands)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100.5</w:t>
            </w: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111.9</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(11.5)</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(10.2)%</w:t>
            </w:r>
          </w:p>
        </w:tc>
      </w:tr>
      <w:tr>
        <w:trPr>
          <w:trHeight w:val="284"/>
        </w:trPr>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0"/>
        </w:trPr>
        <w:tc>
          <w:tcPr>
            <w:tcW w:w="2840" w:type="dxa"/>
            <w:vAlign w:val="bottom"/>
            <w:gridSpan w:val="2"/>
          </w:tcPr>
          <w:p>
            <w:pPr>
              <w:ind w:left="180"/>
              <w:spacing w:after="0"/>
              <w:rPr>
                <w:sz w:val="20"/>
                <w:szCs w:val="20"/>
                <w:color w:val="auto"/>
              </w:rPr>
            </w:pPr>
            <w:r>
              <w:rPr>
                <w:rFonts w:ascii="Arial" w:cs="Arial" w:eastAsia="Arial" w:hAnsi="Arial"/>
                <w:sz w:val="16"/>
                <w:szCs w:val="16"/>
                <w:color w:val="auto"/>
              </w:rPr>
              <w:t>Travel trailer</w:t>
            </w:r>
          </w:p>
        </w:tc>
        <w:tc>
          <w:tcPr>
            <w:tcW w:w="140" w:type="dxa"/>
            <w:vAlign w:val="bottom"/>
          </w:tcPr>
          <w:p>
            <w:pPr>
              <w:spacing w:after="0"/>
              <w:rPr>
                <w:sz w:val="22"/>
                <w:szCs w:val="22"/>
                <w:color w:val="auto"/>
              </w:rPr>
            </w:pP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407</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84.1%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178"/>
              <w:spacing w:after="0"/>
              <w:rPr>
                <w:sz w:val="20"/>
                <w:szCs w:val="20"/>
                <w:color w:val="auto"/>
              </w:rPr>
            </w:pPr>
            <w:r>
              <w:rPr>
                <w:rFonts w:ascii="Arial" w:cs="Arial" w:eastAsia="Arial" w:hAnsi="Arial"/>
                <w:sz w:val="16"/>
                <w:szCs w:val="16"/>
                <w:color w:val="auto"/>
              </w:rPr>
              <w:t>408</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73.2%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(0.2)%</w:t>
            </w:r>
          </w:p>
        </w:tc>
      </w:tr>
      <w:tr>
        <w:trPr>
          <w:trHeight w:val="273"/>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Fifth wheel</w:t>
            </w: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77</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149</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(72)</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(48.3)%</w:t>
            </w:r>
          </w:p>
        </w:tc>
      </w:tr>
      <w:tr>
        <w:trPr>
          <w:trHeight w:val="280"/>
        </w:trPr>
        <w:tc>
          <w:tcPr>
            <w:tcW w:w="28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Total towable deliveries</w:t>
            </w: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484</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557</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(73)</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(13.1)%</w:t>
            </w:r>
          </w:p>
        </w:tc>
      </w:tr>
      <w:tr>
        <w:trPr>
          <w:trHeight w:val="267"/>
        </w:trPr>
        <w:tc>
          <w:tcPr>
            <w:tcW w:w="2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57"/>
        </w:trPr>
        <w:tc>
          <w:tcPr>
            <w:tcW w:w="2840" w:type="dxa"/>
            <w:vAlign w:val="bottom"/>
            <w:gridSpan w:val="2"/>
          </w:tcPr>
          <w:p>
            <w:pPr>
              <w:ind w:left="180"/>
              <w:spacing w:after="0"/>
              <w:rPr>
                <w:sz w:val="20"/>
                <w:szCs w:val="20"/>
                <w:color w:val="auto"/>
              </w:rPr>
            </w:pPr>
            <w:r>
              <w:rPr>
                <w:rFonts w:ascii="Arial" w:cs="Arial" w:eastAsia="Arial" w:hAnsi="Arial"/>
                <w:sz w:val="16"/>
                <w:szCs w:val="16"/>
                <w:color w:val="auto"/>
              </w:rPr>
              <w:t>ASP (in thousands)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21.6</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8"/>
              <w:spacing w:after="0"/>
              <w:rPr>
                <w:sz w:val="20"/>
                <w:szCs w:val="20"/>
                <w:color w:val="auto"/>
              </w:rPr>
            </w:pPr>
            <w:r>
              <w:rPr>
                <w:rFonts w:ascii="Arial" w:cs="Arial" w:eastAsia="Arial" w:hAnsi="Arial"/>
                <w:sz w:val="18"/>
                <w:szCs w:val="18"/>
                <w:color w:val="auto"/>
              </w:rPr>
              <w:t>21.4</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79"/>
              <w:spacing w:after="0"/>
              <w:rPr>
                <w:sz w:val="20"/>
                <w:szCs w:val="20"/>
                <w:color w:val="auto"/>
              </w:rPr>
            </w:pPr>
            <w:r>
              <w:rPr>
                <w:rFonts w:ascii="Arial" w:cs="Arial" w:eastAsia="Arial" w:hAnsi="Arial"/>
                <w:sz w:val="16"/>
                <w:szCs w:val="16"/>
                <w:color w:val="auto"/>
              </w:rPr>
              <w:t>0.2</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1.2 %</w:t>
            </w:r>
          </w:p>
        </w:tc>
      </w:tr>
    </w:tbl>
    <w:p>
      <w:pPr>
        <w:ind w:left="160" w:hanging="152"/>
        <w:spacing w:after="0" w:line="220" w:lineRule="auto"/>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41" w:right="2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304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47"/>
        </w:trPr>
        <w:tc>
          <w:tcPr>
            <w:tcW w:w="3040" w:type="dxa"/>
            <w:vAlign w:val="bottom"/>
            <w:gridSpan w:val="3"/>
          </w:tcPr>
          <w:p>
            <w:pPr>
              <w:spacing w:after="0"/>
              <w:rPr>
                <w:sz w:val="20"/>
                <w:szCs w:val="20"/>
                <w:color w:val="auto"/>
              </w:rPr>
            </w:pPr>
            <w:r>
              <w:rPr>
                <w:rFonts w:ascii="Arial" w:cs="Arial" w:eastAsia="Arial" w:hAnsi="Arial"/>
                <w:sz w:val="16"/>
                <w:szCs w:val="16"/>
                <w:color w:val="auto"/>
              </w:rPr>
              <w:t>Net revenues consisted of the following:</w:t>
            </w: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Quarter Ended</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November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20" w:type="dxa"/>
            <w:vAlign w:val="bottom"/>
          </w:tcPr>
          <w:p>
            <w:pPr>
              <w:ind w:left="480"/>
              <w:spacing w:after="0"/>
              <w:rPr>
                <w:sz w:val="20"/>
                <w:szCs w:val="20"/>
                <w:color w:val="auto"/>
              </w:rPr>
            </w:pPr>
            <w:r>
              <w:rPr>
                <w:rFonts w:ascii="Arial" w:cs="Arial" w:eastAsia="Arial" w:hAnsi="Arial"/>
                <w:sz w:val="16"/>
                <w:szCs w:val="16"/>
                <w:b w:val="1"/>
                <w:bCs w:val="1"/>
                <w:color w:val="auto"/>
              </w:rPr>
              <w:t>December 1,</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Increase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28"/>
        </w:trPr>
        <w:tc>
          <w:tcPr>
            <w:tcW w:w="2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2013</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2012</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7"/>
        </w:trPr>
        <w:tc>
          <w:tcPr>
            <w:tcW w:w="30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204,385</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173,828</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30,557</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17.6 %</w:t>
            </w:r>
          </w:p>
        </w:tc>
      </w:tr>
      <w:tr>
        <w:trPr>
          <w:trHeight w:val="270"/>
        </w:trPr>
        <w:tc>
          <w:tcPr>
            <w:tcW w:w="3040" w:type="dxa"/>
            <w:vAlign w:val="bottom"/>
            <w:gridSpan w:val="3"/>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520" w:type="dxa"/>
            <w:vAlign w:val="bottom"/>
          </w:tcPr>
          <w:p>
            <w:pPr>
              <w:jc w:val="right"/>
              <w:ind w:right="619"/>
              <w:spacing w:after="0"/>
              <w:rPr>
                <w:sz w:val="20"/>
                <w:szCs w:val="20"/>
                <w:color w:val="auto"/>
              </w:rPr>
            </w:pPr>
            <w:r>
              <w:rPr>
                <w:rFonts w:ascii="Arial" w:cs="Arial" w:eastAsia="Arial" w:hAnsi="Arial"/>
                <w:sz w:val="16"/>
                <w:szCs w:val="16"/>
                <w:color w:val="auto"/>
              </w:rPr>
              <w:t>10,531</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20" w:type="dxa"/>
            <w:vAlign w:val="bottom"/>
          </w:tcPr>
          <w:p>
            <w:pPr>
              <w:jc w:val="right"/>
              <w:ind w:right="659"/>
              <w:spacing w:after="0"/>
              <w:rPr>
                <w:sz w:val="20"/>
                <w:szCs w:val="20"/>
                <w:color w:val="auto"/>
              </w:rPr>
            </w:pPr>
            <w:r>
              <w:rPr>
                <w:rFonts w:ascii="Arial" w:cs="Arial" w:eastAsia="Arial" w:hAnsi="Arial"/>
                <w:sz w:val="16"/>
                <w:szCs w:val="16"/>
                <w:color w:val="auto"/>
              </w:rPr>
              <w:t>12,071</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(1,540)</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(12.8)%</w:t>
            </w:r>
          </w:p>
        </w:tc>
      </w:tr>
      <w:tr>
        <w:trPr>
          <w:trHeight w:val="264"/>
        </w:trPr>
        <w:tc>
          <w:tcPr>
            <w:tcW w:w="30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manufactured products</w:t>
            </w:r>
          </w:p>
        </w:tc>
        <w:tc>
          <w:tcPr>
            <w:tcW w:w="36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7,754</w:t>
            </w: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7,655</w:t>
            </w:r>
          </w:p>
        </w:tc>
        <w:tc>
          <w:tcPr>
            <w:tcW w:w="7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99</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1.3 %</w:t>
            </w:r>
          </w:p>
        </w:tc>
      </w:tr>
      <w:tr>
        <w:trPr>
          <w:trHeight w:val="237"/>
        </w:trPr>
        <w:tc>
          <w:tcPr>
            <w:tcW w:w="3040" w:type="dxa"/>
            <w:vAlign w:val="bottom"/>
            <w:gridSpan w:val="3"/>
          </w:tcPr>
          <w:p>
            <w:pPr>
              <w:ind w:left="40"/>
              <w:spacing w:after="0"/>
              <w:rPr>
                <w:sz w:val="20"/>
                <w:szCs w:val="20"/>
                <w:color w:val="auto"/>
              </w:rPr>
            </w:pPr>
            <w:r>
              <w:rPr>
                <w:rFonts w:ascii="Arial" w:cs="Arial" w:eastAsia="Arial" w:hAnsi="Arial"/>
                <w:sz w:val="16"/>
                <w:szCs w:val="16"/>
                <w:color w:val="auto"/>
              </w:rPr>
              <w:t>Total net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619"/>
              <w:spacing w:after="0"/>
              <w:rPr>
                <w:sz w:val="20"/>
                <w:szCs w:val="20"/>
                <w:color w:val="auto"/>
              </w:rPr>
            </w:pPr>
            <w:r>
              <w:rPr>
                <w:rFonts w:ascii="Arial" w:cs="Arial" w:eastAsia="Arial" w:hAnsi="Arial"/>
                <w:sz w:val="16"/>
                <w:szCs w:val="16"/>
                <w:color w:val="auto"/>
              </w:rPr>
              <w:t>222,670</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659"/>
              <w:spacing w:after="0"/>
              <w:rPr>
                <w:sz w:val="20"/>
                <w:szCs w:val="20"/>
                <w:color w:val="auto"/>
              </w:rPr>
            </w:pPr>
            <w:r>
              <w:rPr>
                <w:rFonts w:ascii="Arial" w:cs="Arial" w:eastAsia="Arial" w:hAnsi="Arial"/>
                <w:sz w:val="16"/>
                <w:szCs w:val="16"/>
                <w:color w:val="auto"/>
              </w:rPr>
              <w:t>193,554</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29,116</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15.0 %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3810</wp:posOffset>
            </wp:positionV>
            <wp:extent cx="532574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25745" cy="26035"/>
                    </a:xfrm>
                    <a:prstGeom prst="rect">
                      <a:avLst/>
                    </a:prstGeom>
                    <a:noFill/>
                  </pic:spPr>
                </pic:pic>
              </a:graphicData>
            </a:graphic>
          </wp:anchor>
        </w:drawing>
      </w:r>
    </w:p>
    <w:p>
      <w:pPr>
        <w:ind w:left="260" w:hanging="238"/>
        <w:spacing w:after="0"/>
        <w:tabs>
          <w:tab w:leader="none" w:pos="2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Motorhome unit revenue less discounts, sales promotions and incentives, and accrued loss on repurchase adjustments.</w:t>
      </w:r>
    </w:p>
    <w:p>
      <w:pPr>
        <w:ind w:left="260" w:hanging="238"/>
        <w:spacing w:after="0" w:line="199" w:lineRule="auto"/>
        <w:tabs>
          <w:tab w:leader="none" w:pos="2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7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Motorhome net revenues increased $30.6 million or 17.6% in the first quarter of Fiscal 2014. The increase was attributed primarily to a 30.7% increase in unit deliveries driven by higher dealer and retail consumer demand, partially offset by a decrease in motorhome ASP of 10.2% as compared to the first quarter of Fiscal 2013. The decrease in ASP was primarily due to a shift in class A diesel product to lower price points, a higher percent of Class C unit sales and a lower percent of class A gas unit sales in the first quarter of Fiscal 2014.</w:t>
      </w:r>
    </w:p>
    <w:p>
      <w:pPr>
        <w:spacing w:after="0" w:line="176"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decrease in Towables revenues of $1.5 million or 12.8% was attributed to a 13.1% decrease in unit deliveries with ASPs comparable to the first quarter of Fiscal 2013.</w:t>
      </w:r>
    </w:p>
    <w:p>
      <w:pPr>
        <w:spacing w:after="0" w:line="16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One contributing factor to the increase in unit deliveries during the quarter relates to revised shipping terms with our dealers. Effective in the first quarter of Fiscal 2014, we entered into revised dealer agreements to change our shipping terms so that title and risk of loss passes to our dealers upon acceptance of the unit by an independent transportation company for delivery which is standard industry practice. As a result of this term change, an additional $21.4 million of revenue was recognized in the quarter, which represented units in possession of the transportation company in-transit to the dealer. In Fiscal 2013, such revenues would have been recognized in the second fiscal quarter. Conversely, due to our 52/53 week fiscal year convention, the first quarter of Fiscal 2013 had an extra week in the quarter as compared to the first quarter of Fiscal 2014 resulting in an additional $13.8 million of revenue recognized in the prior year first quarter. The net effect of these two timing items resulted in a positive impact of $7.6 million when comparing the first quarter of Fiscal 2014 to the first quarter of Fiscal 2013.</w:t>
      </w:r>
    </w:p>
    <w:p>
      <w:pPr>
        <w:spacing w:after="0" w:line="371" w:lineRule="exact"/>
        <w:rPr>
          <w:sz w:val="20"/>
          <w:szCs w:val="20"/>
          <w:color w:val="auto"/>
        </w:rPr>
      </w:pPr>
    </w:p>
    <w:p>
      <w:pPr>
        <w:ind w:right="240"/>
        <w:spacing w:after="0" w:line="246" w:lineRule="auto"/>
        <w:rPr>
          <w:sz w:val="20"/>
          <w:szCs w:val="20"/>
          <w:color w:val="auto"/>
        </w:rPr>
      </w:pPr>
      <w:r>
        <w:rPr>
          <w:rFonts w:ascii="Arial" w:cs="Arial" w:eastAsia="Arial" w:hAnsi="Arial"/>
          <w:sz w:val="16"/>
          <w:szCs w:val="16"/>
          <w:color w:val="auto"/>
        </w:rPr>
        <w:t>Cost of goods sold was $196.7 million, or 88.3% of net revenues for the first quarter of Fiscal 2014 compared to $172.8 million, or 89.3% of net revenues for the first quarter of Fiscal 2013 due to the following:</w:t>
      </w:r>
    </w:p>
    <w:p>
      <w:pPr>
        <w:spacing w:after="0" w:line="1" w:lineRule="exact"/>
        <w:rPr>
          <w:sz w:val="20"/>
          <w:szCs w:val="20"/>
          <w:color w:val="auto"/>
        </w:rPr>
      </w:pPr>
    </w:p>
    <w:p>
      <w:pPr>
        <w:ind w:left="340" w:right="20" w:hanging="332"/>
        <w:spacing w:after="0" w:line="24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decreased to 83.2% this year from 83.7%.</w:t>
      </w:r>
    </w:p>
    <w:p>
      <w:pPr>
        <w:ind w:left="340" w:right="380" w:hanging="332"/>
        <w:spacing w:after="0" w:line="24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decreased to 5.2% of net revenues compared to 5.6% for Fiscal 2013. This difference was primarily due to significantly higher production levels in Fiscal 2014 which resulted in higher absorption of fixed overhead costs.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factors considered, gross profit increased from 10.7% to 11.7% of net revenues.</w:t>
      </w:r>
    </w:p>
    <w:p>
      <w:pPr>
        <w:spacing w:after="0" w:line="167" w:lineRule="exact"/>
        <w:rPr>
          <w:sz w:val="20"/>
          <w:szCs w:val="20"/>
          <w:color w:val="auto"/>
        </w:rPr>
      </w:pPr>
    </w:p>
    <w:p>
      <w:pPr>
        <w:jc w:val="both"/>
        <w:ind w:right="360"/>
        <w:spacing w:after="0" w:line="251" w:lineRule="auto"/>
        <w:rPr>
          <w:sz w:val="20"/>
          <w:szCs w:val="20"/>
          <w:color w:val="auto"/>
        </w:rPr>
      </w:pPr>
      <w:r>
        <w:rPr>
          <w:rFonts w:ascii="Arial" w:cs="Arial" w:eastAsia="Arial" w:hAnsi="Arial"/>
          <w:sz w:val="16"/>
          <w:szCs w:val="16"/>
          <w:color w:val="auto"/>
        </w:rPr>
        <w:t>Selling expenses decreased to 1.9% from 2.6% of net revenues in the first quarter of Fiscal 2014 compared to Fiscal 2013, respectively. Selling expenses decreased $628,000, or 12.7%, in the first quarter of Fiscal 2014 compared to the same period in Fiscal 2013. The expense decrease was primarily due to advertising expenses associated with timing of the Louisville show which occurred in the first quarter of Fiscal 2013 and will occur in the second quarter of Fiscal 2014.</w:t>
      </w:r>
    </w:p>
    <w:p>
      <w:pPr>
        <w:spacing w:after="0" w:line="149"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General and administrative expenses were 2.5% and 3.0% of net revenues in the first quarter of Fiscal 2014 and Fiscal 2013, respectively. General and administrative expenses decreased $189,000, or 3.3% in the first quarter of Fiscal 2014 compared to the same period in Fiscal 2013. This decrease was due primarily to a decrease in legal expenses of $527,000, partially offset by increased stock compensation expense of $209,000 in Fiscal 2014.</w:t>
      </w:r>
    </w:p>
    <w:p>
      <w:pPr>
        <w:spacing w:after="0" w:line="14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Non-operating income decreased $523,000 or 85.2%, in the first quarter of Fiscal 2014 compared to the same period in Fiscal 2013. This difference is primarily due to proceeds from COLI policies in Fiscal 2013.</w:t>
      </w:r>
    </w:p>
    <w:p>
      <w:pPr>
        <w:spacing w:after="0" w:line="223"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overall effective income tax provision rate for the first quarter of Fiscal 2014 was 30.8% compared to the tax provision rate of 30.0% for the first quarter of Fiscal 2013. The increase in tax rate for the first quarter of Fiscal 2014 is primarily a result of the increased level of pretax book income earned during the quarter and a reduced level (in comparison to book income) of benefits recorded for tax free and dividend income as well as uncertain tax positions during the quarter.</w:t>
      </w:r>
    </w:p>
    <w:p>
      <w:pPr>
        <w:spacing w:after="0" w:line="149"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Net income and diluted income per share were $11.1 million and $0.40 per share, respectively, for the first quarter of Fiscal 2014. In the first quarter of Fiscal 2013, net income was $7.4 million and diluted income was $0.26 per share.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87"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Cash and cash equivalents decreased $14.5 million during the first three months of Fiscal 2014 and totaled $49.7 million as of November 30, 2013. Significant liquidity events that occurred during the first three months of Fiscal 2014 were:</w:t>
      </w:r>
    </w:p>
    <w:p>
      <w:pPr>
        <w:spacing w:after="0" w:line="14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 in receivables and prepaid assets of $13.9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Generation of net income of $11.1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Increases in inventories of $10.4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Stock repurchases of approximately $5.6 million partially offset by $2.1 million of proceeds from the exercise of stock options</w:t>
      </w:r>
    </w:p>
    <w:p>
      <w:pPr>
        <w:spacing w:after="0" w:line="86"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On October 31, 2012, we entered into the Credit Agreement with GECC. The Credit Agreement provides for an initial $35.0 million revolving credit facility based on our eligible inventory and expires on October 31, 2015 unless terminated earlier in accordance with its terms. There is no termination fee associated with the Credit Agreement.</w:t>
      </w:r>
    </w:p>
    <w:p>
      <w:pPr>
        <w:spacing w:after="0" w:line="22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Credit Agreement contains no financial covenant restrictions for borrowings where we have excess borrowing availability under the facility of greater than $5.0 million. The Credit Agreement requires us to comply with a fixed charge ratio if excess borrowing availability under the facility is less than $5.0 million. In addition, the Credit Agreement also includes a framework to expand the size of the facility up to $50.0 million, based on mutually agreeable terms at the time of the expansion. See Note 6 to the financial statements.</w:t>
      </w:r>
    </w:p>
    <w:p>
      <w:pPr>
        <w:spacing w:after="0" w:line="230"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We filed a Registration Statement on Form S-3, which was declared effective by the SEC on May 9, 2013. Subject to market conditions, we have the ability to offer and sell up to $35 million of our common stock in one or more offerings pursuant to the Registration Statement. The Registration Statement will be available for use for three years from its effective date. We currently have no plans to offer and sell the common stock registered under the Registration Statement; however, it does provide another potential source of liquidity in addition to the alternatives already in place.</w:t>
      </w:r>
    </w:p>
    <w:p>
      <w:pPr>
        <w:spacing w:after="0" w:line="230"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Working capital at November 30, 2013 and August 31, 2013 was $164.8 million and $153.5 million, respectively, an increase of $11.3 million. We currently expect cash on hand, funds generated from operations and the availability under a credit facility to be sufficient to cover both short-term and long-term operating requirements. We anticipate capital expenditures during the balance of Fiscal 2014 of approximately $10.2 million, primarily for manufacturing equipment and facilities and IT upgrades.</w:t>
      </w:r>
    </w:p>
    <w:p>
      <w:pPr>
        <w:spacing w:after="0" w:line="230"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We made share repurchases of $5.6 million in the first three months of Fiscal 2014. If we believe the common stock is trading at attractive levels and reflects a prudent use of our capital, we may purchase additional shares in the remainder of Fiscal 2014. See Part II, Item 2 of this Form 10-Q.</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83"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color w:val="auto"/>
        </w:rPr>
        <w:t>Cash used in operating activities was $11.9 million for the three months ended November 30, 2013 compared to $10.3 million for the three months ended December 1, 2012. In Fiscal 2014 the combination of net income of $11.1 million and changes in non-cash charges (e.g., depreciation, LIFO, stock-based compensation, deferred income taxes) provided $13.5 million of operating cash. Changes in assets and liabilities (primarily increases in inventory and receivables) used $25.4 million of operating cash. In the first three months of Fiscal 2013, the combination of net income of $7.4 million and changes in non-cash charges (e.g., depreciation, LIFO, stock-based compensation, deferred income taxes) provided $8.9 million of operating cash. Changes in assets and liabilities (primarily an increase in inventories) used $19.2 million of operating cash.</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64"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Cash provided by investing activities of $811,000 for the three months ended November 30, 2013 was due primarily to proceeds from the sale of investments of $2.4 million and was partially offset by capital spending of $1.7 million. In the three months ended December 1, 2012, cash used in investing activities of $975,000 was due primarily to payments of COLI borrowings of $1.4 million, and capital spending of $1.3 million, and was partially offset by proceeds of $1.0 million from COLI policies and proceeds of $566,000 from the sale of property.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83"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Cash used in financing activities of $3.5 million for the three months ended November 30, 2013 was primarily due to $5.6 million in repurchases of our stock partially offset by proceeds of $2.1 million from the exercise of stock options. Cash used in financing activities of $7.3 million for the three months ended December 1, 2012 was primarily due to $7.2 million in repurchases of our stock.</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198"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 xml:space="preserve">We describe our significant accounting policies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included in our Annual Report on Form 10-K for the fiscal year ended August 31, 2013. We discuss our critical accounting estimates in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in our Annual Report on Form 10-K for the fiscal year ended August 31, 2013. We</w:t>
      </w:r>
      <w:r>
        <w:rPr>
          <w:rFonts w:ascii="Arial" w:cs="Arial" w:eastAsia="Arial" w:hAnsi="Arial"/>
          <w:sz w:val="16"/>
          <w:szCs w:val="16"/>
          <w:i w:val="1"/>
          <w:iCs w:val="1"/>
          <w:color w:val="auto"/>
        </w:rPr>
        <w:t xml:space="preserve"> </w:t>
      </w:r>
      <w:r>
        <w:rPr>
          <w:rFonts w:ascii="Arial" w:cs="Arial" w:eastAsia="Arial" w:hAnsi="Arial"/>
          <w:sz w:val="16"/>
          <w:szCs w:val="16"/>
          <w:color w:val="auto"/>
        </w:rPr>
        <w:t>refer to these disclosures for a detailed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141" w:right="25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explanation of our significant accounting policies and critical accounting estimates. There has been no significant change in our significant accounting policies or critical accounting estimates since the end of Fiscal 2013.</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color w:val="auto"/>
        </w:rPr>
        <w:t>Quantitative and Qualitative Disclosures About Market Risk</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1" w:lineRule="exact"/>
        <w:rPr>
          <w:sz w:val="20"/>
          <w:szCs w:val="20"/>
          <w:color w:val="auto"/>
        </w:rPr>
      </w:pPr>
    </w:p>
    <w:p>
      <w:pPr>
        <w:jc w:val="both"/>
        <w:ind w:right="240"/>
        <w:spacing w:after="0" w:line="246"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2"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Management necessarily applied its judgment in assessing the costs and benefits of such controls and procedures, which, by their nature, can provide only reasonable assurance regarding management's disclosure control objectives.</w:t>
      </w:r>
    </w:p>
    <w:p>
      <w:pPr>
        <w:spacing w:after="0" w:line="169"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 13a-15(f) that occurred during our last fiscal quarter that have materially affected, or are reasonably likely to materially affect, our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Legal Proceedings</w:t>
      </w:r>
    </w:p>
    <w:p>
      <w:pPr>
        <w:spacing w:after="0" w:line="187" w:lineRule="exact"/>
        <w:rPr>
          <w:sz w:val="20"/>
          <w:szCs w:val="20"/>
          <w:color w:val="auto"/>
        </w:rPr>
      </w:pPr>
    </w:p>
    <w:p>
      <w:pPr>
        <w:jc w:val="both"/>
        <w:ind w:right="760"/>
        <w:spacing w:after="0" w:line="253" w:lineRule="auto"/>
        <w:rPr>
          <w:sz w:val="20"/>
          <w:szCs w:val="20"/>
          <w:color w:val="auto"/>
        </w:rPr>
      </w:pPr>
      <w:r>
        <w:rPr>
          <w:rFonts w:ascii="Arial" w:cs="Arial" w:eastAsia="Arial" w:hAnsi="Arial"/>
          <w:sz w:val="16"/>
          <w:szCs w:val="16"/>
          <w:color w:val="auto"/>
        </w:rPr>
        <w:t>We are involved in various legal proceedings which are ordinary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color w:val="auto"/>
        </w:rPr>
        <w:t>Risk Factors</w:t>
      </w:r>
    </w:p>
    <w:p>
      <w:pPr>
        <w:spacing w:after="0" w:line="214" w:lineRule="exact"/>
        <w:rPr>
          <w:sz w:val="20"/>
          <w:szCs w:val="20"/>
          <w:color w:val="auto"/>
        </w:rPr>
      </w:pPr>
    </w:p>
    <w:p>
      <w:pPr>
        <w:ind w:right="120"/>
        <w:spacing w:after="0" w:line="192" w:lineRule="exact"/>
        <w:rPr>
          <w:sz w:val="20"/>
          <w:szCs w:val="20"/>
          <w:color w:val="auto"/>
        </w:rPr>
      </w:pPr>
      <w:r>
        <w:rPr>
          <w:rFonts w:ascii="Arial" w:cs="Arial" w:eastAsia="Arial" w:hAnsi="Arial"/>
          <w:sz w:val="16"/>
          <w:szCs w:val="16"/>
          <w:color w:val="auto"/>
        </w:rPr>
        <w:t>There have been no material changes from the risk factors previously disclosed in Part I, Item 1A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August 31, 2013.</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Unregistered Sales of Equity Securities and Use of Proceeds</w:t>
      </w:r>
    </w:p>
    <w:p>
      <w:pPr>
        <w:spacing w:after="0" w:line="187"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the first quarter of Fiscal 2014, 210,000 shares were repurchased under the authorization, at an aggregate cost of $5.6 million. Of these shares, 49,000 were repurchased from employees who vested in Winnebago Industries shares during the first quarter of Fiscal 2014 and elected to pay their payroll tax via shares as opposed to cash. As of November 30, 2013, there was $34.4 million remaining under this authorization.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This table provides information with respect to purchases by us of shares of our common stock during each fiscal month of the first quarter of Fiscal 2014: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Number of Shares</w:t>
            </w:r>
          </w:p>
        </w:tc>
        <w:tc>
          <w:tcPr>
            <w:tcW w:w="25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3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25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3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280" w:type="dxa"/>
            <w:vAlign w:val="bottom"/>
          </w:tcPr>
          <w:p>
            <w:pPr>
              <w:spacing w:after="0"/>
              <w:rPr>
                <w:sz w:val="16"/>
                <w:szCs w:val="16"/>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Average Price</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w:t>
            </w:r>
          </w:p>
        </w:tc>
        <w:tc>
          <w:tcPr>
            <w:tcW w:w="380" w:type="dxa"/>
            <w:vAlign w:val="bottom"/>
          </w:tcPr>
          <w:p>
            <w:pPr>
              <w:spacing w:after="0"/>
              <w:rPr>
                <w:sz w:val="16"/>
                <w:szCs w:val="16"/>
                <w:color w:val="auto"/>
              </w:rPr>
            </w:pPr>
          </w:p>
        </w:tc>
        <w:tc>
          <w:tcPr>
            <w:tcW w:w="2140" w:type="dxa"/>
            <w:vAlign w:val="bottom"/>
          </w:tcPr>
          <w:p>
            <w:pPr>
              <w:jc w:val="center"/>
              <w:ind w:right="37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Paid per Share</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Plans or Programs</w:t>
            </w: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09/01/13 - 10/05/13</w:t>
            </w:r>
          </w:p>
        </w:tc>
        <w:tc>
          <w:tcPr>
            <w:tcW w:w="1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72,322</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22.49</w:t>
            </w:r>
          </w:p>
        </w:tc>
        <w:tc>
          <w:tcPr>
            <w:tcW w:w="2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72,322</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38,295,000</w:t>
            </w:r>
          </w:p>
        </w:tc>
      </w:tr>
      <w:tr>
        <w:trPr>
          <w:trHeight w:val="260"/>
        </w:trPr>
        <w:tc>
          <w:tcPr>
            <w:tcW w:w="3100" w:type="dxa"/>
            <w:vAlign w:val="bottom"/>
          </w:tcPr>
          <w:p>
            <w:pPr>
              <w:ind w:left="40"/>
              <w:spacing w:after="0"/>
              <w:rPr>
                <w:sz w:val="20"/>
                <w:szCs w:val="20"/>
                <w:color w:val="auto"/>
              </w:rPr>
            </w:pPr>
            <w:r>
              <w:rPr>
                <w:rFonts w:ascii="Arial" w:cs="Arial" w:eastAsia="Arial" w:hAnsi="Arial"/>
                <w:sz w:val="16"/>
                <w:szCs w:val="16"/>
                <w:color w:val="auto"/>
              </w:rPr>
              <w:t>10/06/13 - 11/02/13</w:t>
            </w:r>
          </w:p>
        </w:tc>
        <w:tc>
          <w:tcPr>
            <w:tcW w:w="1900" w:type="dxa"/>
            <w:vAlign w:val="bottom"/>
          </w:tcPr>
          <w:p>
            <w:pPr>
              <w:jc w:val="right"/>
              <w:ind w:right="99"/>
              <w:spacing w:after="0"/>
              <w:rPr>
                <w:sz w:val="20"/>
                <w:szCs w:val="20"/>
                <w:color w:val="auto"/>
              </w:rPr>
            </w:pPr>
            <w:r>
              <w:rPr>
                <w:rFonts w:ascii="Arial" w:cs="Arial" w:eastAsia="Arial" w:hAnsi="Arial"/>
                <w:sz w:val="16"/>
                <w:szCs w:val="16"/>
                <w:color w:val="auto"/>
              </w:rPr>
              <w:t>52,808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27.44</w:t>
            </w:r>
          </w:p>
        </w:tc>
        <w:tc>
          <w:tcPr>
            <w:tcW w:w="2180" w:type="dxa"/>
            <w:vAlign w:val="bottom"/>
          </w:tcPr>
          <w:p>
            <w:pPr>
              <w:jc w:val="right"/>
              <w:ind w:right="119"/>
              <w:spacing w:after="0"/>
              <w:rPr>
                <w:sz w:val="20"/>
                <w:szCs w:val="20"/>
                <w:color w:val="auto"/>
              </w:rPr>
            </w:pPr>
            <w:r>
              <w:rPr>
                <w:rFonts w:ascii="Arial" w:cs="Arial" w:eastAsia="Arial" w:hAnsi="Arial"/>
                <w:sz w:val="16"/>
                <w:szCs w:val="16"/>
                <w:color w:val="auto"/>
              </w:rPr>
              <w:t>52,808</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359"/>
              <w:spacing w:after="0"/>
              <w:rPr>
                <w:sz w:val="20"/>
                <w:szCs w:val="20"/>
                <w:color w:val="auto"/>
              </w:rPr>
            </w:pPr>
            <w:r>
              <w:rPr>
                <w:rFonts w:ascii="Arial" w:cs="Arial" w:eastAsia="Arial" w:hAnsi="Arial"/>
                <w:sz w:val="16"/>
                <w:szCs w:val="16"/>
                <w:color w:val="auto"/>
              </w:rPr>
              <w:t>36,846,000</w:t>
            </w:r>
          </w:p>
        </w:tc>
      </w:tr>
      <w:tr>
        <w:trPr>
          <w:trHeight w:val="273"/>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11/03/13 - 11/30/13</w:t>
            </w:r>
          </w:p>
        </w:tc>
        <w:tc>
          <w:tcPr>
            <w:tcW w:w="1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85,037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29.23</w:t>
            </w:r>
          </w:p>
        </w:tc>
        <w:tc>
          <w:tcPr>
            <w:tcW w:w="2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85,037</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34,360,000</w:t>
            </w:r>
          </w:p>
        </w:tc>
      </w:tr>
      <w:tr>
        <w:trPr>
          <w:trHeight w:val="267"/>
        </w:trPr>
        <w:tc>
          <w:tcPr>
            <w:tcW w:w="3100" w:type="dxa"/>
            <w:vAlign w:val="bottom"/>
          </w:tcPr>
          <w:p>
            <w:pPr>
              <w:ind w:left="40"/>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210,167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26.46</w:t>
            </w:r>
          </w:p>
        </w:tc>
        <w:tc>
          <w:tcPr>
            <w:tcW w:w="2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210,167</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34,360,000</w:t>
            </w:r>
          </w:p>
        </w:tc>
      </w:tr>
      <w:tr>
        <w:trPr>
          <w:trHeight w:val="20"/>
        </w:trPr>
        <w:tc>
          <w:tcPr>
            <w:tcW w:w="3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612"/>
        </w:trPr>
        <w:tc>
          <w:tcPr>
            <w:tcW w:w="3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839"/>
              <w:spacing w:after="0"/>
              <w:rPr>
                <w:sz w:val="20"/>
                <w:szCs w:val="20"/>
                <w:color w:val="auto"/>
              </w:rPr>
            </w:pPr>
            <w:r>
              <w:rPr>
                <w:rFonts w:ascii="Arial" w:cs="Arial" w:eastAsia="Arial" w:hAnsi="Arial"/>
                <w:sz w:val="16"/>
                <w:szCs w:val="16"/>
                <w:color w:val="auto"/>
              </w:rPr>
              <w:t>19</w:t>
            </w:r>
          </w:p>
        </w:tc>
        <w:tc>
          <w:tcPr>
            <w:tcW w:w="2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January 3, 2014.</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January 3, 2014.</w:t>
      </w:r>
    </w:p>
    <w:p>
      <w:pPr>
        <w:spacing w:after="0" w:line="167" w:lineRule="exact"/>
        <w:rPr>
          <w:sz w:val="20"/>
          <w:szCs w:val="20"/>
          <w:color w:val="auto"/>
        </w:rPr>
      </w:pPr>
    </w:p>
    <w:p>
      <w:pPr>
        <w:ind w:left="980" w:right="360" w:hanging="971"/>
        <w:spacing w:after="0" w:line="260" w:lineRule="auto"/>
        <w:tabs>
          <w:tab w:leader="none" w:pos="96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color w:val="auto"/>
        </w:rPr>
        <w:t>Certification by the Chief Executive Officer pursuant to Section 1350, as adopted pursuant to Section 906 of the Sarbanes-Oxley Act of 2002 dated January 3, 2014.</w:t>
      </w:r>
    </w:p>
    <w:p>
      <w:pPr>
        <w:spacing w:after="0" w:line="142" w:lineRule="exact"/>
        <w:rPr>
          <w:sz w:val="20"/>
          <w:szCs w:val="20"/>
          <w:color w:val="auto"/>
        </w:rPr>
      </w:pPr>
    </w:p>
    <w:p>
      <w:pPr>
        <w:ind w:left="980" w:right="420" w:hanging="971"/>
        <w:spacing w:after="0" w:line="260" w:lineRule="auto"/>
        <w:tabs>
          <w:tab w:leader="none" w:pos="960" w:val="left"/>
        </w:tabs>
        <w:rPr>
          <w:sz w:val="20"/>
          <w:szCs w:val="20"/>
          <w:color w:val="auto"/>
        </w:rPr>
      </w:pPr>
      <w:r>
        <w:rPr>
          <w:rFonts w:ascii="Arial" w:cs="Arial" w:eastAsia="Arial" w:hAnsi="Arial"/>
          <w:sz w:val="16"/>
          <w:szCs w:val="16"/>
          <w:color w:val="auto"/>
        </w:rPr>
        <w:t>32.2</w:t>
      </w:r>
      <w:r>
        <w:rPr>
          <w:sz w:val="20"/>
          <w:szCs w:val="20"/>
          <w:color w:val="auto"/>
        </w:rPr>
        <w:tab/>
      </w:r>
      <w:r>
        <w:rPr>
          <w:rFonts w:ascii="Arial" w:cs="Arial" w:eastAsia="Arial" w:hAnsi="Arial"/>
          <w:sz w:val="16"/>
          <w:szCs w:val="16"/>
          <w:color w:val="auto"/>
        </w:rPr>
        <w:t>Certification by the Chief Financial Officer pursuant to Section 1350, as adopted pursuant to Section 906 of the Sarbanes-Oxley Act of 2002 dated January 3, 2014.</w:t>
      </w:r>
    </w:p>
    <w:p>
      <w:pPr>
        <w:sectPr>
          <w:pgSz w:w="11900" w:h="16838" w:orient="portrait"/>
          <w:cols w:equalWidth="0" w:num="1">
            <w:col w:w="11400"/>
          </w:cols>
          <w:pgMar w:left="240" w:top="141" w:right="25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67" w:lineRule="exact"/>
        <w:rPr>
          <w:sz w:val="20"/>
          <w:szCs w:val="20"/>
          <w:color w:val="auto"/>
        </w:rPr>
      </w:pPr>
    </w:p>
    <w:p>
      <w:pPr>
        <w:sectPr>
          <w:pgSz w:w="11900" w:h="16838" w:orient="portrait"/>
          <w:cols w:equalWidth="0" w:num="2">
            <w:col w:w="660" w:space="32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67" w:lineRule="exact"/>
        <w:rPr>
          <w:sz w:val="20"/>
          <w:szCs w:val="20"/>
          <w:color w:val="auto"/>
        </w:rPr>
      </w:pPr>
    </w:p>
    <w:p>
      <w:pPr>
        <w:sectPr>
          <w:pgSz w:w="11900" w:h="16838" w:orient="portrait"/>
          <w:cols w:equalWidth="0" w:num="2">
            <w:col w:w="720" w:space="26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67" w:lineRule="exact"/>
        <w:rPr>
          <w:sz w:val="20"/>
          <w:szCs w:val="20"/>
          <w:color w:val="auto"/>
        </w:rPr>
      </w:pPr>
    </w:p>
    <w:p>
      <w:pPr>
        <w:sectPr>
          <w:pgSz w:w="11900" w:h="16838" w:orient="portrait"/>
          <w:cols w:equalWidth="0" w:num="2">
            <w:col w:w="700" w:space="28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Definitions Linkbase Document</w:t>
      </w:r>
    </w:p>
    <w:p>
      <w:pPr>
        <w:spacing w:after="0" w:line="167" w:lineRule="exact"/>
        <w:rPr>
          <w:sz w:val="20"/>
          <w:szCs w:val="20"/>
          <w:color w:val="auto"/>
        </w:rPr>
      </w:pPr>
    </w:p>
    <w:p>
      <w:pPr>
        <w:sectPr>
          <w:pgSz w:w="11900" w:h="16838" w:orient="portrait"/>
          <w:cols w:equalWidth="0" w:num="2">
            <w:col w:w="720" w:space="26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67" w:lineRule="exact"/>
        <w:rPr>
          <w:sz w:val="20"/>
          <w:szCs w:val="20"/>
          <w:color w:val="auto"/>
        </w:rPr>
      </w:pPr>
    </w:p>
    <w:p>
      <w:pPr>
        <w:sectPr>
          <w:pgSz w:w="11900" w:h="16838" w:orient="portrait"/>
          <w:cols w:equalWidth="0" w:num="2">
            <w:col w:w="700" w:space="28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720" w:space="260"/>
            <w:col w:w="10420"/>
          </w:cols>
          <w:pgMar w:left="240" w:top="141" w:right="259" w:bottom="1440" w:gutter="0" w:footer="0" w:header="0"/>
          <w:type w:val="continuous"/>
        </w:sectPr>
      </w:pPr>
    </w:p>
    <w:p>
      <w:pPr>
        <w:spacing w:after="0" w:line="251" w:lineRule="auto"/>
        <w:rPr>
          <w:sz w:val="20"/>
          <w:szCs w:val="20"/>
          <w:color w:val="auto"/>
        </w:rPr>
      </w:pPr>
      <w:r>
        <w:rPr>
          <w:rFonts w:ascii="Arial" w:cs="Arial" w:eastAsia="Arial" w:hAnsi="Arial"/>
          <w:sz w:val="16"/>
          <w:szCs w:val="16"/>
          <w:color w:val="auto"/>
        </w:rPr>
        <w:t>*Attached as Exhibit 101 to this report are the following financial statements from our Quarterly Report on Form 10-Q for the quarter ended November 30, 2013 formatted in XBRL: (i) the Unaudited Consolidated Balance Sheets, (ii) the Unaudited Consolidated Statements of Operations and Comprehensive Income, (iii) the Unaudited Consolidated Statement of Cash Flows, and (iv) related notes to these financial statements. Such exhibits are deemed furnished and not filed pursuant to Rule 406T of Regulation S-T.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WINNEBAGO INDUSTRIES, INC.</w:t>
      </w:r>
    </w:p>
    <w:p>
      <w:pPr>
        <w:spacing w:after="0" w:line="354" w:lineRule="exact"/>
        <w:rPr>
          <w:sz w:val="20"/>
          <w:szCs w:val="20"/>
          <w:color w:val="auto"/>
        </w:rPr>
      </w:pPr>
    </w:p>
    <w:p>
      <w:pPr>
        <w:ind w:left="40"/>
        <w:spacing w:after="0"/>
        <w:tabs>
          <w:tab w:leader="none" w:pos="700" w:val="left"/>
          <w:tab w:leader="none" w:pos="5400" w:val="left"/>
          <w:tab w:leader="none" w:pos="58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January 3,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29210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Chief Executive Officer, President, Chairman of the Board</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(Principal Executive Officer)</w:t>
      </w:r>
    </w:p>
    <w:p>
      <w:pPr>
        <w:spacing w:after="0" w:line="340" w:lineRule="exact"/>
        <w:rPr>
          <w:sz w:val="20"/>
          <w:szCs w:val="20"/>
          <w:color w:val="auto"/>
        </w:rPr>
      </w:pPr>
    </w:p>
    <w:p>
      <w:pPr>
        <w:ind w:left="40"/>
        <w:spacing w:after="0"/>
        <w:tabs>
          <w:tab w:leader="none" w:pos="700" w:val="left"/>
          <w:tab w:leader="none" w:pos="5400" w:val="left"/>
          <w:tab w:leader="none" w:pos="58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January 3,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29210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Vice President, Chief Financial Officer</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141" w:right="259" w:bottom="1440" w:gutter="0" w:footer="0" w:header="0"/>
          <w:type w:val="continuous"/>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Randy Potts, Chief Executive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660" w:right="920" w:hanging="328"/>
        <w:spacing w:after="0" w:line="260"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jc w:val="both"/>
        <w:ind w:left="660" w:right="80" w:hanging="328"/>
        <w:spacing w:after="0" w:line="253"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first fiscal quarter in this case)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106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January 3,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Chairman of the Board</w:t>
      </w:r>
    </w:p>
    <w:p>
      <w:pPr>
        <w:sectPr>
          <w:pgSz w:w="11900" w:h="16838" w:orient="portrait"/>
          <w:cols w:equalWidth="0" w:num="1">
            <w:col w:w="11420"/>
          </w:cols>
          <w:pgMar w:left="240" w:top="630"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Sarah N. Nielsen, Chief Financial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660" w:right="920" w:hanging="328"/>
        <w:spacing w:after="0" w:line="260"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jc w:val="both"/>
        <w:ind w:left="660" w:right="80" w:hanging="328"/>
        <w:spacing w:after="0" w:line="253"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first fiscal quarter in this case)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106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January 3,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420"/>
          </w:cols>
          <w:pgMar w:left="240" w:top="576" w:right="2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November 30, 2013, I, Randy Potts, Chief Executive Officer and President of Winnebago Industries, Inc., certify that pursuant to 18 U.S.C. §1350 as adopted pursuant to §906 of the Sarbanes-Oxley Act of 2002, that:</w:t>
      </w:r>
    </w:p>
    <w:p>
      <w:pPr>
        <w:spacing w:after="0" w:line="174" w:lineRule="exact"/>
        <w:rPr>
          <w:sz w:val="20"/>
          <w:szCs w:val="20"/>
          <w:color w:val="auto"/>
        </w:rPr>
      </w:pPr>
    </w:p>
    <w:p>
      <w:pPr>
        <w:ind w:left="660" w:right="40" w:hanging="328"/>
        <w:spacing w:after="0" w:line="253"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November 30, 2013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1060" w:val="left"/>
          <w:tab w:leader="none" w:pos="6300" w:val="left"/>
          <w:tab w:leader="none" w:pos="72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January 3,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29210</wp:posOffset>
            </wp:positionV>
            <wp:extent cx="26758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82"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Chairman of the Board</w:t>
      </w:r>
    </w:p>
    <w:p>
      <w:pPr>
        <w:sectPr>
          <w:pgSz w:w="11900" w:h="16838" w:orient="portrait"/>
          <w:cols w:equalWidth="0" w:num="1">
            <w:col w:w="11400"/>
          </w:cols>
          <w:pgMar w:left="240" w:top="630" w:right="25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November 30, 2013, I, Sarah N. Nielsen, Vice President, Chief Financial Officer of Winnebago Industries, Inc., certify that pursuant to 18 U.S.C. §1350 as adopted pursuant to §906 of the Sarbanes-Oxley Act of 2002, that:</w:t>
      </w:r>
    </w:p>
    <w:p>
      <w:pPr>
        <w:spacing w:after="0" w:line="174" w:lineRule="exact"/>
        <w:rPr>
          <w:sz w:val="20"/>
          <w:szCs w:val="20"/>
          <w:color w:val="auto"/>
        </w:rPr>
      </w:pPr>
    </w:p>
    <w:p>
      <w:pPr>
        <w:ind w:left="660" w:hanging="328"/>
        <w:spacing w:after="0" w:line="253"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November 30, 2013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106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January 3,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sectPr>
      <w:pgSz w:w="11900" w:h="16838" w:orient="portrait"/>
      <w:cols w:equalWidth="0" w:num="1">
        <w:col w:w="11360"/>
      </w:cols>
      <w:pgMar w:left="240" w:top="63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2019-12-05T15:38:07Z</dcterms:created>
  <dcterms:modified xsi:type="dcterms:W3CDTF">2019-12-05T15:38:07Z</dcterms:modified>
</cp:coreProperties>
</file>