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2"/>
          <w:szCs w:val="22"/>
          <w:b w:val="1"/>
          <w:bCs w:val="1"/>
          <w:color w:val="auto"/>
        </w:rPr>
        <w:t>UNITED STATES</w:t>
      </w:r>
    </w:p>
    <w:p>
      <w:pPr>
        <w:spacing w:after="0" w:line="25"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222"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FORM 10-Q</w:t>
      </w:r>
    </w:p>
    <w:p>
      <w:pPr>
        <w:spacing w:after="0" w:line="82" w:lineRule="exact"/>
        <w:rPr>
          <w:sz w:val="24"/>
          <w:szCs w:val="24"/>
          <w:color w:val="auto"/>
        </w:rPr>
      </w:pPr>
    </w:p>
    <w:p>
      <w:pPr>
        <w:ind w:left="20"/>
        <w:spacing w:after="0"/>
        <w:rPr>
          <w:sz w:val="20"/>
          <w:szCs w:val="20"/>
          <w:color w:val="auto"/>
        </w:rPr>
      </w:pPr>
      <w:r>
        <w:rPr>
          <w:rFonts w:ascii="Arial" w:cs="Arial" w:eastAsia="Arial" w:hAnsi="Arial"/>
          <w:sz w:val="16"/>
          <w:szCs w:val="16"/>
          <w:color w:val="auto"/>
        </w:rPr>
        <w:t>(Mark One)</w:t>
      </w:r>
    </w:p>
    <w:p>
      <w:pPr>
        <w:spacing w:after="0" w:line="44" w:lineRule="exact"/>
        <w:rPr>
          <w:sz w:val="24"/>
          <w:szCs w:val="24"/>
          <w:color w:val="auto"/>
        </w:rPr>
      </w:pPr>
    </w:p>
    <w:p>
      <w:pPr>
        <w:ind w:left="20"/>
        <w:spacing w:after="0" w:line="161" w:lineRule="exact"/>
        <w:rPr>
          <w:sz w:val="20"/>
          <w:szCs w:val="20"/>
          <w:color w:val="auto"/>
        </w:rPr>
      </w:pPr>
      <w:r>
        <w:rPr>
          <w:rFonts w:ascii="MS PGothic" w:cs="MS PGothic" w:eastAsia="MS PGothic" w:hAnsi="MS PGothic"/>
          <w:sz w:val="16"/>
          <w:szCs w:val="16"/>
          <w:color w:val="auto"/>
        </w:rPr>
        <w:t>☒</w:t>
      </w:r>
    </w:p>
    <w:p>
      <w:pPr>
        <w:spacing w:after="0" w:line="44" w:lineRule="exact"/>
        <w:rPr>
          <w:sz w:val="24"/>
          <w:szCs w:val="24"/>
          <w:color w:val="auto"/>
        </w:rPr>
      </w:pPr>
    </w:p>
    <w:p>
      <w:pPr>
        <w:ind w:right="2580" w:firstLine="355"/>
        <w:spacing w:after="0" w:line="387" w:lineRule="auto"/>
        <w:rPr>
          <w:sz w:val="20"/>
          <w:szCs w:val="20"/>
          <w:color w:val="auto"/>
        </w:rPr>
      </w:pPr>
      <w:r>
        <w:rPr>
          <w:rFonts w:ascii="Arial" w:cs="Arial" w:eastAsia="Arial" w:hAnsi="Arial"/>
          <w:sz w:val="16"/>
          <w:szCs w:val="16"/>
          <w:b w:val="1"/>
          <w:bCs w:val="1"/>
          <w:color w:val="auto"/>
        </w:rPr>
        <w:t xml:space="preserve">QUARTERLY REPORT PURSUANT TO SECTION 13 OR 15(d) OF THE SECURITIES EXCHANGE ACT OF 1934 </w:t>
      </w:r>
      <w:r>
        <w:rPr>
          <w:rFonts w:ascii="Arial" w:cs="Arial" w:eastAsia="Arial" w:hAnsi="Arial"/>
          <w:sz w:val="16"/>
          <w:szCs w:val="16"/>
          <w:color w:val="auto"/>
        </w:rPr>
        <w:t>For the quarterly period ended May 29, 2021</w:t>
      </w:r>
    </w:p>
    <w:p>
      <w:pPr>
        <w:spacing w:after="0" w:line="1" w:lineRule="exact"/>
        <w:rPr>
          <w:sz w:val="24"/>
          <w:szCs w:val="24"/>
          <w:color w:val="auto"/>
        </w:rPr>
      </w:pPr>
    </w:p>
    <w:p>
      <w:pPr>
        <w:jc w:val="center"/>
        <w:ind w:right="60"/>
        <w:spacing w:after="0"/>
        <w:rPr>
          <w:sz w:val="20"/>
          <w:szCs w:val="20"/>
          <w:color w:val="auto"/>
        </w:rPr>
      </w:pPr>
      <w:r>
        <w:rPr>
          <w:rFonts w:ascii="Arial" w:cs="Arial" w:eastAsia="Arial" w:hAnsi="Arial"/>
          <w:sz w:val="16"/>
          <w:szCs w:val="16"/>
          <w:color w:val="auto"/>
        </w:rPr>
        <w:t>or</w:t>
      </w:r>
    </w:p>
    <w:p>
      <w:pPr>
        <w:spacing w:after="0" w:line="66" w:lineRule="exact"/>
        <w:rPr>
          <w:sz w:val="24"/>
          <w:szCs w:val="24"/>
          <w:color w:val="auto"/>
        </w:rPr>
      </w:pPr>
    </w:p>
    <w:p>
      <w:pPr>
        <w:ind w:left="280" w:right="2680" w:hanging="254"/>
        <w:spacing w:after="0" w:line="365" w:lineRule="auto"/>
        <w:tabs>
          <w:tab w:leader="none" w:pos="28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 xml:space="preserve">TRANSITION REPORT PURSUANT TO SECTION 13 OR 15(d) OF THE SECURITIES EXCHANGE ACT OF 1934 </w:t>
      </w:r>
      <w:r>
        <w:rPr>
          <w:rFonts w:ascii="Arial" w:cs="Arial" w:eastAsia="Arial" w:hAnsi="Arial"/>
          <w:sz w:val="16"/>
          <w:szCs w:val="16"/>
          <w:color w:val="auto"/>
        </w:rPr>
        <w:t>For the transition period from _________________ to _________________</w:t>
      </w:r>
    </w:p>
    <w:p>
      <w:pPr>
        <w:jc w:val="center"/>
        <w:ind w:right="60"/>
        <w:spacing w:after="0"/>
        <w:rPr>
          <w:sz w:val="20"/>
          <w:szCs w:val="20"/>
          <w:color w:val="auto"/>
        </w:rPr>
      </w:pPr>
      <w:r>
        <w:rPr>
          <w:rFonts w:ascii="Arial" w:cs="Arial" w:eastAsia="Arial" w:hAnsi="Arial"/>
          <w:sz w:val="16"/>
          <w:szCs w:val="16"/>
          <w:color w:val="auto"/>
        </w:rPr>
        <w:t>Commission File Number: 001-06403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1864995</wp:posOffset>
            </wp:positionH>
            <wp:positionV relativeFrom="paragraph">
              <wp:posOffset>79375</wp:posOffset>
            </wp:positionV>
            <wp:extent cx="3420110" cy="9861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20110" cy="9861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2"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WINNEBAGO INDUSTRIES, INC.</w:t>
      </w:r>
    </w:p>
    <w:p>
      <w:pPr>
        <w:spacing w:after="0" w:line="62"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(Exact name of registrant as specified in its charter)</w:t>
      </w:r>
    </w:p>
    <w:p>
      <w:pPr>
        <w:spacing w:after="0" w:line="390" w:lineRule="exact"/>
        <w:rPr>
          <w:sz w:val="24"/>
          <w:szCs w:val="24"/>
          <w:color w:val="auto"/>
        </w:rPr>
      </w:pPr>
    </w:p>
    <w:tbl>
      <w:tblPr>
        <w:tblLayout w:type="fixed"/>
        <w:tblInd w:w="10" w:type="dxa"/>
        <w:tblCellMar>
          <w:top w:w="0" w:type="dxa"/>
          <w:left w:w="0" w:type="dxa"/>
          <w:bottom w:w="0" w:type="dxa"/>
          <w:right w:w="0" w:type="dxa"/>
        </w:tblCellMar>
      </w:tblPr>
      <w:tr>
        <w:trPr>
          <w:trHeight w:val="218"/>
        </w:trPr>
        <w:tc>
          <w:tcPr>
            <w:tcW w:w="1540" w:type="dxa"/>
            <w:vAlign w:val="bottom"/>
            <w:tcBorders>
              <w:bottom w:val="single" w:sz="8" w:color="auto"/>
            </w:tcBorders>
          </w:tcPr>
          <w:p>
            <w:pPr>
              <w:spacing w:after="0"/>
              <w:rPr>
                <w:sz w:val="18"/>
                <w:szCs w:val="18"/>
                <w:color w:val="auto"/>
              </w:rPr>
            </w:pPr>
          </w:p>
        </w:tc>
        <w:tc>
          <w:tcPr>
            <w:tcW w:w="3120" w:type="dxa"/>
            <w:vAlign w:val="bottom"/>
            <w:tcBorders>
              <w:bottom w:val="single" w:sz="8" w:color="auto"/>
            </w:tcBorders>
            <w:gridSpan w:val="2"/>
          </w:tcPr>
          <w:p>
            <w:pPr>
              <w:jc w:val="center"/>
              <w:ind w:right="1459"/>
              <w:spacing w:after="0"/>
              <w:rPr>
                <w:sz w:val="20"/>
                <w:szCs w:val="20"/>
                <w:color w:val="auto"/>
              </w:rPr>
            </w:pPr>
            <w:r>
              <w:rPr>
                <w:rFonts w:ascii="Arial" w:cs="Arial" w:eastAsia="Arial" w:hAnsi="Arial"/>
                <w:sz w:val="16"/>
                <w:szCs w:val="16"/>
                <w:b w:val="1"/>
                <w:bCs w:val="1"/>
                <w:color w:val="auto"/>
              </w:rPr>
              <w:t>Iowa</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4760" w:type="dxa"/>
            <w:vAlign w:val="bottom"/>
            <w:tcBorders>
              <w:bottom w:val="single" w:sz="8" w:color="auto"/>
            </w:tcBorders>
            <w:gridSpan w:val="2"/>
          </w:tcPr>
          <w:p>
            <w:pPr>
              <w:jc w:val="right"/>
              <w:ind w:right="2460"/>
              <w:spacing w:after="0"/>
              <w:rPr>
                <w:sz w:val="20"/>
                <w:szCs w:val="20"/>
                <w:color w:val="auto"/>
              </w:rPr>
            </w:pPr>
            <w:r>
              <w:rPr>
                <w:rFonts w:ascii="Arial" w:cs="Arial" w:eastAsia="Arial" w:hAnsi="Arial"/>
                <w:sz w:val="16"/>
                <w:szCs w:val="16"/>
                <w:b w:val="1"/>
                <w:bCs w:val="1"/>
                <w:color w:val="auto"/>
              </w:rPr>
              <w:t>42-0802678</w:t>
            </w:r>
          </w:p>
        </w:tc>
      </w:tr>
      <w:tr>
        <w:trPr>
          <w:trHeight w:val="207"/>
        </w:trPr>
        <w:tc>
          <w:tcPr>
            <w:tcW w:w="4660" w:type="dxa"/>
            <w:vAlign w:val="bottom"/>
            <w:gridSpan w:val="3"/>
          </w:tcPr>
          <w:p>
            <w:pPr>
              <w:jc w:val="center"/>
              <w:spacing w:after="0"/>
              <w:rPr>
                <w:sz w:val="20"/>
                <w:szCs w:val="20"/>
                <w:color w:val="auto"/>
              </w:rPr>
            </w:pPr>
            <w:r>
              <w:rPr>
                <w:rFonts w:ascii="Arial" w:cs="Arial" w:eastAsia="Arial" w:hAnsi="Arial"/>
                <w:sz w:val="16"/>
                <w:szCs w:val="16"/>
                <w:color w:val="auto"/>
              </w:rPr>
              <w:t>(State or other jurisdiction of incorporation or organization)</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760" w:type="dxa"/>
            <w:vAlign w:val="bottom"/>
            <w:gridSpan w:val="2"/>
          </w:tcPr>
          <w:p>
            <w:pPr>
              <w:jc w:val="center"/>
              <w:ind w:right="1040"/>
              <w:spacing w:after="0"/>
              <w:rPr>
                <w:sz w:val="20"/>
                <w:szCs w:val="20"/>
                <w:color w:val="auto"/>
              </w:rPr>
            </w:pPr>
            <w:r>
              <w:rPr>
                <w:rFonts w:ascii="Arial" w:cs="Arial" w:eastAsia="Arial" w:hAnsi="Arial"/>
                <w:sz w:val="16"/>
                <w:szCs w:val="16"/>
                <w:color w:val="auto"/>
              </w:rPr>
              <w:t>(I.R.S. Employer Identification No.)</w:t>
            </w:r>
          </w:p>
        </w:tc>
      </w:tr>
      <w:tr>
        <w:trPr>
          <w:trHeight w:val="367"/>
        </w:trPr>
        <w:tc>
          <w:tcPr>
            <w:tcW w:w="1540" w:type="dxa"/>
            <w:vAlign w:val="bottom"/>
            <w:tcBorders>
              <w:bottom w:val="single" w:sz="8" w:color="auto"/>
            </w:tcBorders>
          </w:tcPr>
          <w:p>
            <w:pPr>
              <w:ind w:left="260"/>
              <w:spacing w:after="0"/>
              <w:rPr>
                <w:sz w:val="20"/>
                <w:szCs w:val="20"/>
                <w:color w:val="auto"/>
              </w:rPr>
            </w:pPr>
            <w:r>
              <w:rPr>
                <w:rFonts w:ascii="Arial" w:cs="Arial" w:eastAsia="Arial" w:hAnsi="Arial"/>
                <w:sz w:val="16"/>
                <w:szCs w:val="16"/>
                <w:b w:val="1"/>
                <w:bCs w:val="1"/>
                <w:color w:val="auto"/>
              </w:rPr>
              <w:t>P. O. Box 152,</w:t>
            </w:r>
          </w:p>
        </w:tc>
        <w:tc>
          <w:tcPr>
            <w:tcW w:w="3120" w:type="dxa"/>
            <w:vAlign w:val="bottom"/>
            <w:tcBorders>
              <w:bottom w:val="single" w:sz="8" w:color="auto"/>
            </w:tcBorders>
            <w:gridSpan w:val="2"/>
          </w:tcPr>
          <w:p>
            <w:pPr>
              <w:ind w:left="220"/>
              <w:spacing w:after="0"/>
              <w:rPr>
                <w:sz w:val="20"/>
                <w:szCs w:val="20"/>
                <w:color w:val="auto"/>
              </w:rPr>
            </w:pPr>
            <w:r>
              <w:rPr>
                <w:rFonts w:ascii="Arial" w:cs="Arial" w:eastAsia="Arial" w:hAnsi="Arial"/>
                <w:sz w:val="16"/>
                <w:szCs w:val="16"/>
                <w:b w:val="1"/>
                <w:bCs w:val="1"/>
                <w:color w:val="auto"/>
              </w:rPr>
              <w:t>Forest City,  Iowa</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4760" w:type="dxa"/>
            <w:vAlign w:val="bottom"/>
            <w:tcBorders>
              <w:bottom w:val="single" w:sz="8" w:color="auto"/>
            </w:tcBorders>
            <w:gridSpan w:val="2"/>
          </w:tcPr>
          <w:p>
            <w:pPr>
              <w:jc w:val="right"/>
              <w:ind w:right="2680"/>
              <w:spacing w:after="0"/>
              <w:rPr>
                <w:sz w:val="20"/>
                <w:szCs w:val="20"/>
                <w:color w:val="auto"/>
              </w:rPr>
            </w:pPr>
            <w:r>
              <w:rPr>
                <w:rFonts w:ascii="Arial" w:cs="Arial" w:eastAsia="Arial" w:hAnsi="Arial"/>
                <w:sz w:val="16"/>
                <w:szCs w:val="16"/>
                <w:b w:val="1"/>
                <w:bCs w:val="1"/>
                <w:color w:val="auto"/>
              </w:rPr>
              <w:t>50436</w:t>
            </w:r>
          </w:p>
        </w:tc>
      </w:tr>
      <w:tr>
        <w:trPr>
          <w:trHeight w:val="207"/>
        </w:trPr>
        <w:tc>
          <w:tcPr>
            <w:tcW w:w="4660" w:type="dxa"/>
            <w:vAlign w:val="bottom"/>
            <w:gridSpan w:val="3"/>
          </w:tcPr>
          <w:p>
            <w:pPr>
              <w:jc w:val="center"/>
              <w:spacing w:after="0"/>
              <w:rPr>
                <w:sz w:val="20"/>
                <w:szCs w:val="20"/>
                <w:color w:val="auto"/>
              </w:rPr>
            </w:pPr>
            <w:r>
              <w:rPr>
                <w:rFonts w:ascii="Arial" w:cs="Arial" w:eastAsia="Arial" w:hAnsi="Arial"/>
                <w:sz w:val="16"/>
                <w:szCs w:val="16"/>
                <w:color w:val="auto"/>
              </w:rPr>
              <w:t>(Address of principal executive offices)</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760" w:type="dxa"/>
            <w:vAlign w:val="bottom"/>
            <w:gridSpan w:val="2"/>
          </w:tcPr>
          <w:p>
            <w:pPr>
              <w:jc w:val="center"/>
              <w:ind w:right="1040"/>
              <w:spacing w:after="0"/>
              <w:rPr>
                <w:sz w:val="20"/>
                <w:szCs w:val="20"/>
                <w:color w:val="auto"/>
              </w:rPr>
            </w:pPr>
            <w:r>
              <w:rPr>
                <w:rFonts w:ascii="Arial" w:cs="Arial" w:eastAsia="Arial" w:hAnsi="Arial"/>
                <w:sz w:val="16"/>
                <w:szCs w:val="16"/>
                <w:color w:val="auto"/>
              </w:rPr>
              <w:t>(Zip Code)</w:t>
            </w:r>
          </w:p>
        </w:tc>
      </w:tr>
      <w:tr>
        <w:trPr>
          <w:trHeight w:val="327"/>
        </w:trPr>
        <w:tc>
          <w:tcPr>
            <w:tcW w:w="15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3"/>
          </w:tcPr>
          <w:p>
            <w:pPr>
              <w:jc w:val="right"/>
              <w:ind w:right="400"/>
              <w:spacing w:after="0"/>
              <w:rPr>
                <w:sz w:val="20"/>
                <w:szCs w:val="20"/>
                <w:color w:val="auto"/>
              </w:rPr>
            </w:pPr>
            <w:r>
              <w:rPr>
                <w:rFonts w:ascii="Arial" w:cs="Arial" w:eastAsia="Arial" w:hAnsi="Arial"/>
                <w:sz w:val="16"/>
                <w:szCs w:val="16"/>
                <w:b w:val="1"/>
                <w:bCs w:val="1"/>
                <w:color w:val="auto"/>
              </w:rPr>
              <w:t>641-585-3535</w:t>
            </w:r>
          </w:p>
        </w:tc>
        <w:tc>
          <w:tcPr>
            <w:tcW w:w="1860" w:type="dxa"/>
            <w:vAlign w:val="bottom"/>
            <w:tcBorders>
              <w:bottom w:val="single" w:sz="8" w:color="auto"/>
            </w:tcBorders>
          </w:tcPr>
          <w:p>
            <w:pPr>
              <w:spacing w:after="0"/>
              <w:rPr>
                <w:sz w:val="24"/>
                <w:szCs w:val="24"/>
                <w:color w:val="auto"/>
              </w:rPr>
            </w:pPr>
          </w:p>
        </w:tc>
        <w:tc>
          <w:tcPr>
            <w:tcW w:w="2900" w:type="dxa"/>
            <w:vAlign w:val="bottom"/>
          </w:tcPr>
          <w:p>
            <w:pPr>
              <w:spacing w:after="0"/>
              <w:rPr>
                <w:sz w:val="24"/>
                <w:szCs w:val="24"/>
                <w:color w:val="auto"/>
              </w:rPr>
            </w:pPr>
          </w:p>
        </w:tc>
      </w:tr>
      <w:tr>
        <w:trPr>
          <w:trHeight w:val="193"/>
        </w:trPr>
        <w:tc>
          <w:tcPr>
            <w:tcW w:w="15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440" w:type="dxa"/>
            <w:vAlign w:val="bottom"/>
            <w:gridSpan w:val="6"/>
          </w:tcPr>
          <w:p>
            <w:pPr>
              <w:jc w:val="center"/>
              <w:ind w:right="2840"/>
              <w:spacing w:after="0"/>
              <w:rPr>
                <w:sz w:val="20"/>
                <w:szCs w:val="20"/>
                <w:color w:val="auto"/>
              </w:rPr>
            </w:pPr>
            <w:r>
              <w:rPr>
                <w:rFonts w:ascii="Arial" w:cs="Arial" w:eastAsia="Arial" w:hAnsi="Arial"/>
                <w:sz w:val="16"/>
                <w:szCs w:val="16"/>
                <w:color w:val="auto"/>
              </w:rPr>
              <w:t>(Registrant's telephone number, including area code)</w:t>
            </w:r>
          </w:p>
        </w:tc>
      </w:tr>
      <w:tr>
        <w:trPr>
          <w:trHeight w:val="567"/>
        </w:trPr>
        <w:tc>
          <w:tcPr>
            <w:tcW w:w="4660" w:type="dxa"/>
            <w:vAlign w:val="bottom"/>
            <w:tcBorders>
              <w:bottom w:val="single" w:sz="8" w:color="auto"/>
            </w:tcBorders>
            <w:gridSpan w:val="3"/>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r>
      <w:tr>
        <w:trPr>
          <w:trHeight w:val="213"/>
        </w:trPr>
        <w:tc>
          <w:tcPr>
            <w:tcW w:w="1540" w:type="dxa"/>
            <w:vAlign w:val="bottom"/>
            <w:tcBorders>
              <w:left w:val="single" w:sz="8" w:color="auto"/>
              <w:bottom w:val="single" w:sz="8" w:color="auto"/>
            </w:tcBorders>
          </w:tcPr>
          <w:p>
            <w:pPr>
              <w:spacing w:after="0"/>
              <w:rPr>
                <w:sz w:val="18"/>
                <w:szCs w:val="18"/>
                <w:color w:val="auto"/>
              </w:rPr>
            </w:pPr>
          </w:p>
        </w:tc>
        <w:tc>
          <w:tcPr>
            <w:tcW w:w="3120" w:type="dxa"/>
            <w:vAlign w:val="bottom"/>
            <w:tcBorders>
              <w:bottom w:val="single" w:sz="8" w:color="auto"/>
            </w:tcBorders>
            <w:gridSpan w:val="2"/>
          </w:tcPr>
          <w:p>
            <w:pPr>
              <w:jc w:val="center"/>
              <w:ind w:right="1339"/>
              <w:spacing w:after="0"/>
              <w:rPr>
                <w:sz w:val="20"/>
                <w:szCs w:val="20"/>
                <w:color w:val="auto"/>
              </w:rPr>
            </w:pPr>
            <w:r>
              <w:rPr>
                <w:rFonts w:ascii="Arial" w:cs="Arial" w:eastAsia="Arial" w:hAnsi="Arial"/>
                <w:sz w:val="16"/>
                <w:szCs w:val="16"/>
                <w:color w:val="auto"/>
              </w:rPr>
              <w:t>Title of each class</w:t>
            </w:r>
          </w:p>
        </w:tc>
        <w:tc>
          <w:tcPr>
            <w:tcW w:w="120" w:type="dxa"/>
            <w:vAlign w:val="bottom"/>
            <w:tcBorders>
              <w:bottom w:val="single" w:sz="8" w:color="auto"/>
              <w:right w:val="single" w:sz="8" w:color="auto"/>
            </w:tcBorders>
          </w:tcPr>
          <w:p>
            <w:pPr>
              <w:spacing w:after="0"/>
              <w:rPr>
                <w:sz w:val="18"/>
                <w:szCs w:val="18"/>
                <w:color w:val="auto"/>
              </w:rPr>
            </w:pPr>
          </w:p>
        </w:tc>
        <w:tc>
          <w:tcPr>
            <w:tcW w:w="1720" w:type="dxa"/>
            <w:vAlign w:val="bottom"/>
            <w:tcBorders>
              <w:bottom w:val="single" w:sz="8" w:color="auto"/>
              <w:right w:val="single" w:sz="8" w:color="auto"/>
            </w:tcBorders>
            <w:gridSpan w:val="2"/>
          </w:tcPr>
          <w:p>
            <w:pPr>
              <w:jc w:val="center"/>
              <w:ind w:right="20"/>
              <w:spacing w:after="0"/>
              <w:rPr>
                <w:sz w:val="20"/>
                <w:szCs w:val="20"/>
                <w:color w:val="auto"/>
              </w:rPr>
            </w:pPr>
            <w:r>
              <w:rPr>
                <w:rFonts w:ascii="Arial" w:cs="Arial" w:eastAsia="Arial" w:hAnsi="Arial"/>
                <w:sz w:val="16"/>
                <w:szCs w:val="16"/>
                <w:color w:val="auto"/>
                <w:w w:val="99"/>
              </w:rPr>
              <w:t>Trading Symbol(s)</w:t>
            </w:r>
          </w:p>
        </w:tc>
        <w:tc>
          <w:tcPr>
            <w:tcW w:w="4760" w:type="dxa"/>
            <w:vAlign w:val="bottom"/>
            <w:tcBorders>
              <w:bottom w:val="single" w:sz="8" w:color="auto"/>
              <w:right w:val="single" w:sz="8" w:color="auto"/>
            </w:tcBorders>
            <w:gridSpan w:val="2"/>
          </w:tcPr>
          <w:p>
            <w:pPr>
              <w:jc w:val="center"/>
              <w:ind w:right="20"/>
              <w:spacing w:after="0"/>
              <w:rPr>
                <w:sz w:val="20"/>
                <w:szCs w:val="20"/>
                <w:color w:val="auto"/>
              </w:rPr>
            </w:pPr>
            <w:r>
              <w:rPr>
                <w:rFonts w:ascii="Arial" w:cs="Arial" w:eastAsia="Arial" w:hAnsi="Arial"/>
                <w:sz w:val="16"/>
                <w:szCs w:val="16"/>
                <w:color w:val="auto"/>
              </w:rPr>
              <w:t>Name of each exchange on which registered</w:t>
            </w:r>
          </w:p>
        </w:tc>
      </w:tr>
      <w:tr>
        <w:trPr>
          <w:trHeight w:val="210"/>
        </w:trPr>
        <w:tc>
          <w:tcPr>
            <w:tcW w:w="4660" w:type="dxa"/>
            <w:vAlign w:val="bottom"/>
            <w:tcBorders>
              <w:left w:val="single" w:sz="8" w:color="auto"/>
              <w:bottom w:val="single" w:sz="8" w:color="auto"/>
            </w:tcBorders>
            <w:gridSpan w:val="3"/>
          </w:tcPr>
          <w:p>
            <w:pPr>
              <w:jc w:val="center"/>
              <w:ind w:left="39"/>
              <w:spacing w:after="0"/>
              <w:rPr>
                <w:sz w:val="20"/>
                <w:szCs w:val="20"/>
                <w:color w:val="auto"/>
              </w:rPr>
            </w:pPr>
            <w:r>
              <w:rPr>
                <w:rFonts w:ascii="Arial" w:cs="Arial" w:eastAsia="Arial" w:hAnsi="Arial"/>
                <w:sz w:val="16"/>
                <w:szCs w:val="16"/>
                <w:color w:val="auto"/>
              </w:rPr>
              <w:t>Common Stock, $0.50 par value per share</w:t>
            </w:r>
          </w:p>
        </w:tc>
        <w:tc>
          <w:tcPr>
            <w:tcW w:w="120" w:type="dxa"/>
            <w:vAlign w:val="bottom"/>
            <w:tcBorders>
              <w:bottom w:val="single" w:sz="8" w:color="auto"/>
              <w:right w:val="single" w:sz="8" w:color="auto"/>
            </w:tcBorders>
          </w:tcPr>
          <w:p>
            <w:pPr>
              <w:spacing w:after="0"/>
              <w:rPr>
                <w:sz w:val="18"/>
                <w:szCs w:val="18"/>
                <w:color w:val="auto"/>
              </w:rPr>
            </w:pPr>
          </w:p>
        </w:tc>
        <w:tc>
          <w:tcPr>
            <w:tcW w:w="1720" w:type="dxa"/>
            <w:vAlign w:val="bottom"/>
            <w:tcBorders>
              <w:bottom w:val="single" w:sz="8" w:color="auto"/>
              <w:right w:val="single" w:sz="8" w:color="auto"/>
            </w:tcBorders>
            <w:gridSpan w:val="2"/>
          </w:tcPr>
          <w:p>
            <w:pPr>
              <w:jc w:val="center"/>
              <w:ind w:right="20"/>
              <w:spacing w:after="0"/>
              <w:rPr>
                <w:sz w:val="20"/>
                <w:szCs w:val="20"/>
                <w:color w:val="auto"/>
              </w:rPr>
            </w:pPr>
            <w:r>
              <w:rPr>
                <w:rFonts w:ascii="Arial" w:cs="Arial" w:eastAsia="Arial" w:hAnsi="Arial"/>
                <w:sz w:val="16"/>
                <w:szCs w:val="16"/>
                <w:color w:val="auto"/>
              </w:rPr>
              <w:t>WGO</w:t>
            </w:r>
          </w:p>
        </w:tc>
        <w:tc>
          <w:tcPr>
            <w:tcW w:w="4760" w:type="dxa"/>
            <w:vAlign w:val="bottom"/>
            <w:tcBorders>
              <w:bottom w:val="single" w:sz="8" w:color="auto"/>
              <w:right w:val="single" w:sz="8" w:color="auto"/>
            </w:tcBorders>
            <w:gridSpan w:val="2"/>
          </w:tcPr>
          <w:p>
            <w:pPr>
              <w:jc w:val="center"/>
              <w:ind w:right="20"/>
              <w:spacing w:after="0"/>
              <w:rPr>
                <w:sz w:val="20"/>
                <w:szCs w:val="20"/>
                <w:color w:val="auto"/>
              </w:rPr>
            </w:pPr>
            <w:r>
              <w:rPr>
                <w:rFonts w:ascii="Arial" w:cs="Arial" w:eastAsia="Arial" w:hAnsi="Arial"/>
                <w:sz w:val="16"/>
                <w:szCs w:val="16"/>
                <w:color w:val="auto"/>
              </w:rPr>
              <w:t>New York Stock Exchange</w:t>
            </w:r>
          </w:p>
        </w:tc>
      </w:tr>
    </w:tbl>
    <w:p>
      <w:pPr>
        <w:spacing w:after="0" w:line="353" w:lineRule="exact"/>
        <w:rPr>
          <w:sz w:val="24"/>
          <w:szCs w:val="24"/>
          <w:color w:val="auto"/>
        </w:rPr>
      </w:pPr>
    </w:p>
    <w:p>
      <w:pPr>
        <w:jc w:val="both"/>
        <w:ind w:right="480"/>
        <w:spacing w:after="0" w:line="197"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21" w:lineRule="exact"/>
        <w:rPr>
          <w:sz w:val="24"/>
          <w:szCs w:val="24"/>
          <w:color w:val="auto"/>
        </w:rPr>
      </w:pPr>
    </w:p>
    <w:p>
      <w:pPr>
        <w:ind w:right="240"/>
        <w:spacing w:after="0" w:line="197"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21" w:lineRule="exact"/>
        <w:rPr>
          <w:sz w:val="24"/>
          <w:szCs w:val="24"/>
          <w:color w:val="auto"/>
        </w:rPr>
      </w:pPr>
    </w:p>
    <w:p>
      <w:pPr>
        <w:ind w:right="40"/>
        <w:spacing w:after="0" w:line="25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86" w:lineRule="exact"/>
        <w:rPr>
          <w:sz w:val="24"/>
          <w:szCs w:val="24"/>
          <w:color w:val="auto"/>
        </w:rPr>
      </w:pPr>
    </w:p>
    <w:p>
      <w:pPr>
        <w:spacing w:after="0" w:line="184" w:lineRule="exact"/>
        <w:tabs>
          <w:tab w:leader="none" w:pos="2020" w:val="left"/>
          <w:tab w:leader="none" w:pos="3620" w:val="left"/>
        </w:tabs>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r>
        <w:rPr>
          <w:rFonts w:ascii="Arial" w:cs="Arial" w:eastAsia="Arial" w:hAnsi="Arial"/>
          <w:sz w:val="16"/>
          <w:szCs w:val="16"/>
          <w:color w:val="auto"/>
        </w:rPr>
        <w:tab/>
        <w:t xml:space="preserve">Accelerated Filer </w:t>
      </w:r>
      <w:r>
        <w:rPr>
          <w:rFonts w:ascii="MS PGothic" w:cs="MS PGothic" w:eastAsia="MS PGothic" w:hAnsi="MS PGothic"/>
          <w:sz w:val="16"/>
          <w:szCs w:val="16"/>
          <w:color w:val="auto"/>
        </w:rPr>
        <w:t>☐</w:t>
      </w:r>
      <w:r>
        <w:rPr>
          <w:sz w:val="20"/>
          <w:szCs w:val="20"/>
          <w:color w:val="auto"/>
        </w:rPr>
        <w:tab/>
      </w:r>
      <w:r>
        <w:rPr>
          <w:rFonts w:ascii="Arial" w:cs="Arial" w:eastAsia="Arial" w:hAnsi="Arial"/>
          <w:sz w:val="15"/>
          <w:szCs w:val="15"/>
          <w:color w:val="auto"/>
        </w:rPr>
        <w:t xml:space="preserve">Non-accelerated filer </w:t>
      </w:r>
      <w:r>
        <w:rPr>
          <w:rFonts w:ascii="MS PGothic" w:cs="MS PGothic" w:eastAsia="MS PGothic" w:hAnsi="MS PGothic"/>
          <w:sz w:val="15"/>
          <w:szCs w:val="15"/>
          <w:color w:val="auto"/>
        </w:rPr>
        <w:t>☐</w:t>
      </w:r>
    </w:p>
    <w:p>
      <w:pPr>
        <w:spacing w:after="0" w:line="43" w:lineRule="exact"/>
        <w:rPr>
          <w:sz w:val="24"/>
          <w:szCs w:val="24"/>
          <w:color w:val="auto"/>
        </w:rPr>
      </w:pPr>
    </w:p>
    <w:p>
      <w:pPr>
        <w:ind w:left="180"/>
        <w:spacing w:after="0" w:line="184" w:lineRule="exact"/>
        <w:tabs>
          <w:tab w:leader="none" w:pos="2760" w:val="left"/>
        </w:tabs>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52" w:lineRule="exact"/>
        <w:rPr>
          <w:sz w:val="24"/>
          <w:szCs w:val="24"/>
          <w:color w:val="auto"/>
        </w:rPr>
      </w:pPr>
    </w:p>
    <w:p>
      <w:pPr>
        <w:ind w:right="160"/>
        <w:spacing w:after="0" w:line="20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79"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90" w:lineRule="exact"/>
        <w:rPr>
          <w:sz w:val="24"/>
          <w:szCs w:val="24"/>
          <w:color w:val="auto"/>
        </w:rPr>
      </w:pPr>
    </w:p>
    <w:p>
      <w:pPr>
        <w:spacing w:after="0"/>
        <w:rPr>
          <w:sz w:val="20"/>
          <w:szCs w:val="20"/>
          <w:color w:val="auto"/>
        </w:rPr>
      </w:pPr>
      <w:r>
        <w:rPr>
          <w:rFonts w:ascii="Arial" w:cs="Arial" w:eastAsia="Arial" w:hAnsi="Arial"/>
          <w:sz w:val="16"/>
          <w:szCs w:val="16"/>
          <w:color w:val="auto"/>
        </w:rPr>
        <w:t>As of June 18, 2021, there were 33,599,487 shares of common stock, par value $0.50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469265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877" w:right="319" w:bottom="1440" w:gutter="0" w:footer="0" w:header="0"/>
        </w:sectPr>
      </w:pPr>
    </w:p>
    <w:bookmarkStart w:id="1" w:name="page2"/>
    <w:bookmarkEnd w:id="1"/>
    <w:p>
      <w:pPr>
        <w:jc w:val="center"/>
        <w:spacing w:after="0"/>
        <w:rPr>
          <w:sz w:val="20"/>
          <w:szCs w:val="20"/>
          <w:color w:val="auto"/>
        </w:rPr>
      </w:pPr>
      <w:r>
        <w:rPr>
          <w:rFonts w:ascii="Arial" w:cs="Arial" w:eastAsia="Arial" w:hAnsi="Arial"/>
          <w:sz w:val="22"/>
          <w:szCs w:val="22"/>
          <w:b w:val="1"/>
          <w:bCs w:val="1"/>
          <w:color w:val="auto"/>
        </w:rPr>
        <w:t>Winnebago Industries,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Quarterly Report on Form 10-Q</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 the Quarterly Period Ended May 29, 2021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Table of Contents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60" w:type="dxa"/>
            <w:vAlign w:val="bottom"/>
            <w:gridSpan w:val="4"/>
          </w:tcPr>
          <w:p>
            <w:pPr>
              <w:spacing w:after="0"/>
              <w:rPr>
                <w:rFonts w:ascii="Arial" w:cs="Arial" w:eastAsia="Arial" w:hAnsi="Arial"/>
                <w:sz w:val="16"/>
                <w:szCs w:val="16"/>
                <w:b w:val="1"/>
                <w:bCs w:val="1"/>
                <w:color w:val="0000FF"/>
              </w:rPr>
            </w:pPr>
            <w:hyperlink w:anchor="page2">
              <w:r>
                <w:rPr>
                  <w:rFonts w:ascii="Arial" w:cs="Arial" w:eastAsia="Arial" w:hAnsi="Arial"/>
                  <w:sz w:val="16"/>
                  <w:szCs w:val="16"/>
                  <w:b w:val="1"/>
                  <w:bCs w:val="1"/>
                  <w:color w:val="0000FF"/>
                </w:rPr>
                <w:t>PART I.</w:t>
              </w:r>
            </w:hyperlink>
          </w:p>
        </w:tc>
        <w:tc>
          <w:tcPr>
            <w:tcW w:w="6400" w:type="dxa"/>
            <w:vAlign w:val="bottom"/>
            <w:gridSpan w:val="17"/>
          </w:tcPr>
          <w:p>
            <w:pPr>
              <w:spacing w:after="0"/>
              <w:rPr>
                <w:rFonts w:ascii="Arial" w:cs="Arial" w:eastAsia="Arial" w:hAnsi="Arial"/>
                <w:sz w:val="16"/>
                <w:szCs w:val="16"/>
                <w:b w:val="1"/>
                <w:bCs w:val="1"/>
                <w:color w:val="0000FF"/>
              </w:rPr>
            </w:pPr>
            <w:hyperlink w:anchor="page2">
              <w:r>
                <w:rPr>
                  <w:rFonts w:ascii="Arial" w:cs="Arial" w:eastAsia="Arial" w:hAnsi="Arial"/>
                  <w:sz w:val="16"/>
                  <w:szCs w:val="16"/>
                  <w:b w:val="1"/>
                  <w:bCs w:val="1"/>
                  <w:color w:val="0000FF"/>
                </w:rPr>
                <w:t>FINANCIAL INFORMATION</w:t>
              </w:r>
            </w:hyperlink>
          </w:p>
        </w:tc>
        <w:tc>
          <w:tcPr>
            <w:tcW w:w="3840" w:type="dxa"/>
            <w:vAlign w:val="bottom"/>
            <w:gridSpan w:val="3"/>
          </w:tcPr>
          <w:p>
            <w:pPr>
              <w:jc w:val="right"/>
              <w:spacing w:after="0"/>
              <w:rPr>
                <w:rFonts w:ascii="Arial" w:cs="Arial" w:eastAsia="Arial" w:hAnsi="Arial"/>
                <w:sz w:val="16"/>
                <w:szCs w:val="16"/>
                <w:color w:val="0000FF"/>
              </w:rPr>
            </w:pPr>
            <w:hyperlink w:anchor="page2">
              <w:r>
                <w:rPr>
                  <w:rFonts w:ascii="Arial" w:cs="Arial" w:eastAsia="Arial" w:hAnsi="Arial"/>
                  <w:sz w:val="16"/>
                  <w:szCs w:val="16"/>
                  <w:color w:val="0000FF"/>
                </w:rPr>
                <w:t>3</w:t>
              </w:r>
            </w:hyperlink>
          </w:p>
        </w:tc>
      </w:tr>
      <w:tr>
        <w:trPr>
          <w:trHeight w:val="20"/>
        </w:trPr>
        <w:tc>
          <w:tcPr>
            <w:tcW w:w="5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6"/>
        </w:trPr>
        <w:tc>
          <w:tcPr>
            <w:tcW w:w="500" w:type="dxa"/>
            <w:vAlign w:val="bottom"/>
          </w:tcPr>
          <w:p>
            <w:pPr>
              <w:spacing w:after="0"/>
              <w:rPr>
                <w:rFonts w:ascii="Arial" w:cs="Arial" w:eastAsia="Arial" w:hAnsi="Arial"/>
                <w:sz w:val="16"/>
                <w:szCs w:val="16"/>
                <w:color w:val="0000FF"/>
                <w:w w:val="93"/>
              </w:rPr>
            </w:pPr>
            <w:hyperlink w:anchor="page3">
              <w:r>
                <w:rPr>
                  <w:rFonts w:ascii="Arial" w:cs="Arial" w:eastAsia="Arial" w:hAnsi="Arial"/>
                  <w:sz w:val="16"/>
                  <w:szCs w:val="16"/>
                  <w:color w:val="0000FF"/>
                  <w:w w:val="93"/>
                </w:rPr>
                <w:t>Item 1.</w:t>
              </w:r>
            </w:hyperlink>
          </w:p>
        </w:tc>
        <w:tc>
          <w:tcPr>
            <w:tcW w:w="460" w:type="dxa"/>
            <w:vAlign w:val="bottom"/>
            <w:gridSpan w:val="3"/>
          </w:tcPr>
          <w:p>
            <w:pPr>
              <w:spacing w:after="0"/>
              <w:rPr>
                <w:sz w:val="17"/>
                <w:szCs w:val="17"/>
                <w:color w:val="auto"/>
              </w:rPr>
            </w:pPr>
          </w:p>
        </w:tc>
        <w:tc>
          <w:tcPr>
            <w:tcW w:w="6400" w:type="dxa"/>
            <w:vAlign w:val="bottom"/>
            <w:gridSpan w:val="17"/>
          </w:tcPr>
          <w:p>
            <w:pPr>
              <w:spacing w:after="0"/>
              <w:rPr>
                <w:rFonts w:ascii="Arial" w:cs="Arial" w:eastAsia="Arial" w:hAnsi="Arial"/>
                <w:sz w:val="16"/>
                <w:szCs w:val="16"/>
                <w:color w:val="0000FF"/>
              </w:rPr>
            </w:pPr>
            <w:hyperlink w:anchor="page3">
              <w:r>
                <w:rPr>
                  <w:rFonts w:ascii="Arial" w:cs="Arial" w:eastAsia="Arial" w:hAnsi="Arial"/>
                  <w:sz w:val="16"/>
                  <w:szCs w:val="16"/>
                  <w:color w:val="0000FF"/>
                </w:rPr>
                <w:t>Consolidated Financial Statements</w:t>
              </w:r>
            </w:hyperlink>
          </w:p>
        </w:tc>
        <w:tc>
          <w:tcPr>
            <w:tcW w:w="3840" w:type="dxa"/>
            <w:vAlign w:val="bottom"/>
            <w:gridSpan w:val="3"/>
          </w:tcPr>
          <w:p>
            <w:pPr>
              <w:jc w:val="right"/>
              <w:spacing w:after="0"/>
              <w:rPr>
                <w:rFonts w:ascii="Arial" w:cs="Arial" w:eastAsia="Arial" w:hAnsi="Arial"/>
                <w:sz w:val="16"/>
                <w:szCs w:val="16"/>
                <w:color w:val="0000FF"/>
              </w:rPr>
            </w:pPr>
            <w:hyperlink w:anchor="page3">
              <w:r>
                <w:rPr>
                  <w:rFonts w:ascii="Arial" w:cs="Arial" w:eastAsia="Arial" w:hAnsi="Arial"/>
                  <w:sz w:val="16"/>
                  <w:szCs w:val="16"/>
                  <w:color w:val="0000FF"/>
                </w:rPr>
                <w:t>3</w:t>
              </w:r>
            </w:hyperlink>
          </w:p>
        </w:tc>
      </w:tr>
      <w:tr>
        <w:trPr>
          <w:trHeight w:val="20"/>
        </w:trPr>
        <w:tc>
          <w:tcPr>
            <w:tcW w:w="5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0" w:type="dxa"/>
            <w:vAlign w:val="bottom"/>
            <w:gridSpan w:val="15"/>
          </w:tcPr>
          <w:p>
            <w:pPr>
              <w:spacing w:after="0"/>
              <w:rPr>
                <w:rFonts w:ascii="Arial" w:cs="Arial" w:eastAsia="Arial" w:hAnsi="Arial"/>
                <w:sz w:val="16"/>
                <w:szCs w:val="16"/>
                <w:color w:val="0000FF"/>
              </w:rPr>
            </w:pPr>
            <w:hyperlink w:anchor="page3">
              <w:r>
                <w:rPr>
                  <w:rFonts w:ascii="Arial" w:cs="Arial" w:eastAsia="Arial" w:hAnsi="Arial"/>
                  <w:sz w:val="16"/>
                  <w:szCs w:val="16"/>
                  <w:color w:val="0000FF"/>
                </w:rPr>
                <w:t xml:space="preserve">Consolidated Statements of Income (Loss) and Comprehensive Income </w:t>
              </w:r>
            </w:hyperlink>
            <w:r>
              <w:rPr>
                <w:rFonts w:ascii="Arial" w:cs="Arial" w:eastAsia="Arial" w:hAnsi="Arial"/>
                <w:sz w:val="16"/>
                <w:szCs w:val="16"/>
                <w:color w:val="000000"/>
              </w:rPr>
              <w:t>(Loss)</w:t>
            </w:r>
          </w:p>
        </w:tc>
        <w:tc>
          <w:tcPr>
            <w:tcW w:w="3840" w:type="dxa"/>
            <w:vAlign w:val="bottom"/>
            <w:gridSpan w:val="3"/>
          </w:tcPr>
          <w:p>
            <w:pPr>
              <w:jc w:val="right"/>
              <w:spacing w:after="0"/>
              <w:rPr>
                <w:rFonts w:ascii="Arial" w:cs="Arial" w:eastAsia="Arial" w:hAnsi="Arial"/>
                <w:sz w:val="16"/>
                <w:szCs w:val="16"/>
                <w:color w:val="0000FF"/>
              </w:rPr>
            </w:pPr>
            <w:hyperlink w:anchor="page3">
              <w:r>
                <w:rPr>
                  <w:rFonts w:ascii="Arial" w:cs="Arial" w:eastAsia="Arial" w:hAnsi="Arial"/>
                  <w:sz w:val="16"/>
                  <w:szCs w:val="16"/>
                  <w:color w:val="0000FF"/>
                </w:rPr>
                <w:t>3</w:t>
              </w:r>
            </w:hyperlink>
          </w:p>
        </w:tc>
      </w:tr>
      <w:tr>
        <w:trPr>
          <w:trHeight w:val="20"/>
        </w:trPr>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20" w:type="dxa"/>
            <w:vAlign w:val="bottom"/>
            <w:gridSpan w:val="7"/>
          </w:tcPr>
          <w:p>
            <w:pPr>
              <w:spacing w:after="0"/>
              <w:rPr>
                <w:rFonts w:ascii="Arial" w:cs="Arial" w:eastAsia="Arial" w:hAnsi="Arial"/>
                <w:sz w:val="16"/>
                <w:szCs w:val="16"/>
                <w:color w:val="0000FF"/>
              </w:rPr>
            </w:pPr>
            <w:hyperlink w:anchor="page3">
              <w:r>
                <w:rPr>
                  <w:rFonts w:ascii="Arial" w:cs="Arial" w:eastAsia="Arial" w:hAnsi="Arial"/>
                  <w:sz w:val="16"/>
                  <w:szCs w:val="16"/>
                  <w:color w:val="0000FF"/>
                </w:rPr>
                <w:t>Consolidated Balance Sheets</w:t>
              </w:r>
            </w:hyperlink>
          </w:p>
        </w:tc>
        <w:tc>
          <w:tcPr>
            <w:tcW w:w="3000" w:type="dxa"/>
            <w:vAlign w:val="bottom"/>
            <w:gridSpan w:val="7"/>
          </w:tcPr>
          <w:p>
            <w:pPr>
              <w:spacing w:after="0"/>
              <w:rPr>
                <w:sz w:val="17"/>
                <w:szCs w:val="17"/>
                <w:color w:val="auto"/>
              </w:rPr>
            </w:pPr>
          </w:p>
        </w:tc>
        <w:tc>
          <w:tcPr>
            <w:tcW w:w="1080" w:type="dxa"/>
            <w:vAlign w:val="bottom"/>
          </w:tcPr>
          <w:p>
            <w:pPr>
              <w:spacing w:after="0"/>
              <w:rPr>
                <w:sz w:val="17"/>
                <w:szCs w:val="17"/>
                <w:color w:val="auto"/>
              </w:rPr>
            </w:pPr>
          </w:p>
        </w:tc>
        <w:tc>
          <w:tcPr>
            <w:tcW w:w="3840" w:type="dxa"/>
            <w:vAlign w:val="bottom"/>
            <w:gridSpan w:val="3"/>
          </w:tcPr>
          <w:p>
            <w:pPr>
              <w:jc w:val="right"/>
              <w:spacing w:after="0"/>
              <w:rPr>
                <w:rFonts w:ascii="Arial" w:cs="Arial" w:eastAsia="Arial" w:hAnsi="Arial"/>
                <w:sz w:val="16"/>
                <w:szCs w:val="16"/>
                <w:color w:val="0000FF"/>
              </w:rPr>
            </w:pPr>
            <w:hyperlink w:anchor="page3">
              <w:r>
                <w:rPr>
                  <w:rFonts w:ascii="Arial" w:cs="Arial" w:eastAsia="Arial" w:hAnsi="Arial"/>
                  <w:sz w:val="16"/>
                  <w:szCs w:val="16"/>
                  <w:color w:val="0000FF"/>
                </w:rPr>
                <w:t>4</w:t>
              </w:r>
            </w:hyperlink>
          </w:p>
        </w:tc>
      </w:tr>
      <w:tr>
        <w:trPr>
          <w:trHeight w:val="20"/>
        </w:trPr>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80" w:type="dxa"/>
            <w:vAlign w:val="bottom"/>
            <w:gridSpan w:val="9"/>
          </w:tcPr>
          <w:p>
            <w:pPr>
              <w:spacing w:after="0"/>
              <w:rPr>
                <w:rFonts w:ascii="Arial" w:cs="Arial" w:eastAsia="Arial" w:hAnsi="Arial"/>
                <w:sz w:val="16"/>
                <w:szCs w:val="16"/>
                <w:color w:val="0000FF"/>
              </w:rPr>
            </w:pPr>
            <w:hyperlink w:anchor="page4">
              <w:r>
                <w:rPr>
                  <w:rFonts w:ascii="Arial" w:cs="Arial" w:eastAsia="Arial" w:hAnsi="Arial"/>
                  <w:sz w:val="16"/>
                  <w:szCs w:val="16"/>
                  <w:color w:val="0000FF"/>
                </w:rPr>
                <w:t>Consolidated Statements of Cash Flows</w:t>
              </w:r>
            </w:hyperlink>
          </w:p>
        </w:tc>
        <w:tc>
          <w:tcPr>
            <w:tcW w:w="3320" w:type="dxa"/>
            <w:vAlign w:val="bottom"/>
            <w:gridSpan w:val="6"/>
          </w:tcPr>
          <w:p>
            <w:pPr>
              <w:spacing w:after="0"/>
              <w:rPr>
                <w:sz w:val="17"/>
                <w:szCs w:val="17"/>
                <w:color w:val="auto"/>
              </w:rPr>
            </w:pPr>
          </w:p>
        </w:tc>
        <w:tc>
          <w:tcPr>
            <w:tcW w:w="3840" w:type="dxa"/>
            <w:vAlign w:val="bottom"/>
            <w:gridSpan w:val="3"/>
          </w:tcPr>
          <w:p>
            <w:pPr>
              <w:jc w:val="right"/>
              <w:spacing w:after="0"/>
              <w:rPr>
                <w:rFonts w:ascii="Arial" w:cs="Arial" w:eastAsia="Arial" w:hAnsi="Arial"/>
                <w:sz w:val="16"/>
                <w:szCs w:val="16"/>
                <w:color w:val="0000FF"/>
              </w:rPr>
            </w:pPr>
            <w:hyperlink w:anchor="page4">
              <w:r>
                <w:rPr>
                  <w:rFonts w:ascii="Arial" w:cs="Arial" w:eastAsia="Arial" w:hAnsi="Arial"/>
                  <w:sz w:val="16"/>
                  <w:szCs w:val="16"/>
                  <w:color w:val="0000FF"/>
                </w:rPr>
                <w:t>5</w:t>
              </w:r>
            </w:hyperlink>
          </w:p>
        </w:tc>
      </w:tr>
      <w:tr>
        <w:trPr>
          <w:trHeight w:val="20"/>
        </w:trPr>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60" w:type="dxa"/>
            <w:vAlign w:val="bottom"/>
            <w:gridSpan w:val="4"/>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0" w:type="dxa"/>
            <w:vAlign w:val="bottom"/>
            <w:gridSpan w:val="15"/>
          </w:tcPr>
          <w:p>
            <w:pPr>
              <w:spacing w:after="0"/>
              <w:rPr>
                <w:rFonts w:ascii="Arial" w:cs="Arial" w:eastAsia="Arial" w:hAnsi="Arial"/>
                <w:sz w:val="16"/>
                <w:szCs w:val="16"/>
                <w:color w:val="0000FF"/>
              </w:rPr>
            </w:pPr>
            <w:hyperlink w:anchor="page6">
              <w:r>
                <w:rPr>
                  <w:rFonts w:ascii="Arial" w:cs="Arial" w:eastAsia="Arial" w:hAnsi="Arial"/>
                  <w:sz w:val="16"/>
                  <w:szCs w:val="16"/>
                  <w:color w:val="0000FF"/>
                </w:rPr>
                <w:t>Consolidated Statements of Changes in Shareholders' Equity</w:t>
              </w:r>
            </w:hyperlink>
          </w:p>
        </w:tc>
        <w:tc>
          <w:tcPr>
            <w:tcW w:w="3840" w:type="dxa"/>
            <w:vAlign w:val="bottom"/>
            <w:gridSpan w:val="3"/>
          </w:tcPr>
          <w:p>
            <w:pPr>
              <w:jc w:val="right"/>
              <w:spacing w:after="0"/>
              <w:rPr>
                <w:rFonts w:ascii="Arial" w:cs="Arial" w:eastAsia="Arial" w:hAnsi="Arial"/>
                <w:sz w:val="16"/>
                <w:szCs w:val="16"/>
                <w:color w:val="0000FF"/>
              </w:rPr>
            </w:pPr>
            <w:hyperlink w:anchor="page6">
              <w:r>
                <w:rPr>
                  <w:rFonts w:ascii="Arial" w:cs="Arial" w:eastAsia="Arial" w:hAnsi="Arial"/>
                  <w:sz w:val="16"/>
                  <w:szCs w:val="16"/>
                  <w:color w:val="0000FF"/>
                </w:rPr>
                <w:t>7</w:t>
              </w:r>
            </w:hyperlink>
          </w:p>
        </w:tc>
      </w:tr>
      <w:tr>
        <w:trPr>
          <w:trHeight w:val="20"/>
        </w:trPr>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380" w:type="dxa"/>
            <w:vAlign w:val="bottom"/>
            <w:gridSpan w:val="13"/>
          </w:tcPr>
          <w:p>
            <w:pPr>
              <w:spacing w:after="0"/>
              <w:rPr>
                <w:rFonts w:ascii="Arial" w:cs="Arial" w:eastAsia="Arial" w:hAnsi="Arial"/>
                <w:sz w:val="16"/>
                <w:szCs w:val="16"/>
                <w:color w:val="0000FF"/>
              </w:rPr>
            </w:pPr>
            <w:hyperlink w:anchor="page8">
              <w:r>
                <w:rPr>
                  <w:rFonts w:ascii="Arial" w:cs="Arial" w:eastAsia="Arial" w:hAnsi="Arial"/>
                  <w:sz w:val="16"/>
                  <w:szCs w:val="16"/>
                  <w:color w:val="0000FF"/>
                </w:rPr>
                <w:t>Notes to Consolidated Financial Statements</w:t>
              </w:r>
            </w:hyperlink>
          </w:p>
        </w:tc>
        <w:tc>
          <w:tcPr>
            <w:tcW w:w="1820" w:type="dxa"/>
            <w:vAlign w:val="bottom"/>
            <w:gridSpan w:val="2"/>
          </w:tcPr>
          <w:p>
            <w:pPr>
              <w:spacing w:after="0"/>
              <w:rPr>
                <w:sz w:val="17"/>
                <w:szCs w:val="17"/>
                <w:color w:val="auto"/>
              </w:rPr>
            </w:pPr>
          </w:p>
        </w:tc>
        <w:tc>
          <w:tcPr>
            <w:tcW w:w="3840" w:type="dxa"/>
            <w:vAlign w:val="bottom"/>
            <w:gridSpan w:val="3"/>
          </w:tcPr>
          <w:p>
            <w:pPr>
              <w:jc w:val="right"/>
              <w:spacing w:after="0"/>
              <w:rPr>
                <w:rFonts w:ascii="Arial" w:cs="Arial" w:eastAsia="Arial" w:hAnsi="Arial"/>
                <w:sz w:val="16"/>
                <w:szCs w:val="16"/>
                <w:color w:val="0000FF"/>
              </w:rPr>
            </w:pPr>
            <w:hyperlink w:anchor="page8">
              <w:r>
                <w:rPr>
                  <w:rFonts w:ascii="Arial" w:cs="Arial" w:eastAsia="Arial" w:hAnsi="Arial"/>
                  <w:sz w:val="16"/>
                  <w:szCs w:val="16"/>
                  <w:color w:val="0000FF"/>
                </w:rPr>
                <w:t>9</w:t>
              </w:r>
            </w:hyperlink>
          </w:p>
        </w:tc>
      </w:tr>
      <w:tr>
        <w:trPr>
          <w:trHeight w:val="20"/>
        </w:trPr>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520" w:type="dxa"/>
            <w:vAlign w:val="bottom"/>
            <w:gridSpan w:val="5"/>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6"/>
        </w:trPr>
        <w:tc>
          <w:tcPr>
            <w:tcW w:w="960" w:type="dxa"/>
            <w:vAlign w:val="bottom"/>
            <w:gridSpan w:val="4"/>
          </w:tcPr>
          <w:p>
            <w:pPr>
              <w:spacing w:after="0"/>
              <w:rPr>
                <w:rFonts w:ascii="Arial" w:cs="Arial" w:eastAsia="Arial" w:hAnsi="Arial"/>
                <w:sz w:val="16"/>
                <w:szCs w:val="16"/>
                <w:color w:val="0000FF"/>
              </w:rPr>
            </w:pPr>
            <w:hyperlink w:anchor="page22">
              <w:r>
                <w:rPr>
                  <w:rFonts w:ascii="Arial" w:cs="Arial" w:eastAsia="Arial" w:hAnsi="Arial"/>
                  <w:sz w:val="16"/>
                  <w:szCs w:val="16"/>
                  <w:color w:val="0000FF"/>
                </w:rPr>
                <w:t>Item 2.</w:t>
              </w:r>
            </w:hyperlink>
          </w:p>
        </w:tc>
        <w:tc>
          <w:tcPr>
            <w:tcW w:w="6400" w:type="dxa"/>
            <w:vAlign w:val="bottom"/>
            <w:gridSpan w:val="17"/>
          </w:tcPr>
          <w:p>
            <w:pPr>
              <w:spacing w:after="0"/>
              <w:rPr>
                <w:rFonts w:ascii="Arial" w:cs="Arial" w:eastAsia="Arial" w:hAnsi="Arial"/>
                <w:sz w:val="16"/>
                <w:szCs w:val="16"/>
                <w:color w:val="0000FF"/>
              </w:rPr>
            </w:pPr>
            <w:hyperlink w:anchor="page22">
              <w:r>
                <w:rPr>
                  <w:rFonts w:ascii="Arial" w:cs="Arial" w:eastAsia="Arial" w:hAnsi="Arial"/>
                  <w:sz w:val="16"/>
                  <w:szCs w:val="16"/>
                  <w:color w:val="0000FF"/>
                </w:rPr>
                <w:t>Management's Discussion and Analysis of Financial Condition and Results of Operations.</w:t>
              </w:r>
            </w:hyperlink>
          </w:p>
        </w:tc>
        <w:tc>
          <w:tcPr>
            <w:tcW w:w="3840" w:type="dxa"/>
            <w:vAlign w:val="bottom"/>
            <w:gridSpan w:val="3"/>
          </w:tcPr>
          <w:p>
            <w:pPr>
              <w:jc w:val="right"/>
              <w:spacing w:after="0"/>
              <w:rPr>
                <w:rFonts w:ascii="Arial" w:cs="Arial" w:eastAsia="Arial" w:hAnsi="Arial"/>
                <w:sz w:val="16"/>
                <w:szCs w:val="16"/>
                <w:color w:val="0000FF"/>
              </w:rPr>
            </w:pPr>
            <w:hyperlink w:anchor="page22">
              <w:r>
                <w:rPr>
                  <w:rFonts w:ascii="Arial" w:cs="Arial" w:eastAsia="Arial" w:hAnsi="Arial"/>
                  <w:sz w:val="16"/>
                  <w:szCs w:val="16"/>
                  <w:color w:val="0000FF"/>
                </w:rPr>
                <w:t>23</w:t>
              </w:r>
            </w:hyperlink>
          </w:p>
        </w:tc>
      </w:tr>
      <w:tr>
        <w:trPr>
          <w:trHeight w:val="20"/>
        </w:trPr>
        <w:tc>
          <w:tcPr>
            <w:tcW w:w="5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20" w:type="dxa"/>
            <w:vAlign w:val="bottom"/>
            <w:gridSpan w:val="6"/>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0" w:type="dxa"/>
            <w:vAlign w:val="bottom"/>
            <w:gridSpan w:val="3"/>
            <w:shd w:val="clear" w:color="auto" w:fill="0000FF"/>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196"/>
        </w:trPr>
        <w:tc>
          <w:tcPr>
            <w:tcW w:w="600" w:type="dxa"/>
            <w:vAlign w:val="bottom"/>
            <w:tcBorders>
              <w:bottom w:val="single" w:sz="8" w:color="0000FF"/>
            </w:tcBorders>
            <w:gridSpan w:val="2"/>
          </w:tcPr>
          <w:p>
            <w:pPr>
              <w:spacing w:after="0"/>
              <w:rPr>
                <w:rFonts w:ascii="Arial" w:cs="Arial" w:eastAsia="Arial" w:hAnsi="Arial"/>
                <w:sz w:val="16"/>
                <w:szCs w:val="16"/>
                <w:color w:val="0000FF"/>
              </w:rPr>
            </w:pPr>
            <w:hyperlink w:anchor="page34">
              <w:r>
                <w:rPr>
                  <w:rFonts w:ascii="Arial" w:cs="Arial" w:eastAsia="Arial" w:hAnsi="Arial"/>
                  <w:sz w:val="16"/>
                  <w:szCs w:val="16"/>
                  <w:color w:val="0000FF"/>
                </w:rPr>
                <w:t>Item 3.</w:t>
              </w:r>
            </w:hyperlink>
          </w:p>
        </w:tc>
        <w:tc>
          <w:tcPr>
            <w:tcW w:w="360" w:type="dxa"/>
            <w:vAlign w:val="bottom"/>
            <w:gridSpan w:val="2"/>
          </w:tcPr>
          <w:p>
            <w:pPr>
              <w:spacing w:after="0"/>
              <w:rPr>
                <w:sz w:val="17"/>
                <w:szCs w:val="17"/>
                <w:color w:val="auto"/>
              </w:rPr>
            </w:pPr>
          </w:p>
        </w:tc>
        <w:tc>
          <w:tcPr>
            <w:tcW w:w="4240" w:type="dxa"/>
            <w:vAlign w:val="bottom"/>
            <w:tcBorders>
              <w:bottom w:val="single" w:sz="8" w:color="0000FF"/>
            </w:tcBorders>
            <w:gridSpan w:val="13"/>
          </w:tcPr>
          <w:p>
            <w:pPr>
              <w:spacing w:after="0"/>
              <w:rPr>
                <w:rFonts w:ascii="Arial" w:cs="Arial" w:eastAsia="Arial" w:hAnsi="Arial"/>
                <w:sz w:val="16"/>
                <w:szCs w:val="16"/>
                <w:color w:val="0000FF"/>
              </w:rPr>
            </w:pPr>
            <w:hyperlink w:anchor="page34">
              <w:r>
                <w:rPr>
                  <w:rFonts w:ascii="Arial" w:cs="Arial" w:eastAsia="Arial" w:hAnsi="Arial"/>
                  <w:sz w:val="16"/>
                  <w:szCs w:val="16"/>
                  <w:color w:val="0000FF"/>
                </w:rPr>
                <w:t>Quantitative and Qualitative Disclosures About Market Risk</w:t>
              </w:r>
            </w:hyperlink>
          </w:p>
        </w:tc>
        <w:tc>
          <w:tcPr>
            <w:tcW w:w="2160" w:type="dxa"/>
            <w:vAlign w:val="bottom"/>
            <w:gridSpan w:val="4"/>
          </w:tcPr>
          <w:p>
            <w:pPr>
              <w:spacing w:after="0"/>
              <w:rPr>
                <w:sz w:val="17"/>
                <w:szCs w:val="17"/>
                <w:color w:val="auto"/>
              </w:rPr>
            </w:pPr>
          </w:p>
        </w:tc>
        <w:tc>
          <w:tcPr>
            <w:tcW w:w="3840" w:type="dxa"/>
            <w:vAlign w:val="bottom"/>
            <w:gridSpan w:val="3"/>
          </w:tcPr>
          <w:p>
            <w:pPr>
              <w:jc w:val="right"/>
              <w:spacing w:after="0"/>
              <w:rPr>
                <w:rFonts w:ascii="Arial" w:cs="Arial" w:eastAsia="Arial" w:hAnsi="Arial"/>
                <w:sz w:val="16"/>
                <w:szCs w:val="16"/>
                <w:color w:val="0000FF"/>
              </w:rPr>
            </w:pPr>
            <w:hyperlink w:anchor="page34">
              <w:r>
                <w:rPr>
                  <w:rFonts w:ascii="Arial" w:cs="Arial" w:eastAsia="Arial" w:hAnsi="Arial"/>
                  <w:sz w:val="16"/>
                  <w:szCs w:val="16"/>
                  <w:color w:val="0000FF"/>
                </w:rPr>
                <w:t>34</w:t>
              </w:r>
            </w:hyperlink>
          </w:p>
        </w:tc>
      </w:tr>
      <w:tr>
        <w:trPr>
          <w:trHeight w:val="196"/>
        </w:trPr>
        <w:tc>
          <w:tcPr>
            <w:tcW w:w="960" w:type="dxa"/>
            <w:vAlign w:val="bottom"/>
            <w:gridSpan w:val="4"/>
          </w:tcPr>
          <w:p>
            <w:pPr>
              <w:spacing w:after="0"/>
              <w:rPr>
                <w:rFonts w:ascii="Arial" w:cs="Arial" w:eastAsia="Arial" w:hAnsi="Arial"/>
                <w:sz w:val="16"/>
                <w:szCs w:val="16"/>
                <w:color w:val="0000FF"/>
              </w:rPr>
            </w:pPr>
            <w:hyperlink w:anchor="page34">
              <w:r>
                <w:rPr>
                  <w:rFonts w:ascii="Arial" w:cs="Arial" w:eastAsia="Arial" w:hAnsi="Arial"/>
                  <w:sz w:val="16"/>
                  <w:szCs w:val="16"/>
                  <w:color w:val="0000FF"/>
                </w:rPr>
                <w:t>Item 4.</w:t>
              </w:r>
            </w:hyperlink>
          </w:p>
        </w:tc>
        <w:tc>
          <w:tcPr>
            <w:tcW w:w="6400" w:type="dxa"/>
            <w:vAlign w:val="bottom"/>
            <w:gridSpan w:val="17"/>
          </w:tcPr>
          <w:p>
            <w:pPr>
              <w:spacing w:after="0"/>
              <w:rPr>
                <w:rFonts w:ascii="Arial" w:cs="Arial" w:eastAsia="Arial" w:hAnsi="Arial"/>
                <w:sz w:val="16"/>
                <w:szCs w:val="16"/>
                <w:color w:val="0000FF"/>
              </w:rPr>
            </w:pPr>
            <w:hyperlink w:anchor="page34">
              <w:r>
                <w:rPr>
                  <w:rFonts w:ascii="Arial" w:cs="Arial" w:eastAsia="Arial" w:hAnsi="Arial"/>
                  <w:sz w:val="16"/>
                  <w:szCs w:val="16"/>
                  <w:color w:val="0000FF"/>
                </w:rPr>
                <w:t>Controls and Procedures.</w:t>
              </w:r>
            </w:hyperlink>
          </w:p>
        </w:tc>
        <w:tc>
          <w:tcPr>
            <w:tcW w:w="3840" w:type="dxa"/>
            <w:vAlign w:val="bottom"/>
            <w:gridSpan w:val="3"/>
          </w:tcPr>
          <w:p>
            <w:pPr>
              <w:jc w:val="right"/>
              <w:spacing w:after="0"/>
              <w:rPr>
                <w:rFonts w:ascii="Arial" w:cs="Arial" w:eastAsia="Arial" w:hAnsi="Arial"/>
                <w:sz w:val="16"/>
                <w:szCs w:val="16"/>
                <w:color w:val="0000FF"/>
              </w:rPr>
            </w:pPr>
            <w:hyperlink w:anchor="page34">
              <w:r>
                <w:rPr>
                  <w:rFonts w:ascii="Arial" w:cs="Arial" w:eastAsia="Arial" w:hAnsi="Arial"/>
                  <w:sz w:val="16"/>
                  <w:szCs w:val="16"/>
                  <w:color w:val="0000FF"/>
                </w:rPr>
                <w:t>34</w:t>
              </w:r>
            </w:hyperlink>
          </w:p>
        </w:tc>
      </w:tr>
      <w:tr>
        <w:trPr>
          <w:trHeight w:val="20"/>
        </w:trPr>
        <w:tc>
          <w:tcPr>
            <w:tcW w:w="5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580" w:type="dxa"/>
            <w:vAlign w:val="bottom"/>
            <w:gridSpan w:val="7"/>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453"/>
        </w:trPr>
        <w:tc>
          <w:tcPr>
            <w:tcW w:w="620" w:type="dxa"/>
            <w:vAlign w:val="bottom"/>
            <w:tcBorders>
              <w:bottom w:val="single" w:sz="8" w:color="0000FF"/>
            </w:tcBorders>
            <w:gridSpan w:val="3"/>
          </w:tcPr>
          <w:p>
            <w:pPr>
              <w:spacing w:after="0"/>
              <w:rPr>
                <w:rFonts w:ascii="Arial" w:cs="Arial" w:eastAsia="Arial" w:hAnsi="Arial"/>
                <w:sz w:val="16"/>
                <w:szCs w:val="16"/>
                <w:b w:val="1"/>
                <w:bCs w:val="1"/>
                <w:color w:val="0000FF"/>
                <w:w w:val="97"/>
              </w:rPr>
            </w:pPr>
            <w:hyperlink w:anchor="page34">
              <w:r>
                <w:rPr>
                  <w:rFonts w:ascii="Arial" w:cs="Arial" w:eastAsia="Arial" w:hAnsi="Arial"/>
                  <w:sz w:val="16"/>
                  <w:szCs w:val="16"/>
                  <w:b w:val="1"/>
                  <w:bCs w:val="1"/>
                  <w:color w:val="0000FF"/>
                  <w:w w:val="97"/>
                </w:rPr>
                <w:t>PART II.</w:t>
              </w:r>
            </w:hyperlink>
          </w:p>
        </w:tc>
        <w:tc>
          <w:tcPr>
            <w:tcW w:w="340" w:type="dxa"/>
            <w:vAlign w:val="bottom"/>
          </w:tcPr>
          <w:p>
            <w:pPr>
              <w:spacing w:after="0"/>
              <w:rPr>
                <w:sz w:val="24"/>
                <w:szCs w:val="24"/>
                <w:color w:val="auto"/>
              </w:rPr>
            </w:pPr>
          </w:p>
        </w:tc>
        <w:tc>
          <w:tcPr>
            <w:tcW w:w="1740" w:type="dxa"/>
            <w:vAlign w:val="bottom"/>
            <w:tcBorders>
              <w:bottom w:val="single" w:sz="8" w:color="0000FF"/>
            </w:tcBorders>
            <w:gridSpan w:val="6"/>
          </w:tcPr>
          <w:p>
            <w:pPr>
              <w:spacing w:after="0"/>
              <w:rPr>
                <w:rFonts w:ascii="Arial" w:cs="Arial" w:eastAsia="Arial" w:hAnsi="Arial"/>
                <w:sz w:val="16"/>
                <w:szCs w:val="16"/>
                <w:b w:val="1"/>
                <w:bCs w:val="1"/>
                <w:color w:val="0000FF"/>
                <w:w w:val="99"/>
              </w:rPr>
            </w:pPr>
            <w:hyperlink w:anchor="page34">
              <w:r>
                <w:rPr>
                  <w:rFonts w:ascii="Arial" w:cs="Arial" w:eastAsia="Arial" w:hAnsi="Arial"/>
                  <w:sz w:val="16"/>
                  <w:szCs w:val="16"/>
                  <w:b w:val="1"/>
                  <w:bCs w:val="1"/>
                  <w:color w:val="0000FF"/>
                  <w:w w:val="99"/>
                </w:rPr>
                <w:t>OTHER INFORMATION</w:t>
              </w:r>
            </w:hyperlink>
          </w:p>
        </w:tc>
        <w:tc>
          <w:tcPr>
            <w:tcW w:w="4660" w:type="dxa"/>
            <w:vAlign w:val="bottom"/>
            <w:gridSpan w:val="11"/>
          </w:tcPr>
          <w:p>
            <w:pPr>
              <w:spacing w:after="0"/>
              <w:rPr>
                <w:sz w:val="24"/>
                <w:szCs w:val="24"/>
                <w:color w:val="auto"/>
              </w:rPr>
            </w:pPr>
          </w:p>
        </w:tc>
        <w:tc>
          <w:tcPr>
            <w:tcW w:w="366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rFonts w:ascii="Arial" w:cs="Arial" w:eastAsia="Arial" w:hAnsi="Arial"/>
                <w:sz w:val="16"/>
                <w:szCs w:val="16"/>
                <w:color w:val="0000FF"/>
                <w:w w:val="89"/>
              </w:rPr>
            </w:pPr>
            <w:hyperlink w:anchor="page34">
              <w:r>
                <w:rPr>
                  <w:rFonts w:ascii="Arial" w:cs="Arial" w:eastAsia="Arial" w:hAnsi="Arial"/>
                  <w:sz w:val="16"/>
                  <w:szCs w:val="16"/>
                  <w:color w:val="0000FF"/>
                  <w:w w:val="89"/>
                </w:rPr>
                <w:t>35</w:t>
              </w:r>
            </w:hyperlink>
          </w:p>
        </w:tc>
      </w:tr>
      <w:tr>
        <w:trPr>
          <w:trHeight w:val="196"/>
        </w:trPr>
        <w:tc>
          <w:tcPr>
            <w:tcW w:w="960" w:type="dxa"/>
            <w:vAlign w:val="bottom"/>
            <w:gridSpan w:val="4"/>
          </w:tcPr>
          <w:p>
            <w:pPr>
              <w:spacing w:after="0"/>
              <w:rPr>
                <w:rFonts w:ascii="Arial" w:cs="Arial" w:eastAsia="Arial" w:hAnsi="Arial"/>
                <w:sz w:val="16"/>
                <w:szCs w:val="16"/>
                <w:color w:val="0000FF"/>
              </w:rPr>
            </w:pPr>
            <w:hyperlink w:anchor="page35">
              <w:r>
                <w:rPr>
                  <w:rFonts w:ascii="Arial" w:cs="Arial" w:eastAsia="Arial" w:hAnsi="Arial"/>
                  <w:sz w:val="16"/>
                  <w:szCs w:val="16"/>
                  <w:color w:val="0000FF"/>
                </w:rPr>
                <w:t>Item 1.</w:t>
              </w:r>
            </w:hyperlink>
          </w:p>
        </w:tc>
        <w:tc>
          <w:tcPr>
            <w:tcW w:w="6400" w:type="dxa"/>
            <w:vAlign w:val="bottom"/>
            <w:gridSpan w:val="17"/>
          </w:tcPr>
          <w:p>
            <w:pPr>
              <w:spacing w:after="0"/>
              <w:rPr>
                <w:rFonts w:ascii="Arial" w:cs="Arial" w:eastAsia="Arial" w:hAnsi="Arial"/>
                <w:sz w:val="16"/>
                <w:szCs w:val="16"/>
                <w:color w:val="0000FF"/>
              </w:rPr>
            </w:pPr>
            <w:hyperlink w:anchor="page35">
              <w:r>
                <w:rPr>
                  <w:rFonts w:ascii="Arial" w:cs="Arial" w:eastAsia="Arial" w:hAnsi="Arial"/>
                  <w:sz w:val="16"/>
                  <w:szCs w:val="16"/>
                  <w:color w:val="0000FF"/>
                </w:rPr>
                <w:t>Legal Proceedings.</w:t>
              </w:r>
            </w:hyperlink>
          </w:p>
        </w:tc>
        <w:tc>
          <w:tcPr>
            <w:tcW w:w="3840" w:type="dxa"/>
            <w:vAlign w:val="bottom"/>
            <w:gridSpan w:val="3"/>
          </w:tcPr>
          <w:p>
            <w:pPr>
              <w:jc w:val="right"/>
              <w:spacing w:after="0"/>
              <w:rPr>
                <w:rFonts w:ascii="Arial" w:cs="Arial" w:eastAsia="Arial" w:hAnsi="Arial"/>
                <w:sz w:val="16"/>
                <w:szCs w:val="16"/>
                <w:color w:val="0000FF"/>
              </w:rPr>
            </w:pPr>
            <w:hyperlink w:anchor="page35">
              <w:r>
                <w:rPr>
                  <w:rFonts w:ascii="Arial" w:cs="Arial" w:eastAsia="Arial" w:hAnsi="Arial"/>
                  <w:sz w:val="16"/>
                  <w:szCs w:val="16"/>
                  <w:color w:val="0000FF"/>
                </w:rPr>
                <w:t>35</w:t>
              </w:r>
            </w:hyperlink>
          </w:p>
        </w:tc>
      </w:tr>
      <w:tr>
        <w:trPr>
          <w:trHeight w:val="20"/>
        </w:trPr>
        <w:tc>
          <w:tcPr>
            <w:tcW w:w="5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20" w:type="dxa"/>
            <w:vAlign w:val="bottom"/>
            <w:gridSpan w:val="9"/>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196"/>
        </w:trPr>
        <w:tc>
          <w:tcPr>
            <w:tcW w:w="960" w:type="dxa"/>
            <w:vAlign w:val="bottom"/>
            <w:gridSpan w:val="4"/>
          </w:tcPr>
          <w:p>
            <w:pPr>
              <w:spacing w:after="0"/>
              <w:rPr>
                <w:rFonts w:ascii="Arial" w:cs="Arial" w:eastAsia="Arial" w:hAnsi="Arial"/>
                <w:sz w:val="16"/>
                <w:szCs w:val="16"/>
                <w:color w:val="0000FF"/>
              </w:rPr>
            </w:pPr>
            <w:hyperlink w:anchor="page35">
              <w:r>
                <w:rPr>
                  <w:rFonts w:ascii="Arial" w:cs="Arial" w:eastAsia="Arial" w:hAnsi="Arial"/>
                  <w:sz w:val="16"/>
                  <w:szCs w:val="16"/>
                  <w:color w:val="0000FF"/>
                </w:rPr>
                <w:t>Item 1A.</w:t>
              </w:r>
            </w:hyperlink>
          </w:p>
        </w:tc>
        <w:tc>
          <w:tcPr>
            <w:tcW w:w="6400" w:type="dxa"/>
            <w:vAlign w:val="bottom"/>
            <w:gridSpan w:val="17"/>
          </w:tcPr>
          <w:p>
            <w:pPr>
              <w:spacing w:after="0"/>
              <w:rPr>
                <w:rFonts w:ascii="Arial" w:cs="Arial" w:eastAsia="Arial" w:hAnsi="Arial"/>
                <w:sz w:val="16"/>
                <w:szCs w:val="16"/>
                <w:color w:val="0000FF"/>
              </w:rPr>
            </w:pPr>
            <w:hyperlink w:anchor="page35">
              <w:r>
                <w:rPr>
                  <w:rFonts w:ascii="Arial" w:cs="Arial" w:eastAsia="Arial" w:hAnsi="Arial"/>
                  <w:sz w:val="16"/>
                  <w:szCs w:val="16"/>
                  <w:color w:val="0000FF"/>
                </w:rPr>
                <w:t>Risk Factors</w:t>
              </w:r>
            </w:hyperlink>
          </w:p>
        </w:tc>
        <w:tc>
          <w:tcPr>
            <w:tcW w:w="3840" w:type="dxa"/>
            <w:vAlign w:val="bottom"/>
            <w:gridSpan w:val="3"/>
          </w:tcPr>
          <w:p>
            <w:pPr>
              <w:jc w:val="right"/>
              <w:spacing w:after="0"/>
              <w:rPr>
                <w:rFonts w:ascii="Arial" w:cs="Arial" w:eastAsia="Arial" w:hAnsi="Arial"/>
                <w:sz w:val="16"/>
                <w:szCs w:val="16"/>
                <w:color w:val="0000FF"/>
              </w:rPr>
            </w:pPr>
            <w:hyperlink w:anchor="page35">
              <w:r>
                <w:rPr>
                  <w:rFonts w:ascii="Arial" w:cs="Arial" w:eastAsia="Arial" w:hAnsi="Arial"/>
                  <w:sz w:val="16"/>
                  <w:szCs w:val="16"/>
                  <w:color w:val="0000FF"/>
                </w:rPr>
                <w:t>35</w:t>
              </w:r>
            </w:hyperlink>
          </w:p>
        </w:tc>
      </w:tr>
      <w:tr>
        <w:trPr>
          <w:trHeight w:val="20"/>
        </w:trPr>
        <w:tc>
          <w:tcPr>
            <w:tcW w:w="600" w:type="dxa"/>
            <w:vAlign w:val="bottom"/>
            <w:gridSpan w:val="2"/>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500" w:type="dxa"/>
            <w:vAlign w:val="bottom"/>
            <w:gridSpan w:val="10"/>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196"/>
        </w:trPr>
        <w:tc>
          <w:tcPr>
            <w:tcW w:w="600" w:type="dxa"/>
            <w:vAlign w:val="bottom"/>
            <w:gridSpan w:val="2"/>
          </w:tcPr>
          <w:p>
            <w:pPr>
              <w:spacing w:after="0"/>
              <w:rPr>
                <w:rFonts w:ascii="Arial" w:cs="Arial" w:eastAsia="Arial" w:hAnsi="Arial"/>
                <w:sz w:val="16"/>
                <w:szCs w:val="16"/>
                <w:color w:val="0000FF"/>
              </w:rPr>
            </w:pPr>
            <w:hyperlink w:anchor="page35">
              <w:r>
                <w:rPr>
                  <w:rFonts w:ascii="Arial" w:cs="Arial" w:eastAsia="Arial" w:hAnsi="Arial"/>
                  <w:sz w:val="16"/>
                  <w:szCs w:val="16"/>
                  <w:color w:val="0000FF"/>
                </w:rPr>
                <w:t>Item 2.</w:t>
              </w:r>
            </w:hyperlink>
          </w:p>
        </w:tc>
        <w:tc>
          <w:tcPr>
            <w:tcW w:w="360" w:type="dxa"/>
            <w:vAlign w:val="bottom"/>
            <w:gridSpan w:val="2"/>
          </w:tcPr>
          <w:p>
            <w:pPr>
              <w:spacing w:after="0"/>
              <w:rPr>
                <w:sz w:val="17"/>
                <w:szCs w:val="17"/>
                <w:color w:val="auto"/>
              </w:rPr>
            </w:pPr>
          </w:p>
        </w:tc>
        <w:tc>
          <w:tcPr>
            <w:tcW w:w="6400" w:type="dxa"/>
            <w:vAlign w:val="bottom"/>
            <w:gridSpan w:val="17"/>
          </w:tcPr>
          <w:p>
            <w:pPr>
              <w:spacing w:after="0"/>
              <w:rPr>
                <w:rFonts w:ascii="Arial" w:cs="Arial" w:eastAsia="Arial" w:hAnsi="Arial"/>
                <w:sz w:val="16"/>
                <w:szCs w:val="16"/>
                <w:color w:val="0000FF"/>
              </w:rPr>
            </w:pPr>
            <w:hyperlink w:anchor="page35">
              <w:r>
                <w:rPr>
                  <w:rFonts w:ascii="Arial" w:cs="Arial" w:eastAsia="Arial" w:hAnsi="Arial"/>
                  <w:sz w:val="16"/>
                  <w:szCs w:val="16"/>
                  <w:color w:val="0000FF"/>
                </w:rPr>
                <w:t>Unregistered Sales of Equity Securities and Use of Proceeds.</w:t>
              </w:r>
            </w:hyperlink>
          </w:p>
        </w:tc>
        <w:tc>
          <w:tcPr>
            <w:tcW w:w="3840" w:type="dxa"/>
            <w:vAlign w:val="bottom"/>
            <w:gridSpan w:val="3"/>
          </w:tcPr>
          <w:p>
            <w:pPr>
              <w:jc w:val="right"/>
              <w:spacing w:after="0"/>
              <w:rPr>
                <w:rFonts w:ascii="Arial" w:cs="Arial" w:eastAsia="Arial" w:hAnsi="Arial"/>
                <w:sz w:val="16"/>
                <w:szCs w:val="16"/>
                <w:color w:val="0000FF"/>
              </w:rPr>
            </w:pPr>
            <w:hyperlink w:anchor="page35">
              <w:r>
                <w:rPr>
                  <w:rFonts w:ascii="Arial" w:cs="Arial" w:eastAsia="Arial" w:hAnsi="Arial"/>
                  <w:sz w:val="16"/>
                  <w:szCs w:val="16"/>
                  <w:color w:val="0000FF"/>
                </w:rPr>
                <w:t>35</w:t>
              </w:r>
            </w:hyperlink>
          </w:p>
        </w:tc>
      </w:tr>
      <w:tr>
        <w:trPr>
          <w:trHeight w:val="20"/>
        </w:trPr>
        <w:tc>
          <w:tcPr>
            <w:tcW w:w="500" w:type="dxa"/>
            <w:vAlign w:val="bottom"/>
            <w:shd w:val="clear" w:color="auto" w:fill="0000FF"/>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3840" w:type="dxa"/>
            <w:vAlign w:val="bottom"/>
            <w:gridSpan w:val="11"/>
            <w:shd w:val="clear" w:color="auto" w:fill="0000FF"/>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196"/>
        </w:trPr>
        <w:tc>
          <w:tcPr>
            <w:tcW w:w="960" w:type="dxa"/>
            <w:vAlign w:val="bottom"/>
            <w:gridSpan w:val="4"/>
          </w:tcPr>
          <w:p>
            <w:pPr>
              <w:spacing w:after="0"/>
              <w:rPr>
                <w:rFonts w:ascii="Arial" w:cs="Arial" w:eastAsia="Arial" w:hAnsi="Arial"/>
                <w:sz w:val="16"/>
                <w:szCs w:val="16"/>
                <w:color w:val="0000FF"/>
              </w:rPr>
            </w:pPr>
            <w:hyperlink w:anchor="page35">
              <w:r>
                <w:rPr>
                  <w:rFonts w:ascii="Arial" w:cs="Arial" w:eastAsia="Arial" w:hAnsi="Arial"/>
                  <w:sz w:val="16"/>
                  <w:szCs w:val="16"/>
                  <w:color w:val="0000FF"/>
                </w:rPr>
                <w:t>Item 6.</w:t>
              </w:r>
            </w:hyperlink>
          </w:p>
        </w:tc>
        <w:tc>
          <w:tcPr>
            <w:tcW w:w="6400" w:type="dxa"/>
            <w:vAlign w:val="bottom"/>
            <w:gridSpan w:val="17"/>
          </w:tcPr>
          <w:p>
            <w:pPr>
              <w:spacing w:after="0"/>
              <w:rPr>
                <w:rFonts w:ascii="Arial" w:cs="Arial" w:eastAsia="Arial" w:hAnsi="Arial"/>
                <w:sz w:val="16"/>
                <w:szCs w:val="16"/>
                <w:color w:val="0000FF"/>
              </w:rPr>
            </w:pPr>
            <w:hyperlink w:anchor="page35">
              <w:r>
                <w:rPr>
                  <w:rFonts w:ascii="Arial" w:cs="Arial" w:eastAsia="Arial" w:hAnsi="Arial"/>
                  <w:sz w:val="16"/>
                  <w:szCs w:val="16"/>
                  <w:color w:val="0000FF"/>
                </w:rPr>
                <w:t>Exhibits</w:t>
              </w:r>
            </w:hyperlink>
          </w:p>
        </w:tc>
        <w:tc>
          <w:tcPr>
            <w:tcW w:w="3840" w:type="dxa"/>
            <w:vAlign w:val="bottom"/>
            <w:gridSpan w:val="3"/>
          </w:tcPr>
          <w:p>
            <w:pPr>
              <w:jc w:val="right"/>
              <w:spacing w:after="0"/>
              <w:rPr>
                <w:rFonts w:ascii="Arial" w:cs="Arial" w:eastAsia="Arial" w:hAnsi="Arial"/>
                <w:sz w:val="16"/>
                <w:szCs w:val="16"/>
                <w:color w:val="0000FF"/>
              </w:rPr>
            </w:pPr>
            <w:hyperlink w:anchor="page35">
              <w:r>
                <w:rPr>
                  <w:rFonts w:ascii="Arial" w:cs="Arial" w:eastAsia="Arial" w:hAnsi="Arial"/>
                  <w:sz w:val="16"/>
                  <w:szCs w:val="16"/>
                  <w:color w:val="0000FF"/>
                </w:rPr>
                <w:t>36</w:t>
              </w:r>
            </w:hyperlink>
          </w:p>
        </w:tc>
      </w:tr>
      <w:tr>
        <w:trPr>
          <w:trHeight w:val="20"/>
        </w:trPr>
        <w:tc>
          <w:tcPr>
            <w:tcW w:w="500" w:type="dxa"/>
            <w:vAlign w:val="bottom"/>
            <w:shd w:val="clear" w:color="auto" w:fill="0000FF"/>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5840" w:type="dxa"/>
            <w:vAlign w:val="bottom"/>
            <w:gridSpan w:val="14"/>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453"/>
        </w:trPr>
        <w:tc>
          <w:tcPr>
            <w:tcW w:w="1060" w:type="dxa"/>
            <w:vAlign w:val="bottom"/>
            <w:tcBorders>
              <w:bottom w:val="single" w:sz="8" w:color="0000FF"/>
            </w:tcBorders>
            <w:gridSpan w:val="5"/>
          </w:tcPr>
          <w:p>
            <w:pPr>
              <w:spacing w:after="0"/>
              <w:rPr>
                <w:rFonts w:ascii="Arial" w:cs="Arial" w:eastAsia="Arial" w:hAnsi="Arial"/>
                <w:sz w:val="16"/>
                <w:szCs w:val="16"/>
                <w:b w:val="1"/>
                <w:bCs w:val="1"/>
                <w:color w:val="0000FF"/>
                <w:w w:val="99"/>
              </w:rPr>
            </w:pPr>
            <w:hyperlink w:anchor="page36">
              <w:r>
                <w:rPr>
                  <w:rFonts w:ascii="Arial" w:cs="Arial" w:eastAsia="Arial" w:hAnsi="Arial"/>
                  <w:sz w:val="16"/>
                  <w:szCs w:val="16"/>
                  <w:b w:val="1"/>
                  <w:bCs w:val="1"/>
                  <w:color w:val="0000FF"/>
                  <w:w w:val="99"/>
                </w:rPr>
                <w:t>SIGNATURES</w:t>
              </w:r>
            </w:hyperlink>
          </w:p>
        </w:tc>
        <w:tc>
          <w:tcPr>
            <w:tcW w:w="6300" w:type="dxa"/>
            <w:vAlign w:val="bottom"/>
            <w:gridSpan w:val="16"/>
          </w:tcPr>
          <w:p>
            <w:pPr>
              <w:spacing w:after="0"/>
              <w:rPr>
                <w:sz w:val="24"/>
                <w:szCs w:val="24"/>
                <w:color w:val="auto"/>
              </w:rPr>
            </w:pPr>
          </w:p>
        </w:tc>
        <w:tc>
          <w:tcPr>
            <w:tcW w:w="366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rFonts w:ascii="Arial" w:cs="Arial" w:eastAsia="Arial" w:hAnsi="Arial"/>
                <w:sz w:val="16"/>
                <w:szCs w:val="16"/>
                <w:color w:val="0000FF"/>
                <w:w w:val="89"/>
              </w:rPr>
            </w:pPr>
            <w:hyperlink w:anchor="page36">
              <w:r>
                <w:rPr>
                  <w:rFonts w:ascii="Arial" w:cs="Arial" w:eastAsia="Arial" w:hAnsi="Arial"/>
                  <w:sz w:val="16"/>
                  <w:szCs w:val="16"/>
                  <w:color w:val="0000FF"/>
                  <w:w w:val="89"/>
                </w:rPr>
                <w:t>37</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57785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012" w:right="359" w:bottom="1440" w:gutter="0" w:footer="0" w:header="0"/>
        </w:sectPr>
      </w:pPr>
    </w:p>
    <w:bookmarkStart w:id="2" w:name="page3"/>
    <w:bookmarkEnd w:id="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 FINANCIAL INFORMATION</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Consolidated Financial Statements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Winnebago Industries, Inc.</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Consolidated Statements of Income (Loss) and Comprehensive Income (Loss)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(Unaudited)</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900" w:type="dxa"/>
            <w:vAlign w:val="bottom"/>
            <w:gridSpan w:val="5"/>
          </w:tcPr>
          <w:p>
            <w:pPr>
              <w:ind w:left="460"/>
              <w:spacing w:after="0"/>
              <w:rPr>
                <w:sz w:val="20"/>
                <w:szCs w:val="20"/>
                <w:color w:val="auto"/>
              </w:rPr>
            </w:pPr>
            <w:r>
              <w:rPr>
                <w:rFonts w:ascii="Arial" w:cs="Arial" w:eastAsia="Arial" w:hAnsi="Arial"/>
                <w:sz w:val="16"/>
                <w:szCs w:val="16"/>
                <w:b w:val="1"/>
                <w:bCs w:val="1"/>
                <w:color w:val="auto"/>
              </w:rPr>
              <w:t>Three Months Ended</w:t>
            </w:r>
          </w:p>
        </w:tc>
        <w:tc>
          <w:tcPr>
            <w:tcW w:w="300" w:type="dxa"/>
            <w:vAlign w:val="bottom"/>
          </w:tcPr>
          <w:p>
            <w:pPr>
              <w:spacing w:after="0"/>
              <w:rPr>
                <w:sz w:val="18"/>
                <w:szCs w:val="18"/>
                <w:color w:val="auto"/>
              </w:rPr>
            </w:pPr>
          </w:p>
        </w:tc>
        <w:tc>
          <w:tcPr>
            <w:tcW w:w="2800" w:type="dxa"/>
            <w:vAlign w:val="bottom"/>
            <w:gridSpan w:val="4"/>
          </w:tcPr>
          <w:p>
            <w:pPr>
              <w:jc w:val="right"/>
              <w:ind w:right="699"/>
              <w:spacing w:after="0"/>
              <w:rPr>
                <w:sz w:val="20"/>
                <w:szCs w:val="20"/>
                <w:color w:val="auto"/>
              </w:rPr>
            </w:pPr>
            <w:r>
              <w:rPr>
                <w:rFonts w:ascii="Arial" w:cs="Arial" w:eastAsia="Arial" w:hAnsi="Arial"/>
                <w:sz w:val="16"/>
                <w:szCs w:val="16"/>
                <w:b w:val="1"/>
                <w:bCs w:val="1"/>
                <w:color w:val="auto"/>
              </w:rPr>
              <w:t>Nine Months Ended</w:t>
            </w:r>
          </w:p>
        </w:tc>
      </w:tr>
      <w:tr>
        <w:trPr>
          <w:trHeight w:val="158"/>
        </w:trPr>
        <w:tc>
          <w:tcPr>
            <w:tcW w:w="494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gridSpan w:val="2"/>
          </w:tcPr>
          <w:p>
            <w:pPr>
              <w:ind w:left="160"/>
              <w:spacing w:after="0" w:line="158" w:lineRule="exact"/>
              <w:rPr>
                <w:sz w:val="20"/>
                <w:szCs w:val="20"/>
                <w:color w:val="auto"/>
              </w:rPr>
            </w:pPr>
            <w:r>
              <w:rPr>
                <w:rFonts w:ascii="Arial" w:cs="Arial" w:eastAsia="Arial" w:hAnsi="Arial"/>
                <w:sz w:val="16"/>
                <w:szCs w:val="16"/>
                <w:b w:val="1"/>
                <w:bCs w:val="1"/>
                <w:color w:val="auto"/>
              </w:rPr>
              <w:t>May 29,</w:t>
            </w:r>
          </w:p>
        </w:tc>
        <w:tc>
          <w:tcPr>
            <w:tcW w:w="28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jc w:val="right"/>
              <w:ind w:right="379"/>
              <w:spacing w:after="0" w:line="158" w:lineRule="exact"/>
              <w:rPr>
                <w:sz w:val="20"/>
                <w:szCs w:val="20"/>
                <w:color w:val="auto"/>
              </w:rPr>
            </w:pPr>
            <w:r>
              <w:rPr>
                <w:rFonts w:ascii="Arial" w:cs="Arial" w:eastAsia="Arial" w:hAnsi="Arial"/>
                <w:sz w:val="16"/>
                <w:szCs w:val="16"/>
                <w:b w:val="1"/>
                <w:bCs w:val="1"/>
                <w:color w:val="auto"/>
              </w:rPr>
              <w:t>May 30,</w:t>
            </w:r>
          </w:p>
        </w:tc>
        <w:tc>
          <w:tcPr>
            <w:tcW w:w="8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gridSpan w:val="2"/>
          </w:tcPr>
          <w:p>
            <w:pPr>
              <w:ind w:left="160"/>
              <w:spacing w:after="0" w:line="158" w:lineRule="exact"/>
              <w:rPr>
                <w:sz w:val="20"/>
                <w:szCs w:val="20"/>
                <w:color w:val="auto"/>
              </w:rPr>
            </w:pPr>
            <w:r>
              <w:rPr>
                <w:rFonts w:ascii="Arial" w:cs="Arial" w:eastAsia="Arial" w:hAnsi="Arial"/>
                <w:sz w:val="16"/>
                <w:szCs w:val="16"/>
                <w:b w:val="1"/>
                <w:bCs w:val="1"/>
                <w:color w:val="auto"/>
              </w:rPr>
              <w:t>May 29,</w:t>
            </w:r>
          </w:p>
        </w:tc>
        <w:tc>
          <w:tcPr>
            <w:tcW w:w="28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jc w:val="right"/>
              <w:ind w:right="379"/>
              <w:spacing w:after="0" w:line="158" w:lineRule="exact"/>
              <w:rPr>
                <w:sz w:val="20"/>
                <w:szCs w:val="20"/>
                <w:color w:val="auto"/>
              </w:rPr>
            </w:pPr>
            <w:r>
              <w:rPr>
                <w:rFonts w:ascii="Arial" w:cs="Arial" w:eastAsia="Arial" w:hAnsi="Arial"/>
                <w:sz w:val="16"/>
                <w:szCs w:val="16"/>
                <w:b w:val="1"/>
                <w:bCs w:val="1"/>
                <w:color w:val="auto"/>
              </w:rPr>
              <w:t>May 30,</w:t>
            </w:r>
          </w:p>
        </w:tc>
      </w:tr>
      <w:tr>
        <w:trPr>
          <w:trHeight w:val="215"/>
        </w:trPr>
        <w:tc>
          <w:tcPr>
            <w:tcW w:w="49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 thousands, except per share data)</w:t>
            </w: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2020</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2020</w:t>
            </w:r>
          </w:p>
        </w:tc>
      </w:tr>
      <w:tr>
        <w:trPr>
          <w:trHeight w:val="210"/>
        </w:trPr>
        <w:tc>
          <w:tcPr>
            <w:tcW w:w="4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960,737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402,458</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2,593,754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1,617,726</w:t>
            </w:r>
          </w:p>
        </w:tc>
      </w:tr>
      <w:tr>
        <w:trPr>
          <w:trHeight w:val="213"/>
        </w:trPr>
        <w:tc>
          <w:tcPr>
            <w:tcW w:w="49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goods sold</w:t>
            </w: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791,125</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370,434</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2,130,556</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1,427,307</w:t>
            </w:r>
          </w:p>
        </w:tc>
      </w:tr>
      <w:tr>
        <w:trPr>
          <w:trHeight w:val="210"/>
        </w:trPr>
        <w:tc>
          <w:tcPr>
            <w:tcW w:w="4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3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169,612</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32,024</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463,198</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190,419</w:t>
            </w:r>
          </w:p>
        </w:tc>
      </w:tr>
      <w:tr>
        <w:trPr>
          <w:trHeight w:val="210"/>
        </w:trPr>
        <w:tc>
          <w:tcPr>
            <w:tcW w:w="4940" w:type="dxa"/>
            <w:vAlign w:val="bottom"/>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63,586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33,271</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165,001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126,540</w:t>
            </w:r>
          </w:p>
        </w:tc>
      </w:tr>
      <w:tr>
        <w:trPr>
          <w:trHeight w:val="216"/>
        </w:trPr>
        <w:tc>
          <w:tcPr>
            <w:tcW w:w="4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w:t>
            </w:r>
          </w:p>
        </w:tc>
        <w:tc>
          <w:tcPr>
            <w:tcW w:w="3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3,590</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6,926</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10,771</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18,514</w:t>
            </w:r>
          </w:p>
        </w:tc>
      </w:tr>
      <w:tr>
        <w:trPr>
          <w:trHeight w:val="210"/>
        </w:trPr>
        <w:tc>
          <w:tcPr>
            <w:tcW w:w="49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operating expenses</w:t>
            </w: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67,176</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40,197</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175,772</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145,054</w:t>
            </w:r>
          </w:p>
        </w:tc>
      </w:tr>
      <w:tr>
        <w:trPr>
          <w:trHeight w:val="213"/>
        </w:trPr>
        <w:tc>
          <w:tcPr>
            <w:tcW w:w="4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 (loss)</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102,436</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(8,173)</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287,426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45,365</w:t>
            </w:r>
          </w:p>
        </w:tc>
      </w:tr>
      <w:tr>
        <w:trPr>
          <w:trHeight w:val="213"/>
        </w:trPr>
        <w:tc>
          <w:tcPr>
            <w:tcW w:w="494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10,229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8,440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30,222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23,140</w:t>
            </w:r>
          </w:p>
        </w:tc>
      </w:tr>
      <w:tr>
        <w:trPr>
          <w:trHeight w:val="216"/>
        </w:trPr>
        <w:tc>
          <w:tcPr>
            <w:tcW w:w="4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Non-operating income</w:t>
            </w:r>
          </w:p>
        </w:tc>
        <w:tc>
          <w:tcPr>
            <w:tcW w:w="3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(310)</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(460)</w:t>
            </w:r>
          </w:p>
        </w:tc>
      </w:tr>
      <w:tr>
        <w:trPr>
          <w:trHeight w:val="209"/>
        </w:trPr>
        <w:tc>
          <w:tcPr>
            <w:tcW w:w="4940" w:type="dxa"/>
            <w:vAlign w:val="bottom"/>
          </w:tcPr>
          <w:p>
            <w:pPr>
              <w:ind w:left="20"/>
              <w:spacing w:after="0"/>
              <w:rPr>
                <w:sz w:val="20"/>
                <w:szCs w:val="20"/>
                <w:color w:val="auto"/>
              </w:rPr>
            </w:pPr>
            <w:r>
              <w:rPr>
                <w:rFonts w:ascii="Arial" w:cs="Arial" w:eastAsia="Arial" w:hAnsi="Arial"/>
                <w:sz w:val="16"/>
                <w:szCs w:val="16"/>
                <w:color w:val="auto"/>
              </w:rPr>
              <w:t>Income (loss) before income taxes</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92,300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(16,539)</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257,514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22,685</w:t>
            </w:r>
          </w:p>
        </w:tc>
      </w:tr>
      <w:tr>
        <w:trPr>
          <w:trHeight w:val="216"/>
        </w:trPr>
        <w:tc>
          <w:tcPr>
            <w:tcW w:w="4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(benefit) for income taxes</w:t>
            </w:r>
          </w:p>
        </w:tc>
        <w:tc>
          <w:tcPr>
            <w:tcW w:w="3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21,005</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(4,186)</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59,728</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3,702</w:t>
            </w:r>
          </w:p>
        </w:tc>
      </w:tr>
      <w:tr>
        <w:trPr>
          <w:trHeight w:val="212"/>
        </w:trPr>
        <w:tc>
          <w:tcPr>
            <w:tcW w:w="494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71,295</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(12,353)</w:t>
            </w:r>
          </w:p>
        </w:tc>
        <w:tc>
          <w:tcPr>
            <w:tcW w:w="80" w:type="dxa"/>
            <w:vAlign w:val="bottom"/>
          </w:tcPr>
          <w:p>
            <w:pPr>
              <w:spacing w:after="0"/>
              <w:rPr>
                <w:sz w:val="18"/>
                <w:szCs w:val="18"/>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197,786</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18,983</w:t>
            </w:r>
          </w:p>
        </w:tc>
      </w:tr>
      <w:tr>
        <w:trPr>
          <w:trHeight w:val="20"/>
        </w:trPr>
        <w:tc>
          <w:tcPr>
            <w:tcW w:w="49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23"/>
        </w:trPr>
        <w:tc>
          <w:tcPr>
            <w:tcW w:w="49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13"/>
        </w:trPr>
        <w:tc>
          <w:tcPr>
            <w:tcW w:w="4940" w:type="dxa"/>
            <w:vAlign w:val="bottom"/>
          </w:tcPr>
          <w:p>
            <w:pPr>
              <w:ind w:left="20"/>
              <w:spacing w:after="0"/>
              <w:rPr>
                <w:sz w:val="20"/>
                <w:szCs w:val="20"/>
                <w:color w:val="auto"/>
              </w:rPr>
            </w:pPr>
            <w:r>
              <w:rPr>
                <w:rFonts w:ascii="Arial" w:cs="Arial" w:eastAsia="Arial" w:hAnsi="Arial"/>
                <w:sz w:val="16"/>
                <w:szCs w:val="16"/>
                <w:color w:val="auto"/>
              </w:rPr>
              <w:t>Earnings (loss) per common share</w:t>
            </w: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9"/>
        </w:trPr>
        <w:tc>
          <w:tcPr>
            <w:tcW w:w="49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Basic</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(0.37)</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0.57</w:t>
            </w:r>
          </w:p>
        </w:tc>
      </w:tr>
      <w:tr>
        <w:trPr>
          <w:trHeight w:val="213"/>
        </w:trPr>
        <w:tc>
          <w:tcPr>
            <w:tcW w:w="4940" w:type="dxa"/>
            <w:vAlign w:val="bottom"/>
          </w:tcPr>
          <w:p>
            <w:pPr>
              <w:ind w:left="220"/>
              <w:spacing w:after="0"/>
              <w:rPr>
                <w:sz w:val="20"/>
                <w:szCs w:val="20"/>
                <w:color w:val="auto"/>
              </w:rPr>
            </w:pPr>
            <w:r>
              <w:rPr>
                <w:rFonts w:ascii="Arial" w:cs="Arial" w:eastAsia="Arial" w:hAnsi="Arial"/>
                <w:sz w:val="16"/>
                <w:szCs w:val="16"/>
                <w:color w:val="auto"/>
              </w:rPr>
              <w:t>Diluted</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2.05</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(0.37)</w:t>
            </w:r>
          </w:p>
        </w:tc>
        <w:tc>
          <w:tcPr>
            <w:tcW w:w="80" w:type="dxa"/>
            <w:vAlign w:val="bottom"/>
          </w:tcPr>
          <w:p>
            <w:pPr>
              <w:spacing w:after="0"/>
              <w:rPr>
                <w:sz w:val="18"/>
                <w:szCs w:val="18"/>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5.83</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0.57</w:t>
            </w:r>
          </w:p>
        </w:tc>
      </w:tr>
      <w:tr>
        <w:trPr>
          <w:trHeight w:val="260"/>
        </w:trPr>
        <w:tc>
          <w:tcPr>
            <w:tcW w:w="49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r>
      <w:tr>
        <w:trPr>
          <w:trHeight w:val="213"/>
        </w:trPr>
        <w:tc>
          <w:tcPr>
            <w:tcW w:w="4940" w:type="dxa"/>
            <w:vAlign w:val="bottom"/>
          </w:tcPr>
          <w:p>
            <w:pPr>
              <w:ind w:left="20"/>
              <w:spacing w:after="0"/>
              <w:rPr>
                <w:sz w:val="20"/>
                <w:szCs w:val="20"/>
                <w:color w:val="auto"/>
              </w:rPr>
            </w:pPr>
            <w:r>
              <w:rPr>
                <w:rFonts w:ascii="Arial" w:cs="Arial" w:eastAsia="Arial" w:hAnsi="Arial"/>
                <w:sz w:val="16"/>
                <w:szCs w:val="16"/>
                <w:color w:val="auto"/>
              </w:rPr>
              <w:t>Weighted average common shares outstanding</w:t>
            </w: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9"/>
        </w:trPr>
        <w:tc>
          <w:tcPr>
            <w:tcW w:w="49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Basic</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33,552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33,625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33,565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33,102</w:t>
            </w:r>
          </w:p>
        </w:tc>
      </w:tr>
      <w:tr>
        <w:trPr>
          <w:trHeight w:val="213"/>
        </w:trPr>
        <w:tc>
          <w:tcPr>
            <w:tcW w:w="4940" w:type="dxa"/>
            <w:vAlign w:val="bottom"/>
          </w:tcPr>
          <w:p>
            <w:pPr>
              <w:ind w:left="220"/>
              <w:spacing w:after="0"/>
              <w:rPr>
                <w:sz w:val="20"/>
                <w:szCs w:val="20"/>
                <w:color w:val="auto"/>
              </w:rPr>
            </w:pPr>
            <w:r>
              <w:rPr>
                <w:rFonts w:ascii="Arial" w:cs="Arial" w:eastAsia="Arial" w:hAnsi="Arial"/>
                <w:sz w:val="16"/>
                <w:szCs w:val="16"/>
                <w:color w:val="auto"/>
              </w:rPr>
              <w:t>Diluted</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34,772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33,625</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33,943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33,289</w:t>
            </w:r>
          </w:p>
        </w:tc>
      </w:tr>
      <w:tr>
        <w:trPr>
          <w:trHeight w:val="260"/>
        </w:trPr>
        <w:tc>
          <w:tcPr>
            <w:tcW w:w="49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r>
      <w:tr>
        <w:trPr>
          <w:trHeight w:val="213"/>
        </w:trPr>
        <w:tc>
          <w:tcPr>
            <w:tcW w:w="494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71,295</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(12,353)</w:t>
            </w:r>
          </w:p>
        </w:tc>
        <w:tc>
          <w:tcPr>
            <w:tcW w:w="80" w:type="dxa"/>
            <w:vAlign w:val="bottom"/>
          </w:tcPr>
          <w:p>
            <w:pPr>
              <w:spacing w:after="0"/>
              <w:rPr>
                <w:sz w:val="18"/>
                <w:szCs w:val="18"/>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197,786</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18,983</w:t>
            </w:r>
          </w:p>
        </w:tc>
      </w:tr>
      <w:tr>
        <w:trPr>
          <w:trHeight w:val="219"/>
        </w:trPr>
        <w:tc>
          <w:tcPr>
            <w:tcW w:w="4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income (loss), net of tax:</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13"/>
        </w:trPr>
        <w:tc>
          <w:tcPr>
            <w:tcW w:w="4940" w:type="dxa"/>
            <w:vAlign w:val="bottom"/>
          </w:tcPr>
          <w:p>
            <w:pPr>
              <w:ind w:left="220"/>
              <w:spacing w:after="0"/>
              <w:rPr>
                <w:sz w:val="20"/>
                <w:szCs w:val="20"/>
                <w:color w:val="auto"/>
              </w:rPr>
            </w:pPr>
            <w:r>
              <w:rPr>
                <w:rFonts w:ascii="Arial" w:cs="Arial" w:eastAsia="Arial" w:hAnsi="Arial"/>
                <w:sz w:val="16"/>
                <w:szCs w:val="16"/>
                <w:color w:val="auto"/>
              </w:rPr>
              <w:t>Amortization of net actuarial loss (net of tax of $3, $3, $9 and $9)</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216"/>
        </w:trPr>
        <w:tc>
          <w:tcPr>
            <w:tcW w:w="49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 rate swap activity (net of tax of $—, $141, $— and $163)</w:t>
            </w: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(432)</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w:t>
            </w:r>
          </w:p>
        </w:tc>
      </w:tr>
      <w:tr>
        <w:trPr>
          <w:trHeight w:val="209"/>
        </w:trPr>
        <w:tc>
          <w:tcPr>
            <w:tcW w:w="49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Other comprehensive income (loss)</w:t>
            </w:r>
          </w:p>
        </w:tc>
        <w:tc>
          <w:tcPr>
            <w:tcW w:w="30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(424)</w:t>
            </w:r>
          </w:p>
        </w:tc>
        <w:tc>
          <w:tcPr>
            <w:tcW w:w="8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1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(476)</w:t>
            </w:r>
          </w:p>
        </w:tc>
      </w:tr>
      <w:tr>
        <w:trPr>
          <w:trHeight w:val="238"/>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Comprehensive income (loss)</w:t>
            </w: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71,304</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(12,777)</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197,812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18,507</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39"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to Consolidated Financial Statements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3" w:name="page4"/>
    <w:bookmarkEnd w:id="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Winnebago Industries, Inc.</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Consolidated Balance Sheets</w:t>
      </w:r>
    </w:p>
    <w:p>
      <w:pPr>
        <w:spacing w:after="0" w:line="251" w:lineRule="exact"/>
        <w:rPr>
          <w:sz w:val="20"/>
          <w:szCs w:val="20"/>
          <w:color w:val="auto"/>
        </w:rPr>
      </w:pPr>
    </w:p>
    <w:tbl>
      <w:tblPr>
        <w:tblLayout w:type="fixed"/>
        <w:tblInd w:w="160" w:type="dxa"/>
        <w:tblCellMar>
          <w:top w:w="0" w:type="dxa"/>
          <w:left w:w="0" w:type="dxa"/>
          <w:bottom w:w="0" w:type="dxa"/>
          <w:right w:w="0" w:type="dxa"/>
        </w:tblCellMar>
      </w:tblPr>
      <w:tr>
        <w:trPr>
          <w:trHeight w:val="184"/>
        </w:trPr>
        <w:tc>
          <w:tcPr>
            <w:tcW w:w="7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May 29,</w:t>
            </w:r>
          </w:p>
        </w:tc>
        <w:tc>
          <w:tcPr>
            <w:tcW w:w="240" w:type="dxa"/>
            <w:vAlign w:val="bottom"/>
          </w:tcPr>
          <w:p>
            <w:pPr>
              <w:spacing w:after="0"/>
              <w:rPr>
                <w:sz w:val="16"/>
                <w:szCs w:val="16"/>
                <w:color w:val="auto"/>
              </w:rPr>
            </w:pPr>
          </w:p>
        </w:tc>
        <w:tc>
          <w:tcPr>
            <w:tcW w:w="1360" w:type="dxa"/>
            <w:vAlign w:val="bottom"/>
          </w:tcPr>
          <w:p>
            <w:pPr>
              <w:jc w:val="right"/>
              <w:ind w:right="299"/>
              <w:spacing w:after="0"/>
              <w:rPr>
                <w:sz w:val="20"/>
                <w:szCs w:val="20"/>
                <w:color w:val="auto"/>
              </w:rPr>
            </w:pPr>
            <w:r>
              <w:rPr>
                <w:rFonts w:ascii="Arial" w:cs="Arial" w:eastAsia="Arial" w:hAnsi="Arial"/>
                <w:sz w:val="16"/>
                <w:szCs w:val="16"/>
                <w:b w:val="1"/>
                <w:bCs w:val="1"/>
                <w:color w:val="auto"/>
              </w:rPr>
              <w:t>August 29,</w:t>
            </w:r>
          </w:p>
        </w:tc>
      </w:tr>
      <w:tr>
        <w:trPr>
          <w:trHeight w:val="215"/>
        </w:trPr>
        <w:tc>
          <w:tcPr>
            <w:tcW w:w="77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 thousands, except per share data)</w:t>
            </w: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2020</w:t>
            </w:r>
          </w:p>
        </w:tc>
      </w:tr>
      <w:tr>
        <w:trPr>
          <w:trHeight w:val="210"/>
        </w:trPr>
        <w:tc>
          <w:tcPr>
            <w:tcW w:w="7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center"/>
              <w:ind w:right="360"/>
              <w:spacing w:after="0"/>
              <w:rPr>
                <w:sz w:val="20"/>
                <w:szCs w:val="20"/>
                <w:color w:val="auto"/>
              </w:rPr>
            </w:pPr>
            <w:r>
              <w:rPr>
                <w:rFonts w:ascii="Arial" w:cs="Arial" w:eastAsia="Arial" w:hAnsi="Arial"/>
                <w:sz w:val="16"/>
                <w:szCs w:val="16"/>
                <w:color w:val="auto"/>
              </w:rPr>
              <w:t>(Unaudited)</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15"/>
        </w:trPr>
        <w:tc>
          <w:tcPr>
            <w:tcW w:w="776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7"/>
        </w:trPr>
        <w:tc>
          <w:tcPr>
            <w:tcW w:w="7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assets</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13"/>
        </w:trPr>
        <w:tc>
          <w:tcPr>
            <w:tcW w:w="7760" w:type="dxa"/>
            <w:vAlign w:val="bottom"/>
          </w:tcPr>
          <w:p>
            <w:pPr>
              <w:ind w:left="140"/>
              <w:spacing w:after="0"/>
              <w:rPr>
                <w:sz w:val="20"/>
                <w:szCs w:val="20"/>
                <w:color w:val="auto"/>
              </w:rPr>
            </w:pPr>
            <w:r>
              <w:rPr>
                <w:rFonts w:ascii="Arial" w:cs="Arial" w:eastAsia="Arial" w:hAnsi="Arial"/>
                <w:sz w:val="16"/>
                <w:szCs w:val="16"/>
                <w:color w:val="auto"/>
              </w:rPr>
              <w:t>Cash and cash equivalents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405,841</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292,575</w:t>
            </w:r>
          </w:p>
        </w:tc>
      </w:tr>
      <w:tr>
        <w:trPr>
          <w:trHeight w:val="219"/>
        </w:trPr>
        <w:tc>
          <w:tcPr>
            <w:tcW w:w="77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Receivables, less allowance for doubtful accounts ($287 and $353, respectively)</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228,199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220,798</w:t>
            </w:r>
          </w:p>
        </w:tc>
      </w:tr>
      <w:tr>
        <w:trPr>
          <w:trHeight w:val="213"/>
        </w:trPr>
        <w:tc>
          <w:tcPr>
            <w:tcW w:w="7760" w:type="dxa"/>
            <w:vAlign w:val="bottom"/>
          </w:tcPr>
          <w:p>
            <w:pPr>
              <w:ind w:left="140"/>
              <w:spacing w:after="0"/>
              <w:rPr>
                <w:sz w:val="20"/>
                <w:szCs w:val="20"/>
                <w:color w:val="auto"/>
              </w:rPr>
            </w:pPr>
            <w:r>
              <w:rPr>
                <w:rFonts w:ascii="Arial" w:cs="Arial" w:eastAsia="Arial" w:hAnsi="Arial"/>
                <w:sz w:val="16"/>
                <w:szCs w:val="16"/>
                <w:color w:val="auto"/>
              </w:rPr>
              <w:t>Inventories, net</w:t>
            </w: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333,018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182,941</w:t>
            </w:r>
          </w:p>
        </w:tc>
      </w:tr>
      <w:tr>
        <w:trPr>
          <w:trHeight w:val="216"/>
        </w:trPr>
        <w:tc>
          <w:tcPr>
            <w:tcW w:w="77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Prepaid expenses and other assets</w:t>
            </w:r>
          </w:p>
        </w:tc>
        <w:tc>
          <w:tcPr>
            <w:tcW w:w="2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21,559</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17,296</w:t>
            </w:r>
          </w:p>
        </w:tc>
      </w:tr>
      <w:tr>
        <w:trPr>
          <w:trHeight w:val="209"/>
        </w:trPr>
        <w:tc>
          <w:tcPr>
            <w:tcW w:w="776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Total current assets</w:t>
            </w: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988,617</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713,610</w:t>
            </w:r>
          </w:p>
        </w:tc>
      </w:tr>
      <w:tr>
        <w:trPr>
          <w:trHeight w:val="212"/>
        </w:trPr>
        <w:tc>
          <w:tcPr>
            <w:tcW w:w="7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plant, and equipment, net</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177,578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174,945</w:t>
            </w:r>
          </w:p>
        </w:tc>
      </w:tr>
      <w:tr>
        <w:trPr>
          <w:trHeight w:val="213"/>
        </w:trPr>
        <w:tc>
          <w:tcPr>
            <w:tcW w:w="7760" w:type="dxa"/>
            <w:vAlign w:val="bottom"/>
          </w:tcPr>
          <w:p>
            <w:pPr>
              <w:ind w:left="20"/>
              <w:spacing w:after="0"/>
              <w:rPr>
                <w:sz w:val="20"/>
                <w:szCs w:val="20"/>
                <w:color w:val="auto"/>
              </w:rPr>
            </w:pPr>
            <w:r>
              <w:rPr>
                <w:rFonts w:ascii="Arial" w:cs="Arial" w:eastAsia="Arial" w:hAnsi="Arial"/>
                <w:sz w:val="16"/>
                <w:szCs w:val="16"/>
                <w:color w:val="auto"/>
              </w:rPr>
              <w:t>Goodwill</w:t>
            </w: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348,058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348,058</w:t>
            </w:r>
          </w:p>
        </w:tc>
      </w:tr>
      <w:tr>
        <w:trPr>
          <w:trHeight w:val="219"/>
        </w:trPr>
        <w:tc>
          <w:tcPr>
            <w:tcW w:w="7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intangible assets, net</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393,997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404,768</w:t>
            </w:r>
          </w:p>
        </w:tc>
      </w:tr>
      <w:tr>
        <w:trPr>
          <w:trHeight w:val="213"/>
        </w:trPr>
        <w:tc>
          <w:tcPr>
            <w:tcW w:w="7760" w:type="dxa"/>
            <w:vAlign w:val="bottom"/>
          </w:tcPr>
          <w:p>
            <w:pPr>
              <w:ind w:left="20"/>
              <w:spacing w:after="0"/>
              <w:rPr>
                <w:sz w:val="20"/>
                <w:szCs w:val="20"/>
                <w:color w:val="auto"/>
              </w:rPr>
            </w:pPr>
            <w:r>
              <w:rPr>
                <w:rFonts w:ascii="Arial" w:cs="Arial" w:eastAsia="Arial" w:hAnsi="Arial"/>
                <w:sz w:val="16"/>
                <w:szCs w:val="16"/>
                <w:color w:val="auto"/>
              </w:rPr>
              <w:t>Investment in life insurance</w:t>
            </w: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28,381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27,838</w:t>
            </w:r>
          </w:p>
        </w:tc>
      </w:tr>
      <w:tr>
        <w:trPr>
          <w:trHeight w:val="219"/>
        </w:trPr>
        <w:tc>
          <w:tcPr>
            <w:tcW w:w="7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assets</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27,318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29,463</w:t>
            </w:r>
          </w:p>
        </w:tc>
      </w:tr>
      <w:tr>
        <w:trPr>
          <w:trHeight w:val="213"/>
        </w:trPr>
        <w:tc>
          <w:tcPr>
            <w:tcW w:w="77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long-term assets</w:t>
            </w: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15,821</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15,018</w:t>
            </w:r>
          </w:p>
        </w:tc>
      </w:tr>
      <w:tr>
        <w:trPr>
          <w:trHeight w:val="238"/>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assets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1,979,770</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1,713,700</w:t>
            </w: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7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216"/>
        </w:trPr>
        <w:tc>
          <w:tcPr>
            <w:tcW w:w="77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Shareholders' Equity</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13"/>
        </w:trPr>
        <w:tc>
          <w:tcPr>
            <w:tcW w:w="776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9"/>
        </w:trPr>
        <w:tc>
          <w:tcPr>
            <w:tcW w:w="77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Accounts payable</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173,008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132,490</w:t>
            </w:r>
          </w:p>
        </w:tc>
      </w:tr>
      <w:tr>
        <w:trPr>
          <w:trHeight w:val="213"/>
        </w:trPr>
        <w:tc>
          <w:tcPr>
            <w:tcW w:w="7760" w:type="dxa"/>
            <w:vAlign w:val="bottom"/>
          </w:tcPr>
          <w:p>
            <w:pPr>
              <w:ind w:left="140"/>
              <w:spacing w:after="0"/>
              <w:rPr>
                <w:sz w:val="20"/>
                <w:szCs w:val="20"/>
                <w:color w:val="auto"/>
              </w:rPr>
            </w:pPr>
            <w:r>
              <w:rPr>
                <w:rFonts w:ascii="Arial" w:cs="Arial" w:eastAsia="Arial" w:hAnsi="Arial"/>
                <w:sz w:val="16"/>
                <w:szCs w:val="16"/>
                <w:color w:val="auto"/>
              </w:rPr>
              <w:t>Income taxes payable</w:t>
            </w:r>
          </w:p>
        </w:tc>
        <w:tc>
          <w:tcPr>
            <w:tcW w:w="24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8,840</w:t>
            </w:r>
          </w:p>
        </w:tc>
      </w:tr>
      <w:tr>
        <w:trPr>
          <w:trHeight w:val="219"/>
        </w:trPr>
        <w:tc>
          <w:tcPr>
            <w:tcW w:w="77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Accrued expenses</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13"/>
        </w:trPr>
        <w:tc>
          <w:tcPr>
            <w:tcW w:w="7760" w:type="dxa"/>
            <w:vAlign w:val="bottom"/>
          </w:tcPr>
          <w:p>
            <w:pPr>
              <w:ind w:left="240"/>
              <w:spacing w:after="0"/>
              <w:rPr>
                <w:sz w:val="20"/>
                <w:szCs w:val="20"/>
                <w:color w:val="auto"/>
              </w:rPr>
            </w:pPr>
            <w:r>
              <w:rPr>
                <w:rFonts w:ascii="Arial" w:cs="Arial" w:eastAsia="Arial" w:hAnsi="Arial"/>
                <w:sz w:val="16"/>
                <w:szCs w:val="16"/>
                <w:color w:val="auto"/>
              </w:rPr>
              <w:t>Accrued compensation</w:t>
            </w: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59,412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36,533</w:t>
            </w:r>
          </w:p>
        </w:tc>
      </w:tr>
      <w:tr>
        <w:trPr>
          <w:trHeight w:val="219"/>
        </w:trPr>
        <w:tc>
          <w:tcPr>
            <w:tcW w:w="77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Product warranties</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82,062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64,031</w:t>
            </w:r>
          </w:p>
        </w:tc>
      </w:tr>
      <w:tr>
        <w:trPr>
          <w:trHeight w:val="213"/>
        </w:trPr>
        <w:tc>
          <w:tcPr>
            <w:tcW w:w="7760" w:type="dxa"/>
            <w:vAlign w:val="bottom"/>
          </w:tcPr>
          <w:p>
            <w:pPr>
              <w:ind w:left="240"/>
              <w:spacing w:after="0"/>
              <w:rPr>
                <w:sz w:val="20"/>
                <w:szCs w:val="20"/>
                <w:color w:val="auto"/>
              </w:rPr>
            </w:pPr>
            <w:r>
              <w:rPr>
                <w:rFonts w:ascii="Arial" w:cs="Arial" w:eastAsia="Arial" w:hAnsi="Arial"/>
                <w:sz w:val="16"/>
                <w:szCs w:val="16"/>
                <w:color w:val="auto"/>
              </w:rPr>
              <w:t>Self-insurance</w:t>
            </w: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18,237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17,437</w:t>
            </w:r>
          </w:p>
        </w:tc>
      </w:tr>
      <w:tr>
        <w:trPr>
          <w:trHeight w:val="219"/>
        </w:trPr>
        <w:tc>
          <w:tcPr>
            <w:tcW w:w="77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Promotional</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9,851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12,543</w:t>
            </w:r>
          </w:p>
        </w:tc>
      </w:tr>
      <w:tr>
        <w:trPr>
          <w:trHeight w:val="213"/>
        </w:trPr>
        <w:tc>
          <w:tcPr>
            <w:tcW w:w="7760" w:type="dxa"/>
            <w:vAlign w:val="bottom"/>
          </w:tcPr>
          <w:p>
            <w:pPr>
              <w:ind w:left="240"/>
              <w:spacing w:after="0"/>
              <w:rPr>
                <w:sz w:val="20"/>
                <w:szCs w:val="20"/>
                <w:color w:val="auto"/>
              </w:rPr>
            </w:pPr>
            <w:r>
              <w:rPr>
                <w:rFonts w:ascii="Arial" w:cs="Arial" w:eastAsia="Arial" w:hAnsi="Arial"/>
                <w:sz w:val="16"/>
                <w:szCs w:val="16"/>
                <w:color w:val="auto"/>
              </w:rPr>
              <w:t>Accrued interest</w:t>
            </w: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7,821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4,652</w:t>
            </w:r>
          </w:p>
        </w:tc>
      </w:tr>
      <w:tr>
        <w:trPr>
          <w:trHeight w:val="219"/>
        </w:trPr>
        <w:tc>
          <w:tcPr>
            <w:tcW w:w="77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Accrued dividends</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4,273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w:t>
            </w:r>
          </w:p>
        </w:tc>
      </w:tr>
      <w:tr>
        <w:trPr>
          <w:trHeight w:val="213"/>
        </w:trPr>
        <w:tc>
          <w:tcPr>
            <w:tcW w:w="776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20,946</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23,684</w:t>
            </w:r>
          </w:p>
        </w:tc>
      </w:tr>
      <w:tr>
        <w:trPr>
          <w:trHeight w:val="209"/>
        </w:trPr>
        <w:tc>
          <w:tcPr>
            <w:tcW w:w="7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current liabilities</w:t>
            </w:r>
          </w:p>
        </w:tc>
        <w:tc>
          <w:tcPr>
            <w:tcW w:w="2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375,610</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300,390</w:t>
            </w:r>
          </w:p>
        </w:tc>
      </w:tr>
      <w:tr>
        <w:trPr>
          <w:trHeight w:val="210"/>
        </w:trPr>
        <w:tc>
          <w:tcPr>
            <w:tcW w:w="7760" w:type="dxa"/>
            <w:vAlign w:val="bottom"/>
          </w:tcPr>
          <w:p>
            <w:pPr>
              <w:ind w:left="40"/>
              <w:spacing w:after="0"/>
              <w:rPr>
                <w:sz w:val="20"/>
                <w:szCs w:val="20"/>
                <w:color w:val="auto"/>
              </w:rPr>
            </w:pPr>
            <w:r>
              <w:rPr>
                <w:rFonts w:ascii="Arial" w:cs="Arial" w:eastAsia="Arial" w:hAnsi="Arial"/>
                <w:sz w:val="16"/>
                <w:szCs w:val="16"/>
                <w:color w:val="auto"/>
              </w:rPr>
              <w:t>Long-term debt, net</w:t>
            </w: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524,450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512,630</w:t>
            </w:r>
          </w:p>
        </w:tc>
      </w:tr>
      <w:tr>
        <w:trPr>
          <w:trHeight w:val="219"/>
        </w:trPr>
        <w:tc>
          <w:tcPr>
            <w:tcW w:w="776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Deferred income taxes</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14,852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15,608</w:t>
            </w:r>
          </w:p>
        </w:tc>
      </w:tr>
      <w:tr>
        <w:trPr>
          <w:trHeight w:val="213"/>
        </w:trPr>
        <w:tc>
          <w:tcPr>
            <w:tcW w:w="7760" w:type="dxa"/>
            <w:vAlign w:val="bottom"/>
          </w:tcPr>
          <w:p>
            <w:pPr>
              <w:ind w:left="40"/>
              <w:spacing w:after="0"/>
              <w:rPr>
                <w:sz w:val="20"/>
                <w:szCs w:val="20"/>
                <w:color w:val="auto"/>
              </w:rPr>
            </w:pPr>
            <w:r>
              <w:rPr>
                <w:rFonts w:ascii="Arial" w:cs="Arial" w:eastAsia="Arial" w:hAnsi="Arial"/>
                <w:sz w:val="16"/>
                <w:szCs w:val="16"/>
                <w:color w:val="auto"/>
              </w:rPr>
              <w:t>Unrecognized tax benefits</w:t>
            </w: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6,538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6,511</w:t>
            </w:r>
          </w:p>
        </w:tc>
      </w:tr>
      <w:tr>
        <w:trPr>
          <w:trHeight w:val="219"/>
        </w:trPr>
        <w:tc>
          <w:tcPr>
            <w:tcW w:w="7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liabilities</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25,391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27,048</w:t>
            </w:r>
          </w:p>
        </w:tc>
      </w:tr>
      <w:tr>
        <w:trPr>
          <w:trHeight w:val="213"/>
        </w:trPr>
        <w:tc>
          <w:tcPr>
            <w:tcW w:w="7760" w:type="dxa"/>
            <w:vAlign w:val="bottom"/>
          </w:tcPr>
          <w:p>
            <w:pPr>
              <w:ind w:left="40"/>
              <w:spacing w:after="0"/>
              <w:rPr>
                <w:sz w:val="20"/>
                <w:szCs w:val="20"/>
                <w:color w:val="auto"/>
              </w:rPr>
            </w:pPr>
            <w:r>
              <w:rPr>
                <w:rFonts w:ascii="Arial" w:cs="Arial" w:eastAsia="Arial" w:hAnsi="Arial"/>
                <w:sz w:val="16"/>
                <w:szCs w:val="16"/>
                <w:color w:val="auto"/>
              </w:rPr>
              <w:t>Deferred compensation benefits, net of current portion</w:t>
            </w: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9,920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11,130</w:t>
            </w:r>
          </w:p>
        </w:tc>
      </w:tr>
      <w:tr>
        <w:trPr>
          <w:trHeight w:val="219"/>
        </w:trPr>
        <w:tc>
          <w:tcPr>
            <w:tcW w:w="776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long-term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12,751</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12,917</w:t>
            </w:r>
          </w:p>
        </w:tc>
      </w:tr>
      <w:tr>
        <w:trPr>
          <w:trHeight w:val="209"/>
        </w:trPr>
        <w:tc>
          <w:tcPr>
            <w:tcW w:w="7760" w:type="dxa"/>
            <w:vAlign w:val="bottom"/>
            <w:tcBorders>
              <w:bottom w:val="single" w:sz="8" w:color="CCEEFF"/>
            </w:tcBorders>
          </w:tcPr>
          <w:p>
            <w:pPr>
              <w:ind w:left="240"/>
              <w:spacing w:after="0"/>
              <w:rPr>
                <w:sz w:val="20"/>
                <w:szCs w:val="20"/>
                <w:color w:val="auto"/>
              </w:rPr>
            </w:pPr>
            <w:r>
              <w:rPr>
                <w:rFonts w:ascii="Arial" w:cs="Arial" w:eastAsia="Arial" w:hAnsi="Arial"/>
                <w:sz w:val="16"/>
                <w:szCs w:val="16"/>
                <w:b w:val="1"/>
                <w:bCs w:val="1"/>
                <w:color w:val="auto"/>
              </w:rPr>
              <w:t>Total liabilities</w:t>
            </w: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969,512</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886,234</w:t>
            </w:r>
          </w:p>
        </w:tc>
      </w:tr>
      <w:tr>
        <w:trPr>
          <w:trHeight w:val="197"/>
        </w:trPr>
        <w:tc>
          <w:tcPr>
            <w:tcW w:w="7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Contingent liabilities and commitments (Note 10)</w:t>
            </w:r>
          </w:p>
        </w:tc>
        <w:tc>
          <w:tcPr>
            <w:tcW w:w="2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213"/>
        </w:trPr>
        <w:tc>
          <w:tcPr>
            <w:tcW w:w="7760" w:type="dxa"/>
            <w:vAlign w:val="bottom"/>
          </w:tcPr>
          <w:p>
            <w:pPr>
              <w:ind w:left="20"/>
              <w:spacing w:after="0"/>
              <w:rPr>
                <w:sz w:val="20"/>
                <w:szCs w:val="20"/>
                <w:color w:val="auto"/>
              </w:rPr>
            </w:pPr>
            <w:r>
              <w:rPr>
                <w:rFonts w:ascii="Arial" w:cs="Arial" w:eastAsia="Arial" w:hAnsi="Arial"/>
                <w:sz w:val="16"/>
                <w:szCs w:val="16"/>
                <w:color w:val="auto"/>
              </w:rPr>
              <w:t>Shareholders' equity</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9"/>
        </w:trPr>
        <w:tc>
          <w:tcPr>
            <w:tcW w:w="77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Preferred stock, par value $0.01: 10,000 shares authorized; Zero shares issued and outstanding</w:t>
            </w:r>
          </w:p>
        </w:tc>
        <w:tc>
          <w:tcPr>
            <w:tcW w:w="2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760" w:type="dxa"/>
            <w:vAlign w:val="bottom"/>
          </w:tcPr>
          <w:p>
            <w:pPr>
              <w:ind w:left="140"/>
              <w:spacing w:after="0"/>
              <w:rPr>
                <w:sz w:val="20"/>
                <w:szCs w:val="20"/>
                <w:color w:val="auto"/>
              </w:rPr>
            </w:pPr>
            <w:r>
              <w:rPr>
                <w:rFonts w:ascii="Arial" w:cs="Arial" w:eastAsia="Arial" w:hAnsi="Arial"/>
                <w:sz w:val="16"/>
                <w:szCs w:val="16"/>
                <w:color w:val="auto"/>
              </w:rPr>
              <w:t>Common stock, par value $0.50: 120,000 shares authorized; 51,776 shares issued and outstanding</w:t>
            </w: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25,888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25,888</w:t>
            </w:r>
          </w:p>
        </w:tc>
      </w:tr>
      <w:tr>
        <w:trPr>
          <w:trHeight w:val="219"/>
        </w:trPr>
        <w:tc>
          <w:tcPr>
            <w:tcW w:w="77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Additional paid-in capital</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214,460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203,791</w:t>
            </w:r>
          </w:p>
        </w:tc>
      </w:tr>
      <w:tr>
        <w:trPr>
          <w:trHeight w:val="213"/>
        </w:trPr>
        <w:tc>
          <w:tcPr>
            <w:tcW w:w="7760" w:type="dxa"/>
            <w:vAlign w:val="bottom"/>
          </w:tcPr>
          <w:p>
            <w:pPr>
              <w:ind w:left="140"/>
              <w:spacing w:after="0"/>
              <w:rPr>
                <w:sz w:val="20"/>
                <w:szCs w:val="20"/>
                <w:color w:val="auto"/>
              </w:rPr>
            </w:pPr>
            <w:r>
              <w:rPr>
                <w:rFonts w:ascii="Arial" w:cs="Arial" w:eastAsia="Arial" w:hAnsi="Arial"/>
                <w:sz w:val="16"/>
                <w:szCs w:val="16"/>
                <w:color w:val="auto"/>
              </w:rPr>
              <w:t>Retained earnings</w:t>
            </w: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1,095,167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913,610</w:t>
            </w:r>
          </w:p>
        </w:tc>
      </w:tr>
      <w:tr>
        <w:trPr>
          <w:trHeight w:val="219"/>
        </w:trPr>
        <w:tc>
          <w:tcPr>
            <w:tcW w:w="77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Accumulated other comprehensive loss</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(526)</w:t>
            </w:r>
          </w:p>
        </w:tc>
      </w:tr>
      <w:tr>
        <w:trPr>
          <w:trHeight w:val="213"/>
        </w:trPr>
        <w:tc>
          <w:tcPr>
            <w:tcW w:w="77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Treasury stock, at cost: 18,225 and 18,133 shares, respectively</w:t>
            </w: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(324,757)</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(315,297)</w:t>
            </w:r>
          </w:p>
        </w:tc>
      </w:tr>
      <w:tr>
        <w:trPr>
          <w:trHeight w:val="212"/>
        </w:trPr>
        <w:tc>
          <w:tcPr>
            <w:tcW w:w="7760" w:type="dxa"/>
            <w:vAlign w:val="bottom"/>
            <w:shd w:val="clear" w:color="auto" w:fill="CCEEFF"/>
          </w:tcPr>
          <w:p>
            <w:pPr>
              <w:ind w:left="240"/>
              <w:spacing w:after="0"/>
              <w:rPr>
                <w:sz w:val="20"/>
                <w:szCs w:val="20"/>
                <w:color w:val="auto"/>
              </w:rPr>
            </w:pPr>
            <w:r>
              <w:rPr>
                <w:rFonts w:ascii="Arial" w:cs="Arial" w:eastAsia="Arial" w:hAnsi="Arial"/>
                <w:sz w:val="16"/>
                <w:szCs w:val="16"/>
                <w:b w:val="1"/>
                <w:bCs w:val="1"/>
                <w:color w:val="auto"/>
              </w:rPr>
              <w:t>Total shareholders' equity</w:t>
            </w:r>
          </w:p>
        </w:tc>
        <w:tc>
          <w:tcPr>
            <w:tcW w:w="2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1,010,258</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827,466</w:t>
            </w:r>
          </w:p>
        </w:tc>
      </w:tr>
      <w:tr>
        <w:trPr>
          <w:trHeight w:val="210"/>
        </w:trPr>
        <w:tc>
          <w:tcPr>
            <w:tcW w:w="7760" w:type="dxa"/>
            <w:vAlign w:val="bottom"/>
          </w:tcPr>
          <w:p>
            <w:pPr>
              <w:ind w:left="20"/>
              <w:spacing w:after="0"/>
              <w:rPr>
                <w:sz w:val="20"/>
                <w:szCs w:val="20"/>
                <w:color w:val="auto"/>
              </w:rPr>
            </w:pPr>
            <w:r>
              <w:rPr>
                <w:rFonts w:ascii="Arial" w:cs="Arial" w:eastAsia="Arial" w:hAnsi="Arial"/>
                <w:sz w:val="16"/>
                <w:szCs w:val="16"/>
                <w:b w:val="1"/>
                <w:bCs w:val="1"/>
                <w:color w:val="auto"/>
              </w:rPr>
              <w:t>Total liabilities and shareholders' equity</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1,979,770</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1,713,700</w:t>
            </w:r>
          </w:p>
        </w:tc>
      </w:tr>
      <w:tr>
        <w:trPr>
          <w:trHeight w:val="20"/>
        </w:trPr>
        <w:tc>
          <w:tcPr>
            <w:tcW w:w="77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to Consolidated Financial Statements are an integral part of these consolidated financial statements.</w:t>
      </w:r>
    </w:p>
    <w:p>
      <w:pPr>
        <w:sectPr>
          <w:pgSz w:w="11900" w:h="16838" w:orient="portrait"/>
          <w:cols w:equalWidth="0" w:num="1">
            <w:col w:w="11240"/>
          </w:cols>
          <w:pgMar w:left="320" w:top="14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184"/>
        </w:trPr>
        <w:tc>
          <w:tcPr>
            <w:tcW w:w="7920" w:type="dxa"/>
            <w:vAlign w:val="bottom"/>
            <w:gridSpan w:val="3"/>
          </w:tcPr>
          <w:p>
            <w:pPr>
              <w:spacing w:after="0"/>
              <w:rPr>
                <w:rFonts w:ascii="Arial" w:cs="Arial" w:eastAsia="Arial" w:hAnsi="Arial"/>
                <w:sz w:val="16"/>
                <w:szCs w:val="16"/>
                <w:color w:val="0000FF"/>
              </w:rPr>
            </w:pPr>
            <w:hyperlink w:anchor="page1">
              <w:r>
                <w:rPr>
                  <w:rFonts w:ascii="Arial" w:cs="Arial" w:eastAsia="Arial" w:hAnsi="Arial"/>
                  <w:sz w:val="16"/>
                  <w:szCs w:val="16"/>
                  <w:color w:val="0000FF"/>
                </w:rPr>
                <w:t>Table of Contents</w:t>
              </w:r>
            </w:hyperlink>
          </w:p>
        </w:tc>
        <w:tc>
          <w:tcPr>
            <w:tcW w:w="3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0"/>
        </w:trPr>
        <w:tc>
          <w:tcPr>
            <w:tcW w:w="16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880"/>
        </w:trPr>
        <w:tc>
          <w:tcPr>
            <w:tcW w:w="7920" w:type="dxa"/>
            <w:vAlign w:val="bottom"/>
            <w:gridSpan w:val="3"/>
          </w:tcPr>
          <w:p>
            <w:pPr>
              <w:spacing w:after="0"/>
              <w:rPr>
                <w:sz w:val="20"/>
                <w:szCs w:val="20"/>
                <w:color w:val="auto"/>
              </w:rPr>
            </w:pPr>
            <w:r>
              <w:rPr>
                <w:rFonts w:ascii="Arial" w:cs="Arial" w:eastAsia="Arial" w:hAnsi="Arial"/>
                <w:sz w:val="16"/>
                <w:szCs w:val="16"/>
                <w:b w:val="1"/>
                <w:bCs w:val="1"/>
                <w:color w:val="auto"/>
              </w:rPr>
              <w:t>Winnebago Industries, Inc.</w:t>
            </w: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89"/>
        </w:trPr>
        <w:tc>
          <w:tcPr>
            <w:tcW w:w="7920" w:type="dxa"/>
            <w:vAlign w:val="bottom"/>
            <w:gridSpan w:val="3"/>
          </w:tcPr>
          <w:p>
            <w:pPr>
              <w:spacing w:after="0"/>
              <w:rPr>
                <w:sz w:val="20"/>
                <w:szCs w:val="20"/>
                <w:color w:val="auto"/>
              </w:rPr>
            </w:pPr>
            <w:r>
              <w:rPr>
                <w:rFonts w:ascii="Arial" w:cs="Arial" w:eastAsia="Arial" w:hAnsi="Arial"/>
                <w:sz w:val="16"/>
                <w:szCs w:val="16"/>
                <w:b w:val="1"/>
                <w:bCs w:val="1"/>
                <w:color w:val="auto"/>
              </w:rPr>
              <w:t>Consolidated Statements of Cash Flows</w:t>
            </w:r>
          </w:p>
        </w:tc>
        <w:tc>
          <w:tcPr>
            <w:tcW w:w="3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15"/>
        </w:trPr>
        <w:tc>
          <w:tcPr>
            <w:tcW w:w="7920" w:type="dxa"/>
            <w:vAlign w:val="bottom"/>
            <w:gridSpan w:val="3"/>
          </w:tcPr>
          <w:p>
            <w:pPr>
              <w:spacing w:after="0"/>
              <w:rPr>
                <w:sz w:val="20"/>
                <w:szCs w:val="20"/>
                <w:color w:val="auto"/>
              </w:rPr>
            </w:pPr>
            <w:r>
              <w:rPr>
                <w:rFonts w:ascii="Arial" w:cs="Arial" w:eastAsia="Arial" w:hAnsi="Arial"/>
                <w:sz w:val="16"/>
                <w:szCs w:val="16"/>
                <w:b w:val="1"/>
                <w:bCs w:val="1"/>
                <w:color w:val="auto"/>
              </w:rPr>
              <w:t>(Unaudited)</w:t>
            </w: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476"/>
        </w:trPr>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6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4"/>
          </w:tcPr>
          <w:p>
            <w:pPr>
              <w:jc w:val="right"/>
              <w:ind w:right="819"/>
              <w:spacing w:after="0"/>
              <w:rPr>
                <w:sz w:val="20"/>
                <w:szCs w:val="20"/>
                <w:color w:val="auto"/>
              </w:rPr>
            </w:pPr>
            <w:r>
              <w:rPr>
                <w:rFonts w:ascii="Arial" w:cs="Arial" w:eastAsia="Arial" w:hAnsi="Arial"/>
                <w:sz w:val="16"/>
                <w:szCs w:val="16"/>
                <w:b w:val="1"/>
                <w:bCs w:val="1"/>
                <w:color w:val="auto"/>
              </w:rPr>
              <w:t>Nine Months Ended</w:t>
            </w:r>
          </w:p>
        </w:tc>
      </w:tr>
      <w:tr>
        <w:trPr>
          <w:trHeight w:val="158"/>
        </w:trPr>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20" w:type="dxa"/>
            <w:vAlign w:val="bottom"/>
            <w:gridSpan w:val="2"/>
          </w:tcPr>
          <w:p>
            <w:pPr>
              <w:ind w:left="200"/>
              <w:spacing w:after="0" w:line="158" w:lineRule="exact"/>
              <w:rPr>
                <w:sz w:val="20"/>
                <w:szCs w:val="20"/>
                <w:color w:val="auto"/>
              </w:rPr>
            </w:pPr>
            <w:r>
              <w:rPr>
                <w:rFonts w:ascii="Arial" w:cs="Arial" w:eastAsia="Arial" w:hAnsi="Arial"/>
                <w:sz w:val="16"/>
                <w:szCs w:val="16"/>
                <w:b w:val="1"/>
                <w:bCs w:val="1"/>
                <w:color w:val="auto"/>
              </w:rPr>
              <w:t>May 29,</w:t>
            </w:r>
          </w:p>
        </w:tc>
        <w:tc>
          <w:tcPr>
            <w:tcW w:w="300" w:type="dxa"/>
            <w:vAlign w:val="bottom"/>
          </w:tcPr>
          <w:p>
            <w:pPr>
              <w:spacing w:after="0"/>
              <w:rPr>
                <w:sz w:val="13"/>
                <w:szCs w:val="13"/>
                <w:color w:val="auto"/>
              </w:rPr>
            </w:pPr>
          </w:p>
        </w:tc>
        <w:tc>
          <w:tcPr>
            <w:tcW w:w="1300" w:type="dxa"/>
            <w:vAlign w:val="bottom"/>
          </w:tcPr>
          <w:p>
            <w:pPr>
              <w:jc w:val="right"/>
              <w:ind w:right="439"/>
              <w:spacing w:after="0" w:line="158" w:lineRule="exact"/>
              <w:rPr>
                <w:sz w:val="20"/>
                <w:szCs w:val="20"/>
                <w:color w:val="auto"/>
              </w:rPr>
            </w:pPr>
            <w:r>
              <w:rPr>
                <w:rFonts w:ascii="Arial" w:cs="Arial" w:eastAsia="Arial" w:hAnsi="Arial"/>
                <w:sz w:val="16"/>
                <w:szCs w:val="16"/>
                <w:b w:val="1"/>
                <w:bCs w:val="1"/>
                <w:color w:val="auto"/>
              </w:rPr>
              <w:t>May 30,</w:t>
            </w:r>
          </w:p>
        </w:tc>
      </w:tr>
      <w:tr>
        <w:trPr>
          <w:trHeight w:val="215"/>
        </w:trPr>
        <w:tc>
          <w:tcPr>
            <w:tcW w:w="160" w:type="dxa"/>
            <w:vAlign w:val="bottom"/>
          </w:tcPr>
          <w:p>
            <w:pPr>
              <w:spacing w:after="0"/>
              <w:rPr>
                <w:sz w:val="18"/>
                <w:szCs w:val="18"/>
                <w:color w:val="auto"/>
              </w:rPr>
            </w:pPr>
          </w:p>
        </w:tc>
        <w:tc>
          <w:tcPr>
            <w:tcW w:w="776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color w:val="auto"/>
              </w:rPr>
              <w:t>(in thousands)</w:t>
            </w:r>
          </w:p>
        </w:tc>
        <w:tc>
          <w:tcPr>
            <w:tcW w:w="3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2020</w:t>
            </w:r>
          </w:p>
        </w:tc>
      </w:tr>
      <w:tr>
        <w:trPr>
          <w:trHeight w:val="210"/>
        </w:trPr>
        <w:tc>
          <w:tcPr>
            <w:tcW w:w="160" w:type="dxa"/>
            <w:vAlign w:val="bottom"/>
          </w:tcPr>
          <w:p>
            <w:pPr>
              <w:spacing w:after="0"/>
              <w:rPr>
                <w:sz w:val="18"/>
                <w:szCs w:val="18"/>
                <w:color w:val="auto"/>
              </w:rPr>
            </w:pPr>
          </w:p>
        </w:tc>
        <w:tc>
          <w:tcPr>
            <w:tcW w:w="776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13"/>
        </w:trPr>
        <w:tc>
          <w:tcPr>
            <w:tcW w:w="160" w:type="dxa"/>
            <w:vAlign w:val="bottom"/>
          </w:tcPr>
          <w:p>
            <w:pPr>
              <w:spacing w:after="0"/>
              <w:rPr>
                <w:sz w:val="18"/>
                <w:szCs w:val="18"/>
                <w:color w:val="auto"/>
              </w:rPr>
            </w:pPr>
          </w:p>
        </w:tc>
        <w:tc>
          <w:tcPr>
            <w:tcW w:w="7760" w:type="dxa"/>
            <w:vAlign w:val="bottom"/>
            <w:gridSpan w:val="2"/>
          </w:tcPr>
          <w:p>
            <w:pPr>
              <w:ind w:left="140"/>
              <w:spacing w:after="0"/>
              <w:rPr>
                <w:sz w:val="20"/>
                <w:szCs w:val="20"/>
                <w:color w:val="auto"/>
              </w:rPr>
            </w:pPr>
            <w:r>
              <w:rPr>
                <w:rFonts w:ascii="Arial" w:cs="Arial" w:eastAsia="Arial" w:hAnsi="Arial"/>
                <w:sz w:val="16"/>
                <w:szCs w:val="16"/>
                <w:color w:val="auto"/>
              </w:rPr>
              <w:t>Net income</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197,786</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18,983</w:t>
            </w:r>
          </w:p>
        </w:tc>
      </w:tr>
      <w:tr>
        <w:trPr>
          <w:trHeight w:val="219"/>
        </w:trPr>
        <w:tc>
          <w:tcPr>
            <w:tcW w:w="160" w:type="dxa"/>
            <w:vAlign w:val="bottom"/>
          </w:tcPr>
          <w:p>
            <w:pPr>
              <w:spacing w:after="0"/>
              <w:rPr>
                <w:sz w:val="19"/>
                <w:szCs w:val="19"/>
                <w:color w:val="auto"/>
              </w:rPr>
            </w:pPr>
          </w:p>
        </w:tc>
        <w:tc>
          <w:tcPr>
            <w:tcW w:w="77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Adjustments to reconcile net income to net cash provided by (used in) operating activities:</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13"/>
        </w:trPr>
        <w:tc>
          <w:tcPr>
            <w:tcW w:w="160" w:type="dxa"/>
            <w:vAlign w:val="bottom"/>
          </w:tcPr>
          <w:p>
            <w:pPr>
              <w:spacing w:after="0"/>
              <w:rPr>
                <w:sz w:val="18"/>
                <w:szCs w:val="18"/>
                <w:color w:val="auto"/>
              </w:rPr>
            </w:pPr>
          </w:p>
        </w:tc>
        <w:tc>
          <w:tcPr>
            <w:tcW w:w="7760" w:type="dxa"/>
            <w:vAlign w:val="bottom"/>
            <w:gridSpan w:val="2"/>
          </w:tcPr>
          <w:p>
            <w:pPr>
              <w:ind w:left="240"/>
              <w:spacing w:after="0"/>
              <w:rPr>
                <w:sz w:val="20"/>
                <w:szCs w:val="20"/>
                <w:color w:val="auto"/>
              </w:rPr>
            </w:pPr>
            <w:r>
              <w:rPr>
                <w:rFonts w:ascii="Arial" w:cs="Arial" w:eastAsia="Arial" w:hAnsi="Arial"/>
                <w:sz w:val="16"/>
                <w:szCs w:val="16"/>
                <w:color w:val="auto"/>
              </w:rPr>
              <w:t>Depreciation</w:t>
            </w:r>
          </w:p>
        </w:tc>
        <w:tc>
          <w:tcPr>
            <w:tcW w:w="3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13,476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11,854</w:t>
            </w:r>
          </w:p>
        </w:tc>
      </w:tr>
      <w:tr>
        <w:trPr>
          <w:trHeight w:val="219"/>
        </w:trPr>
        <w:tc>
          <w:tcPr>
            <w:tcW w:w="160" w:type="dxa"/>
            <w:vAlign w:val="bottom"/>
          </w:tcPr>
          <w:p>
            <w:pPr>
              <w:spacing w:after="0"/>
              <w:rPr>
                <w:sz w:val="19"/>
                <w:szCs w:val="19"/>
                <w:color w:val="auto"/>
              </w:rPr>
            </w:pPr>
          </w:p>
        </w:tc>
        <w:tc>
          <w:tcPr>
            <w:tcW w:w="776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Amortization</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10,771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18,514</w:t>
            </w:r>
          </w:p>
        </w:tc>
      </w:tr>
      <w:tr>
        <w:trPr>
          <w:trHeight w:val="213"/>
        </w:trPr>
        <w:tc>
          <w:tcPr>
            <w:tcW w:w="160" w:type="dxa"/>
            <w:vAlign w:val="bottom"/>
          </w:tcPr>
          <w:p>
            <w:pPr>
              <w:spacing w:after="0"/>
              <w:rPr>
                <w:sz w:val="18"/>
                <w:szCs w:val="18"/>
                <w:color w:val="auto"/>
              </w:rPr>
            </w:pPr>
          </w:p>
        </w:tc>
        <w:tc>
          <w:tcPr>
            <w:tcW w:w="7760" w:type="dxa"/>
            <w:vAlign w:val="bottom"/>
            <w:gridSpan w:val="2"/>
          </w:tcPr>
          <w:p>
            <w:pPr>
              <w:ind w:left="240"/>
              <w:spacing w:after="0"/>
              <w:rPr>
                <w:sz w:val="20"/>
                <w:szCs w:val="20"/>
                <w:color w:val="auto"/>
              </w:rPr>
            </w:pPr>
            <w:r>
              <w:rPr>
                <w:rFonts w:ascii="Arial" w:cs="Arial" w:eastAsia="Arial" w:hAnsi="Arial"/>
                <w:sz w:val="16"/>
                <w:szCs w:val="16"/>
                <w:color w:val="auto"/>
              </w:rPr>
              <w:t>Non-cash interest expense, net</w:t>
            </w:r>
          </w:p>
        </w:tc>
        <w:tc>
          <w:tcPr>
            <w:tcW w:w="3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10,372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7,440</w:t>
            </w:r>
          </w:p>
        </w:tc>
      </w:tr>
      <w:tr>
        <w:trPr>
          <w:trHeight w:val="219"/>
        </w:trPr>
        <w:tc>
          <w:tcPr>
            <w:tcW w:w="160" w:type="dxa"/>
            <w:vAlign w:val="bottom"/>
          </w:tcPr>
          <w:p>
            <w:pPr>
              <w:spacing w:after="0"/>
              <w:rPr>
                <w:sz w:val="19"/>
                <w:szCs w:val="19"/>
                <w:color w:val="auto"/>
              </w:rPr>
            </w:pPr>
          </w:p>
        </w:tc>
        <w:tc>
          <w:tcPr>
            <w:tcW w:w="776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Amortization of debt issuance costs</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2,181</w:t>
            </w:r>
          </w:p>
        </w:tc>
      </w:tr>
      <w:tr>
        <w:trPr>
          <w:trHeight w:val="213"/>
        </w:trPr>
        <w:tc>
          <w:tcPr>
            <w:tcW w:w="160" w:type="dxa"/>
            <w:vAlign w:val="bottom"/>
          </w:tcPr>
          <w:p>
            <w:pPr>
              <w:spacing w:after="0"/>
              <w:rPr>
                <w:sz w:val="18"/>
                <w:szCs w:val="18"/>
                <w:color w:val="auto"/>
              </w:rPr>
            </w:pPr>
          </w:p>
        </w:tc>
        <w:tc>
          <w:tcPr>
            <w:tcW w:w="7760" w:type="dxa"/>
            <w:vAlign w:val="bottom"/>
            <w:gridSpan w:val="2"/>
          </w:tcPr>
          <w:p>
            <w:pPr>
              <w:ind w:left="240"/>
              <w:spacing w:after="0"/>
              <w:rPr>
                <w:sz w:val="20"/>
                <w:szCs w:val="20"/>
                <w:color w:val="auto"/>
              </w:rPr>
            </w:pPr>
            <w:r>
              <w:rPr>
                <w:rFonts w:ascii="Arial" w:cs="Arial" w:eastAsia="Arial" w:hAnsi="Arial"/>
                <w:sz w:val="16"/>
                <w:szCs w:val="16"/>
                <w:color w:val="auto"/>
              </w:rPr>
              <w:t>Last-in, first-out expense</w:t>
            </w:r>
          </w:p>
        </w:tc>
        <w:tc>
          <w:tcPr>
            <w:tcW w:w="3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2,321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1,450</w:t>
            </w:r>
          </w:p>
        </w:tc>
      </w:tr>
      <w:tr>
        <w:trPr>
          <w:trHeight w:val="219"/>
        </w:trPr>
        <w:tc>
          <w:tcPr>
            <w:tcW w:w="160" w:type="dxa"/>
            <w:vAlign w:val="bottom"/>
          </w:tcPr>
          <w:p>
            <w:pPr>
              <w:spacing w:after="0"/>
              <w:rPr>
                <w:sz w:val="19"/>
                <w:szCs w:val="19"/>
                <w:color w:val="auto"/>
              </w:rPr>
            </w:pPr>
          </w:p>
        </w:tc>
        <w:tc>
          <w:tcPr>
            <w:tcW w:w="776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Stock-based compensation</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11,719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3,332</w:t>
            </w:r>
          </w:p>
        </w:tc>
      </w:tr>
      <w:tr>
        <w:trPr>
          <w:trHeight w:val="213"/>
        </w:trPr>
        <w:tc>
          <w:tcPr>
            <w:tcW w:w="160" w:type="dxa"/>
            <w:vAlign w:val="bottom"/>
          </w:tcPr>
          <w:p>
            <w:pPr>
              <w:spacing w:after="0"/>
              <w:rPr>
                <w:sz w:val="18"/>
                <w:szCs w:val="18"/>
                <w:color w:val="auto"/>
              </w:rPr>
            </w:pPr>
          </w:p>
        </w:tc>
        <w:tc>
          <w:tcPr>
            <w:tcW w:w="7760" w:type="dxa"/>
            <w:vAlign w:val="bottom"/>
            <w:gridSpan w:val="2"/>
          </w:tcPr>
          <w:p>
            <w:pPr>
              <w:ind w:left="240"/>
              <w:spacing w:after="0"/>
              <w:rPr>
                <w:sz w:val="20"/>
                <w:szCs w:val="20"/>
                <w:color w:val="auto"/>
              </w:rPr>
            </w:pPr>
            <w:r>
              <w:rPr>
                <w:rFonts w:ascii="Arial" w:cs="Arial" w:eastAsia="Arial" w:hAnsi="Arial"/>
                <w:sz w:val="16"/>
                <w:szCs w:val="16"/>
                <w:color w:val="auto"/>
              </w:rPr>
              <w:t>Deferred income taxes</w:t>
            </w:r>
          </w:p>
        </w:tc>
        <w:tc>
          <w:tcPr>
            <w:tcW w:w="3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(765)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365</w:t>
            </w:r>
          </w:p>
        </w:tc>
      </w:tr>
      <w:tr>
        <w:trPr>
          <w:trHeight w:val="219"/>
        </w:trPr>
        <w:tc>
          <w:tcPr>
            <w:tcW w:w="160" w:type="dxa"/>
            <w:vAlign w:val="bottom"/>
          </w:tcPr>
          <w:p>
            <w:pPr>
              <w:spacing w:after="0"/>
              <w:rPr>
                <w:sz w:val="19"/>
                <w:szCs w:val="19"/>
                <w:color w:val="auto"/>
              </w:rPr>
            </w:pPr>
          </w:p>
        </w:tc>
        <w:tc>
          <w:tcPr>
            <w:tcW w:w="776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Other, net</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(4,412)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516</w:t>
            </w:r>
          </w:p>
        </w:tc>
      </w:tr>
      <w:tr>
        <w:trPr>
          <w:trHeight w:val="213"/>
        </w:trPr>
        <w:tc>
          <w:tcPr>
            <w:tcW w:w="160" w:type="dxa"/>
            <w:vAlign w:val="bottom"/>
          </w:tcPr>
          <w:p>
            <w:pPr>
              <w:spacing w:after="0"/>
              <w:rPr>
                <w:sz w:val="18"/>
                <w:szCs w:val="18"/>
                <w:color w:val="auto"/>
              </w:rPr>
            </w:pPr>
          </w:p>
        </w:tc>
        <w:tc>
          <w:tcPr>
            <w:tcW w:w="7760" w:type="dxa"/>
            <w:vAlign w:val="bottom"/>
            <w:gridSpan w:val="2"/>
          </w:tcPr>
          <w:p>
            <w:pPr>
              <w:ind w:left="140"/>
              <w:spacing w:after="0"/>
              <w:rPr>
                <w:sz w:val="20"/>
                <w:szCs w:val="20"/>
                <w:color w:val="auto"/>
              </w:rPr>
            </w:pPr>
            <w:r>
              <w:rPr>
                <w:rFonts w:ascii="Arial" w:cs="Arial" w:eastAsia="Arial" w:hAnsi="Arial"/>
                <w:sz w:val="16"/>
                <w:szCs w:val="16"/>
                <w:color w:val="auto"/>
              </w:rPr>
              <w:t>Change in operating assets and liabilities:</w:t>
            </w: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9"/>
        </w:trPr>
        <w:tc>
          <w:tcPr>
            <w:tcW w:w="160" w:type="dxa"/>
            <w:vAlign w:val="bottom"/>
          </w:tcPr>
          <w:p>
            <w:pPr>
              <w:spacing w:after="0"/>
              <w:rPr>
                <w:sz w:val="19"/>
                <w:szCs w:val="19"/>
                <w:color w:val="auto"/>
              </w:rPr>
            </w:pPr>
          </w:p>
        </w:tc>
        <w:tc>
          <w:tcPr>
            <w:tcW w:w="776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Receivables, net</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(7,384)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31,440</w:t>
            </w:r>
          </w:p>
        </w:tc>
      </w:tr>
      <w:tr>
        <w:trPr>
          <w:trHeight w:val="213"/>
        </w:trPr>
        <w:tc>
          <w:tcPr>
            <w:tcW w:w="160" w:type="dxa"/>
            <w:vAlign w:val="bottom"/>
          </w:tcPr>
          <w:p>
            <w:pPr>
              <w:spacing w:after="0"/>
              <w:rPr>
                <w:sz w:val="18"/>
                <w:szCs w:val="18"/>
                <w:color w:val="auto"/>
              </w:rPr>
            </w:pPr>
          </w:p>
        </w:tc>
        <w:tc>
          <w:tcPr>
            <w:tcW w:w="7760" w:type="dxa"/>
            <w:vAlign w:val="bottom"/>
            <w:gridSpan w:val="2"/>
          </w:tcPr>
          <w:p>
            <w:pPr>
              <w:ind w:left="240"/>
              <w:spacing w:after="0"/>
              <w:rPr>
                <w:sz w:val="20"/>
                <w:szCs w:val="20"/>
                <w:color w:val="auto"/>
              </w:rPr>
            </w:pPr>
            <w:r>
              <w:rPr>
                <w:rFonts w:ascii="Arial" w:cs="Arial" w:eastAsia="Arial" w:hAnsi="Arial"/>
                <w:sz w:val="16"/>
                <w:szCs w:val="16"/>
                <w:color w:val="auto"/>
              </w:rPr>
              <w:t>Inventories, net</w:t>
            </w:r>
          </w:p>
        </w:tc>
        <w:tc>
          <w:tcPr>
            <w:tcW w:w="3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(152,398)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91,938</w:t>
            </w:r>
          </w:p>
        </w:tc>
      </w:tr>
      <w:tr>
        <w:trPr>
          <w:trHeight w:val="219"/>
        </w:trPr>
        <w:tc>
          <w:tcPr>
            <w:tcW w:w="160" w:type="dxa"/>
            <w:vAlign w:val="bottom"/>
          </w:tcPr>
          <w:p>
            <w:pPr>
              <w:spacing w:after="0"/>
              <w:rPr>
                <w:sz w:val="19"/>
                <w:szCs w:val="19"/>
                <w:color w:val="auto"/>
              </w:rPr>
            </w:pPr>
          </w:p>
        </w:tc>
        <w:tc>
          <w:tcPr>
            <w:tcW w:w="776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Prepaid expenses and other assets</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w:t>
            </w:r>
          </w:p>
        </w:tc>
      </w:tr>
      <w:tr>
        <w:trPr>
          <w:trHeight w:val="213"/>
        </w:trPr>
        <w:tc>
          <w:tcPr>
            <w:tcW w:w="160" w:type="dxa"/>
            <w:vAlign w:val="bottom"/>
          </w:tcPr>
          <w:p>
            <w:pPr>
              <w:spacing w:after="0"/>
              <w:rPr>
                <w:sz w:val="18"/>
                <w:szCs w:val="18"/>
                <w:color w:val="auto"/>
              </w:rPr>
            </w:pPr>
          </w:p>
        </w:tc>
        <w:tc>
          <w:tcPr>
            <w:tcW w:w="7760" w:type="dxa"/>
            <w:vAlign w:val="bottom"/>
            <w:gridSpan w:val="2"/>
          </w:tcPr>
          <w:p>
            <w:pPr>
              <w:ind w:left="240"/>
              <w:spacing w:after="0"/>
              <w:rPr>
                <w:sz w:val="20"/>
                <w:szCs w:val="20"/>
                <w:color w:val="auto"/>
              </w:rPr>
            </w:pPr>
            <w:r>
              <w:rPr>
                <w:rFonts w:ascii="Arial" w:cs="Arial" w:eastAsia="Arial" w:hAnsi="Arial"/>
                <w:sz w:val="16"/>
                <w:szCs w:val="16"/>
                <w:color w:val="auto"/>
              </w:rPr>
              <w:t>Accounts payable</w:t>
            </w:r>
          </w:p>
        </w:tc>
        <w:tc>
          <w:tcPr>
            <w:tcW w:w="3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40,817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(13,528)</w:t>
            </w:r>
          </w:p>
        </w:tc>
      </w:tr>
      <w:tr>
        <w:trPr>
          <w:trHeight w:val="219"/>
        </w:trPr>
        <w:tc>
          <w:tcPr>
            <w:tcW w:w="160" w:type="dxa"/>
            <w:vAlign w:val="bottom"/>
          </w:tcPr>
          <w:p>
            <w:pPr>
              <w:spacing w:after="0"/>
              <w:rPr>
                <w:sz w:val="19"/>
                <w:szCs w:val="19"/>
                <w:color w:val="auto"/>
              </w:rPr>
            </w:pPr>
          </w:p>
        </w:tc>
        <w:tc>
          <w:tcPr>
            <w:tcW w:w="776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Income taxes and unrecognized tax benefits</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(12,771)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(2,622)</w:t>
            </w:r>
          </w:p>
        </w:tc>
      </w:tr>
      <w:tr>
        <w:trPr>
          <w:trHeight w:val="213"/>
        </w:trPr>
        <w:tc>
          <w:tcPr>
            <w:tcW w:w="160" w:type="dxa"/>
            <w:vAlign w:val="bottom"/>
          </w:tcPr>
          <w:p>
            <w:pPr>
              <w:spacing w:after="0"/>
              <w:rPr>
                <w:sz w:val="18"/>
                <w:szCs w:val="18"/>
                <w:color w:val="auto"/>
              </w:rPr>
            </w:pPr>
          </w:p>
        </w:tc>
        <w:tc>
          <w:tcPr>
            <w:tcW w:w="7760" w:type="dxa"/>
            <w:vAlign w:val="bottom"/>
            <w:tcBorders>
              <w:bottom w:val="single" w:sz="8" w:color="CCEEFF"/>
            </w:tcBorders>
            <w:gridSpan w:val="2"/>
          </w:tcPr>
          <w:p>
            <w:pPr>
              <w:ind w:left="240"/>
              <w:spacing w:after="0"/>
              <w:rPr>
                <w:sz w:val="20"/>
                <w:szCs w:val="20"/>
                <w:color w:val="auto"/>
              </w:rPr>
            </w:pPr>
            <w:r>
              <w:rPr>
                <w:rFonts w:ascii="Arial" w:cs="Arial" w:eastAsia="Arial" w:hAnsi="Arial"/>
                <w:sz w:val="16"/>
                <w:szCs w:val="16"/>
                <w:color w:val="auto"/>
              </w:rPr>
              <w:t>Accrued expenses and other liabilities</w:t>
            </w:r>
          </w:p>
        </w:tc>
        <w:tc>
          <w:tcPr>
            <w:tcW w:w="3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35,560</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(9,585)</w:t>
            </w:r>
          </w:p>
        </w:tc>
      </w:tr>
      <w:tr>
        <w:trPr>
          <w:trHeight w:val="212"/>
        </w:trPr>
        <w:tc>
          <w:tcPr>
            <w:tcW w:w="160" w:type="dxa"/>
            <w:vAlign w:val="bottom"/>
          </w:tcPr>
          <w:p>
            <w:pPr>
              <w:spacing w:after="0"/>
              <w:rPr>
                <w:sz w:val="18"/>
                <w:szCs w:val="18"/>
                <w:color w:val="auto"/>
              </w:rPr>
            </w:pPr>
          </w:p>
        </w:tc>
        <w:tc>
          <w:tcPr>
            <w:tcW w:w="776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Net cash provided by (used in) operating activities</w:t>
            </w:r>
          </w:p>
        </w:tc>
        <w:tc>
          <w:tcPr>
            <w:tcW w:w="3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147,954</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162,437</w:t>
            </w:r>
          </w:p>
        </w:tc>
      </w:tr>
      <w:tr>
        <w:trPr>
          <w:trHeight w:val="183"/>
        </w:trPr>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216"/>
        </w:trPr>
        <w:tc>
          <w:tcPr>
            <w:tcW w:w="160" w:type="dxa"/>
            <w:vAlign w:val="bottom"/>
          </w:tcPr>
          <w:p>
            <w:pPr>
              <w:spacing w:after="0"/>
              <w:rPr>
                <w:sz w:val="18"/>
                <w:szCs w:val="18"/>
                <w:color w:val="auto"/>
              </w:rPr>
            </w:pPr>
          </w:p>
        </w:tc>
        <w:tc>
          <w:tcPr>
            <w:tcW w:w="776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13"/>
        </w:trPr>
        <w:tc>
          <w:tcPr>
            <w:tcW w:w="160" w:type="dxa"/>
            <w:vAlign w:val="bottom"/>
          </w:tcPr>
          <w:p>
            <w:pPr>
              <w:spacing w:after="0"/>
              <w:rPr>
                <w:sz w:val="18"/>
                <w:szCs w:val="18"/>
                <w:color w:val="auto"/>
              </w:rPr>
            </w:pPr>
          </w:p>
        </w:tc>
        <w:tc>
          <w:tcPr>
            <w:tcW w:w="7760" w:type="dxa"/>
            <w:vAlign w:val="bottom"/>
            <w:gridSpan w:val="2"/>
          </w:tcPr>
          <w:p>
            <w:pPr>
              <w:ind w:left="140"/>
              <w:spacing w:after="0"/>
              <w:rPr>
                <w:sz w:val="20"/>
                <w:szCs w:val="20"/>
                <w:color w:val="auto"/>
              </w:rPr>
            </w:pPr>
            <w:r>
              <w:rPr>
                <w:rFonts w:ascii="Arial" w:cs="Arial" w:eastAsia="Arial" w:hAnsi="Arial"/>
                <w:sz w:val="16"/>
                <w:szCs w:val="16"/>
                <w:color w:val="auto"/>
              </w:rPr>
              <w:t>Purchases of property, plant and equipment</w:t>
            </w:r>
          </w:p>
        </w:tc>
        <w:tc>
          <w:tcPr>
            <w:tcW w:w="3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(23,596)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(28,582)</w:t>
            </w:r>
          </w:p>
        </w:tc>
      </w:tr>
      <w:tr>
        <w:trPr>
          <w:trHeight w:val="219"/>
        </w:trPr>
        <w:tc>
          <w:tcPr>
            <w:tcW w:w="160" w:type="dxa"/>
            <w:vAlign w:val="bottom"/>
          </w:tcPr>
          <w:p>
            <w:pPr>
              <w:spacing w:after="0"/>
              <w:rPr>
                <w:sz w:val="19"/>
                <w:szCs w:val="19"/>
                <w:color w:val="auto"/>
              </w:rPr>
            </w:pPr>
          </w:p>
        </w:tc>
        <w:tc>
          <w:tcPr>
            <w:tcW w:w="77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Acquisition of business, net of cash acquired</w:t>
            </w:r>
          </w:p>
        </w:tc>
        <w:tc>
          <w:tcPr>
            <w:tcW w:w="3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(260,965)</w:t>
            </w:r>
          </w:p>
        </w:tc>
      </w:tr>
      <w:tr>
        <w:trPr>
          <w:trHeight w:val="213"/>
        </w:trPr>
        <w:tc>
          <w:tcPr>
            <w:tcW w:w="160" w:type="dxa"/>
            <w:vAlign w:val="bottom"/>
          </w:tcPr>
          <w:p>
            <w:pPr>
              <w:spacing w:after="0"/>
              <w:rPr>
                <w:sz w:val="18"/>
                <w:szCs w:val="18"/>
                <w:color w:val="auto"/>
              </w:rPr>
            </w:pPr>
          </w:p>
        </w:tc>
        <w:tc>
          <w:tcPr>
            <w:tcW w:w="7760" w:type="dxa"/>
            <w:vAlign w:val="bottom"/>
            <w:gridSpan w:val="2"/>
          </w:tcPr>
          <w:p>
            <w:pPr>
              <w:ind w:left="140"/>
              <w:spacing w:after="0"/>
              <w:rPr>
                <w:sz w:val="20"/>
                <w:szCs w:val="20"/>
                <w:color w:val="auto"/>
              </w:rPr>
            </w:pPr>
            <w:r>
              <w:rPr>
                <w:rFonts w:ascii="Arial" w:cs="Arial" w:eastAsia="Arial" w:hAnsi="Arial"/>
                <w:sz w:val="16"/>
                <w:szCs w:val="16"/>
                <w:color w:val="auto"/>
              </w:rPr>
              <w:t>Proceeds from sale of property, plant and equipment</w:t>
            </w:r>
          </w:p>
        </w:tc>
        <w:tc>
          <w:tcPr>
            <w:tcW w:w="3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12,450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160" w:type="dxa"/>
            <w:vAlign w:val="bottom"/>
          </w:tcPr>
          <w:p>
            <w:pPr>
              <w:spacing w:after="0"/>
              <w:rPr>
                <w:sz w:val="19"/>
                <w:szCs w:val="19"/>
                <w:color w:val="auto"/>
              </w:rPr>
            </w:pPr>
          </w:p>
        </w:tc>
        <w:tc>
          <w:tcPr>
            <w:tcW w:w="77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Other, net</w:t>
            </w:r>
          </w:p>
        </w:tc>
        <w:tc>
          <w:tcPr>
            <w:tcW w:w="3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(224)</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w:t>
            </w:r>
          </w:p>
        </w:tc>
      </w:tr>
      <w:tr>
        <w:trPr>
          <w:trHeight w:val="209"/>
        </w:trPr>
        <w:tc>
          <w:tcPr>
            <w:tcW w:w="160" w:type="dxa"/>
            <w:vAlign w:val="bottom"/>
          </w:tcPr>
          <w:p>
            <w:pPr>
              <w:spacing w:after="0"/>
              <w:rPr>
                <w:sz w:val="18"/>
                <w:szCs w:val="18"/>
                <w:color w:val="auto"/>
              </w:rPr>
            </w:pPr>
          </w:p>
        </w:tc>
        <w:tc>
          <w:tcPr>
            <w:tcW w:w="77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b w:val="1"/>
                <w:bCs w:val="1"/>
                <w:color w:val="auto"/>
              </w:rPr>
              <w:t>Net cash provided by (used in) investing activities</w:t>
            </w:r>
          </w:p>
        </w:tc>
        <w:tc>
          <w:tcPr>
            <w:tcW w:w="3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(11,370)</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(289,406)</w:t>
            </w:r>
          </w:p>
        </w:tc>
      </w:tr>
      <w:tr>
        <w:trPr>
          <w:trHeight w:val="183"/>
        </w:trPr>
        <w:tc>
          <w:tcPr>
            <w:tcW w:w="160" w:type="dxa"/>
            <w:vAlign w:val="bottom"/>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66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r>
        <w:trPr>
          <w:trHeight w:val="215"/>
        </w:trPr>
        <w:tc>
          <w:tcPr>
            <w:tcW w:w="160" w:type="dxa"/>
            <w:vAlign w:val="bottom"/>
          </w:tcPr>
          <w:p>
            <w:pPr>
              <w:spacing w:after="0"/>
              <w:rPr>
                <w:sz w:val="18"/>
                <w:szCs w:val="18"/>
                <w:color w:val="auto"/>
              </w:rPr>
            </w:pPr>
          </w:p>
        </w:tc>
        <w:tc>
          <w:tcPr>
            <w:tcW w:w="7760" w:type="dxa"/>
            <w:vAlign w:val="bottom"/>
            <w:gridSpan w:val="2"/>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7"/>
        </w:trPr>
        <w:tc>
          <w:tcPr>
            <w:tcW w:w="160" w:type="dxa"/>
            <w:vAlign w:val="bottom"/>
          </w:tcPr>
          <w:p>
            <w:pPr>
              <w:spacing w:after="0"/>
              <w:rPr>
                <w:sz w:val="18"/>
                <w:szCs w:val="18"/>
                <w:color w:val="auto"/>
              </w:rPr>
            </w:pPr>
          </w:p>
        </w:tc>
        <w:tc>
          <w:tcPr>
            <w:tcW w:w="77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Borrowings on long-term debt</w:t>
            </w: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2,629,932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1,795,209</w:t>
            </w:r>
          </w:p>
        </w:tc>
      </w:tr>
      <w:tr>
        <w:trPr>
          <w:trHeight w:val="213"/>
        </w:trPr>
        <w:tc>
          <w:tcPr>
            <w:tcW w:w="160" w:type="dxa"/>
            <w:vAlign w:val="bottom"/>
          </w:tcPr>
          <w:p>
            <w:pPr>
              <w:spacing w:after="0"/>
              <w:rPr>
                <w:sz w:val="18"/>
                <w:szCs w:val="18"/>
                <w:color w:val="auto"/>
              </w:rPr>
            </w:pPr>
          </w:p>
        </w:tc>
        <w:tc>
          <w:tcPr>
            <w:tcW w:w="7760" w:type="dxa"/>
            <w:vAlign w:val="bottom"/>
            <w:gridSpan w:val="2"/>
          </w:tcPr>
          <w:p>
            <w:pPr>
              <w:ind w:left="140"/>
              <w:spacing w:after="0"/>
              <w:rPr>
                <w:sz w:val="20"/>
                <w:szCs w:val="20"/>
                <w:color w:val="auto"/>
              </w:rPr>
            </w:pPr>
            <w:r>
              <w:rPr>
                <w:rFonts w:ascii="Arial" w:cs="Arial" w:eastAsia="Arial" w:hAnsi="Arial"/>
                <w:sz w:val="16"/>
                <w:szCs w:val="16"/>
                <w:color w:val="auto"/>
              </w:rPr>
              <w:t>Repayments on long-term debt</w:t>
            </w:r>
          </w:p>
        </w:tc>
        <w:tc>
          <w:tcPr>
            <w:tcW w:w="3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(2,629,932)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(1,501,709)</w:t>
            </w:r>
          </w:p>
        </w:tc>
      </w:tr>
      <w:tr>
        <w:trPr>
          <w:trHeight w:val="219"/>
        </w:trPr>
        <w:tc>
          <w:tcPr>
            <w:tcW w:w="160" w:type="dxa"/>
            <w:vAlign w:val="bottom"/>
          </w:tcPr>
          <w:p>
            <w:pPr>
              <w:spacing w:after="0"/>
              <w:rPr>
                <w:sz w:val="19"/>
                <w:szCs w:val="19"/>
                <w:color w:val="auto"/>
              </w:rPr>
            </w:pPr>
          </w:p>
        </w:tc>
        <w:tc>
          <w:tcPr>
            <w:tcW w:w="77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Purchase of convertible bond hedge</w:t>
            </w:r>
          </w:p>
        </w:tc>
        <w:tc>
          <w:tcPr>
            <w:tcW w:w="3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(70,800)</w:t>
            </w:r>
          </w:p>
        </w:tc>
      </w:tr>
      <w:tr>
        <w:trPr>
          <w:trHeight w:val="213"/>
        </w:trPr>
        <w:tc>
          <w:tcPr>
            <w:tcW w:w="160" w:type="dxa"/>
            <w:vAlign w:val="bottom"/>
          </w:tcPr>
          <w:p>
            <w:pPr>
              <w:spacing w:after="0"/>
              <w:rPr>
                <w:sz w:val="18"/>
                <w:szCs w:val="18"/>
                <w:color w:val="auto"/>
              </w:rPr>
            </w:pPr>
          </w:p>
        </w:tc>
        <w:tc>
          <w:tcPr>
            <w:tcW w:w="7760" w:type="dxa"/>
            <w:vAlign w:val="bottom"/>
            <w:gridSpan w:val="2"/>
          </w:tcPr>
          <w:p>
            <w:pPr>
              <w:ind w:left="140"/>
              <w:spacing w:after="0"/>
              <w:rPr>
                <w:sz w:val="20"/>
                <w:szCs w:val="20"/>
                <w:color w:val="auto"/>
              </w:rPr>
            </w:pPr>
            <w:r>
              <w:rPr>
                <w:rFonts w:ascii="Arial" w:cs="Arial" w:eastAsia="Arial" w:hAnsi="Arial"/>
                <w:sz w:val="16"/>
                <w:szCs w:val="16"/>
                <w:color w:val="auto"/>
              </w:rPr>
              <w:t>Proceeds from issuance of warrants</w:t>
            </w:r>
          </w:p>
        </w:tc>
        <w:tc>
          <w:tcPr>
            <w:tcW w:w="30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42,210</w:t>
            </w:r>
          </w:p>
        </w:tc>
      </w:tr>
      <w:tr>
        <w:trPr>
          <w:trHeight w:val="219"/>
        </w:trPr>
        <w:tc>
          <w:tcPr>
            <w:tcW w:w="160" w:type="dxa"/>
            <w:vAlign w:val="bottom"/>
          </w:tcPr>
          <w:p>
            <w:pPr>
              <w:spacing w:after="0"/>
              <w:rPr>
                <w:sz w:val="19"/>
                <w:szCs w:val="19"/>
                <w:color w:val="auto"/>
              </w:rPr>
            </w:pPr>
          </w:p>
        </w:tc>
        <w:tc>
          <w:tcPr>
            <w:tcW w:w="77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Payments of cash dividends</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(12,136)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(10,881)</w:t>
            </w:r>
          </w:p>
        </w:tc>
      </w:tr>
      <w:tr>
        <w:trPr>
          <w:trHeight w:val="213"/>
        </w:trPr>
        <w:tc>
          <w:tcPr>
            <w:tcW w:w="160" w:type="dxa"/>
            <w:vAlign w:val="bottom"/>
          </w:tcPr>
          <w:p>
            <w:pPr>
              <w:spacing w:after="0"/>
              <w:rPr>
                <w:sz w:val="18"/>
                <w:szCs w:val="18"/>
                <w:color w:val="auto"/>
              </w:rPr>
            </w:pPr>
          </w:p>
        </w:tc>
        <w:tc>
          <w:tcPr>
            <w:tcW w:w="7760" w:type="dxa"/>
            <w:vAlign w:val="bottom"/>
            <w:gridSpan w:val="2"/>
          </w:tcPr>
          <w:p>
            <w:pPr>
              <w:ind w:left="140"/>
              <w:spacing w:after="0"/>
              <w:rPr>
                <w:sz w:val="20"/>
                <w:szCs w:val="20"/>
                <w:color w:val="auto"/>
              </w:rPr>
            </w:pPr>
            <w:r>
              <w:rPr>
                <w:rFonts w:ascii="Arial" w:cs="Arial" w:eastAsia="Arial" w:hAnsi="Arial"/>
                <w:sz w:val="16"/>
                <w:szCs w:val="16"/>
                <w:color w:val="auto"/>
              </w:rPr>
              <w:t>Payments for repurchases of common stock</w:t>
            </w:r>
          </w:p>
        </w:tc>
        <w:tc>
          <w:tcPr>
            <w:tcW w:w="3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(12,109)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(1,789)</w:t>
            </w:r>
          </w:p>
        </w:tc>
      </w:tr>
      <w:tr>
        <w:trPr>
          <w:trHeight w:val="219"/>
        </w:trPr>
        <w:tc>
          <w:tcPr>
            <w:tcW w:w="160" w:type="dxa"/>
            <w:vAlign w:val="bottom"/>
          </w:tcPr>
          <w:p>
            <w:pPr>
              <w:spacing w:after="0"/>
              <w:rPr>
                <w:sz w:val="19"/>
                <w:szCs w:val="19"/>
                <w:color w:val="auto"/>
              </w:rPr>
            </w:pPr>
          </w:p>
        </w:tc>
        <w:tc>
          <w:tcPr>
            <w:tcW w:w="77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Payments of debt issuance costs</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(10,761)</w:t>
            </w:r>
          </w:p>
        </w:tc>
      </w:tr>
      <w:tr>
        <w:trPr>
          <w:trHeight w:val="213"/>
        </w:trPr>
        <w:tc>
          <w:tcPr>
            <w:tcW w:w="160" w:type="dxa"/>
            <w:vAlign w:val="bottom"/>
          </w:tcPr>
          <w:p>
            <w:pPr>
              <w:spacing w:after="0"/>
              <w:rPr>
                <w:sz w:val="18"/>
                <w:szCs w:val="18"/>
                <w:color w:val="auto"/>
              </w:rPr>
            </w:pPr>
          </w:p>
        </w:tc>
        <w:tc>
          <w:tcPr>
            <w:tcW w:w="776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Other, net</w:t>
            </w:r>
          </w:p>
        </w:tc>
        <w:tc>
          <w:tcPr>
            <w:tcW w:w="3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1,151</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539</w:t>
            </w:r>
          </w:p>
        </w:tc>
      </w:tr>
      <w:tr>
        <w:trPr>
          <w:trHeight w:val="212"/>
        </w:trPr>
        <w:tc>
          <w:tcPr>
            <w:tcW w:w="160" w:type="dxa"/>
            <w:vAlign w:val="bottom"/>
          </w:tcPr>
          <w:p>
            <w:pPr>
              <w:spacing w:after="0"/>
              <w:rPr>
                <w:sz w:val="18"/>
                <w:szCs w:val="18"/>
                <w:color w:val="auto"/>
              </w:rPr>
            </w:pPr>
          </w:p>
        </w:tc>
        <w:tc>
          <w:tcPr>
            <w:tcW w:w="776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Net cash provided by (used in) financing activities</w:t>
            </w:r>
          </w:p>
        </w:tc>
        <w:tc>
          <w:tcPr>
            <w:tcW w:w="3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(23,318)</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242,018</w:t>
            </w:r>
          </w:p>
        </w:tc>
      </w:tr>
      <w:tr>
        <w:trPr>
          <w:trHeight w:val="237"/>
        </w:trPr>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16"/>
        </w:trPr>
        <w:tc>
          <w:tcPr>
            <w:tcW w:w="160" w:type="dxa"/>
            <w:vAlign w:val="bottom"/>
          </w:tcPr>
          <w:p>
            <w:pPr>
              <w:spacing w:after="0"/>
              <w:rPr>
                <w:sz w:val="18"/>
                <w:szCs w:val="18"/>
                <w:color w:val="auto"/>
              </w:rPr>
            </w:pPr>
          </w:p>
        </w:tc>
        <w:tc>
          <w:tcPr>
            <w:tcW w:w="77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increase in cash and cash equivalents</w:t>
            </w: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113,266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115,049</w:t>
            </w:r>
          </w:p>
        </w:tc>
      </w:tr>
      <w:tr>
        <w:trPr>
          <w:trHeight w:val="213"/>
        </w:trPr>
        <w:tc>
          <w:tcPr>
            <w:tcW w:w="160" w:type="dxa"/>
            <w:vAlign w:val="bottom"/>
          </w:tcPr>
          <w:p>
            <w:pPr>
              <w:spacing w:after="0"/>
              <w:rPr>
                <w:sz w:val="18"/>
                <w:szCs w:val="18"/>
                <w:color w:val="auto"/>
              </w:rPr>
            </w:pPr>
          </w:p>
        </w:tc>
        <w:tc>
          <w:tcPr>
            <w:tcW w:w="77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Cash and cash equivalents at beginning of period</w:t>
            </w:r>
          </w:p>
        </w:tc>
        <w:tc>
          <w:tcPr>
            <w:tcW w:w="3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292,575</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37,431</w:t>
            </w:r>
          </w:p>
        </w:tc>
      </w:tr>
      <w:tr>
        <w:trPr>
          <w:trHeight w:val="238"/>
        </w:trPr>
        <w:tc>
          <w:tcPr>
            <w:tcW w:w="160" w:type="dxa"/>
            <w:vAlign w:val="bottom"/>
          </w:tcPr>
          <w:p>
            <w:pPr>
              <w:spacing w:after="0"/>
              <w:rPr>
                <w:sz w:val="20"/>
                <w:szCs w:val="20"/>
                <w:color w:val="auto"/>
              </w:rPr>
            </w:pPr>
          </w:p>
        </w:tc>
        <w:tc>
          <w:tcPr>
            <w:tcW w:w="7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Cash and cash equivalents at end of period</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405,841</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152,480</w:t>
            </w:r>
          </w:p>
        </w:tc>
      </w:tr>
      <w:tr>
        <w:trPr>
          <w:trHeight w:val="20"/>
        </w:trPr>
        <w:tc>
          <w:tcPr>
            <w:tcW w:w="160" w:type="dxa"/>
            <w:vAlign w:val="bottom"/>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66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 w:name="page6"/>
    <w:bookmarkEnd w:id="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160" w:type="dxa"/>
        <w:tblCellMar>
          <w:top w:w="0" w:type="dxa"/>
          <w:left w:w="0" w:type="dxa"/>
          <w:bottom w:w="0" w:type="dxa"/>
          <w:right w:w="0" w:type="dxa"/>
        </w:tblCellMar>
      </w:tblPr>
      <w:tr>
        <w:trPr>
          <w:trHeight w:val="216"/>
        </w:trPr>
        <w:tc>
          <w:tcPr>
            <w:tcW w:w="58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Disclosures</w:t>
            </w:r>
          </w:p>
        </w:tc>
        <w:tc>
          <w:tcPr>
            <w:tcW w:w="24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3"/>
        </w:trPr>
        <w:tc>
          <w:tcPr>
            <w:tcW w:w="5880" w:type="dxa"/>
            <w:vAlign w:val="bottom"/>
          </w:tcPr>
          <w:p>
            <w:pPr>
              <w:ind w:left="140"/>
              <w:spacing w:after="0"/>
              <w:rPr>
                <w:sz w:val="20"/>
                <w:szCs w:val="20"/>
                <w:color w:val="auto"/>
              </w:rPr>
            </w:pPr>
            <w:r>
              <w:rPr>
                <w:rFonts w:ascii="Arial" w:cs="Arial" w:eastAsia="Arial" w:hAnsi="Arial"/>
                <w:sz w:val="16"/>
                <w:szCs w:val="16"/>
                <w:color w:val="auto"/>
              </w:rPr>
              <w:t>Income taxes paid, net</w:t>
            </w:r>
          </w:p>
        </w:tc>
        <w:tc>
          <w:tcPr>
            <w:tcW w:w="246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71,090</w:t>
            </w:r>
          </w:p>
        </w:tc>
        <w:tc>
          <w:tcPr>
            <w:tcW w:w="64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6,240</w:t>
            </w:r>
          </w:p>
        </w:tc>
      </w:tr>
      <w:tr>
        <w:trPr>
          <w:trHeight w:val="219"/>
        </w:trPr>
        <w:tc>
          <w:tcPr>
            <w:tcW w:w="58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 paid</w:t>
            </w:r>
          </w:p>
        </w:tc>
        <w:tc>
          <w:tcPr>
            <w:tcW w:w="2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14,618</w:t>
            </w: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14,961</w:t>
            </w:r>
          </w:p>
        </w:tc>
      </w:tr>
      <w:tr>
        <w:trPr>
          <w:trHeight w:val="257"/>
        </w:trPr>
        <w:tc>
          <w:tcPr>
            <w:tcW w:w="5880" w:type="dxa"/>
            <w:vAlign w:val="bottom"/>
          </w:tcPr>
          <w:p>
            <w:pPr>
              <w:spacing w:after="0"/>
              <w:rPr>
                <w:sz w:val="22"/>
                <w:szCs w:val="22"/>
                <w:color w:val="auto"/>
              </w:rPr>
            </w:pPr>
          </w:p>
        </w:tc>
        <w:tc>
          <w:tcPr>
            <w:tcW w:w="24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16"/>
        </w:trPr>
        <w:tc>
          <w:tcPr>
            <w:tcW w:w="58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Non-cash investing and financing activities</w:t>
            </w:r>
          </w:p>
        </w:tc>
        <w:tc>
          <w:tcPr>
            <w:tcW w:w="24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3"/>
        </w:trPr>
        <w:tc>
          <w:tcPr>
            <w:tcW w:w="5880" w:type="dxa"/>
            <w:vAlign w:val="bottom"/>
          </w:tcPr>
          <w:p>
            <w:pPr>
              <w:ind w:left="140"/>
              <w:spacing w:after="0"/>
              <w:rPr>
                <w:sz w:val="20"/>
                <w:szCs w:val="20"/>
                <w:color w:val="auto"/>
              </w:rPr>
            </w:pPr>
            <w:r>
              <w:rPr>
                <w:rFonts w:ascii="Arial" w:cs="Arial" w:eastAsia="Arial" w:hAnsi="Arial"/>
                <w:sz w:val="16"/>
                <w:szCs w:val="16"/>
                <w:color w:val="auto"/>
              </w:rPr>
              <w:t>Issuance of common stock for acquisition of business</w:t>
            </w:r>
          </w:p>
        </w:tc>
        <w:tc>
          <w:tcPr>
            <w:tcW w:w="246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92,572</w:t>
            </w:r>
          </w:p>
        </w:tc>
      </w:tr>
      <w:tr>
        <w:trPr>
          <w:trHeight w:val="219"/>
        </w:trPr>
        <w:tc>
          <w:tcPr>
            <w:tcW w:w="58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Capital expenditures in accounts payable</w:t>
            </w:r>
          </w:p>
        </w:tc>
        <w:tc>
          <w:tcPr>
            <w:tcW w:w="2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121</w:t>
            </w: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w:t>
            </w:r>
          </w:p>
        </w:tc>
      </w:tr>
      <w:tr>
        <w:trPr>
          <w:trHeight w:val="210"/>
        </w:trPr>
        <w:tc>
          <w:tcPr>
            <w:tcW w:w="5880" w:type="dxa"/>
            <w:vAlign w:val="bottom"/>
          </w:tcPr>
          <w:p>
            <w:pPr>
              <w:ind w:left="140"/>
              <w:spacing w:after="0"/>
              <w:rPr>
                <w:sz w:val="20"/>
                <w:szCs w:val="20"/>
                <w:color w:val="auto"/>
              </w:rPr>
            </w:pPr>
            <w:r>
              <w:rPr>
                <w:rFonts w:ascii="Arial" w:cs="Arial" w:eastAsia="Arial" w:hAnsi="Arial"/>
                <w:sz w:val="16"/>
                <w:szCs w:val="16"/>
                <w:color w:val="auto"/>
              </w:rPr>
              <w:t>Dividends declared not yet paid</w:t>
            </w:r>
          </w:p>
        </w:tc>
        <w:tc>
          <w:tcPr>
            <w:tcW w:w="246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4,273</w:t>
            </w:r>
          </w:p>
        </w:tc>
        <w:tc>
          <w:tcPr>
            <w:tcW w:w="6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126</w:t>
            </w:r>
          </w:p>
        </w:tc>
      </w:tr>
    </w:tbl>
    <w:p>
      <w:pPr>
        <w:spacing w:after="0" w:line="102"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to Consolidated Financial Statements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6" w:name="page7"/>
    <w:bookmarkEnd w:id="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Winnebago Industries, Inc.</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Consolidated Statements of Changes in Shareholders' Equity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(Unaudited)</w:t>
      </w:r>
    </w:p>
    <w:p>
      <w:pPr>
        <w:spacing w:after="0" w:line="327" w:lineRule="exact"/>
        <w:rPr>
          <w:sz w:val="20"/>
          <w:szCs w:val="20"/>
          <w:color w:val="auto"/>
        </w:rPr>
      </w:pPr>
    </w:p>
    <w:tbl>
      <w:tblPr>
        <w:tblLayout w:type="fixed"/>
        <w:tblInd w:w="160" w:type="dxa"/>
        <w:tblCellMar>
          <w:top w:w="0" w:type="dxa"/>
          <w:left w:w="0" w:type="dxa"/>
          <w:bottom w:w="0" w:type="dxa"/>
          <w:right w:w="0" w:type="dxa"/>
        </w:tblCellMar>
      </w:tblPr>
      <w:tr>
        <w:trPr>
          <w:trHeight w:val="189"/>
        </w:trPr>
        <w:tc>
          <w:tcPr>
            <w:tcW w:w="266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4"/>
          </w:tcPr>
          <w:p>
            <w:pPr>
              <w:jc w:val="center"/>
              <w:ind w:right="408"/>
              <w:spacing w:after="0"/>
              <w:rPr>
                <w:sz w:val="20"/>
                <w:szCs w:val="20"/>
                <w:color w:val="auto"/>
              </w:rPr>
            </w:pPr>
            <w:r>
              <w:rPr>
                <w:rFonts w:ascii="Arial" w:cs="Arial" w:eastAsia="Arial" w:hAnsi="Arial"/>
                <w:sz w:val="14"/>
                <w:szCs w:val="14"/>
                <w:b w:val="1"/>
                <w:bCs w:val="1"/>
                <w:color w:val="auto"/>
              </w:rPr>
              <w:t>Three Months Ended May 29, 2021</w:t>
            </w: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71"/>
        </w:trPr>
        <w:tc>
          <w:tcPr>
            <w:tcW w:w="2660" w:type="dxa"/>
            <w:vAlign w:val="bottom"/>
          </w:tcPr>
          <w:p>
            <w:pPr>
              <w:spacing w:after="0"/>
              <w:rPr>
                <w:sz w:val="24"/>
                <w:szCs w:val="24"/>
                <w:color w:val="auto"/>
              </w:rPr>
            </w:pPr>
          </w:p>
        </w:tc>
        <w:tc>
          <w:tcPr>
            <w:tcW w:w="1800" w:type="dxa"/>
            <w:vAlign w:val="bottom"/>
            <w:gridSpan w:val="3"/>
          </w:tcPr>
          <w:p>
            <w:pPr>
              <w:jc w:val="center"/>
              <w:spacing w:after="0"/>
              <w:rPr>
                <w:sz w:val="20"/>
                <w:szCs w:val="20"/>
                <w:color w:val="auto"/>
              </w:rPr>
            </w:pPr>
            <w:r>
              <w:rPr>
                <w:rFonts w:ascii="Arial" w:cs="Arial" w:eastAsia="Arial" w:hAnsi="Arial"/>
                <w:sz w:val="14"/>
                <w:szCs w:val="14"/>
                <w:b w:val="1"/>
                <w:bCs w:val="1"/>
                <w:color w:val="auto"/>
              </w:rPr>
              <w:t>Common Shares</w:t>
            </w:r>
          </w:p>
        </w:tc>
        <w:tc>
          <w:tcPr>
            <w:tcW w:w="120" w:type="dxa"/>
            <w:vAlign w:val="bottom"/>
          </w:tcPr>
          <w:p>
            <w:pPr>
              <w:spacing w:after="0"/>
              <w:rPr>
                <w:sz w:val="24"/>
                <w:szCs w:val="24"/>
                <w:color w:val="auto"/>
              </w:rPr>
            </w:pPr>
          </w:p>
        </w:tc>
        <w:tc>
          <w:tcPr>
            <w:tcW w:w="860" w:type="dxa"/>
            <w:vAlign w:val="bottom"/>
          </w:tcPr>
          <w:p>
            <w:pPr>
              <w:jc w:val="center"/>
              <w:ind w:right="48"/>
              <w:spacing w:after="0"/>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20" w:type="dxa"/>
            <w:vAlign w:val="bottom"/>
            <w:gridSpan w:val="2"/>
          </w:tcPr>
          <w:p>
            <w:pPr>
              <w:ind w:left="40"/>
              <w:spacing w:after="0"/>
              <w:rPr>
                <w:sz w:val="20"/>
                <w:szCs w:val="20"/>
                <w:color w:val="auto"/>
              </w:rPr>
            </w:pPr>
            <w:r>
              <w:rPr>
                <w:rFonts w:ascii="Arial" w:cs="Arial" w:eastAsia="Arial" w:hAnsi="Arial"/>
                <w:sz w:val="14"/>
                <w:szCs w:val="14"/>
                <w:b w:val="1"/>
                <w:bCs w:val="1"/>
                <w:color w:val="auto"/>
              </w:rPr>
              <w:t>Accumulated Other</w:t>
            </w:r>
          </w:p>
        </w:tc>
        <w:tc>
          <w:tcPr>
            <w:tcW w:w="1840" w:type="dxa"/>
            <w:vAlign w:val="bottom"/>
            <w:gridSpan w:val="3"/>
          </w:tcPr>
          <w:p>
            <w:pPr>
              <w:jc w:val="right"/>
              <w:ind w:right="328"/>
              <w:spacing w:after="0"/>
              <w:rPr>
                <w:sz w:val="20"/>
                <w:szCs w:val="20"/>
                <w:color w:val="auto"/>
              </w:rPr>
            </w:pPr>
            <w:r>
              <w:rPr>
                <w:rFonts w:ascii="Arial" w:cs="Arial" w:eastAsia="Arial" w:hAnsi="Arial"/>
                <w:sz w:val="14"/>
                <w:szCs w:val="14"/>
                <w:b w:val="1"/>
                <w:bCs w:val="1"/>
                <w:color w:val="auto"/>
              </w:rPr>
              <w:t>Treasury Stock</w:t>
            </w: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2660" w:type="dxa"/>
            <w:vAlign w:val="bottom"/>
            <w:vMerge w:val="restart"/>
          </w:tcPr>
          <w:p>
            <w:pPr>
              <w:ind w:left="20"/>
              <w:spacing w:after="0" w:line="122" w:lineRule="exact"/>
              <w:rPr>
                <w:sz w:val="20"/>
                <w:szCs w:val="20"/>
                <w:color w:val="auto"/>
              </w:rPr>
            </w:pPr>
            <w:r>
              <w:rPr>
                <w:rFonts w:ascii="Arial" w:cs="Arial" w:eastAsia="Arial" w:hAnsi="Arial"/>
                <w:sz w:val="14"/>
                <w:szCs w:val="14"/>
                <w:color w:val="auto"/>
              </w:rPr>
              <w:t>(in thousands,</w:t>
            </w:r>
          </w:p>
        </w:tc>
        <w:tc>
          <w:tcPr>
            <w:tcW w:w="8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vMerge w:val="restart"/>
          </w:tcPr>
          <w:p>
            <w:pPr>
              <w:jc w:val="center"/>
              <w:ind w:right="28"/>
              <w:spacing w:after="0" w:line="122" w:lineRule="exact"/>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3"/>
                <w:szCs w:val="3"/>
                <w:color w:val="auto"/>
              </w:rPr>
            </w:pPr>
          </w:p>
        </w:tc>
        <w:tc>
          <w:tcPr>
            <w:tcW w:w="820" w:type="dxa"/>
            <w:vAlign w:val="bottom"/>
            <w:vMerge w:val="restart"/>
          </w:tcPr>
          <w:p>
            <w:pPr>
              <w:jc w:val="right"/>
              <w:ind w:right="108"/>
              <w:spacing w:after="0" w:line="122" w:lineRule="exact"/>
              <w:rPr>
                <w:sz w:val="20"/>
                <w:szCs w:val="20"/>
                <w:color w:val="auto"/>
              </w:rPr>
            </w:pPr>
            <w:r>
              <w:rPr>
                <w:rFonts w:ascii="Arial" w:cs="Arial" w:eastAsia="Arial" w:hAnsi="Arial"/>
                <w:sz w:val="14"/>
                <w:szCs w:val="14"/>
                <w:b w:val="1"/>
                <w:bCs w:val="1"/>
                <w:color w:val="auto"/>
              </w:rPr>
              <w:t>Retained</w:t>
            </w:r>
          </w:p>
        </w:tc>
        <w:tc>
          <w:tcPr>
            <w:tcW w:w="140" w:type="dxa"/>
            <w:vAlign w:val="bottom"/>
          </w:tcPr>
          <w:p>
            <w:pPr>
              <w:spacing w:after="0"/>
              <w:rPr>
                <w:sz w:val="3"/>
                <w:szCs w:val="3"/>
                <w:color w:val="auto"/>
              </w:rPr>
            </w:pPr>
          </w:p>
        </w:tc>
        <w:tc>
          <w:tcPr>
            <w:tcW w:w="1280" w:type="dxa"/>
            <w:vAlign w:val="bottom"/>
            <w:vMerge w:val="restart"/>
          </w:tcPr>
          <w:p>
            <w:pPr>
              <w:jc w:val="center"/>
              <w:ind w:right="48"/>
              <w:spacing w:after="0" w:line="122" w:lineRule="exact"/>
              <w:rPr>
                <w:sz w:val="20"/>
                <w:szCs w:val="20"/>
                <w:color w:val="auto"/>
              </w:rPr>
            </w:pPr>
            <w:r>
              <w:rPr>
                <w:rFonts w:ascii="Arial" w:cs="Arial" w:eastAsia="Arial" w:hAnsi="Arial"/>
                <w:sz w:val="14"/>
                <w:szCs w:val="14"/>
                <w:b w:val="1"/>
                <w:bCs w:val="1"/>
                <w:color w:val="auto"/>
              </w:rPr>
              <w:t>Comprehensive</w:t>
            </w:r>
          </w:p>
        </w:tc>
        <w:tc>
          <w:tcPr>
            <w:tcW w:w="8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420" w:type="dxa"/>
            <w:vAlign w:val="bottom"/>
            <w:gridSpan w:val="2"/>
            <w:vMerge w:val="restart"/>
          </w:tcPr>
          <w:p>
            <w:pPr>
              <w:jc w:val="center"/>
              <w:spacing w:after="0" w:line="122" w:lineRule="exact"/>
              <w:rPr>
                <w:sz w:val="20"/>
                <w:szCs w:val="20"/>
                <w:color w:val="auto"/>
              </w:rPr>
            </w:pPr>
            <w:r>
              <w:rPr>
                <w:rFonts w:ascii="Arial" w:cs="Arial" w:eastAsia="Arial" w:hAnsi="Arial"/>
                <w:sz w:val="14"/>
                <w:szCs w:val="14"/>
                <w:b w:val="1"/>
                <w:bCs w:val="1"/>
                <w:color w:val="auto"/>
              </w:rPr>
              <w:t>Total Shareholders'</w:t>
            </w:r>
          </w:p>
        </w:tc>
        <w:tc>
          <w:tcPr>
            <w:tcW w:w="0" w:type="dxa"/>
            <w:vAlign w:val="bottom"/>
          </w:tcPr>
          <w:p>
            <w:pPr>
              <w:spacing w:after="0"/>
              <w:rPr>
                <w:sz w:val="1"/>
                <w:szCs w:val="1"/>
                <w:color w:val="auto"/>
              </w:rPr>
            </w:pPr>
          </w:p>
        </w:tc>
      </w:tr>
      <w:tr>
        <w:trPr>
          <w:trHeight w:val="61"/>
        </w:trPr>
        <w:tc>
          <w:tcPr>
            <w:tcW w:w="2660" w:type="dxa"/>
            <w:vAlign w:val="bottom"/>
            <w:vMerge w:val="continue"/>
          </w:tcPr>
          <w:p>
            <w:pPr>
              <w:spacing w:after="0"/>
              <w:rPr>
                <w:sz w:val="5"/>
                <w:szCs w:val="5"/>
                <w:color w:val="auto"/>
              </w:rPr>
            </w:pPr>
          </w:p>
        </w:tc>
        <w:tc>
          <w:tcPr>
            <w:tcW w:w="8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Number</w:t>
            </w:r>
          </w:p>
        </w:tc>
        <w:tc>
          <w:tcPr>
            <w:tcW w:w="180" w:type="dxa"/>
            <w:vAlign w:val="bottom"/>
          </w:tcPr>
          <w:p>
            <w:pPr>
              <w:spacing w:after="0"/>
              <w:rPr>
                <w:sz w:val="5"/>
                <w:szCs w:val="5"/>
                <w:color w:val="auto"/>
              </w:rPr>
            </w:pPr>
          </w:p>
        </w:tc>
        <w:tc>
          <w:tcPr>
            <w:tcW w:w="82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82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Number</w:t>
            </w:r>
          </w:p>
        </w:tc>
        <w:tc>
          <w:tcPr>
            <w:tcW w:w="180" w:type="dxa"/>
            <w:vAlign w:val="bottom"/>
          </w:tcPr>
          <w:p>
            <w:pPr>
              <w:spacing w:after="0"/>
              <w:rPr>
                <w:sz w:val="5"/>
                <w:szCs w:val="5"/>
                <w:color w:val="auto"/>
              </w:rPr>
            </w:pPr>
          </w:p>
        </w:tc>
        <w:tc>
          <w:tcPr>
            <w:tcW w:w="84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Amount</w:t>
            </w:r>
          </w:p>
        </w:tc>
        <w:tc>
          <w:tcPr>
            <w:tcW w:w="14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6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except per share data)</w:t>
            </w:r>
          </w:p>
        </w:tc>
        <w:tc>
          <w:tcPr>
            <w:tcW w:w="80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Capital</w:t>
            </w: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Earnings</w:t>
            </w:r>
          </w:p>
        </w:tc>
        <w:tc>
          <w:tcPr>
            <w:tcW w:w="1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Income (Loss)</w:t>
            </w:r>
          </w:p>
        </w:tc>
        <w:tc>
          <w:tcPr>
            <w:tcW w:w="82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20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83"/>
        </w:trPr>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at February 27, 2021</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51,776</w:t>
            </w:r>
          </w:p>
        </w:tc>
        <w:tc>
          <w:tcPr>
            <w:tcW w:w="1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25,888</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209,727</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1,032,020</w:t>
            </w: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(509)</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(18,225)</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(324,762)</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942,364</w:t>
            </w:r>
          </w:p>
        </w:tc>
        <w:tc>
          <w:tcPr>
            <w:tcW w:w="0" w:type="dxa"/>
            <w:vAlign w:val="bottom"/>
          </w:tcPr>
          <w:p>
            <w:pPr>
              <w:spacing w:after="0"/>
              <w:rPr>
                <w:sz w:val="1"/>
                <w:szCs w:val="1"/>
                <w:color w:val="auto"/>
              </w:rPr>
            </w:pPr>
          </w:p>
        </w:tc>
      </w:tr>
      <w:tr>
        <w:trPr>
          <w:trHeight w:val="189"/>
        </w:trPr>
        <w:tc>
          <w:tcPr>
            <w:tcW w:w="2660" w:type="dxa"/>
            <w:vAlign w:val="bottom"/>
          </w:tcPr>
          <w:p>
            <w:pPr>
              <w:ind w:left="140"/>
              <w:spacing w:after="0"/>
              <w:rPr>
                <w:sz w:val="20"/>
                <w:szCs w:val="20"/>
                <w:color w:val="auto"/>
              </w:rPr>
            </w:pPr>
            <w:r>
              <w:rPr>
                <w:rFonts w:ascii="Arial" w:cs="Arial" w:eastAsia="Arial" w:hAnsi="Arial"/>
                <w:sz w:val="14"/>
                <w:szCs w:val="14"/>
                <w:color w:val="auto"/>
              </w:rPr>
              <w:t>Stock-based compensation</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4,733</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w:t>
            </w:r>
          </w:p>
        </w:tc>
        <w:tc>
          <w:tcPr>
            <w:tcW w:w="3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4,738</w:t>
            </w:r>
          </w:p>
        </w:tc>
        <w:tc>
          <w:tcPr>
            <w:tcW w:w="0" w:type="dxa"/>
            <w:vAlign w:val="bottom"/>
          </w:tcPr>
          <w:p>
            <w:pPr>
              <w:spacing w:after="0"/>
              <w:rPr>
                <w:sz w:val="1"/>
                <w:szCs w:val="1"/>
                <w:color w:val="auto"/>
              </w:rPr>
            </w:pPr>
          </w:p>
        </w:tc>
      </w:tr>
      <w:tr>
        <w:trPr>
          <w:trHeight w:val="153"/>
        </w:trPr>
        <w:tc>
          <w:tcPr>
            <w:tcW w:w="2660" w:type="dxa"/>
            <w:vAlign w:val="bottom"/>
            <w:shd w:val="clear" w:color="auto" w:fill="CCEEFF"/>
          </w:tcPr>
          <w:p>
            <w:pPr>
              <w:ind w:left="140"/>
              <w:spacing w:after="0" w:line="153" w:lineRule="exact"/>
              <w:rPr>
                <w:sz w:val="20"/>
                <w:szCs w:val="20"/>
                <w:color w:val="auto"/>
              </w:rPr>
            </w:pPr>
            <w:r>
              <w:rPr>
                <w:rFonts w:ascii="Arial" w:cs="Arial" w:eastAsia="Arial" w:hAnsi="Arial"/>
                <w:sz w:val="14"/>
                <w:szCs w:val="14"/>
                <w:color w:val="auto"/>
              </w:rPr>
              <w:t>Common stock dividends paid; $0.12</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(4,062)</w:t>
            </w:r>
          </w:p>
        </w:tc>
        <w:tc>
          <w:tcPr>
            <w:tcW w:w="140" w:type="dxa"/>
            <w:vAlign w:val="bottom"/>
            <w:shd w:val="clear" w:color="auto" w:fill="CCEEFF"/>
          </w:tcPr>
          <w:p>
            <w:pPr>
              <w:spacing w:after="0"/>
              <w:rPr>
                <w:sz w:val="13"/>
                <w:szCs w:val="13"/>
                <w:color w:val="auto"/>
              </w:rPr>
            </w:pPr>
          </w:p>
        </w:tc>
        <w:tc>
          <w:tcPr>
            <w:tcW w:w="12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(4,062)</w:t>
            </w:r>
          </w:p>
        </w:tc>
        <w:tc>
          <w:tcPr>
            <w:tcW w:w="0" w:type="dxa"/>
            <w:vAlign w:val="bottom"/>
          </w:tcPr>
          <w:p>
            <w:pPr>
              <w:spacing w:after="0"/>
              <w:rPr>
                <w:sz w:val="1"/>
                <w:szCs w:val="1"/>
                <w:color w:val="auto"/>
              </w:rPr>
            </w:pPr>
          </w:p>
        </w:tc>
      </w:tr>
      <w:tr>
        <w:trPr>
          <w:trHeight w:val="105"/>
        </w:trPr>
        <w:tc>
          <w:tcPr>
            <w:tcW w:w="2660" w:type="dxa"/>
            <w:vAlign w:val="bottom"/>
            <w:vMerge w:val="restart"/>
            <w:shd w:val="clear" w:color="auto" w:fill="CCEEFF"/>
          </w:tcPr>
          <w:p>
            <w:pPr>
              <w:ind w:left="140"/>
              <w:spacing w:after="0"/>
              <w:rPr>
                <w:sz w:val="20"/>
                <w:szCs w:val="20"/>
                <w:color w:val="auto"/>
              </w:rPr>
            </w:pPr>
            <w:r>
              <w:rPr>
                <w:rFonts w:ascii="Arial" w:cs="Arial" w:eastAsia="Arial" w:hAnsi="Arial"/>
                <w:sz w:val="14"/>
                <w:szCs w:val="14"/>
                <w:color w:val="auto"/>
              </w:rPr>
              <w:t>per share</w:t>
            </w:r>
          </w:p>
        </w:tc>
        <w:tc>
          <w:tcPr>
            <w:tcW w:w="800" w:type="dxa"/>
            <w:vAlign w:val="bottom"/>
            <w:vMerge w:val="continue"/>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20" w:type="dxa"/>
            <w:vAlign w:val="bottom"/>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60" w:type="dxa"/>
            <w:vAlign w:val="bottom"/>
            <w:vMerge w:val="continue"/>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20" w:type="dxa"/>
            <w:vAlign w:val="bottom"/>
            <w:vMerge w:val="continue"/>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280" w:type="dxa"/>
            <w:vAlign w:val="bottom"/>
            <w:vMerge w:val="continue"/>
            <w:shd w:val="clear" w:color="auto" w:fill="CCEEFF"/>
          </w:tcPr>
          <w:p>
            <w:pPr>
              <w:spacing w:after="0"/>
              <w:rPr>
                <w:sz w:val="9"/>
                <w:szCs w:val="9"/>
                <w:color w:val="auto"/>
              </w:rPr>
            </w:pPr>
          </w:p>
        </w:tc>
        <w:tc>
          <w:tcPr>
            <w:tcW w:w="820" w:type="dxa"/>
            <w:vAlign w:val="bottom"/>
            <w:vMerge w:val="continue"/>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40" w:type="dxa"/>
            <w:vAlign w:val="bottom"/>
            <w:vMerge w:val="continue"/>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12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2660" w:type="dxa"/>
            <w:vAlign w:val="bottom"/>
            <w:vMerge w:val="continue"/>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53"/>
        </w:trPr>
        <w:tc>
          <w:tcPr>
            <w:tcW w:w="2660" w:type="dxa"/>
            <w:vAlign w:val="bottom"/>
          </w:tcPr>
          <w:p>
            <w:pPr>
              <w:ind w:left="140"/>
              <w:spacing w:after="0" w:line="153" w:lineRule="exact"/>
              <w:rPr>
                <w:sz w:val="20"/>
                <w:szCs w:val="20"/>
                <w:color w:val="auto"/>
              </w:rPr>
            </w:pPr>
            <w:r>
              <w:rPr>
                <w:rFonts w:ascii="Arial" w:cs="Arial" w:eastAsia="Arial" w:hAnsi="Arial"/>
                <w:sz w:val="14"/>
                <w:szCs w:val="14"/>
                <w:color w:val="auto"/>
              </w:rPr>
              <w:t>Common stock dividends accrued;</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(4,086)</w:t>
            </w:r>
          </w:p>
        </w:tc>
        <w:tc>
          <w:tcPr>
            <w:tcW w:w="140" w:type="dxa"/>
            <w:vAlign w:val="bottom"/>
          </w:tcPr>
          <w:p>
            <w:pPr>
              <w:spacing w:after="0"/>
              <w:rPr>
                <w:sz w:val="13"/>
                <w:szCs w:val="13"/>
                <w:color w:val="auto"/>
              </w:rPr>
            </w:pPr>
          </w:p>
        </w:tc>
        <w:tc>
          <w:tcPr>
            <w:tcW w:w="12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(4,086)</w:t>
            </w:r>
          </w:p>
        </w:tc>
        <w:tc>
          <w:tcPr>
            <w:tcW w:w="0" w:type="dxa"/>
            <w:vAlign w:val="bottom"/>
          </w:tcPr>
          <w:p>
            <w:pPr>
              <w:spacing w:after="0"/>
              <w:rPr>
                <w:sz w:val="1"/>
                <w:szCs w:val="1"/>
                <w:color w:val="auto"/>
              </w:rPr>
            </w:pPr>
          </w:p>
        </w:tc>
      </w:tr>
      <w:tr>
        <w:trPr>
          <w:trHeight w:val="171"/>
        </w:trPr>
        <w:tc>
          <w:tcPr>
            <w:tcW w:w="2660" w:type="dxa"/>
            <w:vAlign w:val="bottom"/>
          </w:tcPr>
          <w:p>
            <w:pPr>
              <w:ind w:left="140"/>
              <w:spacing w:after="0"/>
              <w:rPr>
                <w:sz w:val="20"/>
                <w:szCs w:val="20"/>
                <w:color w:val="auto"/>
              </w:rPr>
            </w:pPr>
            <w:r>
              <w:rPr>
                <w:rFonts w:ascii="Arial" w:cs="Arial" w:eastAsia="Arial" w:hAnsi="Arial"/>
                <w:sz w:val="14"/>
                <w:szCs w:val="14"/>
                <w:color w:val="auto"/>
              </w:rPr>
              <w:t>$0.12 per share</w:t>
            </w:r>
          </w:p>
        </w:tc>
        <w:tc>
          <w:tcPr>
            <w:tcW w:w="8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6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Actuarial loss, net of tax</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89"/>
        </w:trPr>
        <w:tc>
          <w:tcPr>
            <w:tcW w:w="266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Net income</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71,295</w:t>
            </w: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71,295</w:t>
            </w:r>
          </w:p>
        </w:tc>
        <w:tc>
          <w:tcPr>
            <w:tcW w:w="0" w:type="dxa"/>
            <w:vAlign w:val="bottom"/>
          </w:tcPr>
          <w:p>
            <w:pPr>
              <w:spacing w:after="0"/>
              <w:rPr>
                <w:sz w:val="1"/>
                <w:szCs w:val="1"/>
                <w:color w:val="auto"/>
              </w:rPr>
            </w:pPr>
          </w:p>
        </w:tc>
      </w:tr>
      <w:tr>
        <w:trPr>
          <w:trHeight w:val="207"/>
        </w:trPr>
        <w:tc>
          <w:tcPr>
            <w:tcW w:w="2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May 29, 2021</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51,776</w:t>
            </w:r>
          </w:p>
        </w:tc>
        <w:tc>
          <w:tcPr>
            <w:tcW w:w="1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25,888</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214,460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1,095,167</w:t>
            </w: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(500)</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(18,225)</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(324,757)</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1,010,258</w:t>
            </w: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3060" w:type="dxa"/>
            <w:vAlign w:val="bottom"/>
            <w:tcBorders>
              <w:top w:val="single" w:sz="8" w:color="CCEEFF"/>
              <w:bottom w:val="single" w:sz="8" w:color="auto"/>
            </w:tcBorders>
            <w:gridSpan w:val="4"/>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8"/>
        </w:trPr>
        <w:tc>
          <w:tcPr>
            <w:tcW w:w="266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4"/>
          </w:tcPr>
          <w:p>
            <w:pPr>
              <w:jc w:val="center"/>
              <w:ind w:right="408"/>
              <w:spacing w:after="0"/>
              <w:rPr>
                <w:sz w:val="20"/>
                <w:szCs w:val="20"/>
                <w:color w:val="auto"/>
              </w:rPr>
            </w:pPr>
            <w:r>
              <w:rPr>
                <w:rFonts w:ascii="Arial" w:cs="Arial" w:eastAsia="Arial" w:hAnsi="Arial"/>
                <w:sz w:val="14"/>
                <w:szCs w:val="14"/>
                <w:b w:val="1"/>
                <w:bCs w:val="1"/>
                <w:color w:val="auto"/>
              </w:rPr>
              <w:t>Three Months Ended May 30, 2020</w:t>
            </w: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2660" w:type="dxa"/>
            <w:vAlign w:val="bottom"/>
          </w:tcPr>
          <w:p>
            <w:pPr>
              <w:spacing w:after="0"/>
              <w:rPr>
                <w:sz w:val="24"/>
                <w:szCs w:val="24"/>
                <w:color w:val="auto"/>
              </w:rPr>
            </w:pPr>
          </w:p>
        </w:tc>
        <w:tc>
          <w:tcPr>
            <w:tcW w:w="1800" w:type="dxa"/>
            <w:vAlign w:val="bottom"/>
            <w:gridSpan w:val="3"/>
          </w:tcPr>
          <w:p>
            <w:pPr>
              <w:jc w:val="center"/>
              <w:spacing w:after="0"/>
              <w:rPr>
                <w:sz w:val="20"/>
                <w:szCs w:val="20"/>
                <w:color w:val="auto"/>
              </w:rPr>
            </w:pPr>
            <w:r>
              <w:rPr>
                <w:rFonts w:ascii="Arial" w:cs="Arial" w:eastAsia="Arial" w:hAnsi="Arial"/>
                <w:sz w:val="14"/>
                <w:szCs w:val="14"/>
                <w:b w:val="1"/>
                <w:bCs w:val="1"/>
                <w:color w:val="auto"/>
              </w:rPr>
              <w:t>Common Shares</w:t>
            </w:r>
          </w:p>
        </w:tc>
        <w:tc>
          <w:tcPr>
            <w:tcW w:w="120" w:type="dxa"/>
            <w:vAlign w:val="bottom"/>
          </w:tcPr>
          <w:p>
            <w:pPr>
              <w:spacing w:after="0"/>
              <w:rPr>
                <w:sz w:val="24"/>
                <w:szCs w:val="24"/>
                <w:color w:val="auto"/>
              </w:rPr>
            </w:pPr>
          </w:p>
        </w:tc>
        <w:tc>
          <w:tcPr>
            <w:tcW w:w="860" w:type="dxa"/>
            <w:vAlign w:val="bottom"/>
          </w:tcPr>
          <w:p>
            <w:pPr>
              <w:jc w:val="center"/>
              <w:ind w:right="48"/>
              <w:spacing w:after="0"/>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20" w:type="dxa"/>
            <w:vAlign w:val="bottom"/>
            <w:gridSpan w:val="2"/>
          </w:tcPr>
          <w:p>
            <w:pPr>
              <w:ind w:left="40"/>
              <w:spacing w:after="0"/>
              <w:rPr>
                <w:sz w:val="20"/>
                <w:szCs w:val="20"/>
                <w:color w:val="auto"/>
              </w:rPr>
            </w:pPr>
            <w:r>
              <w:rPr>
                <w:rFonts w:ascii="Arial" w:cs="Arial" w:eastAsia="Arial" w:hAnsi="Arial"/>
                <w:sz w:val="14"/>
                <w:szCs w:val="14"/>
                <w:b w:val="1"/>
                <w:bCs w:val="1"/>
                <w:color w:val="auto"/>
              </w:rPr>
              <w:t>Accumulated Other</w:t>
            </w:r>
          </w:p>
        </w:tc>
        <w:tc>
          <w:tcPr>
            <w:tcW w:w="1840" w:type="dxa"/>
            <w:vAlign w:val="bottom"/>
            <w:gridSpan w:val="3"/>
          </w:tcPr>
          <w:p>
            <w:pPr>
              <w:jc w:val="right"/>
              <w:ind w:right="328"/>
              <w:spacing w:after="0"/>
              <w:rPr>
                <w:sz w:val="20"/>
                <w:szCs w:val="20"/>
                <w:color w:val="auto"/>
              </w:rPr>
            </w:pPr>
            <w:r>
              <w:rPr>
                <w:rFonts w:ascii="Arial" w:cs="Arial" w:eastAsia="Arial" w:hAnsi="Arial"/>
                <w:sz w:val="14"/>
                <w:szCs w:val="14"/>
                <w:b w:val="1"/>
                <w:bCs w:val="1"/>
                <w:color w:val="auto"/>
              </w:rPr>
              <w:t>Treasury Stock</w:t>
            </w: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2660" w:type="dxa"/>
            <w:vAlign w:val="bottom"/>
            <w:vMerge w:val="restart"/>
          </w:tcPr>
          <w:p>
            <w:pPr>
              <w:ind w:left="20"/>
              <w:spacing w:after="0" w:line="122" w:lineRule="exact"/>
              <w:rPr>
                <w:sz w:val="20"/>
                <w:szCs w:val="20"/>
                <w:color w:val="auto"/>
              </w:rPr>
            </w:pPr>
            <w:r>
              <w:rPr>
                <w:rFonts w:ascii="Arial" w:cs="Arial" w:eastAsia="Arial" w:hAnsi="Arial"/>
                <w:sz w:val="14"/>
                <w:szCs w:val="14"/>
                <w:color w:val="auto"/>
              </w:rPr>
              <w:t>(in thousands,</w:t>
            </w:r>
          </w:p>
        </w:tc>
        <w:tc>
          <w:tcPr>
            <w:tcW w:w="8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vMerge w:val="restart"/>
          </w:tcPr>
          <w:p>
            <w:pPr>
              <w:jc w:val="center"/>
              <w:ind w:right="28"/>
              <w:spacing w:after="0" w:line="122" w:lineRule="exact"/>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3"/>
                <w:szCs w:val="3"/>
                <w:color w:val="auto"/>
              </w:rPr>
            </w:pPr>
          </w:p>
        </w:tc>
        <w:tc>
          <w:tcPr>
            <w:tcW w:w="820" w:type="dxa"/>
            <w:vAlign w:val="bottom"/>
            <w:vMerge w:val="restart"/>
          </w:tcPr>
          <w:p>
            <w:pPr>
              <w:jc w:val="right"/>
              <w:ind w:right="108"/>
              <w:spacing w:after="0" w:line="122" w:lineRule="exact"/>
              <w:rPr>
                <w:sz w:val="20"/>
                <w:szCs w:val="20"/>
                <w:color w:val="auto"/>
              </w:rPr>
            </w:pPr>
            <w:r>
              <w:rPr>
                <w:rFonts w:ascii="Arial" w:cs="Arial" w:eastAsia="Arial" w:hAnsi="Arial"/>
                <w:sz w:val="14"/>
                <w:szCs w:val="14"/>
                <w:b w:val="1"/>
                <w:bCs w:val="1"/>
                <w:color w:val="auto"/>
              </w:rPr>
              <w:t>Retained</w:t>
            </w:r>
          </w:p>
        </w:tc>
        <w:tc>
          <w:tcPr>
            <w:tcW w:w="140" w:type="dxa"/>
            <w:vAlign w:val="bottom"/>
          </w:tcPr>
          <w:p>
            <w:pPr>
              <w:spacing w:after="0"/>
              <w:rPr>
                <w:sz w:val="3"/>
                <w:szCs w:val="3"/>
                <w:color w:val="auto"/>
              </w:rPr>
            </w:pPr>
          </w:p>
        </w:tc>
        <w:tc>
          <w:tcPr>
            <w:tcW w:w="1280" w:type="dxa"/>
            <w:vAlign w:val="bottom"/>
            <w:vMerge w:val="restart"/>
          </w:tcPr>
          <w:p>
            <w:pPr>
              <w:jc w:val="center"/>
              <w:ind w:right="48"/>
              <w:spacing w:after="0" w:line="122" w:lineRule="exact"/>
              <w:rPr>
                <w:sz w:val="20"/>
                <w:szCs w:val="20"/>
                <w:color w:val="auto"/>
              </w:rPr>
            </w:pPr>
            <w:r>
              <w:rPr>
                <w:rFonts w:ascii="Arial" w:cs="Arial" w:eastAsia="Arial" w:hAnsi="Arial"/>
                <w:sz w:val="14"/>
                <w:szCs w:val="14"/>
                <w:b w:val="1"/>
                <w:bCs w:val="1"/>
                <w:color w:val="auto"/>
              </w:rPr>
              <w:t>Comprehensive</w:t>
            </w:r>
          </w:p>
        </w:tc>
        <w:tc>
          <w:tcPr>
            <w:tcW w:w="8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420" w:type="dxa"/>
            <w:vAlign w:val="bottom"/>
            <w:gridSpan w:val="2"/>
            <w:vMerge w:val="restart"/>
          </w:tcPr>
          <w:p>
            <w:pPr>
              <w:jc w:val="center"/>
              <w:spacing w:after="0" w:line="122" w:lineRule="exact"/>
              <w:rPr>
                <w:sz w:val="20"/>
                <w:szCs w:val="20"/>
                <w:color w:val="auto"/>
              </w:rPr>
            </w:pPr>
            <w:r>
              <w:rPr>
                <w:rFonts w:ascii="Arial" w:cs="Arial" w:eastAsia="Arial" w:hAnsi="Arial"/>
                <w:sz w:val="14"/>
                <w:szCs w:val="14"/>
                <w:b w:val="1"/>
                <w:bCs w:val="1"/>
                <w:color w:val="auto"/>
              </w:rPr>
              <w:t>Total Shareholders'</w:t>
            </w:r>
          </w:p>
        </w:tc>
        <w:tc>
          <w:tcPr>
            <w:tcW w:w="0" w:type="dxa"/>
            <w:vAlign w:val="bottom"/>
          </w:tcPr>
          <w:p>
            <w:pPr>
              <w:spacing w:after="0"/>
              <w:rPr>
                <w:sz w:val="1"/>
                <w:szCs w:val="1"/>
                <w:color w:val="auto"/>
              </w:rPr>
            </w:pPr>
          </w:p>
        </w:tc>
      </w:tr>
      <w:tr>
        <w:trPr>
          <w:trHeight w:val="61"/>
        </w:trPr>
        <w:tc>
          <w:tcPr>
            <w:tcW w:w="2660" w:type="dxa"/>
            <w:vAlign w:val="bottom"/>
            <w:vMerge w:val="continue"/>
          </w:tcPr>
          <w:p>
            <w:pPr>
              <w:spacing w:after="0"/>
              <w:rPr>
                <w:sz w:val="5"/>
                <w:szCs w:val="5"/>
                <w:color w:val="auto"/>
              </w:rPr>
            </w:pPr>
          </w:p>
        </w:tc>
        <w:tc>
          <w:tcPr>
            <w:tcW w:w="8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Number</w:t>
            </w:r>
          </w:p>
        </w:tc>
        <w:tc>
          <w:tcPr>
            <w:tcW w:w="180" w:type="dxa"/>
            <w:vAlign w:val="bottom"/>
          </w:tcPr>
          <w:p>
            <w:pPr>
              <w:spacing w:after="0"/>
              <w:rPr>
                <w:sz w:val="5"/>
                <w:szCs w:val="5"/>
                <w:color w:val="auto"/>
              </w:rPr>
            </w:pPr>
          </w:p>
        </w:tc>
        <w:tc>
          <w:tcPr>
            <w:tcW w:w="82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82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Number</w:t>
            </w:r>
          </w:p>
        </w:tc>
        <w:tc>
          <w:tcPr>
            <w:tcW w:w="180" w:type="dxa"/>
            <w:vAlign w:val="bottom"/>
          </w:tcPr>
          <w:p>
            <w:pPr>
              <w:spacing w:after="0"/>
              <w:rPr>
                <w:sz w:val="5"/>
                <w:szCs w:val="5"/>
                <w:color w:val="auto"/>
              </w:rPr>
            </w:pPr>
          </w:p>
        </w:tc>
        <w:tc>
          <w:tcPr>
            <w:tcW w:w="84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Amount</w:t>
            </w:r>
          </w:p>
        </w:tc>
        <w:tc>
          <w:tcPr>
            <w:tcW w:w="14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26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except per share data)</w:t>
            </w:r>
          </w:p>
        </w:tc>
        <w:tc>
          <w:tcPr>
            <w:tcW w:w="80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Capital</w:t>
            </w: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Earnings</w:t>
            </w:r>
          </w:p>
        </w:tc>
        <w:tc>
          <w:tcPr>
            <w:tcW w:w="1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Income (Loss)</w:t>
            </w:r>
          </w:p>
        </w:tc>
        <w:tc>
          <w:tcPr>
            <w:tcW w:w="82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20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83"/>
        </w:trPr>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at February 29, 2020</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51,776</w:t>
            </w:r>
          </w:p>
        </w:tc>
        <w:tc>
          <w:tcPr>
            <w:tcW w:w="1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25,888</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200,751</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890,994</w:t>
            </w: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(543)</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(18,153)</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(315,566)</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801,524</w:t>
            </w:r>
          </w:p>
        </w:tc>
        <w:tc>
          <w:tcPr>
            <w:tcW w:w="0" w:type="dxa"/>
            <w:vAlign w:val="bottom"/>
          </w:tcPr>
          <w:p>
            <w:pPr>
              <w:spacing w:after="0"/>
              <w:rPr>
                <w:sz w:val="1"/>
                <w:szCs w:val="1"/>
                <w:color w:val="auto"/>
              </w:rPr>
            </w:pPr>
          </w:p>
        </w:tc>
      </w:tr>
      <w:tr>
        <w:trPr>
          <w:trHeight w:val="189"/>
        </w:trPr>
        <w:tc>
          <w:tcPr>
            <w:tcW w:w="2660" w:type="dxa"/>
            <w:vAlign w:val="bottom"/>
          </w:tcPr>
          <w:p>
            <w:pPr>
              <w:ind w:left="140"/>
              <w:spacing w:after="0"/>
              <w:rPr>
                <w:sz w:val="20"/>
                <w:szCs w:val="20"/>
                <w:color w:val="auto"/>
              </w:rPr>
            </w:pPr>
            <w:r>
              <w:rPr>
                <w:rFonts w:ascii="Arial" w:cs="Arial" w:eastAsia="Arial" w:hAnsi="Arial"/>
                <w:sz w:val="14"/>
                <w:szCs w:val="14"/>
                <w:color w:val="auto"/>
              </w:rPr>
              <w:t>Stock-based compensation</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(315)</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w:t>
            </w:r>
          </w:p>
        </w:tc>
        <w:tc>
          <w:tcPr>
            <w:tcW w:w="3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(308)</w:t>
            </w:r>
          </w:p>
        </w:tc>
        <w:tc>
          <w:tcPr>
            <w:tcW w:w="0" w:type="dxa"/>
            <w:vAlign w:val="bottom"/>
          </w:tcPr>
          <w:p>
            <w:pPr>
              <w:spacing w:after="0"/>
              <w:rPr>
                <w:sz w:val="1"/>
                <w:szCs w:val="1"/>
                <w:color w:val="auto"/>
              </w:rPr>
            </w:pPr>
          </w:p>
        </w:tc>
      </w:tr>
      <w:tr>
        <w:trPr>
          <w:trHeight w:val="189"/>
        </w:trPr>
        <w:tc>
          <w:tcPr>
            <w:tcW w:w="26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Issuance of stock, net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w:t>
            </w: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w:t>
            </w:r>
          </w:p>
        </w:tc>
        <w:tc>
          <w:tcPr>
            <w:tcW w:w="0" w:type="dxa"/>
            <w:vAlign w:val="bottom"/>
          </w:tcPr>
          <w:p>
            <w:pPr>
              <w:spacing w:after="0"/>
              <w:rPr>
                <w:sz w:val="1"/>
                <w:szCs w:val="1"/>
                <w:color w:val="auto"/>
              </w:rPr>
            </w:pPr>
          </w:p>
        </w:tc>
      </w:tr>
      <w:tr>
        <w:trPr>
          <w:trHeight w:val="189"/>
        </w:trPr>
        <w:tc>
          <w:tcPr>
            <w:tcW w:w="2660" w:type="dxa"/>
            <w:vAlign w:val="bottom"/>
          </w:tcPr>
          <w:p>
            <w:pPr>
              <w:ind w:left="140"/>
              <w:spacing w:after="0"/>
              <w:rPr>
                <w:sz w:val="20"/>
                <w:szCs w:val="20"/>
                <w:color w:val="auto"/>
              </w:rPr>
            </w:pPr>
            <w:r>
              <w:rPr>
                <w:rFonts w:ascii="Arial" w:cs="Arial" w:eastAsia="Arial" w:hAnsi="Arial"/>
                <w:sz w:val="14"/>
                <w:szCs w:val="14"/>
                <w:color w:val="auto"/>
              </w:rPr>
              <w:t>Repurchase of common stock</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w:t>
            </w: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(52)</w:t>
            </w:r>
          </w:p>
        </w:tc>
        <w:tc>
          <w:tcPr>
            <w:tcW w:w="3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153"/>
        </w:trPr>
        <w:tc>
          <w:tcPr>
            <w:tcW w:w="2660" w:type="dxa"/>
            <w:vAlign w:val="bottom"/>
            <w:shd w:val="clear" w:color="auto" w:fill="CCEEFF"/>
          </w:tcPr>
          <w:p>
            <w:pPr>
              <w:ind w:left="140"/>
              <w:spacing w:after="0" w:line="153" w:lineRule="exact"/>
              <w:rPr>
                <w:sz w:val="20"/>
                <w:szCs w:val="20"/>
                <w:color w:val="auto"/>
              </w:rPr>
            </w:pPr>
            <w:r>
              <w:rPr>
                <w:rFonts w:ascii="Arial" w:cs="Arial" w:eastAsia="Arial" w:hAnsi="Arial"/>
                <w:sz w:val="14"/>
                <w:szCs w:val="14"/>
                <w:color w:val="auto"/>
              </w:rPr>
              <w:t>Common stock dividends paid; $0.11</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(3,730)</w:t>
            </w:r>
          </w:p>
        </w:tc>
        <w:tc>
          <w:tcPr>
            <w:tcW w:w="140" w:type="dxa"/>
            <w:vAlign w:val="bottom"/>
            <w:shd w:val="clear" w:color="auto" w:fill="CCEEFF"/>
          </w:tcPr>
          <w:p>
            <w:pPr>
              <w:spacing w:after="0"/>
              <w:rPr>
                <w:sz w:val="13"/>
                <w:szCs w:val="13"/>
                <w:color w:val="auto"/>
              </w:rPr>
            </w:pPr>
          </w:p>
        </w:tc>
        <w:tc>
          <w:tcPr>
            <w:tcW w:w="12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(3,730)</w:t>
            </w:r>
          </w:p>
        </w:tc>
        <w:tc>
          <w:tcPr>
            <w:tcW w:w="0" w:type="dxa"/>
            <w:vAlign w:val="bottom"/>
          </w:tcPr>
          <w:p>
            <w:pPr>
              <w:spacing w:after="0"/>
              <w:rPr>
                <w:sz w:val="1"/>
                <w:szCs w:val="1"/>
                <w:color w:val="auto"/>
              </w:rPr>
            </w:pPr>
          </w:p>
        </w:tc>
      </w:tr>
      <w:tr>
        <w:trPr>
          <w:trHeight w:val="171"/>
        </w:trPr>
        <w:tc>
          <w:tcPr>
            <w:tcW w:w="26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per share</w:t>
            </w:r>
          </w:p>
        </w:tc>
        <w:tc>
          <w:tcPr>
            <w:tcW w:w="80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80" w:type="dxa"/>
            <w:vAlign w:val="bottom"/>
            <w:vMerge w:val="continue"/>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660" w:type="dxa"/>
            <w:vAlign w:val="bottom"/>
          </w:tcPr>
          <w:p>
            <w:pPr>
              <w:ind w:left="140"/>
              <w:spacing w:after="0"/>
              <w:rPr>
                <w:sz w:val="20"/>
                <w:szCs w:val="20"/>
                <w:color w:val="auto"/>
              </w:rPr>
            </w:pPr>
            <w:r>
              <w:rPr>
                <w:rFonts w:ascii="Arial" w:cs="Arial" w:eastAsia="Arial" w:hAnsi="Arial"/>
                <w:sz w:val="14"/>
                <w:szCs w:val="14"/>
                <w:color w:val="auto"/>
              </w:rPr>
              <w:t>Actuarial loss, net of tax</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8</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89"/>
        </w:trPr>
        <w:tc>
          <w:tcPr>
            <w:tcW w:w="26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Interest rate swap activity, net of tax</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(432)</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(432)</w:t>
            </w:r>
          </w:p>
        </w:tc>
        <w:tc>
          <w:tcPr>
            <w:tcW w:w="0" w:type="dxa"/>
            <w:vAlign w:val="bottom"/>
          </w:tcPr>
          <w:p>
            <w:pPr>
              <w:spacing w:after="0"/>
              <w:rPr>
                <w:sz w:val="1"/>
                <w:szCs w:val="1"/>
                <w:color w:val="auto"/>
              </w:rPr>
            </w:pPr>
          </w:p>
        </w:tc>
      </w:tr>
      <w:tr>
        <w:trPr>
          <w:trHeight w:val="189"/>
        </w:trPr>
        <w:tc>
          <w:tcPr>
            <w:tcW w:w="266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Net loss</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(12,353)</w:t>
            </w: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(12,353)</w:t>
            </w:r>
          </w:p>
        </w:tc>
        <w:tc>
          <w:tcPr>
            <w:tcW w:w="0" w:type="dxa"/>
            <w:vAlign w:val="bottom"/>
          </w:tcPr>
          <w:p>
            <w:pPr>
              <w:spacing w:after="0"/>
              <w:rPr>
                <w:sz w:val="1"/>
                <w:szCs w:val="1"/>
                <w:color w:val="auto"/>
              </w:rPr>
            </w:pPr>
          </w:p>
        </w:tc>
      </w:tr>
      <w:tr>
        <w:trPr>
          <w:trHeight w:val="208"/>
        </w:trPr>
        <w:tc>
          <w:tcPr>
            <w:tcW w:w="2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May 30, 2020</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51,776</w:t>
            </w:r>
          </w:p>
        </w:tc>
        <w:tc>
          <w:tcPr>
            <w:tcW w:w="1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25,888</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200,456</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874,911</w:t>
            </w: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(967)</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(18,146)</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(315,478)</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784,810</w:t>
            </w: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3060" w:type="dxa"/>
            <w:vAlign w:val="bottom"/>
            <w:tcBorders>
              <w:top w:val="single" w:sz="8" w:color="CCEEFF"/>
              <w:bottom w:val="single" w:sz="8" w:color="auto"/>
            </w:tcBorders>
            <w:gridSpan w:val="4"/>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8"/>
        </w:trPr>
        <w:tc>
          <w:tcPr>
            <w:tcW w:w="266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4"/>
          </w:tcPr>
          <w:p>
            <w:pPr>
              <w:jc w:val="center"/>
              <w:ind w:right="408"/>
              <w:spacing w:after="0"/>
              <w:rPr>
                <w:sz w:val="20"/>
                <w:szCs w:val="20"/>
                <w:color w:val="auto"/>
              </w:rPr>
            </w:pPr>
            <w:r>
              <w:rPr>
                <w:rFonts w:ascii="Arial" w:cs="Arial" w:eastAsia="Arial" w:hAnsi="Arial"/>
                <w:sz w:val="14"/>
                <w:szCs w:val="14"/>
                <w:b w:val="1"/>
                <w:bCs w:val="1"/>
                <w:color w:val="auto"/>
              </w:rPr>
              <w:t>Nine Months Ended May 29, 2021</w:t>
            </w: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2660" w:type="dxa"/>
            <w:vAlign w:val="bottom"/>
          </w:tcPr>
          <w:p>
            <w:pPr>
              <w:spacing w:after="0"/>
              <w:rPr>
                <w:sz w:val="24"/>
                <w:szCs w:val="24"/>
                <w:color w:val="auto"/>
              </w:rPr>
            </w:pPr>
          </w:p>
        </w:tc>
        <w:tc>
          <w:tcPr>
            <w:tcW w:w="1800" w:type="dxa"/>
            <w:vAlign w:val="bottom"/>
            <w:gridSpan w:val="3"/>
          </w:tcPr>
          <w:p>
            <w:pPr>
              <w:jc w:val="center"/>
              <w:spacing w:after="0"/>
              <w:rPr>
                <w:sz w:val="20"/>
                <w:szCs w:val="20"/>
                <w:color w:val="auto"/>
              </w:rPr>
            </w:pPr>
            <w:r>
              <w:rPr>
                <w:rFonts w:ascii="Arial" w:cs="Arial" w:eastAsia="Arial" w:hAnsi="Arial"/>
                <w:sz w:val="14"/>
                <w:szCs w:val="14"/>
                <w:b w:val="1"/>
                <w:bCs w:val="1"/>
                <w:color w:val="auto"/>
              </w:rPr>
              <w:t>Common Shares</w:t>
            </w:r>
          </w:p>
        </w:tc>
        <w:tc>
          <w:tcPr>
            <w:tcW w:w="120" w:type="dxa"/>
            <w:vAlign w:val="bottom"/>
          </w:tcPr>
          <w:p>
            <w:pPr>
              <w:spacing w:after="0"/>
              <w:rPr>
                <w:sz w:val="24"/>
                <w:szCs w:val="24"/>
                <w:color w:val="auto"/>
              </w:rPr>
            </w:pPr>
          </w:p>
        </w:tc>
        <w:tc>
          <w:tcPr>
            <w:tcW w:w="860" w:type="dxa"/>
            <w:vAlign w:val="bottom"/>
          </w:tcPr>
          <w:p>
            <w:pPr>
              <w:jc w:val="center"/>
              <w:ind w:right="48"/>
              <w:spacing w:after="0"/>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20" w:type="dxa"/>
            <w:vAlign w:val="bottom"/>
            <w:gridSpan w:val="2"/>
          </w:tcPr>
          <w:p>
            <w:pPr>
              <w:ind w:left="40"/>
              <w:spacing w:after="0"/>
              <w:rPr>
                <w:sz w:val="20"/>
                <w:szCs w:val="20"/>
                <w:color w:val="auto"/>
              </w:rPr>
            </w:pPr>
            <w:r>
              <w:rPr>
                <w:rFonts w:ascii="Arial" w:cs="Arial" w:eastAsia="Arial" w:hAnsi="Arial"/>
                <w:sz w:val="14"/>
                <w:szCs w:val="14"/>
                <w:b w:val="1"/>
                <w:bCs w:val="1"/>
                <w:color w:val="auto"/>
              </w:rPr>
              <w:t>Accumulated Other</w:t>
            </w:r>
          </w:p>
        </w:tc>
        <w:tc>
          <w:tcPr>
            <w:tcW w:w="1840" w:type="dxa"/>
            <w:vAlign w:val="bottom"/>
            <w:gridSpan w:val="3"/>
          </w:tcPr>
          <w:p>
            <w:pPr>
              <w:jc w:val="right"/>
              <w:ind w:right="328"/>
              <w:spacing w:after="0"/>
              <w:rPr>
                <w:sz w:val="20"/>
                <w:szCs w:val="20"/>
                <w:color w:val="auto"/>
              </w:rPr>
            </w:pPr>
            <w:r>
              <w:rPr>
                <w:rFonts w:ascii="Arial" w:cs="Arial" w:eastAsia="Arial" w:hAnsi="Arial"/>
                <w:sz w:val="14"/>
                <w:szCs w:val="14"/>
                <w:b w:val="1"/>
                <w:bCs w:val="1"/>
                <w:color w:val="auto"/>
              </w:rPr>
              <w:t>Treasury Stock</w:t>
            </w: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2660" w:type="dxa"/>
            <w:vAlign w:val="bottom"/>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vMerge w:val="restart"/>
          </w:tcPr>
          <w:p>
            <w:pPr>
              <w:jc w:val="center"/>
              <w:ind w:right="28"/>
              <w:spacing w:after="0" w:line="122" w:lineRule="exact"/>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3"/>
                <w:szCs w:val="3"/>
                <w:color w:val="auto"/>
              </w:rPr>
            </w:pPr>
          </w:p>
        </w:tc>
        <w:tc>
          <w:tcPr>
            <w:tcW w:w="820" w:type="dxa"/>
            <w:vAlign w:val="bottom"/>
            <w:vMerge w:val="restart"/>
          </w:tcPr>
          <w:p>
            <w:pPr>
              <w:jc w:val="right"/>
              <w:ind w:right="108"/>
              <w:spacing w:after="0" w:line="122" w:lineRule="exact"/>
              <w:rPr>
                <w:sz w:val="20"/>
                <w:szCs w:val="20"/>
                <w:color w:val="auto"/>
              </w:rPr>
            </w:pPr>
            <w:r>
              <w:rPr>
                <w:rFonts w:ascii="Arial" w:cs="Arial" w:eastAsia="Arial" w:hAnsi="Arial"/>
                <w:sz w:val="14"/>
                <w:szCs w:val="14"/>
                <w:b w:val="1"/>
                <w:bCs w:val="1"/>
                <w:color w:val="auto"/>
              </w:rPr>
              <w:t>Retained</w:t>
            </w:r>
          </w:p>
        </w:tc>
        <w:tc>
          <w:tcPr>
            <w:tcW w:w="140" w:type="dxa"/>
            <w:vAlign w:val="bottom"/>
          </w:tcPr>
          <w:p>
            <w:pPr>
              <w:spacing w:after="0"/>
              <w:rPr>
                <w:sz w:val="3"/>
                <w:szCs w:val="3"/>
                <w:color w:val="auto"/>
              </w:rPr>
            </w:pPr>
          </w:p>
        </w:tc>
        <w:tc>
          <w:tcPr>
            <w:tcW w:w="1280" w:type="dxa"/>
            <w:vAlign w:val="bottom"/>
            <w:vMerge w:val="restart"/>
          </w:tcPr>
          <w:p>
            <w:pPr>
              <w:jc w:val="center"/>
              <w:ind w:right="48"/>
              <w:spacing w:after="0" w:line="122" w:lineRule="exact"/>
              <w:rPr>
                <w:sz w:val="20"/>
                <w:szCs w:val="20"/>
                <w:color w:val="auto"/>
              </w:rPr>
            </w:pPr>
            <w:r>
              <w:rPr>
                <w:rFonts w:ascii="Arial" w:cs="Arial" w:eastAsia="Arial" w:hAnsi="Arial"/>
                <w:sz w:val="14"/>
                <w:szCs w:val="14"/>
                <w:b w:val="1"/>
                <w:bCs w:val="1"/>
                <w:color w:val="auto"/>
              </w:rPr>
              <w:t>Comprehensive</w:t>
            </w:r>
          </w:p>
        </w:tc>
        <w:tc>
          <w:tcPr>
            <w:tcW w:w="8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420" w:type="dxa"/>
            <w:vAlign w:val="bottom"/>
            <w:gridSpan w:val="2"/>
            <w:vMerge w:val="restart"/>
          </w:tcPr>
          <w:p>
            <w:pPr>
              <w:jc w:val="center"/>
              <w:spacing w:after="0" w:line="122" w:lineRule="exact"/>
              <w:rPr>
                <w:sz w:val="20"/>
                <w:szCs w:val="20"/>
                <w:color w:val="auto"/>
              </w:rPr>
            </w:pPr>
            <w:r>
              <w:rPr>
                <w:rFonts w:ascii="Arial" w:cs="Arial" w:eastAsia="Arial" w:hAnsi="Arial"/>
                <w:sz w:val="14"/>
                <w:szCs w:val="14"/>
                <w:b w:val="1"/>
                <w:bCs w:val="1"/>
                <w:color w:val="auto"/>
              </w:rPr>
              <w:t>Total Shareholders'</w:t>
            </w:r>
          </w:p>
        </w:tc>
        <w:tc>
          <w:tcPr>
            <w:tcW w:w="0" w:type="dxa"/>
            <w:vAlign w:val="bottom"/>
          </w:tcPr>
          <w:p>
            <w:pPr>
              <w:spacing w:after="0"/>
              <w:rPr>
                <w:sz w:val="1"/>
                <w:szCs w:val="1"/>
                <w:color w:val="auto"/>
              </w:rPr>
            </w:pPr>
          </w:p>
        </w:tc>
      </w:tr>
      <w:tr>
        <w:trPr>
          <w:trHeight w:val="61"/>
        </w:trPr>
        <w:tc>
          <w:tcPr>
            <w:tcW w:w="2660" w:type="dxa"/>
            <w:vAlign w:val="bottom"/>
          </w:tcPr>
          <w:p>
            <w:pPr>
              <w:spacing w:after="0"/>
              <w:rPr>
                <w:sz w:val="5"/>
                <w:szCs w:val="5"/>
                <w:color w:val="auto"/>
              </w:rPr>
            </w:pPr>
          </w:p>
        </w:tc>
        <w:tc>
          <w:tcPr>
            <w:tcW w:w="8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Number</w:t>
            </w:r>
          </w:p>
        </w:tc>
        <w:tc>
          <w:tcPr>
            <w:tcW w:w="180" w:type="dxa"/>
            <w:vAlign w:val="bottom"/>
          </w:tcPr>
          <w:p>
            <w:pPr>
              <w:spacing w:after="0"/>
              <w:rPr>
                <w:sz w:val="5"/>
                <w:szCs w:val="5"/>
                <w:color w:val="auto"/>
              </w:rPr>
            </w:pPr>
          </w:p>
        </w:tc>
        <w:tc>
          <w:tcPr>
            <w:tcW w:w="82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82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Number</w:t>
            </w:r>
          </w:p>
        </w:tc>
        <w:tc>
          <w:tcPr>
            <w:tcW w:w="180" w:type="dxa"/>
            <w:vAlign w:val="bottom"/>
          </w:tcPr>
          <w:p>
            <w:pPr>
              <w:spacing w:after="0"/>
              <w:rPr>
                <w:sz w:val="5"/>
                <w:szCs w:val="5"/>
                <w:color w:val="auto"/>
              </w:rPr>
            </w:pPr>
          </w:p>
        </w:tc>
        <w:tc>
          <w:tcPr>
            <w:tcW w:w="84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Amount</w:t>
            </w:r>
          </w:p>
        </w:tc>
        <w:tc>
          <w:tcPr>
            <w:tcW w:w="14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66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Capital</w:t>
            </w: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Earnings</w:t>
            </w:r>
          </w:p>
        </w:tc>
        <w:tc>
          <w:tcPr>
            <w:tcW w:w="1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Income (Loss)</w:t>
            </w:r>
          </w:p>
        </w:tc>
        <w:tc>
          <w:tcPr>
            <w:tcW w:w="82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20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83"/>
        </w:trPr>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at August 29, 2020</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51,776</w:t>
            </w:r>
          </w:p>
        </w:tc>
        <w:tc>
          <w:tcPr>
            <w:tcW w:w="1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25,888</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203,791</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913,610</w:t>
            </w: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(526)</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(18,133)</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(315,297)</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827,466</w:t>
            </w:r>
          </w:p>
        </w:tc>
        <w:tc>
          <w:tcPr>
            <w:tcW w:w="0" w:type="dxa"/>
            <w:vAlign w:val="bottom"/>
          </w:tcPr>
          <w:p>
            <w:pPr>
              <w:spacing w:after="0"/>
              <w:rPr>
                <w:sz w:val="1"/>
                <w:szCs w:val="1"/>
                <w:color w:val="auto"/>
              </w:rPr>
            </w:pPr>
          </w:p>
        </w:tc>
      </w:tr>
      <w:tr>
        <w:trPr>
          <w:trHeight w:val="189"/>
        </w:trPr>
        <w:tc>
          <w:tcPr>
            <w:tcW w:w="2660" w:type="dxa"/>
            <w:vAlign w:val="bottom"/>
          </w:tcPr>
          <w:p>
            <w:pPr>
              <w:ind w:left="140"/>
              <w:spacing w:after="0"/>
              <w:rPr>
                <w:sz w:val="20"/>
                <w:szCs w:val="20"/>
                <w:color w:val="auto"/>
              </w:rPr>
            </w:pPr>
            <w:r>
              <w:rPr>
                <w:rFonts w:ascii="Arial" w:cs="Arial" w:eastAsia="Arial" w:hAnsi="Arial"/>
                <w:sz w:val="14"/>
                <w:szCs w:val="14"/>
                <w:color w:val="auto"/>
              </w:rPr>
              <w:t>Stock-based compensation</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11,701</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w:t>
            </w: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18</w:t>
            </w:r>
          </w:p>
        </w:tc>
        <w:tc>
          <w:tcPr>
            <w:tcW w:w="3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11,719</w:t>
            </w:r>
          </w:p>
        </w:tc>
        <w:tc>
          <w:tcPr>
            <w:tcW w:w="0" w:type="dxa"/>
            <w:vAlign w:val="bottom"/>
          </w:tcPr>
          <w:p>
            <w:pPr>
              <w:spacing w:after="0"/>
              <w:rPr>
                <w:sz w:val="1"/>
                <w:szCs w:val="1"/>
                <w:color w:val="auto"/>
              </w:rPr>
            </w:pPr>
          </w:p>
        </w:tc>
      </w:tr>
      <w:tr>
        <w:trPr>
          <w:trHeight w:val="189"/>
        </w:trPr>
        <w:tc>
          <w:tcPr>
            <w:tcW w:w="26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Issuance of stock</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(1,032)</w:t>
            </w: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w:t>
            </w: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2,631</w:t>
            </w: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1,599</w:t>
            </w:r>
          </w:p>
        </w:tc>
        <w:tc>
          <w:tcPr>
            <w:tcW w:w="0" w:type="dxa"/>
            <w:vAlign w:val="bottom"/>
          </w:tcPr>
          <w:p>
            <w:pPr>
              <w:spacing w:after="0"/>
              <w:rPr>
                <w:sz w:val="1"/>
                <w:szCs w:val="1"/>
                <w:color w:val="auto"/>
              </w:rPr>
            </w:pPr>
          </w:p>
        </w:tc>
      </w:tr>
      <w:tr>
        <w:trPr>
          <w:trHeight w:val="189"/>
        </w:trPr>
        <w:tc>
          <w:tcPr>
            <w:tcW w:w="2660" w:type="dxa"/>
            <w:vAlign w:val="bottom"/>
          </w:tcPr>
          <w:p>
            <w:pPr>
              <w:ind w:left="140"/>
              <w:spacing w:after="0"/>
              <w:rPr>
                <w:sz w:val="20"/>
                <w:szCs w:val="20"/>
                <w:color w:val="auto"/>
              </w:rPr>
            </w:pPr>
            <w:r>
              <w:rPr>
                <w:rFonts w:ascii="Arial" w:cs="Arial" w:eastAsia="Arial" w:hAnsi="Arial"/>
                <w:sz w:val="14"/>
                <w:szCs w:val="14"/>
                <w:color w:val="auto"/>
              </w:rPr>
              <w:t>Repurchase of common stock</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(242)</w:t>
            </w: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(12,109)</w:t>
            </w:r>
          </w:p>
        </w:tc>
        <w:tc>
          <w:tcPr>
            <w:tcW w:w="3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(12,109)</w:t>
            </w:r>
          </w:p>
        </w:tc>
        <w:tc>
          <w:tcPr>
            <w:tcW w:w="0" w:type="dxa"/>
            <w:vAlign w:val="bottom"/>
          </w:tcPr>
          <w:p>
            <w:pPr>
              <w:spacing w:after="0"/>
              <w:rPr>
                <w:sz w:val="1"/>
                <w:szCs w:val="1"/>
                <w:color w:val="auto"/>
              </w:rPr>
            </w:pPr>
          </w:p>
        </w:tc>
      </w:tr>
      <w:tr>
        <w:trPr>
          <w:trHeight w:val="153"/>
        </w:trPr>
        <w:tc>
          <w:tcPr>
            <w:tcW w:w="2660" w:type="dxa"/>
            <w:vAlign w:val="bottom"/>
            <w:shd w:val="clear" w:color="auto" w:fill="CCEEFF"/>
          </w:tcPr>
          <w:p>
            <w:pPr>
              <w:ind w:left="140"/>
              <w:spacing w:after="0" w:line="153" w:lineRule="exact"/>
              <w:rPr>
                <w:sz w:val="20"/>
                <w:szCs w:val="20"/>
                <w:color w:val="auto"/>
              </w:rPr>
            </w:pPr>
            <w:r>
              <w:rPr>
                <w:rFonts w:ascii="Arial" w:cs="Arial" w:eastAsia="Arial" w:hAnsi="Arial"/>
                <w:sz w:val="14"/>
                <w:szCs w:val="14"/>
                <w:color w:val="auto"/>
              </w:rPr>
              <w:t>Common stock dividends paid; $0.36</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(12,136)</w:t>
            </w:r>
          </w:p>
        </w:tc>
        <w:tc>
          <w:tcPr>
            <w:tcW w:w="140" w:type="dxa"/>
            <w:vAlign w:val="bottom"/>
            <w:shd w:val="clear" w:color="auto" w:fill="CCEEFF"/>
          </w:tcPr>
          <w:p>
            <w:pPr>
              <w:spacing w:after="0"/>
              <w:rPr>
                <w:sz w:val="13"/>
                <w:szCs w:val="13"/>
                <w:color w:val="auto"/>
              </w:rPr>
            </w:pPr>
          </w:p>
        </w:tc>
        <w:tc>
          <w:tcPr>
            <w:tcW w:w="12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(12,136)</w:t>
            </w:r>
          </w:p>
        </w:tc>
        <w:tc>
          <w:tcPr>
            <w:tcW w:w="0" w:type="dxa"/>
            <w:vAlign w:val="bottom"/>
          </w:tcPr>
          <w:p>
            <w:pPr>
              <w:spacing w:after="0"/>
              <w:rPr>
                <w:sz w:val="1"/>
                <w:szCs w:val="1"/>
                <w:color w:val="auto"/>
              </w:rPr>
            </w:pPr>
          </w:p>
        </w:tc>
      </w:tr>
      <w:tr>
        <w:trPr>
          <w:trHeight w:val="171"/>
        </w:trPr>
        <w:tc>
          <w:tcPr>
            <w:tcW w:w="26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per share</w:t>
            </w:r>
          </w:p>
        </w:tc>
        <w:tc>
          <w:tcPr>
            <w:tcW w:w="80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80" w:type="dxa"/>
            <w:vAlign w:val="bottom"/>
            <w:vMerge w:val="continue"/>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660" w:type="dxa"/>
            <w:vAlign w:val="bottom"/>
          </w:tcPr>
          <w:p>
            <w:pPr>
              <w:ind w:left="140"/>
              <w:spacing w:after="0" w:line="153" w:lineRule="exact"/>
              <w:rPr>
                <w:sz w:val="20"/>
                <w:szCs w:val="20"/>
                <w:color w:val="auto"/>
              </w:rPr>
            </w:pPr>
            <w:r>
              <w:rPr>
                <w:rFonts w:ascii="Arial" w:cs="Arial" w:eastAsia="Arial" w:hAnsi="Arial"/>
                <w:sz w:val="14"/>
                <w:szCs w:val="14"/>
                <w:color w:val="auto"/>
              </w:rPr>
              <w:t>Common stock dividends accrued;</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(4,093)</w:t>
            </w:r>
          </w:p>
        </w:tc>
        <w:tc>
          <w:tcPr>
            <w:tcW w:w="140" w:type="dxa"/>
            <w:vAlign w:val="bottom"/>
          </w:tcPr>
          <w:p>
            <w:pPr>
              <w:spacing w:after="0"/>
              <w:rPr>
                <w:sz w:val="13"/>
                <w:szCs w:val="13"/>
                <w:color w:val="auto"/>
              </w:rPr>
            </w:pPr>
          </w:p>
        </w:tc>
        <w:tc>
          <w:tcPr>
            <w:tcW w:w="12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(4,093)</w:t>
            </w:r>
          </w:p>
        </w:tc>
        <w:tc>
          <w:tcPr>
            <w:tcW w:w="0" w:type="dxa"/>
            <w:vAlign w:val="bottom"/>
          </w:tcPr>
          <w:p>
            <w:pPr>
              <w:spacing w:after="0"/>
              <w:rPr>
                <w:sz w:val="1"/>
                <w:szCs w:val="1"/>
                <w:color w:val="auto"/>
              </w:rPr>
            </w:pPr>
          </w:p>
        </w:tc>
      </w:tr>
      <w:tr>
        <w:trPr>
          <w:trHeight w:val="171"/>
        </w:trPr>
        <w:tc>
          <w:tcPr>
            <w:tcW w:w="2660" w:type="dxa"/>
            <w:vAlign w:val="bottom"/>
          </w:tcPr>
          <w:p>
            <w:pPr>
              <w:ind w:left="140"/>
              <w:spacing w:after="0"/>
              <w:rPr>
                <w:sz w:val="20"/>
                <w:szCs w:val="20"/>
                <w:color w:val="auto"/>
              </w:rPr>
            </w:pPr>
            <w:r>
              <w:rPr>
                <w:rFonts w:ascii="Arial" w:cs="Arial" w:eastAsia="Arial" w:hAnsi="Arial"/>
                <w:sz w:val="14"/>
                <w:szCs w:val="14"/>
                <w:color w:val="auto"/>
              </w:rPr>
              <w:t>$0.12 per share</w:t>
            </w:r>
          </w:p>
        </w:tc>
        <w:tc>
          <w:tcPr>
            <w:tcW w:w="8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6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Actuarial loss, net of tax</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26</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89"/>
        </w:trPr>
        <w:tc>
          <w:tcPr>
            <w:tcW w:w="266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Net income</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197,786</w:t>
            </w: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197,786</w:t>
            </w:r>
          </w:p>
        </w:tc>
        <w:tc>
          <w:tcPr>
            <w:tcW w:w="0" w:type="dxa"/>
            <w:vAlign w:val="bottom"/>
          </w:tcPr>
          <w:p>
            <w:pPr>
              <w:spacing w:after="0"/>
              <w:rPr>
                <w:sz w:val="1"/>
                <w:szCs w:val="1"/>
                <w:color w:val="auto"/>
              </w:rPr>
            </w:pPr>
          </w:p>
        </w:tc>
      </w:tr>
      <w:tr>
        <w:trPr>
          <w:trHeight w:val="207"/>
        </w:trPr>
        <w:tc>
          <w:tcPr>
            <w:tcW w:w="2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May 29, 2021</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51,776</w:t>
            </w:r>
          </w:p>
        </w:tc>
        <w:tc>
          <w:tcPr>
            <w:tcW w:w="1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25,888</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214,460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1,095,167</w:t>
            </w: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(500)</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(18,225)</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(324,757)</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1,010,258</w:t>
            </w: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7" w:name="page8"/>
    <w:bookmarkEnd w:id="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tbl>
      <w:tblPr>
        <w:tblLayout w:type="fixed"/>
        <w:tblInd w:w="160" w:type="dxa"/>
        <w:tblCellMar>
          <w:top w:w="0" w:type="dxa"/>
          <w:left w:w="0" w:type="dxa"/>
          <w:bottom w:w="0" w:type="dxa"/>
          <w:right w:w="0" w:type="dxa"/>
        </w:tblCellMar>
      </w:tblPr>
      <w:tr>
        <w:trPr>
          <w:trHeight w:val="189"/>
        </w:trPr>
        <w:tc>
          <w:tcPr>
            <w:tcW w:w="266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4"/>
          </w:tcPr>
          <w:p>
            <w:pPr>
              <w:jc w:val="right"/>
              <w:ind w:right="568"/>
              <w:spacing w:after="0"/>
              <w:rPr>
                <w:sz w:val="20"/>
                <w:szCs w:val="20"/>
                <w:color w:val="auto"/>
              </w:rPr>
            </w:pPr>
            <w:r>
              <w:rPr>
                <w:rFonts w:ascii="Arial" w:cs="Arial" w:eastAsia="Arial" w:hAnsi="Arial"/>
                <w:sz w:val="14"/>
                <w:szCs w:val="14"/>
                <w:b w:val="1"/>
                <w:bCs w:val="1"/>
                <w:color w:val="auto"/>
              </w:rPr>
              <w:t>Nine Months Ended May 30, 2020</w:t>
            </w: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71"/>
        </w:trPr>
        <w:tc>
          <w:tcPr>
            <w:tcW w:w="2660" w:type="dxa"/>
            <w:vAlign w:val="bottom"/>
          </w:tcPr>
          <w:p>
            <w:pPr>
              <w:spacing w:after="0"/>
              <w:rPr>
                <w:sz w:val="24"/>
                <w:szCs w:val="24"/>
                <w:color w:val="auto"/>
              </w:rPr>
            </w:pPr>
          </w:p>
        </w:tc>
        <w:tc>
          <w:tcPr>
            <w:tcW w:w="1800" w:type="dxa"/>
            <w:vAlign w:val="bottom"/>
            <w:gridSpan w:val="3"/>
          </w:tcPr>
          <w:p>
            <w:pPr>
              <w:jc w:val="center"/>
              <w:spacing w:after="0"/>
              <w:rPr>
                <w:sz w:val="20"/>
                <w:szCs w:val="20"/>
                <w:color w:val="auto"/>
              </w:rPr>
            </w:pPr>
            <w:r>
              <w:rPr>
                <w:rFonts w:ascii="Arial" w:cs="Arial" w:eastAsia="Arial" w:hAnsi="Arial"/>
                <w:sz w:val="14"/>
                <w:szCs w:val="14"/>
                <w:b w:val="1"/>
                <w:bCs w:val="1"/>
                <w:color w:val="auto"/>
              </w:rPr>
              <w:t>Common Shares</w:t>
            </w:r>
          </w:p>
        </w:tc>
        <w:tc>
          <w:tcPr>
            <w:tcW w:w="120" w:type="dxa"/>
            <w:vAlign w:val="bottom"/>
          </w:tcPr>
          <w:p>
            <w:pPr>
              <w:spacing w:after="0"/>
              <w:rPr>
                <w:sz w:val="24"/>
                <w:szCs w:val="24"/>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20" w:type="dxa"/>
            <w:vAlign w:val="bottom"/>
            <w:gridSpan w:val="2"/>
          </w:tcPr>
          <w:p>
            <w:pPr>
              <w:ind w:left="40"/>
              <w:spacing w:after="0"/>
              <w:rPr>
                <w:sz w:val="20"/>
                <w:szCs w:val="20"/>
                <w:color w:val="auto"/>
              </w:rPr>
            </w:pPr>
            <w:r>
              <w:rPr>
                <w:rFonts w:ascii="Arial" w:cs="Arial" w:eastAsia="Arial" w:hAnsi="Arial"/>
                <w:sz w:val="14"/>
                <w:szCs w:val="14"/>
                <w:b w:val="1"/>
                <w:bCs w:val="1"/>
                <w:color w:val="auto"/>
              </w:rPr>
              <w:t>Accumulated Other</w:t>
            </w:r>
          </w:p>
        </w:tc>
        <w:tc>
          <w:tcPr>
            <w:tcW w:w="1840" w:type="dxa"/>
            <w:vAlign w:val="bottom"/>
            <w:gridSpan w:val="3"/>
          </w:tcPr>
          <w:p>
            <w:pPr>
              <w:jc w:val="right"/>
              <w:ind w:right="328"/>
              <w:spacing w:after="0"/>
              <w:rPr>
                <w:sz w:val="20"/>
                <w:szCs w:val="20"/>
                <w:color w:val="auto"/>
              </w:rPr>
            </w:pPr>
            <w:r>
              <w:rPr>
                <w:rFonts w:ascii="Arial" w:cs="Arial" w:eastAsia="Arial" w:hAnsi="Arial"/>
                <w:sz w:val="14"/>
                <w:szCs w:val="14"/>
                <w:b w:val="1"/>
                <w:bCs w:val="1"/>
                <w:color w:val="auto"/>
              </w:rPr>
              <w:t>Treasury Stock</w:t>
            </w: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2660" w:type="dxa"/>
            <w:vAlign w:val="bottom"/>
            <w:vMerge w:val="restart"/>
          </w:tcPr>
          <w:p>
            <w:pPr>
              <w:ind w:left="20"/>
              <w:spacing w:after="0" w:line="122" w:lineRule="exact"/>
              <w:rPr>
                <w:sz w:val="20"/>
                <w:szCs w:val="20"/>
                <w:color w:val="auto"/>
              </w:rPr>
            </w:pPr>
            <w:r>
              <w:rPr>
                <w:rFonts w:ascii="Arial" w:cs="Arial" w:eastAsia="Arial" w:hAnsi="Arial"/>
                <w:sz w:val="14"/>
                <w:szCs w:val="14"/>
                <w:color w:val="auto"/>
              </w:rPr>
              <w:t>(in thousands,</w:t>
            </w:r>
          </w:p>
        </w:tc>
        <w:tc>
          <w:tcPr>
            <w:tcW w:w="8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vMerge w:val="restart"/>
          </w:tcPr>
          <w:p>
            <w:pPr>
              <w:jc w:val="right"/>
              <w:ind w:right="168"/>
              <w:spacing w:after="0" w:line="122" w:lineRule="exact"/>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3"/>
                <w:szCs w:val="3"/>
                <w:color w:val="auto"/>
              </w:rPr>
            </w:pPr>
          </w:p>
        </w:tc>
        <w:tc>
          <w:tcPr>
            <w:tcW w:w="820" w:type="dxa"/>
            <w:vAlign w:val="bottom"/>
            <w:vMerge w:val="restart"/>
          </w:tcPr>
          <w:p>
            <w:pPr>
              <w:jc w:val="right"/>
              <w:ind w:right="108"/>
              <w:spacing w:after="0" w:line="122" w:lineRule="exact"/>
              <w:rPr>
                <w:sz w:val="20"/>
                <w:szCs w:val="20"/>
                <w:color w:val="auto"/>
              </w:rPr>
            </w:pPr>
            <w:r>
              <w:rPr>
                <w:rFonts w:ascii="Arial" w:cs="Arial" w:eastAsia="Arial" w:hAnsi="Arial"/>
                <w:sz w:val="14"/>
                <w:szCs w:val="14"/>
                <w:b w:val="1"/>
                <w:bCs w:val="1"/>
                <w:color w:val="auto"/>
              </w:rPr>
              <w:t>Retained</w:t>
            </w:r>
          </w:p>
        </w:tc>
        <w:tc>
          <w:tcPr>
            <w:tcW w:w="140" w:type="dxa"/>
            <w:vAlign w:val="bottom"/>
          </w:tcPr>
          <w:p>
            <w:pPr>
              <w:spacing w:after="0"/>
              <w:rPr>
                <w:sz w:val="3"/>
                <w:szCs w:val="3"/>
                <w:color w:val="auto"/>
              </w:rPr>
            </w:pPr>
          </w:p>
        </w:tc>
        <w:tc>
          <w:tcPr>
            <w:tcW w:w="1280" w:type="dxa"/>
            <w:vAlign w:val="bottom"/>
            <w:vMerge w:val="restart"/>
          </w:tcPr>
          <w:p>
            <w:pPr>
              <w:jc w:val="right"/>
              <w:ind w:right="88"/>
              <w:spacing w:after="0" w:line="122" w:lineRule="exact"/>
              <w:rPr>
                <w:sz w:val="20"/>
                <w:szCs w:val="20"/>
                <w:color w:val="auto"/>
              </w:rPr>
            </w:pPr>
            <w:r>
              <w:rPr>
                <w:rFonts w:ascii="Arial" w:cs="Arial" w:eastAsia="Arial" w:hAnsi="Arial"/>
                <w:sz w:val="14"/>
                <w:szCs w:val="14"/>
                <w:b w:val="1"/>
                <w:bCs w:val="1"/>
                <w:color w:val="auto"/>
              </w:rPr>
              <w:t>Comprehensive</w:t>
            </w:r>
          </w:p>
        </w:tc>
        <w:tc>
          <w:tcPr>
            <w:tcW w:w="8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420" w:type="dxa"/>
            <w:vAlign w:val="bottom"/>
            <w:gridSpan w:val="2"/>
            <w:vMerge w:val="restart"/>
          </w:tcPr>
          <w:p>
            <w:pPr>
              <w:jc w:val="right"/>
              <w:spacing w:after="0" w:line="122" w:lineRule="exact"/>
              <w:rPr>
                <w:sz w:val="20"/>
                <w:szCs w:val="20"/>
                <w:color w:val="auto"/>
              </w:rPr>
            </w:pPr>
            <w:r>
              <w:rPr>
                <w:rFonts w:ascii="Arial" w:cs="Arial" w:eastAsia="Arial" w:hAnsi="Arial"/>
                <w:sz w:val="14"/>
                <w:szCs w:val="14"/>
                <w:b w:val="1"/>
                <w:bCs w:val="1"/>
                <w:color w:val="auto"/>
              </w:rPr>
              <w:t>Total Shareholders'</w:t>
            </w:r>
          </w:p>
        </w:tc>
        <w:tc>
          <w:tcPr>
            <w:tcW w:w="0" w:type="dxa"/>
            <w:vAlign w:val="bottom"/>
          </w:tcPr>
          <w:p>
            <w:pPr>
              <w:spacing w:after="0"/>
              <w:rPr>
                <w:sz w:val="1"/>
                <w:szCs w:val="1"/>
                <w:color w:val="auto"/>
              </w:rPr>
            </w:pPr>
          </w:p>
        </w:tc>
      </w:tr>
      <w:tr>
        <w:trPr>
          <w:trHeight w:val="61"/>
        </w:trPr>
        <w:tc>
          <w:tcPr>
            <w:tcW w:w="2660" w:type="dxa"/>
            <w:vAlign w:val="bottom"/>
            <w:vMerge w:val="continue"/>
          </w:tcPr>
          <w:p>
            <w:pPr>
              <w:spacing w:after="0"/>
              <w:rPr>
                <w:sz w:val="5"/>
                <w:szCs w:val="5"/>
                <w:color w:val="auto"/>
              </w:rPr>
            </w:pPr>
          </w:p>
        </w:tc>
        <w:tc>
          <w:tcPr>
            <w:tcW w:w="8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Number</w:t>
            </w:r>
          </w:p>
        </w:tc>
        <w:tc>
          <w:tcPr>
            <w:tcW w:w="180" w:type="dxa"/>
            <w:vAlign w:val="bottom"/>
          </w:tcPr>
          <w:p>
            <w:pPr>
              <w:spacing w:after="0"/>
              <w:rPr>
                <w:sz w:val="5"/>
                <w:szCs w:val="5"/>
                <w:color w:val="auto"/>
              </w:rPr>
            </w:pPr>
          </w:p>
        </w:tc>
        <w:tc>
          <w:tcPr>
            <w:tcW w:w="82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82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Number</w:t>
            </w:r>
          </w:p>
        </w:tc>
        <w:tc>
          <w:tcPr>
            <w:tcW w:w="180" w:type="dxa"/>
            <w:vAlign w:val="bottom"/>
          </w:tcPr>
          <w:p>
            <w:pPr>
              <w:spacing w:after="0"/>
              <w:rPr>
                <w:sz w:val="5"/>
                <w:szCs w:val="5"/>
                <w:color w:val="auto"/>
              </w:rPr>
            </w:pPr>
          </w:p>
        </w:tc>
        <w:tc>
          <w:tcPr>
            <w:tcW w:w="84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Amount</w:t>
            </w:r>
          </w:p>
        </w:tc>
        <w:tc>
          <w:tcPr>
            <w:tcW w:w="14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6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except per share data)</w:t>
            </w:r>
          </w:p>
        </w:tc>
        <w:tc>
          <w:tcPr>
            <w:tcW w:w="80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Capital</w:t>
            </w: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Earnings</w:t>
            </w:r>
          </w:p>
        </w:tc>
        <w:tc>
          <w:tcPr>
            <w:tcW w:w="1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Income (Loss)</w:t>
            </w:r>
          </w:p>
        </w:tc>
        <w:tc>
          <w:tcPr>
            <w:tcW w:w="82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83"/>
        </w:trPr>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at August 31, 2019</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51,776</w:t>
            </w:r>
          </w:p>
        </w:tc>
        <w:tc>
          <w:tcPr>
            <w:tcW w:w="1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25,888</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91,185</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866,886</w:t>
            </w: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(491)</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(20,262)</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(351,256)</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632,212</w:t>
            </w:r>
          </w:p>
        </w:tc>
        <w:tc>
          <w:tcPr>
            <w:tcW w:w="0" w:type="dxa"/>
            <w:vAlign w:val="bottom"/>
          </w:tcPr>
          <w:p>
            <w:pPr>
              <w:spacing w:after="0"/>
              <w:rPr>
                <w:sz w:val="1"/>
                <w:szCs w:val="1"/>
                <w:color w:val="auto"/>
              </w:rPr>
            </w:pPr>
          </w:p>
        </w:tc>
      </w:tr>
      <w:tr>
        <w:trPr>
          <w:trHeight w:val="189"/>
        </w:trPr>
        <w:tc>
          <w:tcPr>
            <w:tcW w:w="2660" w:type="dxa"/>
            <w:vAlign w:val="bottom"/>
          </w:tcPr>
          <w:p>
            <w:pPr>
              <w:ind w:left="140"/>
              <w:spacing w:after="0"/>
              <w:rPr>
                <w:sz w:val="20"/>
                <w:szCs w:val="20"/>
                <w:color w:val="auto"/>
              </w:rPr>
            </w:pPr>
            <w:r>
              <w:rPr>
                <w:rFonts w:ascii="Arial" w:cs="Arial" w:eastAsia="Arial" w:hAnsi="Arial"/>
                <w:sz w:val="14"/>
                <w:szCs w:val="14"/>
                <w:color w:val="auto"/>
              </w:rPr>
              <w:t>Stock-based compensation</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3,309</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w:t>
            </w: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23</w:t>
            </w:r>
          </w:p>
        </w:tc>
        <w:tc>
          <w:tcPr>
            <w:tcW w:w="3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3,332</w:t>
            </w:r>
          </w:p>
        </w:tc>
        <w:tc>
          <w:tcPr>
            <w:tcW w:w="0" w:type="dxa"/>
            <w:vAlign w:val="bottom"/>
          </w:tcPr>
          <w:p>
            <w:pPr>
              <w:spacing w:after="0"/>
              <w:rPr>
                <w:sz w:val="1"/>
                <w:szCs w:val="1"/>
                <w:color w:val="auto"/>
              </w:rPr>
            </w:pPr>
          </w:p>
        </w:tc>
      </w:tr>
      <w:tr>
        <w:trPr>
          <w:trHeight w:val="189"/>
        </w:trPr>
        <w:tc>
          <w:tcPr>
            <w:tcW w:w="26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Issuance of stock, net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(2,011)</w:t>
            </w: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w:t>
            </w: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2,782</w:t>
            </w: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771</w:t>
            </w:r>
          </w:p>
        </w:tc>
        <w:tc>
          <w:tcPr>
            <w:tcW w:w="0" w:type="dxa"/>
            <w:vAlign w:val="bottom"/>
          </w:tcPr>
          <w:p>
            <w:pPr>
              <w:spacing w:after="0"/>
              <w:rPr>
                <w:sz w:val="1"/>
                <w:szCs w:val="1"/>
                <w:color w:val="auto"/>
              </w:rPr>
            </w:pPr>
          </w:p>
        </w:tc>
      </w:tr>
      <w:tr>
        <w:trPr>
          <w:trHeight w:val="189"/>
        </w:trPr>
        <w:tc>
          <w:tcPr>
            <w:tcW w:w="2660" w:type="dxa"/>
            <w:vAlign w:val="bottom"/>
          </w:tcPr>
          <w:p>
            <w:pPr>
              <w:ind w:left="140"/>
              <w:spacing w:after="0"/>
              <w:rPr>
                <w:sz w:val="20"/>
                <w:szCs w:val="20"/>
                <w:color w:val="auto"/>
              </w:rPr>
            </w:pPr>
            <w:r>
              <w:rPr>
                <w:rFonts w:ascii="Arial" w:cs="Arial" w:eastAsia="Arial" w:hAnsi="Arial"/>
                <w:sz w:val="14"/>
                <w:szCs w:val="14"/>
                <w:color w:val="auto"/>
              </w:rPr>
              <w:t>Issuance of stock for acquisition</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57,811</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2,000</w:t>
            </w: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34,761</w:t>
            </w:r>
          </w:p>
        </w:tc>
        <w:tc>
          <w:tcPr>
            <w:tcW w:w="3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92,572</w:t>
            </w:r>
          </w:p>
        </w:tc>
        <w:tc>
          <w:tcPr>
            <w:tcW w:w="0" w:type="dxa"/>
            <w:vAlign w:val="bottom"/>
          </w:tcPr>
          <w:p>
            <w:pPr>
              <w:spacing w:after="0"/>
              <w:rPr>
                <w:sz w:val="1"/>
                <w:szCs w:val="1"/>
                <w:color w:val="auto"/>
              </w:rPr>
            </w:pPr>
          </w:p>
        </w:tc>
      </w:tr>
      <w:tr>
        <w:trPr>
          <w:trHeight w:val="189"/>
        </w:trPr>
        <w:tc>
          <w:tcPr>
            <w:tcW w:w="26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Repurchase of common stock</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(1,788)</w:t>
            </w: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(1,788)</w:t>
            </w:r>
          </w:p>
        </w:tc>
        <w:tc>
          <w:tcPr>
            <w:tcW w:w="0" w:type="dxa"/>
            <w:vAlign w:val="bottom"/>
          </w:tcPr>
          <w:p>
            <w:pPr>
              <w:spacing w:after="0"/>
              <w:rPr>
                <w:sz w:val="1"/>
                <w:szCs w:val="1"/>
                <w:color w:val="auto"/>
              </w:rPr>
            </w:pPr>
          </w:p>
        </w:tc>
      </w:tr>
      <w:tr>
        <w:trPr>
          <w:trHeight w:val="153"/>
        </w:trPr>
        <w:tc>
          <w:tcPr>
            <w:tcW w:w="2660" w:type="dxa"/>
            <w:vAlign w:val="bottom"/>
          </w:tcPr>
          <w:p>
            <w:pPr>
              <w:ind w:left="140"/>
              <w:spacing w:after="0" w:line="153" w:lineRule="exact"/>
              <w:rPr>
                <w:sz w:val="20"/>
                <w:szCs w:val="20"/>
                <w:color w:val="auto"/>
              </w:rPr>
            </w:pPr>
            <w:r>
              <w:rPr>
                <w:rFonts w:ascii="Arial" w:cs="Arial" w:eastAsia="Arial" w:hAnsi="Arial"/>
                <w:sz w:val="14"/>
                <w:szCs w:val="14"/>
                <w:color w:val="auto"/>
              </w:rPr>
              <w:t>Common stock dividends paid; $0.33</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(10,958)</w:t>
            </w:r>
          </w:p>
        </w:tc>
        <w:tc>
          <w:tcPr>
            <w:tcW w:w="140" w:type="dxa"/>
            <w:vAlign w:val="bottom"/>
          </w:tcPr>
          <w:p>
            <w:pPr>
              <w:spacing w:after="0"/>
              <w:rPr>
                <w:sz w:val="13"/>
                <w:szCs w:val="13"/>
                <w:color w:val="auto"/>
              </w:rPr>
            </w:pPr>
          </w:p>
        </w:tc>
        <w:tc>
          <w:tcPr>
            <w:tcW w:w="12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(10,958)</w:t>
            </w:r>
          </w:p>
        </w:tc>
        <w:tc>
          <w:tcPr>
            <w:tcW w:w="0" w:type="dxa"/>
            <w:vAlign w:val="bottom"/>
          </w:tcPr>
          <w:p>
            <w:pPr>
              <w:spacing w:after="0"/>
              <w:rPr>
                <w:sz w:val="1"/>
                <w:szCs w:val="1"/>
                <w:color w:val="auto"/>
              </w:rPr>
            </w:pPr>
          </w:p>
        </w:tc>
      </w:tr>
      <w:tr>
        <w:trPr>
          <w:trHeight w:val="105"/>
        </w:trPr>
        <w:tc>
          <w:tcPr>
            <w:tcW w:w="2660" w:type="dxa"/>
            <w:vAlign w:val="bottom"/>
            <w:vMerge w:val="restart"/>
          </w:tcPr>
          <w:p>
            <w:pPr>
              <w:ind w:left="140"/>
              <w:spacing w:after="0"/>
              <w:rPr>
                <w:sz w:val="20"/>
                <w:szCs w:val="20"/>
                <w:color w:val="auto"/>
              </w:rPr>
            </w:pPr>
            <w:r>
              <w:rPr>
                <w:rFonts w:ascii="Arial" w:cs="Arial" w:eastAsia="Arial" w:hAnsi="Arial"/>
                <w:sz w:val="14"/>
                <w:szCs w:val="14"/>
                <w:color w:val="auto"/>
              </w:rPr>
              <w:t>per share</w:t>
            </w:r>
          </w:p>
        </w:tc>
        <w:tc>
          <w:tcPr>
            <w:tcW w:w="80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28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266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6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Actuarial loss, net of tax</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89"/>
        </w:trPr>
        <w:tc>
          <w:tcPr>
            <w:tcW w:w="2660" w:type="dxa"/>
            <w:vAlign w:val="bottom"/>
          </w:tcPr>
          <w:p>
            <w:pPr>
              <w:ind w:left="140"/>
              <w:spacing w:after="0"/>
              <w:rPr>
                <w:sz w:val="20"/>
                <w:szCs w:val="20"/>
                <w:color w:val="auto"/>
              </w:rPr>
            </w:pPr>
            <w:r>
              <w:rPr>
                <w:rFonts w:ascii="Arial" w:cs="Arial" w:eastAsia="Arial" w:hAnsi="Arial"/>
                <w:sz w:val="14"/>
                <w:szCs w:val="14"/>
                <w:color w:val="auto"/>
              </w:rPr>
              <w:t>Interest rate swap activity, net of tax</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(500)</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(500)</w:t>
            </w:r>
          </w:p>
        </w:tc>
        <w:tc>
          <w:tcPr>
            <w:tcW w:w="0" w:type="dxa"/>
            <w:vAlign w:val="bottom"/>
          </w:tcPr>
          <w:p>
            <w:pPr>
              <w:spacing w:after="0"/>
              <w:rPr>
                <w:sz w:val="1"/>
                <w:szCs w:val="1"/>
                <w:color w:val="auto"/>
              </w:rPr>
            </w:pPr>
          </w:p>
        </w:tc>
      </w:tr>
      <w:tr>
        <w:trPr>
          <w:trHeight w:val="153"/>
        </w:trPr>
        <w:tc>
          <w:tcPr>
            <w:tcW w:w="2660" w:type="dxa"/>
            <w:vAlign w:val="bottom"/>
            <w:shd w:val="clear" w:color="auto" w:fill="CCEEFF"/>
          </w:tcPr>
          <w:p>
            <w:pPr>
              <w:ind w:left="140"/>
              <w:spacing w:after="0" w:line="153" w:lineRule="exact"/>
              <w:rPr>
                <w:sz w:val="20"/>
                <w:szCs w:val="20"/>
                <w:color w:val="auto"/>
              </w:rPr>
            </w:pPr>
            <w:r>
              <w:rPr>
                <w:rFonts w:ascii="Arial" w:cs="Arial" w:eastAsia="Arial" w:hAnsi="Arial"/>
                <w:sz w:val="14"/>
                <w:szCs w:val="14"/>
                <w:color w:val="auto"/>
              </w:rPr>
              <w:t>Equity component of convertible senior</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61,335</w:t>
            </w:r>
          </w:p>
        </w:tc>
        <w:tc>
          <w:tcPr>
            <w:tcW w:w="14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12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61,335</w:t>
            </w:r>
          </w:p>
        </w:tc>
        <w:tc>
          <w:tcPr>
            <w:tcW w:w="0" w:type="dxa"/>
            <w:vAlign w:val="bottom"/>
          </w:tcPr>
          <w:p>
            <w:pPr>
              <w:spacing w:after="0"/>
              <w:rPr>
                <w:sz w:val="1"/>
                <w:szCs w:val="1"/>
                <w:color w:val="auto"/>
              </w:rPr>
            </w:pPr>
          </w:p>
        </w:tc>
      </w:tr>
      <w:tr>
        <w:trPr>
          <w:trHeight w:val="135"/>
        </w:trPr>
        <w:tc>
          <w:tcPr>
            <w:tcW w:w="2660" w:type="dxa"/>
            <w:vAlign w:val="bottom"/>
            <w:shd w:val="clear" w:color="auto" w:fill="CCEEFF"/>
          </w:tcPr>
          <w:p>
            <w:pPr>
              <w:ind w:left="140"/>
              <w:spacing w:after="0" w:line="135" w:lineRule="exact"/>
              <w:rPr>
                <w:sz w:val="20"/>
                <w:szCs w:val="20"/>
                <w:color w:val="auto"/>
              </w:rPr>
            </w:pPr>
            <w:r>
              <w:rPr>
                <w:rFonts w:ascii="Arial" w:cs="Arial" w:eastAsia="Arial" w:hAnsi="Arial"/>
                <w:sz w:val="14"/>
                <w:szCs w:val="14"/>
                <w:color w:val="auto"/>
              </w:rPr>
              <w:t>notes and offering costs, net of tax of</w:t>
            </w:r>
          </w:p>
        </w:tc>
        <w:tc>
          <w:tcPr>
            <w:tcW w:w="800" w:type="dxa"/>
            <w:vAlign w:val="bottom"/>
            <w:vMerge w:val="continue"/>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vMerge w:val="continue"/>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vMerge w:val="continue"/>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80" w:type="dxa"/>
            <w:vAlign w:val="bottom"/>
            <w:vMerge w:val="continue"/>
            <w:shd w:val="clear" w:color="auto" w:fill="CCEEFF"/>
          </w:tcPr>
          <w:p>
            <w:pPr>
              <w:spacing w:after="0"/>
              <w:rPr>
                <w:sz w:val="11"/>
                <w:szCs w:val="11"/>
                <w:color w:val="auto"/>
              </w:rPr>
            </w:pPr>
          </w:p>
        </w:tc>
        <w:tc>
          <w:tcPr>
            <w:tcW w:w="820" w:type="dxa"/>
            <w:vAlign w:val="bottom"/>
            <w:vMerge w:val="continue"/>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40" w:type="dxa"/>
            <w:vAlign w:val="bottom"/>
            <w:vMerge w:val="continue"/>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12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6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$20,840</w:t>
            </w:r>
          </w:p>
        </w:tc>
        <w:tc>
          <w:tcPr>
            <w:tcW w:w="8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660" w:type="dxa"/>
            <w:vAlign w:val="bottom"/>
          </w:tcPr>
          <w:p>
            <w:pPr>
              <w:ind w:left="140"/>
              <w:spacing w:after="0" w:line="153" w:lineRule="exact"/>
              <w:rPr>
                <w:sz w:val="20"/>
                <w:szCs w:val="20"/>
                <w:color w:val="auto"/>
              </w:rPr>
            </w:pPr>
            <w:r>
              <w:rPr>
                <w:rFonts w:ascii="Arial" w:cs="Arial" w:eastAsia="Arial" w:hAnsi="Arial"/>
                <w:sz w:val="14"/>
                <w:szCs w:val="14"/>
                <w:color w:val="auto"/>
              </w:rPr>
              <w:t>Convertible note hedge purchase, net</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(53,383)</w:t>
            </w:r>
          </w:p>
        </w:tc>
        <w:tc>
          <w:tcPr>
            <w:tcW w:w="14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2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(53,383)</w:t>
            </w:r>
          </w:p>
        </w:tc>
        <w:tc>
          <w:tcPr>
            <w:tcW w:w="0" w:type="dxa"/>
            <w:vAlign w:val="bottom"/>
          </w:tcPr>
          <w:p>
            <w:pPr>
              <w:spacing w:after="0"/>
              <w:rPr>
                <w:sz w:val="1"/>
                <w:szCs w:val="1"/>
                <w:color w:val="auto"/>
              </w:rPr>
            </w:pPr>
          </w:p>
        </w:tc>
      </w:tr>
      <w:tr>
        <w:trPr>
          <w:trHeight w:val="105"/>
        </w:trPr>
        <w:tc>
          <w:tcPr>
            <w:tcW w:w="2660" w:type="dxa"/>
            <w:vAlign w:val="bottom"/>
            <w:vMerge w:val="restart"/>
          </w:tcPr>
          <w:p>
            <w:pPr>
              <w:ind w:left="140"/>
              <w:spacing w:after="0"/>
              <w:rPr>
                <w:sz w:val="20"/>
                <w:szCs w:val="20"/>
                <w:color w:val="auto"/>
              </w:rPr>
            </w:pPr>
            <w:r>
              <w:rPr>
                <w:rFonts w:ascii="Arial" w:cs="Arial" w:eastAsia="Arial" w:hAnsi="Arial"/>
                <w:sz w:val="14"/>
                <w:szCs w:val="14"/>
                <w:color w:val="auto"/>
              </w:rPr>
              <w:t>of tax of $17,417</w:t>
            </w:r>
          </w:p>
        </w:tc>
        <w:tc>
          <w:tcPr>
            <w:tcW w:w="80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28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266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6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Warrant transactions</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42,210</w:t>
            </w: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42,210</w:t>
            </w:r>
          </w:p>
        </w:tc>
        <w:tc>
          <w:tcPr>
            <w:tcW w:w="0" w:type="dxa"/>
            <w:vAlign w:val="bottom"/>
          </w:tcPr>
          <w:p>
            <w:pPr>
              <w:spacing w:after="0"/>
              <w:rPr>
                <w:sz w:val="1"/>
                <w:szCs w:val="1"/>
                <w:color w:val="auto"/>
              </w:rPr>
            </w:pPr>
          </w:p>
        </w:tc>
      </w:tr>
      <w:tr>
        <w:trPr>
          <w:trHeight w:val="189"/>
        </w:trPr>
        <w:tc>
          <w:tcPr>
            <w:tcW w:w="266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Net income</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18,983</w:t>
            </w: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18,983</w:t>
            </w:r>
          </w:p>
        </w:tc>
        <w:tc>
          <w:tcPr>
            <w:tcW w:w="0" w:type="dxa"/>
            <w:vAlign w:val="bottom"/>
          </w:tcPr>
          <w:p>
            <w:pPr>
              <w:spacing w:after="0"/>
              <w:rPr>
                <w:sz w:val="1"/>
                <w:szCs w:val="1"/>
                <w:color w:val="auto"/>
              </w:rPr>
            </w:pPr>
          </w:p>
        </w:tc>
      </w:tr>
      <w:tr>
        <w:trPr>
          <w:trHeight w:val="208"/>
        </w:trPr>
        <w:tc>
          <w:tcPr>
            <w:tcW w:w="2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May 30, 2020</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51,776</w:t>
            </w:r>
          </w:p>
        </w:tc>
        <w:tc>
          <w:tcPr>
            <w:tcW w:w="1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25,888</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200,456</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874,911</w:t>
            </w: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(967)</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(18,146)</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(315,478)</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784,810</w:t>
            </w: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to Consolidated Financial Statements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8" w:name="page9"/>
    <w:bookmarkEnd w:id="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Winnebago Industries, Inc.</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(Dollars and shares in thousands, unless otherwise noted)</w:t>
      </w:r>
    </w:p>
    <w:p>
      <w:pPr>
        <w:spacing w:after="0" w:line="228" w:lineRule="exact"/>
        <w:rPr>
          <w:sz w:val="20"/>
          <w:szCs w:val="20"/>
          <w:color w:val="auto"/>
        </w:rPr>
      </w:pPr>
    </w:p>
    <w:p>
      <w:pPr>
        <w:spacing w:after="0"/>
        <w:tabs>
          <w:tab w:leader="none" w:pos="700" w:val="left"/>
        </w:tabs>
        <w:rPr>
          <w:sz w:val="20"/>
          <w:szCs w:val="20"/>
          <w:color w:val="auto"/>
        </w:rPr>
      </w:pPr>
      <w:r>
        <w:rPr>
          <w:rFonts w:ascii="Arial" w:cs="Arial" w:eastAsia="Arial" w:hAnsi="Arial"/>
          <w:sz w:val="16"/>
          <w:szCs w:val="16"/>
          <w:b w:val="1"/>
          <w:bCs w:val="1"/>
          <w:color w:val="auto"/>
        </w:rPr>
        <w:t>Note 1.</w:t>
        <w:tab/>
        <w:t>Basis of Presentation</w:t>
      </w:r>
    </w:p>
    <w:p>
      <w:pPr>
        <w:spacing w:after="0" w:line="268" w:lineRule="exact"/>
        <w:rPr>
          <w:sz w:val="20"/>
          <w:szCs w:val="20"/>
          <w:color w:val="auto"/>
        </w:rPr>
      </w:pPr>
    </w:p>
    <w:p>
      <w:pPr>
        <w:ind w:right="560"/>
        <w:spacing w:after="0" w:line="260" w:lineRule="auto"/>
        <w:rPr>
          <w:sz w:val="20"/>
          <w:szCs w:val="20"/>
          <w:color w:val="auto"/>
        </w:rPr>
      </w:pPr>
      <w:r>
        <w:rPr>
          <w:rFonts w:ascii="Arial" w:cs="Arial" w:eastAsia="Arial" w:hAnsi="Arial"/>
          <w:sz w:val="16"/>
          <w:szCs w:val="16"/>
          <w:color w:val="auto"/>
        </w:rPr>
        <w:t>The consolidated financial statements include the accounts of Winnebago Industries, Inc. and its wholly owned subsidiaries. Significant intercompany account balances and transactions have been eliminated.</w:t>
      </w:r>
    </w:p>
    <w:p>
      <w:pPr>
        <w:spacing w:after="0" w:line="222" w:lineRule="exact"/>
        <w:rPr>
          <w:sz w:val="20"/>
          <w:szCs w:val="20"/>
          <w:color w:val="auto"/>
        </w:rPr>
      </w:pPr>
    </w:p>
    <w:p>
      <w:pPr>
        <w:ind w:right="620"/>
        <w:spacing w:after="0" w:line="260" w:lineRule="auto"/>
        <w:rPr>
          <w:sz w:val="20"/>
          <w:szCs w:val="20"/>
          <w:color w:val="auto"/>
        </w:rPr>
      </w:pPr>
      <w:r>
        <w:rPr>
          <w:rFonts w:ascii="Arial" w:cs="Arial" w:eastAsia="Arial" w:hAnsi="Arial"/>
          <w:sz w:val="16"/>
          <w:szCs w:val="16"/>
          <w:color w:val="auto"/>
        </w:rPr>
        <w:t>The use of the terms "Winnebago Industries," "Winnebago", and "the Company" in this Quarterly Report on Form 10-Q, unless the context otherwise requires, refers to Winnebago Industries, Inc. and its wholly owned subsidiaries.</w:t>
      </w:r>
    </w:p>
    <w:p>
      <w:pPr>
        <w:spacing w:after="0" w:line="222" w:lineRule="exact"/>
        <w:rPr>
          <w:sz w:val="20"/>
          <w:szCs w:val="20"/>
          <w:color w:val="auto"/>
        </w:rPr>
      </w:pPr>
    </w:p>
    <w:p>
      <w:pPr>
        <w:ind w:right="120"/>
        <w:spacing w:after="0" w:line="249" w:lineRule="auto"/>
        <w:rPr>
          <w:sz w:val="20"/>
          <w:szCs w:val="20"/>
          <w:color w:val="auto"/>
        </w:rPr>
      </w:pPr>
      <w:r>
        <w:rPr>
          <w:rFonts w:ascii="Arial" w:cs="Arial" w:eastAsia="Arial" w:hAnsi="Arial"/>
          <w:sz w:val="16"/>
          <w:szCs w:val="16"/>
          <w:color w:val="auto"/>
        </w:rPr>
        <w:t>The interim unaudited consolidated financial statements included herein are prepared pursuant to the rules and regulations of the United States (“U.S.”) Securities and Exchange Commission (“SEC”). The information furnished in these consolidated financial statements includes normal recurring adjustments, unless noted otherwise in the Notes to Financial Statements, and reflects all adjustments that are, in management’s opinion, necessary for a fair presentation of such financial statements. The consolidated financial statements are prepared in accordance with U.S. Generally Accepted Accounting Principles (“GAAP”). GAAP requires us to make estimates and assumptions that affect amounts reported. Certain information and footnote disclosures normally included in financial statements prepared in accordance with GAAP have been condensed or omitted pursuant to SEC rules and regulations.</w:t>
      </w:r>
    </w:p>
    <w:p>
      <w:pPr>
        <w:spacing w:after="0" w:line="232" w:lineRule="exact"/>
        <w:rPr>
          <w:sz w:val="20"/>
          <w:szCs w:val="20"/>
          <w:color w:val="auto"/>
        </w:rPr>
      </w:pPr>
    </w:p>
    <w:p>
      <w:pPr>
        <w:jc w:val="both"/>
        <w:ind w:right="180"/>
        <w:spacing w:after="0" w:line="253" w:lineRule="auto"/>
        <w:rPr>
          <w:sz w:val="20"/>
          <w:szCs w:val="20"/>
          <w:color w:val="auto"/>
        </w:rPr>
      </w:pPr>
      <w:r>
        <w:rPr>
          <w:rFonts w:ascii="Arial" w:cs="Arial" w:eastAsia="Arial" w:hAnsi="Arial"/>
          <w:sz w:val="16"/>
          <w:szCs w:val="16"/>
          <w:color w:val="auto"/>
        </w:rPr>
        <w:t>The consolidated financial statements included in this Quarterly Report on Form 10-Q should be read in conjunction with the audited consolidated financial statements and notes thereto included in the Company's Annual Report on Form 10-K for the fiscal year ended August 29, 2020 filed with the SEC. Interim results of operations are not necessarily indicative of the results to be expected for the full fiscal year.</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Fiscal Period</w:t>
      </w:r>
    </w:p>
    <w:p>
      <w:pPr>
        <w:spacing w:after="0" w:line="133" w:lineRule="exact"/>
        <w:rPr>
          <w:sz w:val="20"/>
          <w:szCs w:val="20"/>
          <w:color w:val="auto"/>
        </w:rPr>
      </w:pPr>
    </w:p>
    <w:p>
      <w:pPr>
        <w:ind w:right="140"/>
        <w:spacing w:after="0" w:line="260" w:lineRule="auto"/>
        <w:rPr>
          <w:sz w:val="20"/>
          <w:szCs w:val="20"/>
          <w:color w:val="auto"/>
        </w:rPr>
      </w:pPr>
      <w:r>
        <w:rPr>
          <w:rFonts w:ascii="Arial" w:cs="Arial" w:eastAsia="Arial" w:hAnsi="Arial"/>
          <w:sz w:val="16"/>
          <w:szCs w:val="16"/>
          <w:color w:val="auto"/>
        </w:rPr>
        <w:t>The Company has a 5-4-4 quarterly accounting cycle with the fiscal year ending on the last Saturday in August. Fiscal 2021 ending on August 28, 2021 will consist of 52 weeks. Fiscal 2020 ended on August 29, 2020 consisted of 52 weeks.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and Cash Equivalents</w:t>
      </w:r>
    </w:p>
    <w:p>
      <w:pPr>
        <w:spacing w:after="0" w:line="133"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Cash and cash equivalents represent cash, demand deposits and highly liquid investments with original maturities of three months or less that are not legally restricted. Cash equivalents are recorded at cost, which approximates fair value. Accounts at each banking institution are insured by the Federal Deposit Insurance Corporation up to $250,000, while the remaining balances are uninsured.</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Subsequent Events</w:t>
      </w:r>
    </w:p>
    <w:p>
      <w:pPr>
        <w:spacing w:after="0" w:line="133" w:lineRule="exact"/>
        <w:rPr>
          <w:sz w:val="20"/>
          <w:szCs w:val="20"/>
          <w:color w:val="auto"/>
        </w:rPr>
      </w:pPr>
    </w:p>
    <w:p>
      <w:pPr>
        <w:ind w:right="580"/>
        <w:spacing w:after="0" w:line="260" w:lineRule="auto"/>
        <w:rPr>
          <w:sz w:val="20"/>
          <w:szCs w:val="20"/>
          <w:color w:val="auto"/>
        </w:rPr>
      </w:pPr>
      <w:r>
        <w:rPr>
          <w:rFonts w:ascii="Arial" w:cs="Arial" w:eastAsia="Arial" w:hAnsi="Arial"/>
          <w:sz w:val="16"/>
          <w:szCs w:val="16"/>
          <w:color w:val="auto"/>
        </w:rPr>
        <w:t>In preparing the accompanying unaudited consolidated financial statements, the Company evaluated subsequent events for potential recognition and disclosure through the date of this filing noting no material subsequent events.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CARES Act</w:t>
      </w:r>
    </w:p>
    <w:p>
      <w:pPr>
        <w:spacing w:after="0" w:line="120" w:lineRule="exact"/>
        <w:rPr>
          <w:sz w:val="20"/>
          <w:szCs w:val="20"/>
          <w:color w:val="auto"/>
        </w:rPr>
      </w:pPr>
    </w:p>
    <w:p>
      <w:pPr>
        <w:ind w:right="160"/>
        <w:spacing w:after="0" w:line="232" w:lineRule="auto"/>
        <w:rPr>
          <w:sz w:val="20"/>
          <w:szCs w:val="20"/>
          <w:color w:val="auto"/>
        </w:rPr>
      </w:pPr>
      <w:r>
        <w:rPr>
          <w:rFonts w:ascii="Arial" w:cs="Arial" w:eastAsia="Arial" w:hAnsi="Arial"/>
          <w:sz w:val="16"/>
          <w:szCs w:val="16"/>
          <w:color w:val="auto"/>
        </w:rPr>
        <w:t>The Coronavirus Aid, Relief, and Economic Security ("CARES") Act was signed into law on March 27, 2020 to help alleviate the impact of the COVID-19 pandemic in the U.S. The Company is taking advantage of the employer payroll tax deferral offered by the CARES Act, which allows the Company to defer the payment of employer payroll taxes for the period from March 27, 2020 to December 31, 2020. The deferred employer payroll tax liability as of May 29, 2021 was $16,223 and will be payable in equal installments in December 2021 and December 2022. The Company also took advantage of a tax credit granted to companies under the CARES Act who continued to pay their employees when operations were fully or partially suspended. The refundable tax credit available through the end of the third quarter of Fiscal 2020 reflected in cost of goods sold on the Consolidated Statements of Income (Loss) and Comprehensive Income (Loss) was approximately $3,999. The entire amount is expected to be received by the end of calendar year 2021. As of May 29, 2021, $3,202 remains outstanding within other current assets on the Consolidated Balance Sheets.</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Recently Adopted Accounting Pronouncements</w:t>
      </w:r>
    </w:p>
    <w:p>
      <w:pPr>
        <w:spacing w:after="0" w:line="104" w:lineRule="exact"/>
        <w:rPr>
          <w:sz w:val="20"/>
          <w:szCs w:val="20"/>
          <w:color w:val="auto"/>
        </w:rPr>
      </w:pPr>
    </w:p>
    <w:p>
      <w:pPr>
        <w:spacing w:after="0" w:line="234" w:lineRule="auto"/>
        <w:rPr>
          <w:sz w:val="20"/>
          <w:szCs w:val="20"/>
          <w:color w:val="auto"/>
        </w:rPr>
      </w:pPr>
      <w:r>
        <w:rPr>
          <w:rFonts w:ascii="Arial" w:cs="Arial" w:eastAsia="Arial" w:hAnsi="Arial"/>
          <w:sz w:val="16"/>
          <w:szCs w:val="16"/>
          <w:color w:val="auto"/>
        </w:rPr>
        <w:t xml:space="preserve">The Company adopted Accounting Standards Codification ("ASC") Topic 326, </w:t>
      </w:r>
      <w:r>
        <w:rPr>
          <w:rFonts w:ascii="Arial" w:cs="Arial" w:eastAsia="Arial" w:hAnsi="Arial"/>
          <w:sz w:val="16"/>
          <w:szCs w:val="16"/>
          <w:i w:val="1"/>
          <w:iCs w:val="1"/>
          <w:color w:val="auto"/>
        </w:rPr>
        <w:t>Financial Instruments—Credit Losses</w:t>
      </w:r>
      <w:r>
        <w:rPr>
          <w:rFonts w:ascii="Arial" w:cs="Arial" w:eastAsia="Arial" w:hAnsi="Arial"/>
          <w:sz w:val="16"/>
          <w:szCs w:val="16"/>
          <w:color w:val="auto"/>
        </w:rPr>
        <w:t>, which changes the accounting for credit losses on instruments measured at amortized costs, such as accounts receivables and deposits by adding an impairment model that is based on expected losses rather than incurred losses. An entity will recognize as an allowance its estimate of expected credit losses, which is believed to result in more timely recognition of such losses as the standard eliminates the probable initial recognition threshold. The Company adopted the new standard using the modified retrospective approach, which involves recognizing the cumulative effect of initial adoption of Topic 326 as an adjustment to its opening retained earnings as of August 30, 2020. As a result, the Company did not adjust comparative period financial information for periods before the effective date. No incremental allowance for credit losses has been recognized during the nine months ended May 29, 2021 as a result of the adoption. The adoption of this standard did not have a material impact on the Company’s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9" w:name="page10"/>
    <w:bookmarkEnd w:id="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6"/>
          <w:szCs w:val="16"/>
          <w:color w:val="auto"/>
        </w:rPr>
        <w:t>financial condition, results of operations or disclosures.</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Recently Issued Accounting Pronouncements</w:t>
      </w:r>
    </w:p>
    <w:p>
      <w:pPr>
        <w:spacing w:after="0" w:line="104" w:lineRule="exact"/>
        <w:rPr>
          <w:sz w:val="20"/>
          <w:szCs w:val="20"/>
          <w:color w:val="auto"/>
        </w:rPr>
      </w:pPr>
    </w:p>
    <w:p>
      <w:pPr>
        <w:ind w:right="20"/>
        <w:spacing w:after="0" w:line="233" w:lineRule="auto"/>
        <w:rPr>
          <w:sz w:val="20"/>
          <w:szCs w:val="20"/>
          <w:color w:val="auto"/>
        </w:rPr>
      </w:pPr>
      <w:r>
        <w:rPr>
          <w:rFonts w:ascii="Arial" w:cs="Arial" w:eastAsia="Arial" w:hAnsi="Arial"/>
          <w:sz w:val="16"/>
          <w:szCs w:val="16"/>
          <w:color w:val="auto"/>
        </w:rPr>
        <w:t xml:space="preserve">In August 2020, the Financial Accounting Standards Board ("FASB") issued Accounting Standards Update ("ASU") 2020-06, </w:t>
      </w:r>
      <w:r>
        <w:rPr>
          <w:rFonts w:ascii="Arial" w:cs="Arial" w:eastAsia="Arial" w:hAnsi="Arial"/>
          <w:sz w:val="16"/>
          <w:szCs w:val="16"/>
          <w:i w:val="1"/>
          <w:iCs w:val="1"/>
          <w:color w:val="auto"/>
        </w:rPr>
        <w:t>Debt - Debt with Conversion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and Other Options (Subtopic 470-20) and Derivatives and Hedging - Contracts in Entity's Own Equity (Subtopic 815-40) </w:t>
      </w:r>
      <w:r>
        <w:rPr>
          <w:rFonts w:ascii="Arial" w:cs="Arial" w:eastAsia="Arial" w:hAnsi="Arial"/>
          <w:sz w:val="16"/>
          <w:szCs w:val="16"/>
          <w:color w:val="auto"/>
        </w:rPr>
        <w:t>which reduces the number of</w:t>
      </w:r>
      <w:r>
        <w:rPr>
          <w:rFonts w:ascii="Arial" w:cs="Arial" w:eastAsia="Arial" w:hAnsi="Arial"/>
          <w:sz w:val="16"/>
          <w:szCs w:val="16"/>
          <w:i w:val="1"/>
          <w:iCs w:val="1"/>
          <w:color w:val="auto"/>
        </w:rPr>
        <w:t xml:space="preserve"> </w:t>
      </w:r>
      <w:r>
        <w:rPr>
          <w:rFonts w:ascii="Arial" w:cs="Arial" w:eastAsia="Arial" w:hAnsi="Arial"/>
          <w:sz w:val="16"/>
          <w:szCs w:val="16"/>
          <w:color w:val="auto"/>
        </w:rPr>
        <w:t>models used to account for convertible instruments, amends diluted earnings per share ("EPS") calculations for convertible instruments, and amends the requirements for a contract (or embedded derivative) that is potentially settled in an entity's own shares to be classified in equity. Certain disclosure requirements were also added to increase transparency and decision-usefulness regarding a convertible instrument's terms and features. Additionally, the if-converted method for including convertible instruments must be used in diluted EPS as opposed to the treasury stock method. The new guidance is effective for annual reporting periods beginning after December 15, 2021, which is the Company's Fiscal 2023. Early adoption is permitted using either a modified retrospective or full retrospective approach. The Company expects to adopt the new guidance in the first quarter of Fiscal 2023 and has not yet evaluated the impact the adoption of this guidance will have on its financial condition, results of operations or disclosures; however, the new guidance is expected to change the Company's diluted EPS reporting.</w:t>
      </w:r>
    </w:p>
    <w:p>
      <w:pPr>
        <w:spacing w:after="0" w:line="212" w:lineRule="exact"/>
        <w:rPr>
          <w:sz w:val="20"/>
          <w:szCs w:val="20"/>
          <w:color w:val="auto"/>
        </w:rPr>
      </w:pPr>
    </w:p>
    <w:p>
      <w:pPr>
        <w:spacing w:after="0" w:line="235" w:lineRule="auto"/>
        <w:rPr>
          <w:sz w:val="20"/>
          <w:szCs w:val="20"/>
          <w:color w:val="auto"/>
        </w:rPr>
      </w:pPr>
      <w:r>
        <w:rPr>
          <w:rFonts w:ascii="Arial" w:cs="Arial" w:eastAsia="Arial" w:hAnsi="Arial"/>
          <w:sz w:val="16"/>
          <w:szCs w:val="16"/>
          <w:color w:val="auto"/>
        </w:rPr>
        <w:t xml:space="preserve">In March 2020, the FASB issued ASU 2020-04, </w:t>
      </w:r>
      <w:r>
        <w:rPr>
          <w:rFonts w:ascii="Arial" w:cs="Arial" w:eastAsia="Arial" w:hAnsi="Arial"/>
          <w:sz w:val="16"/>
          <w:szCs w:val="16"/>
          <w:i w:val="1"/>
          <w:iCs w:val="1"/>
          <w:color w:val="auto"/>
        </w:rPr>
        <w:t>Reference Rate Reform (Topic 848): Facilitation of Effects of Reference Rate Reform on Financial Reporting</w:t>
      </w:r>
      <w:r>
        <w:rPr>
          <w:rFonts w:ascii="Arial" w:cs="Arial" w:eastAsia="Arial" w:hAnsi="Arial"/>
          <w:sz w:val="16"/>
          <w:szCs w:val="16"/>
          <w:color w:val="auto"/>
        </w:rPr>
        <w:t>, which provides practical expedients and exceptions for applying GAAP to contracts, hedging relationships, and other transactions affected by reference rate reform if certain criteria are met. The expedients and exceptions provided by this guidance apply only to contracts, hedging relationships, and other transactions that reference the London interbank offered rate (“LIBOR”) or another reference rate expected to be discontinued as a result of reference rate reform. This guidance is not applicable to contract modifications made and hedging relationships entered into or evaluated after December 31, 2022. The guidance can be applied immediately through December 31, 2022. The Company will adopt this standard when LIBOR is discontinued and does not expect a material impact to its financial condition, results of operations or disclosures based on the current debt portfolio and capital structure.</w:t>
      </w:r>
    </w:p>
    <w:p>
      <w:pPr>
        <w:spacing w:after="0" w:line="224" w:lineRule="exact"/>
        <w:rPr>
          <w:sz w:val="20"/>
          <w:szCs w:val="20"/>
          <w:color w:val="auto"/>
        </w:rPr>
      </w:pPr>
    </w:p>
    <w:p>
      <w:pPr>
        <w:ind w:right="320"/>
        <w:spacing w:after="0" w:line="255" w:lineRule="auto"/>
        <w:rPr>
          <w:sz w:val="20"/>
          <w:szCs w:val="20"/>
          <w:color w:val="auto"/>
        </w:rPr>
      </w:pPr>
      <w:r>
        <w:rPr>
          <w:rFonts w:ascii="Arial" w:cs="Arial" w:eastAsia="Arial" w:hAnsi="Arial"/>
          <w:sz w:val="16"/>
          <w:szCs w:val="16"/>
          <w:color w:val="auto"/>
        </w:rPr>
        <w:t xml:space="preserve">In December 2019, the FASB issued ASU 2019-12, </w:t>
      </w:r>
      <w:r>
        <w:rPr>
          <w:rFonts w:ascii="Arial" w:cs="Arial" w:eastAsia="Arial" w:hAnsi="Arial"/>
          <w:sz w:val="16"/>
          <w:szCs w:val="16"/>
          <w:i w:val="1"/>
          <w:iCs w:val="1"/>
          <w:color w:val="auto"/>
        </w:rPr>
        <w:t>Income Taxes (Topic 740): Simplifying the Accounting for Income Taxes,</w:t>
      </w:r>
      <w:r>
        <w:rPr>
          <w:rFonts w:ascii="Arial" w:cs="Arial" w:eastAsia="Arial" w:hAnsi="Arial"/>
          <w:sz w:val="16"/>
          <w:szCs w:val="16"/>
          <w:color w:val="auto"/>
        </w:rPr>
        <w:t xml:space="preserve"> which eliminates certain exceptions to Topic 740's general principles, improves consistent application and simplifies its application. The standard is effective for annual reporting periods beginning after December 15, 2020, which is the Company's Fiscal 2022, including interim periods within those annual reporting periods. The Company expects to adopt the new guidance in the first quarter of Fiscal 2022, and does not expect a material impact to its financial condition, results of operations or disclosures.</w:t>
      </w:r>
    </w:p>
    <w:p>
      <w:pPr>
        <w:spacing w:after="0" w:line="207" w:lineRule="exact"/>
        <w:rPr>
          <w:sz w:val="20"/>
          <w:szCs w:val="20"/>
          <w:color w:val="auto"/>
        </w:rPr>
      </w:pPr>
    </w:p>
    <w:p>
      <w:pPr>
        <w:spacing w:after="0"/>
        <w:tabs>
          <w:tab w:leader="none" w:pos="700" w:val="left"/>
        </w:tabs>
        <w:rPr>
          <w:sz w:val="20"/>
          <w:szCs w:val="20"/>
          <w:color w:val="auto"/>
        </w:rPr>
      </w:pPr>
      <w:r>
        <w:rPr>
          <w:rFonts w:ascii="Arial" w:cs="Arial" w:eastAsia="Arial" w:hAnsi="Arial"/>
          <w:sz w:val="16"/>
          <w:szCs w:val="16"/>
          <w:b w:val="1"/>
          <w:bCs w:val="1"/>
          <w:color w:val="auto"/>
        </w:rPr>
        <w:t>Note 2.</w:t>
        <w:tab/>
        <w:t>Business Segments</w:t>
      </w:r>
    </w:p>
    <w:p>
      <w:pPr>
        <w:spacing w:after="0" w:line="268" w:lineRule="exact"/>
        <w:rPr>
          <w:sz w:val="20"/>
          <w:szCs w:val="20"/>
          <w:color w:val="auto"/>
        </w:rPr>
      </w:pPr>
    </w:p>
    <w:p>
      <w:pPr>
        <w:ind w:right="120"/>
        <w:spacing w:after="0" w:line="251" w:lineRule="auto"/>
        <w:rPr>
          <w:sz w:val="20"/>
          <w:szCs w:val="20"/>
          <w:color w:val="auto"/>
        </w:rPr>
      </w:pPr>
      <w:r>
        <w:rPr>
          <w:rFonts w:ascii="Arial" w:cs="Arial" w:eastAsia="Arial" w:hAnsi="Arial"/>
          <w:sz w:val="16"/>
          <w:szCs w:val="16"/>
          <w:color w:val="auto"/>
        </w:rPr>
        <w:t>The Company has six operating segments: 1) Grand Design towables, 2) Winnebago towables, 3) Winnebago motorhomes, 4) Newmar motorhomes, 5) Chris-Craft marine and 6) Winnebago specialty vehicles. Financial performance is evaluated based on each operating segment's Adjusted Earnings Before Interest, Taxes, Depreciation and Amortization ("EBITDA"), as defined below, which excludes certain corporate administration expenses and non-operating income and expense.</w:t>
      </w:r>
    </w:p>
    <w:p>
      <w:pPr>
        <w:spacing w:after="0" w:line="216" w:lineRule="exact"/>
        <w:rPr>
          <w:sz w:val="20"/>
          <w:szCs w:val="20"/>
          <w:color w:val="auto"/>
        </w:rPr>
      </w:pPr>
    </w:p>
    <w:p>
      <w:pPr>
        <w:spacing w:after="0" w:line="235" w:lineRule="auto"/>
        <w:rPr>
          <w:sz w:val="20"/>
          <w:szCs w:val="20"/>
          <w:color w:val="auto"/>
        </w:rPr>
      </w:pPr>
      <w:r>
        <w:rPr>
          <w:rFonts w:ascii="Arial" w:cs="Arial" w:eastAsia="Arial" w:hAnsi="Arial"/>
          <w:sz w:val="16"/>
          <w:szCs w:val="16"/>
          <w:color w:val="auto"/>
        </w:rPr>
        <w:t>The Company's two reportable segments are: Towable (an aggregation of the Grand Design towables and the Winnebago towables operating segments) and Motorhome (an aggregation of the Winnebago motorhomes and Newmar motorhomes operating segments). Towable is comprised of non-motorized products that are generally towed by another vehicle, along with other related manufactured products and services. Motorhome is comprised of products that include a motorized chassis, along with other related manufactured products and services.</w:t>
      </w:r>
    </w:p>
    <w:p>
      <w:pPr>
        <w:spacing w:after="0" w:line="238" w:lineRule="exact"/>
        <w:rPr>
          <w:sz w:val="20"/>
          <w:szCs w:val="20"/>
          <w:color w:val="auto"/>
        </w:rPr>
      </w:pPr>
    </w:p>
    <w:p>
      <w:pPr>
        <w:ind w:right="480"/>
        <w:spacing w:after="0" w:line="260" w:lineRule="auto"/>
        <w:rPr>
          <w:sz w:val="20"/>
          <w:szCs w:val="20"/>
          <w:color w:val="auto"/>
        </w:rPr>
      </w:pPr>
      <w:r>
        <w:rPr>
          <w:rFonts w:ascii="Arial" w:cs="Arial" w:eastAsia="Arial" w:hAnsi="Arial"/>
          <w:sz w:val="16"/>
          <w:szCs w:val="16"/>
          <w:color w:val="auto"/>
        </w:rPr>
        <w:t>The Corporate / All Other category includes the Chris-Craft marine and Winnebago specialty vehicles operating segments as well as certain corporate administration expenses related to the oversight of the enterprise, such as corporate leadership and administration costs.</w:t>
      </w:r>
    </w:p>
    <w:p>
      <w:pPr>
        <w:spacing w:after="0" w:line="222"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Identifiable assets of the reportable segments exclude general corporate assets, which principally consist of cash and cash equivalents and certain deferred tax balances. The general corporate assets are included in the Corporate / All Other category.</w:t>
      </w:r>
    </w:p>
    <w:p>
      <w:pPr>
        <w:spacing w:after="0" w:line="222" w:lineRule="exact"/>
        <w:rPr>
          <w:sz w:val="20"/>
          <w:szCs w:val="20"/>
          <w:color w:val="auto"/>
        </w:rPr>
      </w:pPr>
    </w:p>
    <w:p>
      <w:pPr>
        <w:ind w:right="80"/>
        <w:spacing w:after="0" w:line="249" w:lineRule="auto"/>
        <w:rPr>
          <w:sz w:val="20"/>
          <w:szCs w:val="20"/>
          <w:color w:val="auto"/>
        </w:rPr>
      </w:pPr>
      <w:r>
        <w:rPr>
          <w:rFonts w:ascii="Arial" w:cs="Arial" w:eastAsia="Arial" w:hAnsi="Arial"/>
          <w:sz w:val="16"/>
          <w:szCs w:val="16"/>
          <w:color w:val="auto"/>
        </w:rPr>
        <w:t>The Company's Chief Executive Officer (the Chief Operating Decision Maker ("CODM")) regularly reviews consolidated financial results in their entirety and operating segment financial information through Adjusted EBITDA, and has ultimate responsibility for enterprise decisions. The Company's CODM is responsible for allocating resources and assessing performance of the consolidated enterprise, reportable segments and operating segments. Management of each operating segment has responsibility for operating decisions, allocating resources and assessing performance within their respective operating segment. Both reportable segments and all operating segments follow the same accounting policies in Note 1 to the Consolidated Financial Statements included in Item 8 of Part II of the Company's Annual Report on Form 10-K for the fiscal year ended August 29,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 w:right="359" w:bottom="1440" w:gutter="0" w:footer="0" w:header="0"/>
        </w:sectPr>
      </w:pPr>
    </w:p>
    <w:bookmarkStart w:id="10" w:name="page11"/>
    <w:bookmarkEnd w:id="1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40"/>
        <w:spacing w:after="0" w:line="233" w:lineRule="auto"/>
        <w:rPr>
          <w:sz w:val="20"/>
          <w:szCs w:val="20"/>
          <w:color w:val="auto"/>
        </w:rPr>
      </w:pPr>
      <w:r>
        <w:rPr>
          <w:rFonts w:ascii="Arial" w:cs="Arial" w:eastAsia="Arial" w:hAnsi="Arial"/>
          <w:sz w:val="16"/>
          <w:szCs w:val="16"/>
          <w:color w:val="auto"/>
        </w:rPr>
        <w:t>The Company monitors and evaluates operating performance of its reportable segments based on Adjusted EBITDA. The Company believes disclosing Adjusted EBITDA is useful to securities analysts, investors and other interested parties when evaluating companies in the industry. EBITDA is defined as net income before interest expense, provision for income taxes, and depreciation and amortization expense. Adjusted EBITDA is defined as net income before interest expense, provision for income taxes, depreciation and amortization expense, and other pretax adjustments made in order to present comparable results from period to period. Examples of items excluded from Adjusted EBITDA include acquisition-related fair-value inventory step-up, acquisition-related costs, restructuring expenses, gain or loss on sale of property and equipment, and non-operating income (loss).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460" w:type="dxa"/>
            <w:vAlign w:val="bottom"/>
          </w:tcPr>
          <w:p>
            <w:pPr>
              <w:spacing w:after="0"/>
              <w:rPr>
                <w:sz w:val="20"/>
                <w:szCs w:val="20"/>
                <w:color w:val="auto"/>
              </w:rPr>
            </w:pPr>
            <w:r>
              <w:rPr>
                <w:rFonts w:ascii="Arial" w:cs="Arial" w:eastAsia="Arial" w:hAnsi="Arial"/>
                <w:sz w:val="16"/>
                <w:szCs w:val="16"/>
                <w:color w:val="auto"/>
              </w:rPr>
              <w:t>Financial information by reportable segment is as follows:</w:t>
            </w:r>
          </w:p>
        </w:tc>
        <w:tc>
          <w:tcPr>
            <w:tcW w:w="3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475"/>
        </w:trPr>
        <w:tc>
          <w:tcPr>
            <w:tcW w:w="44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4"/>
          </w:tcPr>
          <w:p>
            <w:pPr>
              <w:jc w:val="right"/>
              <w:ind w:right="799"/>
              <w:spacing w:after="0"/>
              <w:rPr>
                <w:sz w:val="20"/>
                <w:szCs w:val="20"/>
                <w:color w:val="auto"/>
              </w:rPr>
            </w:pPr>
            <w:r>
              <w:rPr>
                <w:rFonts w:ascii="Arial" w:cs="Arial" w:eastAsia="Arial" w:hAnsi="Arial"/>
                <w:sz w:val="16"/>
                <w:szCs w:val="16"/>
                <w:b w:val="1"/>
                <w:bCs w:val="1"/>
                <w:color w:val="auto"/>
              </w:rPr>
              <w:t>Three Months Ended</w:t>
            </w: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7"/>
          </w:tcPr>
          <w:p>
            <w:pPr>
              <w:jc w:val="right"/>
              <w:ind w:right="920"/>
              <w:spacing w:after="0"/>
              <w:rPr>
                <w:sz w:val="20"/>
                <w:szCs w:val="20"/>
                <w:color w:val="auto"/>
              </w:rPr>
            </w:pPr>
            <w:r>
              <w:rPr>
                <w:rFonts w:ascii="Arial" w:cs="Arial" w:eastAsia="Arial" w:hAnsi="Arial"/>
                <w:sz w:val="16"/>
                <w:szCs w:val="16"/>
                <w:b w:val="1"/>
                <w:bCs w:val="1"/>
                <w:color w:val="auto"/>
              </w:rPr>
              <w:t>Nine Months Ended</w:t>
            </w:r>
          </w:p>
        </w:tc>
      </w:tr>
      <w:tr>
        <w:trPr>
          <w:trHeight w:val="158"/>
        </w:trPr>
        <w:tc>
          <w:tcPr>
            <w:tcW w:w="4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20" w:type="dxa"/>
            <w:vAlign w:val="bottom"/>
            <w:gridSpan w:val="2"/>
          </w:tcPr>
          <w:p>
            <w:pPr>
              <w:ind w:left="200"/>
              <w:spacing w:after="0" w:line="158" w:lineRule="exact"/>
              <w:rPr>
                <w:sz w:val="20"/>
                <w:szCs w:val="20"/>
                <w:color w:val="auto"/>
              </w:rPr>
            </w:pPr>
            <w:r>
              <w:rPr>
                <w:rFonts w:ascii="Arial" w:cs="Arial" w:eastAsia="Arial" w:hAnsi="Arial"/>
                <w:sz w:val="16"/>
                <w:szCs w:val="16"/>
                <w:b w:val="1"/>
                <w:bCs w:val="1"/>
                <w:color w:val="auto"/>
              </w:rPr>
              <w:t>May 29,</w:t>
            </w:r>
          </w:p>
        </w:tc>
        <w:tc>
          <w:tcPr>
            <w:tcW w:w="300" w:type="dxa"/>
            <w:vAlign w:val="bottom"/>
          </w:tcPr>
          <w:p>
            <w:pPr>
              <w:spacing w:after="0"/>
              <w:rPr>
                <w:sz w:val="13"/>
                <w:szCs w:val="13"/>
                <w:color w:val="auto"/>
              </w:rPr>
            </w:pPr>
          </w:p>
        </w:tc>
        <w:tc>
          <w:tcPr>
            <w:tcW w:w="1320" w:type="dxa"/>
            <w:vAlign w:val="bottom"/>
          </w:tcPr>
          <w:p>
            <w:pPr>
              <w:jc w:val="right"/>
              <w:ind w:right="439"/>
              <w:spacing w:after="0" w:line="158" w:lineRule="exact"/>
              <w:rPr>
                <w:sz w:val="20"/>
                <w:szCs w:val="20"/>
                <w:color w:val="auto"/>
              </w:rPr>
            </w:pPr>
            <w:r>
              <w:rPr>
                <w:rFonts w:ascii="Arial" w:cs="Arial" w:eastAsia="Arial" w:hAnsi="Arial"/>
                <w:sz w:val="16"/>
                <w:szCs w:val="16"/>
                <w:b w:val="1"/>
                <w:bCs w:val="1"/>
                <w:color w:val="auto"/>
              </w:rPr>
              <w:t>May 30,</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gridSpan w:val="2"/>
          </w:tcPr>
          <w:p>
            <w:pPr>
              <w:jc w:val="right"/>
              <w:ind w:right="520"/>
              <w:spacing w:after="0" w:line="158" w:lineRule="exact"/>
              <w:rPr>
                <w:sz w:val="20"/>
                <w:szCs w:val="20"/>
                <w:color w:val="auto"/>
              </w:rPr>
            </w:pPr>
            <w:r>
              <w:rPr>
                <w:rFonts w:ascii="Arial" w:cs="Arial" w:eastAsia="Arial" w:hAnsi="Arial"/>
                <w:sz w:val="16"/>
                <w:szCs w:val="16"/>
                <w:b w:val="1"/>
                <w:bCs w:val="1"/>
                <w:color w:val="auto"/>
              </w:rPr>
              <w:t>May 29,</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gridSpan w:val="2"/>
          </w:tcPr>
          <w:p>
            <w:pPr>
              <w:jc w:val="right"/>
              <w:ind w:right="520"/>
              <w:spacing w:after="0" w:line="158" w:lineRule="exact"/>
              <w:rPr>
                <w:sz w:val="20"/>
                <w:szCs w:val="20"/>
                <w:color w:val="auto"/>
              </w:rPr>
            </w:pPr>
            <w:r>
              <w:rPr>
                <w:rFonts w:ascii="Arial" w:cs="Arial" w:eastAsia="Arial" w:hAnsi="Arial"/>
                <w:sz w:val="16"/>
                <w:szCs w:val="16"/>
                <w:b w:val="1"/>
                <w:bCs w:val="1"/>
                <w:color w:val="auto"/>
              </w:rPr>
              <w:t>May 30,</w:t>
            </w:r>
          </w:p>
        </w:tc>
      </w:tr>
      <w:tr>
        <w:trPr>
          <w:trHeight w:val="216"/>
        </w:trPr>
        <w:tc>
          <w:tcPr>
            <w:tcW w:w="44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3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2020</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2020</w:t>
            </w:r>
          </w:p>
        </w:tc>
        <w:tc>
          <w:tcPr>
            <w:tcW w:w="60" w:type="dxa"/>
            <w:vAlign w:val="bottom"/>
            <w:tcBorders>
              <w:bottom w:val="single" w:sz="8" w:color="auto"/>
            </w:tcBorders>
          </w:tcPr>
          <w:p>
            <w:pPr>
              <w:spacing w:after="0"/>
              <w:rPr>
                <w:sz w:val="18"/>
                <w:szCs w:val="18"/>
                <w:color w:val="auto"/>
              </w:rPr>
            </w:pPr>
          </w:p>
        </w:tc>
      </w:tr>
      <w:tr>
        <w:trPr>
          <w:trHeight w:val="210"/>
        </w:trPr>
        <w:tc>
          <w:tcPr>
            <w:tcW w:w="44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Revenues</w:t>
            </w: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3"/>
        </w:trPr>
        <w:tc>
          <w:tcPr>
            <w:tcW w:w="4460" w:type="dxa"/>
            <w:vAlign w:val="bottom"/>
          </w:tcPr>
          <w:p>
            <w:pPr>
              <w:ind w:left="20"/>
              <w:spacing w:after="0"/>
              <w:rPr>
                <w:sz w:val="20"/>
                <w:szCs w:val="20"/>
                <w:color w:val="auto"/>
              </w:rPr>
            </w:pPr>
            <w:r>
              <w:rPr>
                <w:rFonts w:ascii="Arial" w:cs="Arial" w:eastAsia="Arial" w:hAnsi="Arial"/>
                <w:sz w:val="16"/>
                <w:szCs w:val="16"/>
                <w:color w:val="auto"/>
              </w:rPr>
              <w:t>Towable</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555,749</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188,898</w:t>
            </w:r>
          </w:p>
        </w:tc>
        <w:tc>
          <w:tcPr>
            <w:tcW w:w="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1,449,934</w:t>
            </w:r>
          </w:p>
        </w:tc>
        <w:tc>
          <w:tcPr>
            <w:tcW w:w="32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813,611</w:t>
            </w:r>
          </w:p>
        </w:tc>
        <w:tc>
          <w:tcPr>
            <w:tcW w:w="60" w:type="dxa"/>
            <w:vAlign w:val="bottom"/>
          </w:tcPr>
          <w:p>
            <w:pPr>
              <w:spacing w:after="0"/>
              <w:rPr>
                <w:sz w:val="18"/>
                <w:szCs w:val="18"/>
                <w:color w:val="auto"/>
              </w:rPr>
            </w:pPr>
          </w:p>
        </w:tc>
      </w:tr>
      <w:tr>
        <w:trPr>
          <w:trHeight w:val="219"/>
        </w:trPr>
        <w:tc>
          <w:tcPr>
            <w:tcW w:w="4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Motorhome</w:t>
            </w: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385,257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203,590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1,090,221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755,023</w:t>
            </w:r>
          </w:p>
        </w:tc>
        <w:tc>
          <w:tcPr>
            <w:tcW w:w="60" w:type="dxa"/>
            <w:vAlign w:val="bottom"/>
            <w:shd w:val="clear" w:color="auto" w:fill="CCEEFF"/>
          </w:tcPr>
          <w:p>
            <w:pPr>
              <w:spacing w:after="0"/>
              <w:rPr>
                <w:sz w:val="19"/>
                <w:szCs w:val="19"/>
                <w:color w:val="auto"/>
              </w:rPr>
            </w:pPr>
          </w:p>
        </w:tc>
      </w:tr>
      <w:tr>
        <w:trPr>
          <w:trHeight w:val="213"/>
        </w:trPr>
        <w:tc>
          <w:tcPr>
            <w:tcW w:w="44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Corporate / All Other</w:t>
            </w:r>
          </w:p>
        </w:tc>
        <w:tc>
          <w:tcPr>
            <w:tcW w:w="3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19,731</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9,970</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53,599</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49,092</w:t>
            </w:r>
          </w:p>
        </w:tc>
        <w:tc>
          <w:tcPr>
            <w:tcW w:w="60" w:type="dxa"/>
            <w:vAlign w:val="bottom"/>
            <w:tcBorders>
              <w:bottom w:val="single" w:sz="8" w:color="auto"/>
            </w:tcBorders>
          </w:tcPr>
          <w:p>
            <w:pPr>
              <w:spacing w:after="0"/>
              <w:rPr>
                <w:sz w:val="18"/>
                <w:szCs w:val="18"/>
                <w:color w:val="auto"/>
              </w:rPr>
            </w:pPr>
          </w:p>
        </w:tc>
      </w:tr>
      <w:tr>
        <w:trPr>
          <w:trHeight w:val="233"/>
        </w:trPr>
        <w:tc>
          <w:tcPr>
            <w:tcW w:w="44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Consolidated</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960,737</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402,458</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2,593,754</w:t>
            </w:r>
          </w:p>
        </w:tc>
        <w:tc>
          <w:tcPr>
            <w:tcW w:w="32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1,617,726</w:t>
            </w:r>
          </w:p>
        </w:tc>
        <w:tc>
          <w:tcPr>
            <w:tcW w:w="60" w:type="dxa"/>
            <w:vAlign w:val="bottom"/>
            <w:shd w:val="clear" w:color="auto" w:fill="CCEEFF"/>
          </w:tcPr>
          <w:p>
            <w:pPr>
              <w:spacing w:after="0"/>
              <w:rPr>
                <w:sz w:val="20"/>
                <w:szCs w:val="20"/>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r>
      <w:tr>
        <w:trPr>
          <w:trHeight w:val="55"/>
        </w:trPr>
        <w:tc>
          <w:tcPr>
            <w:tcW w:w="44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16"/>
        </w:trPr>
        <w:tc>
          <w:tcPr>
            <w:tcW w:w="44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Adjusted EBITDA</w:t>
            </w: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3"/>
        </w:trPr>
        <w:tc>
          <w:tcPr>
            <w:tcW w:w="4460" w:type="dxa"/>
            <w:vAlign w:val="bottom"/>
          </w:tcPr>
          <w:p>
            <w:pPr>
              <w:ind w:left="20"/>
              <w:spacing w:after="0"/>
              <w:rPr>
                <w:sz w:val="20"/>
                <w:szCs w:val="20"/>
                <w:color w:val="auto"/>
              </w:rPr>
            </w:pPr>
            <w:r>
              <w:rPr>
                <w:rFonts w:ascii="Arial" w:cs="Arial" w:eastAsia="Arial" w:hAnsi="Arial"/>
                <w:sz w:val="16"/>
                <w:szCs w:val="16"/>
                <w:color w:val="auto"/>
              </w:rPr>
              <w:t>Towable</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80,130</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16,451</w:t>
            </w:r>
          </w:p>
        </w:tc>
        <w:tc>
          <w:tcPr>
            <w:tcW w:w="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205,639</w:t>
            </w:r>
          </w:p>
        </w:tc>
        <w:tc>
          <w:tcPr>
            <w:tcW w:w="32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86,982</w:t>
            </w:r>
          </w:p>
        </w:tc>
        <w:tc>
          <w:tcPr>
            <w:tcW w:w="60" w:type="dxa"/>
            <w:vAlign w:val="bottom"/>
          </w:tcPr>
          <w:p>
            <w:pPr>
              <w:spacing w:after="0"/>
              <w:rPr>
                <w:sz w:val="18"/>
                <w:szCs w:val="18"/>
                <w:color w:val="auto"/>
              </w:rPr>
            </w:pPr>
          </w:p>
        </w:tc>
      </w:tr>
      <w:tr>
        <w:trPr>
          <w:trHeight w:val="219"/>
        </w:trPr>
        <w:tc>
          <w:tcPr>
            <w:tcW w:w="4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Motorhome</w:t>
            </w: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37,467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(10,789)</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118,779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13,488</w:t>
            </w:r>
          </w:p>
        </w:tc>
        <w:tc>
          <w:tcPr>
            <w:tcW w:w="60" w:type="dxa"/>
            <w:vAlign w:val="bottom"/>
            <w:shd w:val="clear" w:color="auto" w:fill="CCEEFF"/>
          </w:tcPr>
          <w:p>
            <w:pPr>
              <w:spacing w:after="0"/>
              <w:rPr>
                <w:sz w:val="19"/>
                <w:szCs w:val="19"/>
                <w:color w:val="auto"/>
              </w:rPr>
            </w:pPr>
          </w:p>
        </w:tc>
      </w:tr>
      <w:tr>
        <w:trPr>
          <w:trHeight w:val="213"/>
        </w:trPr>
        <w:tc>
          <w:tcPr>
            <w:tcW w:w="44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Corporate / All Other</w:t>
            </w:r>
          </w:p>
        </w:tc>
        <w:tc>
          <w:tcPr>
            <w:tcW w:w="3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(7,823)</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(1,588)</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(17,386)</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(8,919)</w:t>
            </w:r>
          </w:p>
        </w:tc>
      </w:tr>
      <w:tr>
        <w:trPr>
          <w:trHeight w:val="233"/>
        </w:trPr>
        <w:tc>
          <w:tcPr>
            <w:tcW w:w="44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Consolidated</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109,774</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4,074</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307,032</w:t>
            </w:r>
          </w:p>
        </w:tc>
        <w:tc>
          <w:tcPr>
            <w:tcW w:w="32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91,551</w:t>
            </w:r>
          </w:p>
        </w:tc>
        <w:tc>
          <w:tcPr>
            <w:tcW w:w="60" w:type="dxa"/>
            <w:vAlign w:val="bottom"/>
            <w:shd w:val="clear" w:color="auto" w:fill="CCEEFF"/>
          </w:tcPr>
          <w:p>
            <w:pPr>
              <w:spacing w:after="0"/>
              <w:rPr>
                <w:sz w:val="20"/>
                <w:szCs w:val="20"/>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r>
      <w:tr>
        <w:trPr>
          <w:trHeight w:val="55"/>
        </w:trPr>
        <w:tc>
          <w:tcPr>
            <w:tcW w:w="44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16"/>
        </w:trPr>
        <w:tc>
          <w:tcPr>
            <w:tcW w:w="44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Capital Expenditures</w:t>
            </w: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3"/>
        </w:trPr>
        <w:tc>
          <w:tcPr>
            <w:tcW w:w="4460" w:type="dxa"/>
            <w:vAlign w:val="bottom"/>
          </w:tcPr>
          <w:p>
            <w:pPr>
              <w:ind w:left="20"/>
              <w:spacing w:after="0"/>
              <w:rPr>
                <w:sz w:val="20"/>
                <w:szCs w:val="20"/>
                <w:color w:val="auto"/>
              </w:rPr>
            </w:pPr>
            <w:r>
              <w:rPr>
                <w:rFonts w:ascii="Arial" w:cs="Arial" w:eastAsia="Arial" w:hAnsi="Arial"/>
                <w:sz w:val="16"/>
                <w:szCs w:val="16"/>
                <w:color w:val="auto"/>
              </w:rPr>
              <w:t>Towable</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4,639</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2,296</w:t>
            </w:r>
          </w:p>
        </w:tc>
        <w:tc>
          <w:tcPr>
            <w:tcW w:w="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11,490</w:t>
            </w:r>
          </w:p>
        </w:tc>
        <w:tc>
          <w:tcPr>
            <w:tcW w:w="32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11,962</w:t>
            </w:r>
          </w:p>
        </w:tc>
        <w:tc>
          <w:tcPr>
            <w:tcW w:w="60" w:type="dxa"/>
            <w:vAlign w:val="bottom"/>
          </w:tcPr>
          <w:p>
            <w:pPr>
              <w:spacing w:after="0"/>
              <w:rPr>
                <w:sz w:val="18"/>
                <w:szCs w:val="18"/>
                <w:color w:val="auto"/>
              </w:rPr>
            </w:pPr>
          </w:p>
        </w:tc>
      </w:tr>
      <w:tr>
        <w:trPr>
          <w:trHeight w:val="219"/>
        </w:trPr>
        <w:tc>
          <w:tcPr>
            <w:tcW w:w="4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Motorhome</w:t>
            </w: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5,768</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10,247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13,348</w:t>
            </w:r>
          </w:p>
        </w:tc>
        <w:tc>
          <w:tcPr>
            <w:tcW w:w="60" w:type="dxa"/>
            <w:vAlign w:val="bottom"/>
            <w:shd w:val="clear" w:color="auto" w:fill="CCEEFF"/>
          </w:tcPr>
          <w:p>
            <w:pPr>
              <w:spacing w:after="0"/>
              <w:rPr>
                <w:sz w:val="19"/>
                <w:szCs w:val="19"/>
                <w:color w:val="auto"/>
              </w:rPr>
            </w:pPr>
          </w:p>
        </w:tc>
      </w:tr>
      <w:tr>
        <w:trPr>
          <w:trHeight w:val="213"/>
        </w:trPr>
        <w:tc>
          <w:tcPr>
            <w:tcW w:w="44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Corporate / All Other</w:t>
            </w:r>
          </w:p>
        </w:tc>
        <w:tc>
          <w:tcPr>
            <w:tcW w:w="3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1,061</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1,492</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1,859</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3,272</w:t>
            </w:r>
          </w:p>
        </w:tc>
        <w:tc>
          <w:tcPr>
            <w:tcW w:w="60" w:type="dxa"/>
            <w:vAlign w:val="bottom"/>
            <w:tcBorders>
              <w:bottom w:val="single" w:sz="8" w:color="auto"/>
            </w:tcBorders>
          </w:tcPr>
          <w:p>
            <w:pPr>
              <w:spacing w:after="0"/>
              <w:rPr>
                <w:sz w:val="18"/>
                <w:szCs w:val="18"/>
                <w:color w:val="auto"/>
              </w:rPr>
            </w:pPr>
          </w:p>
        </w:tc>
      </w:tr>
      <w:tr>
        <w:trPr>
          <w:trHeight w:val="232"/>
        </w:trPr>
        <w:tc>
          <w:tcPr>
            <w:tcW w:w="44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Consolidated</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8,676</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9,556</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23,596</w:t>
            </w:r>
          </w:p>
        </w:tc>
        <w:tc>
          <w:tcPr>
            <w:tcW w:w="32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28,582</w:t>
            </w:r>
          </w:p>
        </w:tc>
        <w:tc>
          <w:tcPr>
            <w:tcW w:w="60" w:type="dxa"/>
            <w:vAlign w:val="bottom"/>
            <w:shd w:val="clear" w:color="auto" w:fill="CCEEFF"/>
          </w:tcPr>
          <w:p>
            <w:pPr>
              <w:spacing w:after="0"/>
              <w:rPr>
                <w:sz w:val="20"/>
                <w:szCs w:val="20"/>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r>
      <w:tr>
        <w:trPr>
          <w:trHeight w:val="757"/>
        </w:trPr>
        <w:tc>
          <w:tcPr>
            <w:tcW w:w="4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gridSpan w:val="2"/>
          </w:tcPr>
          <w:p>
            <w:pPr>
              <w:jc w:val="right"/>
              <w:ind w:right="600"/>
              <w:spacing w:after="0"/>
              <w:rPr>
                <w:sz w:val="20"/>
                <w:szCs w:val="20"/>
                <w:color w:val="auto"/>
              </w:rPr>
            </w:pPr>
            <w:r>
              <w:rPr>
                <w:rFonts w:ascii="Arial" w:cs="Arial" w:eastAsia="Arial" w:hAnsi="Arial"/>
                <w:sz w:val="16"/>
                <w:szCs w:val="16"/>
                <w:b w:val="1"/>
                <w:bCs w:val="1"/>
                <w:color w:val="auto"/>
              </w:rPr>
              <w:t>May 29,</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rPr>
              <w:t>August 29,</w:t>
            </w:r>
          </w:p>
        </w:tc>
      </w:tr>
      <w:tr>
        <w:trPr>
          <w:trHeight w:val="216"/>
        </w:trPr>
        <w:tc>
          <w:tcPr>
            <w:tcW w:w="44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3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2020</w:t>
            </w:r>
          </w:p>
        </w:tc>
        <w:tc>
          <w:tcPr>
            <w:tcW w:w="60" w:type="dxa"/>
            <w:vAlign w:val="bottom"/>
          </w:tcPr>
          <w:p>
            <w:pPr>
              <w:spacing w:after="0"/>
              <w:rPr>
                <w:sz w:val="18"/>
                <w:szCs w:val="18"/>
                <w:color w:val="auto"/>
              </w:rPr>
            </w:pPr>
          </w:p>
        </w:tc>
      </w:tr>
      <w:tr>
        <w:trPr>
          <w:trHeight w:val="210"/>
        </w:trPr>
        <w:tc>
          <w:tcPr>
            <w:tcW w:w="44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r>
      <w:tr>
        <w:trPr>
          <w:trHeight w:val="213"/>
        </w:trPr>
        <w:tc>
          <w:tcPr>
            <w:tcW w:w="4460" w:type="dxa"/>
            <w:vAlign w:val="bottom"/>
          </w:tcPr>
          <w:p>
            <w:pPr>
              <w:ind w:left="20"/>
              <w:spacing w:after="0"/>
              <w:rPr>
                <w:sz w:val="20"/>
                <w:szCs w:val="20"/>
                <w:color w:val="auto"/>
              </w:rPr>
            </w:pPr>
            <w:r>
              <w:rPr>
                <w:rFonts w:ascii="Arial" w:cs="Arial" w:eastAsia="Arial" w:hAnsi="Arial"/>
                <w:sz w:val="16"/>
                <w:szCs w:val="16"/>
                <w:color w:val="auto"/>
              </w:rPr>
              <w:t>Towable</w:t>
            </w:r>
          </w:p>
        </w:tc>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745,249</w:t>
            </w:r>
          </w:p>
        </w:tc>
        <w:tc>
          <w:tcPr>
            <w:tcW w:w="80" w:type="dxa"/>
            <w:vAlign w:val="bottom"/>
          </w:tcPr>
          <w:p>
            <w:pPr>
              <w:spacing w:after="0"/>
              <w:rPr>
                <w:sz w:val="18"/>
                <w:szCs w:val="18"/>
                <w:color w:val="auto"/>
              </w:rPr>
            </w:pPr>
          </w:p>
        </w:tc>
        <w:tc>
          <w:tcPr>
            <w:tcW w:w="32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718,253</w:t>
            </w:r>
          </w:p>
        </w:tc>
        <w:tc>
          <w:tcPr>
            <w:tcW w:w="60" w:type="dxa"/>
            <w:vAlign w:val="bottom"/>
          </w:tcPr>
          <w:p>
            <w:pPr>
              <w:spacing w:after="0"/>
              <w:rPr>
                <w:sz w:val="18"/>
                <w:szCs w:val="18"/>
                <w:color w:val="auto"/>
              </w:rPr>
            </w:pPr>
          </w:p>
        </w:tc>
      </w:tr>
      <w:tr>
        <w:trPr>
          <w:trHeight w:val="219"/>
        </w:trPr>
        <w:tc>
          <w:tcPr>
            <w:tcW w:w="4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Motorhome</w:t>
            </w: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721,603</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600,304</w:t>
            </w:r>
          </w:p>
        </w:tc>
        <w:tc>
          <w:tcPr>
            <w:tcW w:w="60" w:type="dxa"/>
            <w:vAlign w:val="bottom"/>
          </w:tcPr>
          <w:p>
            <w:pPr>
              <w:spacing w:after="0"/>
              <w:rPr>
                <w:sz w:val="19"/>
                <w:szCs w:val="19"/>
                <w:color w:val="auto"/>
              </w:rPr>
            </w:pPr>
          </w:p>
        </w:tc>
      </w:tr>
      <w:tr>
        <w:trPr>
          <w:trHeight w:val="213"/>
        </w:trPr>
        <w:tc>
          <w:tcPr>
            <w:tcW w:w="44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Corporate / All Other</w:t>
            </w:r>
          </w:p>
        </w:tc>
        <w:tc>
          <w:tcPr>
            <w:tcW w:w="320" w:type="dxa"/>
            <w:vAlign w:val="bottom"/>
            <w:tcBorders>
              <w:bottom w:val="single" w:sz="8" w:color="CCEEFF"/>
            </w:tcBorders>
          </w:tcPr>
          <w:p>
            <w:pPr>
              <w:spacing w:after="0"/>
              <w:rPr>
                <w:sz w:val="18"/>
                <w:szCs w:val="18"/>
                <w:color w:val="auto"/>
              </w:rPr>
            </w:pPr>
          </w:p>
        </w:tc>
        <w:tc>
          <w:tcPr>
            <w:tcW w:w="13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3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512,918</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395,143</w:t>
            </w:r>
          </w:p>
        </w:tc>
        <w:tc>
          <w:tcPr>
            <w:tcW w:w="60" w:type="dxa"/>
            <w:vAlign w:val="bottom"/>
          </w:tcPr>
          <w:p>
            <w:pPr>
              <w:spacing w:after="0"/>
              <w:rPr>
                <w:sz w:val="18"/>
                <w:szCs w:val="18"/>
                <w:color w:val="auto"/>
              </w:rPr>
            </w:pPr>
          </w:p>
        </w:tc>
      </w:tr>
      <w:tr>
        <w:trPr>
          <w:trHeight w:val="233"/>
        </w:trPr>
        <w:tc>
          <w:tcPr>
            <w:tcW w:w="44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Consolidated</w:t>
            </w:r>
          </w:p>
        </w:tc>
        <w:tc>
          <w:tcPr>
            <w:tcW w:w="3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1,979,770</w:t>
            </w:r>
          </w:p>
        </w:tc>
        <w:tc>
          <w:tcPr>
            <w:tcW w:w="80" w:type="dxa"/>
            <w:vAlign w:val="bottom"/>
            <w:shd w:val="clear" w:color="auto" w:fill="CCEEFF"/>
          </w:tcPr>
          <w:p>
            <w:pPr>
              <w:spacing w:after="0"/>
              <w:rPr>
                <w:sz w:val="20"/>
                <w:szCs w:val="20"/>
                <w:color w:val="auto"/>
              </w:rPr>
            </w:pPr>
          </w:p>
        </w:tc>
        <w:tc>
          <w:tcPr>
            <w:tcW w:w="32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1,713,700</w:t>
            </w:r>
          </w:p>
        </w:tc>
        <w:tc>
          <w:tcPr>
            <w:tcW w:w="60" w:type="dxa"/>
            <w:vAlign w:val="bottom"/>
          </w:tcPr>
          <w:p>
            <w:pPr>
              <w:spacing w:after="0"/>
              <w:rPr>
                <w:sz w:val="20"/>
                <w:szCs w:val="20"/>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1" w:name="page12"/>
    <w:bookmarkEnd w:id="1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color w:val="auto"/>
        </w:rPr>
        <w:t>Reconciliation of net income to consolidated Adjusted EBITDA is as follows: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40" w:type="dxa"/>
            <w:vAlign w:val="bottom"/>
            <w:gridSpan w:val="5"/>
          </w:tcPr>
          <w:p>
            <w:pPr>
              <w:ind w:left="660"/>
              <w:spacing w:after="0"/>
              <w:rPr>
                <w:sz w:val="20"/>
                <w:szCs w:val="20"/>
                <w:color w:val="auto"/>
              </w:rPr>
            </w:pPr>
            <w:r>
              <w:rPr>
                <w:rFonts w:ascii="Arial" w:cs="Arial" w:eastAsia="Arial" w:hAnsi="Arial"/>
                <w:sz w:val="16"/>
                <w:szCs w:val="16"/>
                <w:b w:val="1"/>
                <w:bCs w:val="1"/>
                <w:color w:val="auto"/>
              </w:rPr>
              <w:t>Three Months Ended</w:t>
            </w:r>
          </w:p>
        </w:tc>
        <w:tc>
          <w:tcPr>
            <w:tcW w:w="200" w:type="dxa"/>
            <w:vAlign w:val="bottom"/>
          </w:tcPr>
          <w:p>
            <w:pPr>
              <w:spacing w:after="0"/>
              <w:rPr>
                <w:sz w:val="18"/>
                <w:szCs w:val="18"/>
                <w:color w:val="auto"/>
              </w:rPr>
            </w:pPr>
          </w:p>
        </w:tc>
        <w:tc>
          <w:tcPr>
            <w:tcW w:w="3140" w:type="dxa"/>
            <w:vAlign w:val="bottom"/>
            <w:gridSpan w:val="4"/>
          </w:tcPr>
          <w:p>
            <w:pPr>
              <w:jc w:val="right"/>
              <w:ind w:right="839"/>
              <w:spacing w:after="0"/>
              <w:rPr>
                <w:sz w:val="20"/>
                <w:szCs w:val="20"/>
                <w:color w:val="auto"/>
              </w:rPr>
            </w:pPr>
            <w:r>
              <w:rPr>
                <w:rFonts w:ascii="Arial" w:cs="Arial" w:eastAsia="Arial" w:hAnsi="Arial"/>
                <w:sz w:val="16"/>
                <w:szCs w:val="16"/>
                <w:b w:val="1"/>
                <w:bCs w:val="1"/>
                <w:color w:val="auto"/>
              </w:rPr>
              <w:t>Nine Months Ended</w:t>
            </w:r>
          </w:p>
        </w:tc>
      </w:tr>
      <w:tr>
        <w:trPr>
          <w:trHeight w:val="213"/>
        </w:trPr>
        <w:tc>
          <w:tcPr>
            <w:tcW w:w="444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rPr>
              <w:t>May 29, 2021</w:t>
            </w:r>
          </w:p>
        </w:tc>
        <w:tc>
          <w:tcPr>
            <w:tcW w:w="20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May 30, 2020</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rPr>
              <w:t>May 29, 2021</w:t>
            </w:r>
          </w:p>
        </w:tc>
        <w:tc>
          <w:tcPr>
            <w:tcW w:w="22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May 30, 2020</w:t>
            </w:r>
          </w:p>
        </w:tc>
      </w:tr>
      <w:tr>
        <w:trPr>
          <w:trHeight w:val="209"/>
        </w:trPr>
        <w:tc>
          <w:tcPr>
            <w:tcW w:w="44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71,295</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(12,353)</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197,786</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18,983</w:t>
            </w:r>
          </w:p>
        </w:tc>
      </w:tr>
      <w:tr>
        <w:trPr>
          <w:trHeight w:val="213"/>
        </w:trPr>
        <w:tc>
          <w:tcPr>
            <w:tcW w:w="4440" w:type="dxa"/>
            <w:vAlign w:val="bottom"/>
          </w:tcPr>
          <w:p>
            <w:pPr>
              <w:ind w:left="140"/>
              <w:spacing w:after="0"/>
              <w:rPr>
                <w:sz w:val="20"/>
                <w:szCs w:val="20"/>
                <w:color w:val="auto"/>
              </w:rPr>
            </w:pPr>
            <w:r>
              <w:rPr>
                <w:rFonts w:ascii="Arial" w:cs="Arial" w:eastAsia="Arial" w:hAnsi="Arial"/>
                <w:sz w:val="16"/>
                <w:szCs w:val="16"/>
                <w:color w:val="auto"/>
              </w:rPr>
              <w:t>Interest expense</w:t>
            </w: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10,229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8,440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30,222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23,140</w:t>
            </w:r>
          </w:p>
        </w:tc>
      </w:tr>
      <w:tr>
        <w:trPr>
          <w:trHeight w:val="219"/>
        </w:trPr>
        <w:tc>
          <w:tcPr>
            <w:tcW w:w="44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Provision (benefit) for income taxes</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21,005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(4,186)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59,728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3,702</w:t>
            </w:r>
          </w:p>
        </w:tc>
      </w:tr>
      <w:tr>
        <w:trPr>
          <w:trHeight w:val="213"/>
        </w:trPr>
        <w:tc>
          <w:tcPr>
            <w:tcW w:w="4440" w:type="dxa"/>
            <w:vAlign w:val="bottom"/>
          </w:tcPr>
          <w:p>
            <w:pPr>
              <w:ind w:left="140"/>
              <w:spacing w:after="0"/>
              <w:rPr>
                <w:sz w:val="20"/>
                <w:szCs w:val="20"/>
                <w:color w:val="auto"/>
              </w:rPr>
            </w:pPr>
            <w:r>
              <w:rPr>
                <w:rFonts w:ascii="Arial" w:cs="Arial" w:eastAsia="Arial" w:hAnsi="Arial"/>
                <w:sz w:val="16"/>
                <w:szCs w:val="16"/>
                <w:color w:val="auto"/>
              </w:rPr>
              <w:t>Depreciation</w:t>
            </w: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4,917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4,134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13,476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11,854</w:t>
            </w:r>
          </w:p>
        </w:tc>
      </w:tr>
      <w:tr>
        <w:trPr>
          <w:trHeight w:val="216"/>
        </w:trPr>
        <w:tc>
          <w:tcPr>
            <w:tcW w:w="44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Amortization</w:t>
            </w:r>
          </w:p>
        </w:tc>
        <w:tc>
          <w:tcPr>
            <w:tcW w:w="2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3,590</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6,926</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10,771</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18,514</w:t>
            </w:r>
          </w:p>
        </w:tc>
      </w:tr>
      <w:tr>
        <w:trPr>
          <w:trHeight w:val="210"/>
        </w:trPr>
        <w:tc>
          <w:tcPr>
            <w:tcW w:w="4440" w:type="dxa"/>
            <w:vAlign w:val="bottom"/>
          </w:tcPr>
          <w:p>
            <w:pPr>
              <w:ind w:left="20"/>
              <w:spacing w:after="0"/>
              <w:rPr>
                <w:sz w:val="20"/>
                <w:szCs w:val="20"/>
                <w:color w:val="auto"/>
              </w:rPr>
            </w:pPr>
            <w:r>
              <w:rPr>
                <w:rFonts w:ascii="Arial" w:cs="Arial" w:eastAsia="Arial" w:hAnsi="Arial"/>
                <w:sz w:val="16"/>
                <w:szCs w:val="16"/>
                <w:color w:val="auto"/>
              </w:rPr>
              <w:t>EBITDA</w:t>
            </w: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111,036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2,961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311,983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76,193</w:t>
            </w:r>
          </w:p>
        </w:tc>
      </w:tr>
      <w:tr>
        <w:trPr>
          <w:trHeight w:val="219"/>
        </w:trPr>
        <w:tc>
          <w:tcPr>
            <w:tcW w:w="44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Acquisition-related fair-value inventory step-up</w:t>
            </w:r>
          </w:p>
        </w:tc>
        <w:tc>
          <w:tcPr>
            <w:tcW w:w="22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4,810</w:t>
            </w:r>
          </w:p>
        </w:tc>
      </w:tr>
      <w:tr>
        <w:trPr>
          <w:trHeight w:val="213"/>
        </w:trPr>
        <w:tc>
          <w:tcPr>
            <w:tcW w:w="4440" w:type="dxa"/>
            <w:vAlign w:val="bottom"/>
          </w:tcPr>
          <w:p>
            <w:pPr>
              <w:ind w:left="140"/>
              <w:spacing w:after="0"/>
              <w:rPr>
                <w:sz w:val="20"/>
                <w:szCs w:val="20"/>
                <w:color w:val="auto"/>
              </w:rPr>
            </w:pPr>
            <w:r>
              <w:rPr>
                <w:rFonts w:ascii="Arial" w:cs="Arial" w:eastAsia="Arial" w:hAnsi="Arial"/>
                <w:sz w:val="16"/>
                <w:szCs w:val="16"/>
                <w:color w:val="auto"/>
              </w:rPr>
              <w:t>Acquisition-related costs</w:t>
            </w:r>
          </w:p>
        </w:tc>
        <w:tc>
          <w:tcPr>
            <w:tcW w:w="22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(189)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9,761</w:t>
            </w:r>
          </w:p>
        </w:tc>
      </w:tr>
      <w:tr>
        <w:trPr>
          <w:trHeight w:val="219"/>
        </w:trPr>
        <w:tc>
          <w:tcPr>
            <w:tcW w:w="44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Restructuring expenses</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1,247</w:t>
            </w:r>
          </w:p>
        </w:tc>
      </w:tr>
      <w:tr>
        <w:trPr>
          <w:trHeight w:val="213"/>
        </w:trPr>
        <w:tc>
          <w:tcPr>
            <w:tcW w:w="4440" w:type="dxa"/>
            <w:vAlign w:val="bottom"/>
          </w:tcPr>
          <w:p>
            <w:pPr>
              <w:ind w:left="140"/>
              <w:spacing w:after="0"/>
              <w:rPr>
                <w:sz w:val="20"/>
                <w:szCs w:val="20"/>
                <w:color w:val="auto"/>
              </w:rPr>
            </w:pPr>
            <w:r>
              <w:rPr>
                <w:rFonts w:ascii="Arial" w:cs="Arial" w:eastAsia="Arial" w:hAnsi="Arial"/>
                <w:sz w:val="16"/>
                <w:szCs w:val="16"/>
                <w:color w:val="auto"/>
              </w:rPr>
              <w:t>Gain on sale of property, plant and equipment</w:t>
            </w: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(1,188)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(4,753)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44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Non-operating income</w:t>
            </w:r>
          </w:p>
        </w:tc>
        <w:tc>
          <w:tcPr>
            <w:tcW w:w="2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(310)</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(460)</w:t>
            </w:r>
          </w:p>
        </w:tc>
      </w:tr>
      <w:tr>
        <w:trPr>
          <w:trHeight w:val="213"/>
        </w:trPr>
        <w:tc>
          <w:tcPr>
            <w:tcW w:w="444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109,774</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4,074</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307,032</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91,551</w:t>
            </w:r>
          </w:p>
        </w:tc>
      </w:tr>
      <w:tr>
        <w:trPr>
          <w:trHeight w:val="20"/>
        </w:trPr>
        <w:tc>
          <w:tcPr>
            <w:tcW w:w="4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tabs>
          <w:tab w:leader="none" w:pos="700" w:val="left"/>
        </w:tabs>
        <w:rPr>
          <w:sz w:val="20"/>
          <w:szCs w:val="20"/>
          <w:color w:val="auto"/>
        </w:rPr>
      </w:pPr>
      <w:r>
        <w:rPr>
          <w:rFonts w:ascii="Arial" w:cs="Arial" w:eastAsia="Arial" w:hAnsi="Arial"/>
          <w:sz w:val="16"/>
          <w:szCs w:val="16"/>
          <w:b w:val="1"/>
          <w:bCs w:val="1"/>
          <w:color w:val="auto"/>
        </w:rPr>
        <w:t>Note 3.</w:t>
        <w:tab/>
        <w:t>Investments and Fair Value Measurements</w:t>
      </w:r>
    </w:p>
    <w:p>
      <w:pPr>
        <w:spacing w:after="0" w:line="187"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In determining the fair value of financial assets and liabilities, the Company utilizes market data or other assumptions that it believes market participants would use in pricing the asset or liability in the principal or most advantageous market and adjusts for non-performance and/or other risks associated with the Company as well as counterparties, as appropriate. Assets and liabilities measured at fair value are classified using the following hierarchy, which is based upon the transparency of inputs to the valuation as of the measurement date:</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Level 1 </w:t>
      </w:r>
      <w:r>
        <w:rPr>
          <w:rFonts w:ascii="Arial" w:cs="Arial" w:eastAsia="Arial" w:hAnsi="Arial"/>
          <w:sz w:val="16"/>
          <w:szCs w:val="16"/>
          <w:color w:val="auto"/>
        </w:rPr>
        <w:t>— Unadjusted quoted prices which are available in active markets for identical assets or liabilities accessible at the measurement date.</w:t>
      </w:r>
    </w:p>
    <w:p>
      <w:pPr>
        <w:spacing w:after="0" w:line="235" w:lineRule="exact"/>
        <w:rPr>
          <w:sz w:val="20"/>
          <w:szCs w:val="20"/>
          <w:color w:val="auto"/>
        </w:rPr>
      </w:pPr>
    </w:p>
    <w:p>
      <w:pPr>
        <w:ind w:left="660" w:right="440"/>
        <w:spacing w:after="0" w:line="263" w:lineRule="auto"/>
        <w:rPr>
          <w:sz w:val="20"/>
          <w:szCs w:val="20"/>
          <w:color w:val="auto"/>
        </w:rPr>
      </w:pPr>
      <w:r>
        <w:rPr>
          <w:rFonts w:ascii="Arial" w:cs="Arial" w:eastAsia="Arial" w:hAnsi="Arial"/>
          <w:sz w:val="16"/>
          <w:szCs w:val="16"/>
          <w:i w:val="1"/>
          <w:iCs w:val="1"/>
          <w:color w:val="auto"/>
        </w:rPr>
        <w:t xml:space="preserve">Level 2 </w:t>
      </w:r>
      <w:r>
        <w:rPr>
          <w:rFonts w:ascii="Arial" w:cs="Arial" w:eastAsia="Arial" w:hAnsi="Arial"/>
          <w:sz w:val="16"/>
          <w:szCs w:val="16"/>
          <w:color w:val="auto"/>
        </w:rPr>
        <w:t>— Inputs other than quoted prices included in Level 1 inputs that are observable for the asset or liability, either directly or indirectly, for</w:t>
      </w:r>
      <w:r>
        <w:rPr>
          <w:rFonts w:ascii="Arial" w:cs="Arial" w:eastAsia="Arial" w:hAnsi="Arial"/>
          <w:sz w:val="16"/>
          <w:szCs w:val="16"/>
          <w:i w:val="1"/>
          <w:iCs w:val="1"/>
          <w:color w:val="auto"/>
        </w:rPr>
        <w:t xml:space="preserve"> </w:t>
      </w:r>
      <w:r>
        <w:rPr>
          <w:rFonts w:ascii="Arial" w:cs="Arial" w:eastAsia="Arial" w:hAnsi="Arial"/>
          <w:sz w:val="16"/>
          <w:szCs w:val="16"/>
          <w:color w:val="auto"/>
        </w:rPr>
        <w:t>substantially the full term of the asset or liability.</w:t>
      </w:r>
    </w:p>
    <w:p>
      <w:pPr>
        <w:spacing w:after="0" w:line="191" w:lineRule="exact"/>
        <w:rPr>
          <w:sz w:val="20"/>
          <w:szCs w:val="20"/>
          <w:color w:val="auto"/>
        </w:rPr>
      </w:pPr>
    </w:p>
    <w:p>
      <w:pPr>
        <w:ind w:left="660" w:right="300"/>
        <w:spacing w:after="0" w:line="263" w:lineRule="auto"/>
        <w:rPr>
          <w:sz w:val="20"/>
          <w:szCs w:val="20"/>
          <w:color w:val="auto"/>
        </w:rPr>
      </w:pPr>
      <w:r>
        <w:rPr>
          <w:rFonts w:ascii="Arial" w:cs="Arial" w:eastAsia="Arial" w:hAnsi="Arial"/>
          <w:sz w:val="16"/>
          <w:szCs w:val="16"/>
          <w:i w:val="1"/>
          <w:iCs w:val="1"/>
          <w:color w:val="auto"/>
        </w:rPr>
        <w:t xml:space="preserve">Level 3 </w:t>
      </w:r>
      <w:r>
        <w:rPr>
          <w:rFonts w:ascii="Arial" w:cs="Arial" w:eastAsia="Arial" w:hAnsi="Arial"/>
          <w:sz w:val="16"/>
          <w:szCs w:val="16"/>
          <w:color w:val="auto"/>
        </w:rPr>
        <w:t>— Unobservable inputs for the asset or liability used to measure fair value to the extent that observable inputs are not available, thereby</w:t>
      </w:r>
      <w:r>
        <w:rPr>
          <w:rFonts w:ascii="Arial" w:cs="Arial" w:eastAsia="Arial" w:hAnsi="Arial"/>
          <w:sz w:val="16"/>
          <w:szCs w:val="16"/>
          <w:i w:val="1"/>
          <w:iCs w:val="1"/>
          <w:color w:val="auto"/>
        </w:rPr>
        <w:t xml:space="preserve"> </w:t>
      </w:r>
      <w:r>
        <w:rPr>
          <w:rFonts w:ascii="Arial" w:cs="Arial" w:eastAsia="Arial" w:hAnsi="Arial"/>
          <w:sz w:val="16"/>
          <w:szCs w:val="16"/>
          <w:color w:val="auto"/>
        </w:rPr>
        <w:t>allowing for situations in which there is little, if any, market activity for the asset or liability at the measurement date.</w:t>
      </w:r>
    </w:p>
    <w:p>
      <w:pPr>
        <w:spacing w:after="0" w:line="200" w:lineRule="exact"/>
        <w:rPr>
          <w:sz w:val="20"/>
          <w:szCs w:val="20"/>
          <w:color w:val="auto"/>
        </w:rPr>
      </w:pPr>
    </w:p>
    <w:p>
      <w:pPr>
        <w:ind w:right="4900"/>
        <w:spacing w:after="0" w:line="427" w:lineRule="auto"/>
        <w:rPr>
          <w:sz w:val="20"/>
          <w:szCs w:val="20"/>
          <w:color w:val="auto"/>
        </w:rPr>
      </w:pPr>
      <w:r>
        <w:rPr>
          <w:rFonts w:ascii="Arial" w:cs="Arial" w:eastAsia="Arial" w:hAnsi="Arial"/>
          <w:sz w:val="16"/>
          <w:szCs w:val="16"/>
          <w:b w:val="1"/>
          <w:bCs w:val="1"/>
          <w:color w:val="auto"/>
        </w:rPr>
        <w:t xml:space="preserve">Assets and Liabilities that are Measured at Fair Value on a Recurring Basis </w:t>
      </w:r>
      <w:r>
        <w:rPr>
          <w:rFonts w:ascii="Arial" w:cs="Arial" w:eastAsia="Arial" w:hAnsi="Arial"/>
          <w:sz w:val="16"/>
          <w:szCs w:val="16"/>
          <w:color w:val="auto"/>
        </w:rPr>
        <w:t>Financial assets and liabilities measured at fair value on a recurring basis are as follows: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Fair Value at</w:t>
            </w:r>
          </w:p>
        </w:tc>
        <w:tc>
          <w:tcPr>
            <w:tcW w:w="3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3"/>
          </w:tcPr>
          <w:p>
            <w:pPr>
              <w:ind w:left="40"/>
              <w:spacing w:after="0"/>
              <w:rPr>
                <w:sz w:val="20"/>
                <w:szCs w:val="20"/>
                <w:color w:val="auto"/>
              </w:rPr>
            </w:pPr>
            <w:r>
              <w:rPr>
                <w:rFonts w:ascii="Arial" w:cs="Arial" w:eastAsia="Arial" w:hAnsi="Arial"/>
                <w:sz w:val="16"/>
                <w:szCs w:val="16"/>
                <w:b w:val="1"/>
                <w:bCs w:val="1"/>
                <w:color w:val="auto"/>
              </w:rPr>
              <w:t>Fair Value Hierarchy</w:t>
            </w:r>
          </w:p>
        </w:tc>
        <w:tc>
          <w:tcPr>
            <w:tcW w:w="3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r>
      <w:tr>
        <w:trPr>
          <w:trHeight w:val="148"/>
        </w:trPr>
        <w:tc>
          <w:tcPr>
            <w:tcW w:w="4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gridSpan w:val="2"/>
          </w:tcPr>
          <w:p>
            <w:pPr>
              <w:jc w:val="center"/>
              <w:ind w:right="340"/>
              <w:spacing w:after="0" w:line="148" w:lineRule="exact"/>
              <w:rPr>
                <w:sz w:val="20"/>
                <w:szCs w:val="20"/>
                <w:color w:val="auto"/>
              </w:rPr>
            </w:pPr>
            <w:r>
              <w:rPr>
                <w:rFonts w:ascii="Arial" w:cs="Arial" w:eastAsia="Arial" w:hAnsi="Arial"/>
                <w:sz w:val="16"/>
                <w:szCs w:val="16"/>
                <w:b w:val="1"/>
                <w:bCs w:val="1"/>
                <w:color w:val="auto"/>
              </w:rPr>
              <w:t>May 29,</w:t>
            </w:r>
          </w:p>
        </w:tc>
        <w:tc>
          <w:tcPr>
            <w:tcW w:w="3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00" w:type="dxa"/>
            <w:vAlign w:val="bottom"/>
          </w:tcPr>
          <w:p>
            <w:pPr>
              <w:spacing w:after="0"/>
              <w:rPr>
                <w:sz w:val="12"/>
                <w:szCs w:val="12"/>
                <w:color w:val="auto"/>
              </w:rPr>
            </w:pPr>
          </w:p>
        </w:tc>
      </w:tr>
      <w:tr>
        <w:trPr>
          <w:trHeight w:val="216"/>
        </w:trPr>
        <w:tc>
          <w:tcPr>
            <w:tcW w:w="444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Pr>
          <w:p>
            <w:pPr>
              <w:spacing w:after="0"/>
              <w:rPr>
                <w:sz w:val="18"/>
                <w:szCs w:val="18"/>
                <w:color w:val="auto"/>
              </w:rPr>
            </w:pPr>
          </w:p>
        </w:tc>
        <w:tc>
          <w:tcPr>
            <w:tcW w:w="1380" w:type="dxa"/>
            <w:vAlign w:val="bottom"/>
          </w:tcPr>
          <w:p>
            <w:pPr>
              <w:jc w:val="center"/>
              <w:ind w:right="139"/>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gridSpan w:val="2"/>
          </w:tcPr>
          <w:p>
            <w:pPr>
              <w:ind w:left="220"/>
              <w:spacing w:after="0"/>
              <w:rPr>
                <w:sz w:val="20"/>
                <w:szCs w:val="20"/>
                <w:color w:val="auto"/>
              </w:rPr>
            </w:pPr>
            <w:r>
              <w:rPr>
                <w:rFonts w:ascii="Arial" w:cs="Arial" w:eastAsia="Arial" w:hAnsi="Arial"/>
                <w:sz w:val="16"/>
                <w:szCs w:val="16"/>
                <w:b w:val="1"/>
                <w:bCs w:val="1"/>
                <w:color w:val="auto"/>
              </w:rPr>
              <w:t>Level 1</w:t>
            </w:r>
          </w:p>
        </w:tc>
        <w:tc>
          <w:tcPr>
            <w:tcW w:w="320" w:type="dxa"/>
            <w:vAlign w:val="bottom"/>
          </w:tcPr>
          <w:p>
            <w:pPr>
              <w:spacing w:after="0"/>
              <w:rPr>
                <w:sz w:val="18"/>
                <w:szCs w:val="18"/>
                <w:color w:val="auto"/>
              </w:rPr>
            </w:pPr>
          </w:p>
        </w:tc>
        <w:tc>
          <w:tcPr>
            <w:tcW w:w="1420" w:type="dxa"/>
            <w:vAlign w:val="bottom"/>
            <w:gridSpan w:val="2"/>
          </w:tcPr>
          <w:p>
            <w:pPr>
              <w:ind w:left="220"/>
              <w:spacing w:after="0"/>
              <w:rPr>
                <w:sz w:val="20"/>
                <w:szCs w:val="20"/>
                <w:color w:val="auto"/>
              </w:rPr>
            </w:pPr>
            <w:r>
              <w:rPr>
                <w:rFonts w:ascii="Arial" w:cs="Arial" w:eastAsia="Arial" w:hAnsi="Arial"/>
                <w:sz w:val="16"/>
                <w:szCs w:val="16"/>
                <w:b w:val="1"/>
                <w:bCs w:val="1"/>
                <w:color w:val="auto"/>
              </w:rPr>
              <w:t>Level 2</w:t>
            </w:r>
          </w:p>
        </w:tc>
        <w:tc>
          <w:tcPr>
            <w:tcW w:w="320" w:type="dxa"/>
            <w:vAlign w:val="bottom"/>
          </w:tcPr>
          <w:p>
            <w:pPr>
              <w:spacing w:after="0"/>
              <w:rPr>
                <w:sz w:val="18"/>
                <w:szCs w:val="18"/>
                <w:color w:val="auto"/>
              </w:rPr>
            </w:pPr>
          </w:p>
        </w:tc>
        <w:tc>
          <w:tcPr>
            <w:tcW w:w="1300" w:type="dxa"/>
            <w:vAlign w:val="bottom"/>
          </w:tcPr>
          <w:p>
            <w:pPr>
              <w:ind w:left="200"/>
              <w:spacing w:after="0"/>
              <w:rPr>
                <w:sz w:val="20"/>
                <w:szCs w:val="20"/>
                <w:color w:val="auto"/>
              </w:rPr>
            </w:pPr>
            <w:r>
              <w:rPr>
                <w:rFonts w:ascii="Arial" w:cs="Arial" w:eastAsia="Arial" w:hAnsi="Arial"/>
                <w:sz w:val="16"/>
                <w:szCs w:val="16"/>
                <w:b w:val="1"/>
                <w:bCs w:val="1"/>
                <w:color w:val="auto"/>
              </w:rPr>
              <w:t>Level 3</w:t>
            </w:r>
          </w:p>
        </w:tc>
      </w:tr>
      <w:tr>
        <w:trPr>
          <w:trHeight w:val="210"/>
        </w:trPr>
        <w:tc>
          <w:tcPr>
            <w:tcW w:w="44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Assets that fund deferred compensation</w:t>
            </w:r>
          </w:p>
        </w:tc>
        <w:tc>
          <w:tcPr>
            <w:tcW w:w="22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r>
      <w:tr>
        <w:trPr>
          <w:trHeight w:val="213"/>
        </w:trPr>
        <w:tc>
          <w:tcPr>
            <w:tcW w:w="4440" w:type="dxa"/>
            <w:vAlign w:val="bottom"/>
          </w:tcPr>
          <w:p>
            <w:pPr>
              <w:ind w:left="140"/>
              <w:spacing w:after="0"/>
              <w:rPr>
                <w:sz w:val="20"/>
                <w:szCs w:val="20"/>
                <w:color w:val="auto"/>
              </w:rPr>
            </w:pPr>
            <w:r>
              <w:rPr>
                <w:rFonts w:ascii="Arial" w:cs="Arial" w:eastAsia="Arial" w:hAnsi="Arial"/>
                <w:sz w:val="16"/>
                <w:szCs w:val="16"/>
                <w:color w:val="auto"/>
              </w:rPr>
              <w:t>Domestic equity funds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917</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917</w:t>
            </w:r>
          </w:p>
        </w:tc>
        <w:tc>
          <w:tcPr>
            <w:tcW w:w="100" w:type="dxa"/>
            <w:vAlign w:val="bottom"/>
          </w:tcPr>
          <w:p>
            <w:pPr>
              <w:spacing w:after="0"/>
              <w:rPr>
                <w:sz w:val="18"/>
                <w:szCs w:val="18"/>
                <w:color w:val="auto"/>
              </w:rPr>
            </w:pPr>
          </w:p>
        </w:tc>
        <w:tc>
          <w:tcPr>
            <w:tcW w:w="320" w:type="dxa"/>
            <w:vAlign w:val="bottom"/>
          </w:tcPr>
          <w:p>
            <w:pPr>
              <w:ind w:left="20"/>
              <w:spacing w:after="0"/>
              <w:rPr>
                <w:sz w:val="20"/>
                <w:szCs w:val="20"/>
                <w:color w:val="auto"/>
              </w:rPr>
            </w:pPr>
            <w:r>
              <w:rPr>
                <w:rFonts w:ascii="Arial" w:cs="Arial" w:eastAsia="Arial" w:hAnsi="Arial"/>
                <w:sz w:val="16"/>
                <w:szCs w:val="16"/>
                <w:color w:val="auto"/>
              </w:rPr>
              <w:t>$</w:t>
            </w:r>
          </w:p>
        </w:tc>
        <w:tc>
          <w:tcPr>
            <w:tcW w:w="1420" w:type="dxa"/>
            <w:vAlign w:val="bottom"/>
            <w:gridSpan w:val="2"/>
          </w:tcPr>
          <w:p>
            <w:pPr>
              <w:ind w:left="108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300" w:type="dxa"/>
            <w:vAlign w:val="bottom"/>
          </w:tcPr>
          <w:p>
            <w:pPr>
              <w:ind w:left="1060"/>
              <w:spacing w:after="0"/>
              <w:rPr>
                <w:sz w:val="20"/>
                <w:szCs w:val="20"/>
                <w:color w:val="auto"/>
              </w:rPr>
            </w:pPr>
            <w:r>
              <w:rPr>
                <w:rFonts w:ascii="Arial" w:cs="Arial" w:eastAsia="Arial" w:hAnsi="Arial"/>
                <w:sz w:val="16"/>
                <w:szCs w:val="16"/>
                <w:color w:val="auto"/>
              </w:rPr>
              <w:t>—</w:t>
            </w:r>
          </w:p>
        </w:tc>
      </w:tr>
      <w:tr>
        <w:trPr>
          <w:trHeight w:val="219"/>
        </w:trPr>
        <w:tc>
          <w:tcPr>
            <w:tcW w:w="44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International equity funds</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ind w:left="1060"/>
              <w:spacing w:after="0"/>
              <w:rPr>
                <w:sz w:val="20"/>
                <w:szCs w:val="20"/>
                <w:color w:val="auto"/>
              </w:rPr>
            </w:pPr>
            <w:r>
              <w:rPr>
                <w:rFonts w:ascii="Arial" w:cs="Arial" w:eastAsia="Arial" w:hAnsi="Arial"/>
                <w:sz w:val="16"/>
                <w:szCs w:val="16"/>
                <w:color w:val="auto"/>
              </w:rPr>
              <w:t>—</w:t>
            </w:r>
          </w:p>
        </w:tc>
      </w:tr>
      <w:tr>
        <w:trPr>
          <w:trHeight w:val="213"/>
        </w:trPr>
        <w:tc>
          <w:tcPr>
            <w:tcW w:w="44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Fixed income funds</w:t>
            </w: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ind w:left="10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ind w:left="1060"/>
              <w:spacing w:after="0"/>
              <w:rPr>
                <w:sz w:val="20"/>
                <w:szCs w:val="20"/>
                <w:color w:val="auto"/>
              </w:rPr>
            </w:pPr>
            <w:r>
              <w:rPr>
                <w:rFonts w:ascii="Arial" w:cs="Arial" w:eastAsia="Arial" w:hAnsi="Arial"/>
                <w:sz w:val="16"/>
                <w:szCs w:val="16"/>
                <w:color w:val="auto"/>
              </w:rPr>
              <w:t>—</w:t>
            </w:r>
          </w:p>
        </w:tc>
      </w:tr>
      <w:tr>
        <w:trPr>
          <w:trHeight w:val="233"/>
        </w:trPr>
        <w:tc>
          <w:tcPr>
            <w:tcW w:w="4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assets at fair value</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1,002</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1,002</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420" w:type="dxa"/>
            <w:vAlign w:val="bottom"/>
            <w:gridSpan w:val="2"/>
            <w:shd w:val="clear" w:color="auto" w:fill="CCEEFF"/>
          </w:tcPr>
          <w:p>
            <w:pPr>
              <w:ind w:left="10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ind w:left="1060"/>
              <w:spacing w:after="0"/>
              <w:rPr>
                <w:sz w:val="20"/>
                <w:szCs w:val="20"/>
                <w:color w:val="auto"/>
              </w:rPr>
            </w:pPr>
            <w:r>
              <w:rPr>
                <w:rFonts w:ascii="Arial" w:cs="Arial" w:eastAsia="Arial" w:hAnsi="Arial"/>
                <w:sz w:val="16"/>
                <w:szCs w:val="16"/>
                <w:color w:val="auto"/>
              </w:rPr>
              <w:t>—</w:t>
            </w: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84"/>
        </w:trPr>
        <w:tc>
          <w:tcPr>
            <w:tcW w:w="4440" w:type="dxa"/>
            <w:vAlign w:val="bottom"/>
            <w:gridSpan w:val="3"/>
          </w:tcPr>
          <w:p>
            <w:pPr>
              <w:spacing w:after="0"/>
              <w:rPr>
                <w:rFonts w:ascii="Arial" w:cs="Arial" w:eastAsia="Arial" w:hAnsi="Arial"/>
                <w:sz w:val="16"/>
                <w:szCs w:val="16"/>
                <w:color w:val="0000FF"/>
              </w:rPr>
            </w:pPr>
            <w:hyperlink w:anchor="page1">
              <w:r>
                <w:rPr>
                  <w:rFonts w:ascii="Arial" w:cs="Arial" w:eastAsia="Arial" w:hAnsi="Arial"/>
                  <w:sz w:val="16"/>
                  <w:szCs w:val="16"/>
                  <w:color w:val="0000FF"/>
                </w:rPr>
                <w:t>Table of Contents</w:t>
              </w:r>
            </w:hyperlink>
          </w:p>
        </w:tc>
        <w:tc>
          <w:tcPr>
            <w:tcW w:w="2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946"/>
        </w:trPr>
        <w:tc>
          <w:tcPr>
            <w:tcW w:w="20" w:type="dxa"/>
            <w:vAlign w:val="bottom"/>
            <w:tcBorders>
              <w:top w:val="single" w:sz="8" w:color="0000FF"/>
            </w:tcBorders>
          </w:tcPr>
          <w:p>
            <w:pPr>
              <w:spacing w:after="0"/>
              <w:rPr>
                <w:sz w:val="24"/>
                <w:szCs w:val="24"/>
                <w:color w:val="auto"/>
              </w:rPr>
            </w:pPr>
          </w:p>
        </w:tc>
        <w:tc>
          <w:tcPr>
            <w:tcW w:w="1240" w:type="dxa"/>
            <w:vAlign w:val="bottom"/>
            <w:tcBorders>
              <w:top w:val="single" w:sz="8" w:color="0000FF"/>
            </w:tcBorders>
          </w:tcPr>
          <w:p>
            <w:pPr>
              <w:spacing w:after="0"/>
              <w:rPr>
                <w:sz w:val="24"/>
                <w:szCs w:val="24"/>
                <w:color w:val="auto"/>
              </w:rPr>
            </w:pPr>
          </w:p>
        </w:tc>
        <w:tc>
          <w:tcPr>
            <w:tcW w:w="3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Fair Value at</w:t>
            </w:r>
          </w:p>
        </w:tc>
        <w:tc>
          <w:tcPr>
            <w:tcW w:w="3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3"/>
          </w:tcPr>
          <w:p>
            <w:pPr>
              <w:ind w:left="40"/>
              <w:spacing w:after="0"/>
              <w:rPr>
                <w:sz w:val="20"/>
                <w:szCs w:val="20"/>
                <w:color w:val="auto"/>
              </w:rPr>
            </w:pPr>
            <w:r>
              <w:rPr>
                <w:rFonts w:ascii="Arial" w:cs="Arial" w:eastAsia="Arial" w:hAnsi="Arial"/>
                <w:sz w:val="16"/>
                <w:szCs w:val="16"/>
                <w:b w:val="1"/>
                <w:bCs w:val="1"/>
                <w:color w:val="auto"/>
              </w:rPr>
              <w:t>Fair Value Hierarchy</w:t>
            </w:r>
          </w:p>
        </w:tc>
        <w:tc>
          <w:tcPr>
            <w:tcW w:w="3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r>
      <w:tr>
        <w:trPr>
          <w:trHeight w:val="148"/>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gridSpan w:val="2"/>
          </w:tcPr>
          <w:p>
            <w:pPr>
              <w:jc w:val="center"/>
              <w:ind w:right="320"/>
              <w:spacing w:after="0" w:line="148" w:lineRule="exact"/>
              <w:rPr>
                <w:sz w:val="20"/>
                <w:szCs w:val="20"/>
                <w:color w:val="auto"/>
              </w:rPr>
            </w:pPr>
            <w:r>
              <w:rPr>
                <w:rFonts w:ascii="Arial" w:cs="Arial" w:eastAsia="Arial" w:hAnsi="Arial"/>
                <w:sz w:val="16"/>
                <w:szCs w:val="16"/>
                <w:b w:val="1"/>
                <w:bCs w:val="1"/>
                <w:color w:val="auto"/>
              </w:rPr>
              <w:t>August 29,</w:t>
            </w:r>
          </w:p>
        </w:tc>
        <w:tc>
          <w:tcPr>
            <w:tcW w:w="3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Pr>
          <w:p>
            <w:pPr>
              <w:spacing w:after="0"/>
              <w:rPr>
                <w:sz w:val="18"/>
                <w:szCs w:val="18"/>
                <w:color w:val="auto"/>
              </w:rPr>
            </w:pPr>
          </w:p>
        </w:tc>
        <w:tc>
          <w:tcPr>
            <w:tcW w:w="1400" w:type="dxa"/>
            <w:vAlign w:val="bottom"/>
          </w:tcPr>
          <w:p>
            <w:pPr>
              <w:jc w:val="center"/>
              <w:ind w:right="15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ind w:left="220"/>
              <w:spacing w:after="0"/>
              <w:rPr>
                <w:sz w:val="20"/>
                <w:szCs w:val="20"/>
                <w:color w:val="auto"/>
              </w:rPr>
            </w:pPr>
            <w:r>
              <w:rPr>
                <w:rFonts w:ascii="Arial" w:cs="Arial" w:eastAsia="Arial" w:hAnsi="Arial"/>
                <w:sz w:val="16"/>
                <w:szCs w:val="16"/>
                <w:b w:val="1"/>
                <w:bCs w:val="1"/>
                <w:color w:val="auto"/>
              </w:rPr>
              <w:t>Level 1</w:t>
            </w:r>
          </w:p>
        </w:tc>
        <w:tc>
          <w:tcPr>
            <w:tcW w:w="320" w:type="dxa"/>
            <w:vAlign w:val="bottom"/>
          </w:tcPr>
          <w:p>
            <w:pPr>
              <w:spacing w:after="0"/>
              <w:rPr>
                <w:sz w:val="18"/>
                <w:szCs w:val="18"/>
                <w:color w:val="auto"/>
              </w:rPr>
            </w:pPr>
          </w:p>
        </w:tc>
        <w:tc>
          <w:tcPr>
            <w:tcW w:w="1400" w:type="dxa"/>
            <w:vAlign w:val="bottom"/>
            <w:gridSpan w:val="2"/>
          </w:tcPr>
          <w:p>
            <w:pPr>
              <w:ind w:left="220"/>
              <w:spacing w:after="0"/>
              <w:rPr>
                <w:sz w:val="20"/>
                <w:szCs w:val="20"/>
                <w:color w:val="auto"/>
              </w:rPr>
            </w:pPr>
            <w:r>
              <w:rPr>
                <w:rFonts w:ascii="Arial" w:cs="Arial" w:eastAsia="Arial" w:hAnsi="Arial"/>
                <w:sz w:val="16"/>
                <w:szCs w:val="16"/>
                <w:b w:val="1"/>
                <w:bCs w:val="1"/>
                <w:color w:val="auto"/>
              </w:rPr>
              <w:t>Level 2</w:t>
            </w:r>
          </w:p>
        </w:tc>
        <w:tc>
          <w:tcPr>
            <w:tcW w:w="320" w:type="dxa"/>
            <w:vAlign w:val="bottom"/>
          </w:tcPr>
          <w:p>
            <w:pPr>
              <w:spacing w:after="0"/>
              <w:rPr>
                <w:sz w:val="18"/>
                <w:szCs w:val="18"/>
                <w:color w:val="auto"/>
              </w:rPr>
            </w:pPr>
          </w:p>
        </w:tc>
        <w:tc>
          <w:tcPr>
            <w:tcW w:w="1300" w:type="dxa"/>
            <w:vAlign w:val="bottom"/>
          </w:tcPr>
          <w:p>
            <w:pPr>
              <w:ind w:left="220"/>
              <w:spacing w:after="0"/>
              <w:rPr>
                <w:sz w:val="20"/>
                <w:szCs w:val="20"/>
                <w:color w:val="auto"/>
              </w:rPr>
            </w:pPr>
            <w:r>
              <w:rPr>
                <w:rFonts w:ascii="Arial" w:cs="Arial" w:eastAsia="Arial" w:hAnsi="Arial"/>
                <w:sz w:val="16"/>
                <w:szCs w:val="16"/>
                <w:b w:val="1"/>
                <w:bCs w:val="1"/>
                <w:color w:val="auto"/>
              </w:rPr>
              <w:t>Level 3</w:t>
            </w:r>
          </w:p>
        </w:tc>
      </w:tr>
      <w:tr>
        <w:trPr>
          <w:trHeight w:val="209"/>
        </w:trPr>
        <w:tc>
          <w:tcPr>
            <w:tcW w:w="20" w:type="dxa"/>
            <w:vAlign w:val="bottom"/>
          </w:tcPr>
          <w:p>
            <w:pPr>
              <w:spacing w:after="0"/>
              <w:rPr>
                <w:sz w:val="18"/>
                <w:szCs w:val="18"/>
                <w:color w:val="auto"/>
              </w:rPr>
            </w:pPr>
          </w:p>
        </w:tc>
        <w:tc>
          <w:tcPr>
            <w:tcW w:w="442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color w:val="auto"/>
              </w:rPr>
              <w:t>Assets that fund deferred compensation</w:t>
            </w:r>
          </w:p>
        </w:tc>
        <w:tc>
          <w:tcPr>
            <w:tcW w:w="22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4420" w:type="dxa"/>
            <w:vAlign w:val="bottom"/>
            <w:gridSpan w:val="2"/>
          </w:tcPr>
          <w:p>
            <w:pPr>
              <w:ind w:left="140"/>
              <w:spacing w:after="0"/>
              <w:rPr>
                <w:sz w:val="20"/>
                <w:szCs w:val="20"/>
                <w:color w:val="auto"/>
              </w:rPr>
            </w:pPr>
            <w:r>
              <w:rPr>
                <w:rFonts w:ascii="Arial" w:cs="Arial" w:eastAsia="Arial" w:hAnsi="Arial"/>
                <w:sz w:val="16"/>
                <w:szCs w:val="16"/>
                <w:color w:val="auto"/>
              </w:rPr>
              <w:t>Domestic equity funds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626</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626</w:t>
            </w:r>
          </w:p>
        </w:tc>
        <w:tc>
          <w:tcPr>
            <w:tcW w:w="100" w:type="dxa"/>
            <w:vAlign w:val="bottom"/>
          </w:tcPr>
          <w:p>
            <w:pPr>
              <w:spacing w:after="0"/>
              <w:rPr>
                <w:sz w:val="18"/>
                <w:szCs w:val="18"/>
                <w:color w:val="auto"/>
              </w:rPr>
            </w:pPr>
          </w:p>
        </w:tc>
        <w:tc>
          <w:tcPr>
            <w:tcW w:w="320" w:type="dxa"/>
            <w:vAlign w:val="bottom"/>
          </w:tcPr>
          <w:p>
            <w:pPr>
              <w:ind w:left="20"/>
              <w:spacing w:after="0"/>
              <w:rPr>
                <w:sz w:val="20"/>
                <w:szCs w:val="20"/>
                <w:color w:val="auto"/>
              </w:rPr>
            </w:pPr>
            <w:r>
              <w:rPr>
                <w:rFonts w:ascii="Arial" w:cs="Arial" w:eastAsia="Arial" w:hAnsi="Arial"/>
                <w:sz w:val="16"/>
                <w:szCs w:val="16"/>
                <w:color w:val="auto"/>
              </w:rPr>
              <w:t>$</w:t>
            </w:r>
          </w:p>
        </w:tc>
        <w:tc>
          <w:tcPr>
            <w:tcW w:w="1400" w:type="dxa"/>
            <w:vAlign w:val="bottom"/>
            <w:gridSpan w:val="2"/>
          </w:tcPr>
          <w:p>
            <w:pPr>
              <w:ind w:left="106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300" w:type="dxa"/>
            <w:vAlign w:val="bottom"/>
          </w:tcPr>
          <w:p>
            <w:pPr>
              <w:ind w:left="1080"/>
              <w:spacing w:after="0"/>
              <w:rPr>
                <w:sz w:val="20"/>
                <w:szCs w:val="20"/>
                <w:color w:val="auto"/>
              </w:rPr>
            </w:pPr>
            <w:r>
              <w:rPr>
                <w:rFonts w:ascii="Arial" w:cs="Arial" w:eastAsia="Arial" w:hAnsi="Arial"/>
                <w:sz w:val="16"/>
                <w:szCs w:val="16"/>
                <w:color w:val="auto"/>
              </w:rPr>
              <w:t>—</w:t>
            </w:r>
          </w:p>
        </w:tc>
      </w:tr>
      <w:tr>
        <w:trPr>
          <w:trHeight w:val="219"/>
        </w:trPr>
        <w:tc>
          <w:tcPr>
            <w:tcW w:w="20" w:type="dxa"/>
            <w:vAlign w:val="bottom"/>
          </w:tcPr>
          <w:p>
            <w:pPr>
              <w:spacing w:after="0"/>
              <w:rPr>
                <w:sz w:val="19"/>
                <w:szCs w:val="19"/>
                <w:color w:val="auto"/>
              </w:rPr>
            </w:pPr>
          </w:p>
        </w:tc>
        <w:tc>
          <w:tcPr>
            <w:tcW w:w="44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International equity funds</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ind w:left="1080"/>
              <w:spacing w:after="0"/>
              <w:rPr>
                <w:sz w:val="20"/>
                <w:szCs w:val="20"/>
                <w:color w:val="auto"/>
              </w:rPr>
            </w:pPr>
            <w:r>
              <w:rPr>
                <w:rFonts w:ascii="Arial" w:cs="Arial" w:eastAsia="Arial" w:hAnsi="Arial"/>
                <w:sz w:val="16"/>
                <w:szCs w:val="16"/>
                <w:color w:val="auto"/>
              </w:rPr>
              <w:t>—</w:t>
            </w:r>
          </w:p>
        </w:tc>
      </w:tr>
      <w:tr>
        <w:trPr>
          <w:trHeight w:val="213"/>
        </w:trPr>
        <w:tc>
          <w:tcPr>
            <w:tcW w:w="20" w:type="dxa"/>
            <w:vAlign w:val="bottom"/>
          </w:tcPr>
          <w:p>
            <w:pPr>
              <w:spacing w:after="0"/>
              <w:rPr>
                <w:sz w:val="18"/>
                <w:szCs w:val="18"/>
                <w:color w:val="auto"/>
              </w:rPr>
            </w:pPr>
          </w:p>
        </w:tc>
        <w:tc>
          <w:tcPr>
            <w:tcW w:w="442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Fixed income funds</w:t>
            </w: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ind w:left="10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ind w:left="1080"/>
              <w:spacing w:after="0"/>
              <w:rPr>
                <w:sz w:val="20"/>
                <w:szCs w:val="20"/>
                <w:color w:val="auto"/>
              </w:rPr>
            </w:pPr>
            <w:r>
              <w:rPr>
                <w:rFonts w:ascii="Arial" w:cs="Arial" w:eastAsia="Arial" w:hAnsi="Arial"/>
                <w:sz w:val="16"/>
                <w:szCs w:val="16"/>
                <w:color w:val="auto"/>
              </w:rPr>
              <w:t>—</w:t>
            </w:r>
          </w:p>
        </w:tc>
      </w:tr>
      <w:tr>
        <w:trPr>
          <w:trHeight w:val="232"/>
        </w:trPr>
        <w:tc>
          <w:tcPr>
            <w:tcW w:w="20" w:type="dxa"/>
            <w:vAlign w:val="bottom"/>
          </w:tcPr>
          <w:p>
            <w:pPr>
              <w:spacing w:after="0"/>
              <w:rPr>
                <w:sz w:val="20"/>
                <w:szCs w:val="20"/>
                <w:color w:val="auto"/>
              </w:rPr>
            </w:pPr>
          </w:p>
        </w:tc>
        <w:tc>
          <w:tcPr>
            <w:tcW w:w="44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Total assets at fair value</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710</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710</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400" w:type="dxa"/>
            <w:vAlign w:val="bottom"/>
            <w:gridSpan w:val="2"/>
            <w:shd w:val="clear" w:color="auto" w:fill="CCEEFF"/>
          </w:tcPr>
          <w:p>
            <w:pPr>
              <w:ind w:left="10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ind w:left="1080"/>
              <w:spacing w:after="0"/>
              <w:rPr>
                <w:sz w:val="20"/>
                <w:szCs w:val="20"/>
                <w:color w:val="auto"/>
              </w:rPr>
            </w:pPr>
            <w:r>
              <w:rPr>
                <w:rFonts w:ascii="Arial" w:cs="Arial" w:eastAsia="Arial" w:hAnsi="Arial"/>
                <w:sz w:val="16"/>
                <w:szCs w:val="16"/>
                <w:color w:val="auto"/>
              </w:rPr>
              <w:t>—</w:t>
            </w:r>
          </w:p>
        </w:tc>
      </w:tr>
      <w:tr>
        <w:trPr>
          <w:trHeight w:val="20"/>
        </w:trPr>
        <w:tc>
          <w:tcPr>
            <w:tcW w:w="20" w:type="dxa"/>
            <w:vAlign w:val="bottom"/>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3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Assets that Fund Deferred Compensation</w:t>
      </w:r>
    </w:p>
    <w:p>
      <w:pPr>
        <w:spacing w:after="0" w:line="21" w:lineRule="exact"/>
        <w:rPr>
          <w:sz w:val="20"/>
          <w:szCs w:val="20"/>
          <w:color w:val="auto"/>
        </w:rPr>
      </w:pPr>
    </w:p>
    <w:p>
      <w:pPr>
        <w:ind w:right="100"/>
        <w:spacing w:after="0" w:line="250" w:lineRule="auto"/>
        <w:rPr>
          <w:sz w:val="20"/>
          <w:szCs w:val="20"/>
          <w:color w:val="auto"/>
        </w:rPr>
      </w:pPr>
      <w:r>
        <w:rPr>
          <w:rFonts w:ascii="Arial" w:cs="Arial" w:eastAsia="Arial" w:hAnsi="Arial"/>
          <w:sz w:val="16"/>
          <w:szCs w:val="16"/>
          <w:color w:val="auto"/>
        </w:rPr>
        <w:t>The Company's assets that fund deferred compensation are marketable equity securities measured at fair value using quoted market prices and primarily consist of equity-based mutual funds. These securities, used to fund the Executive Share Option Plan and the Executive Deferred Compensation Plan, are classified as Level 1 as they are traded in an active market for which closing stock prices are readily available. Refer to Note 11 of the Notes to the Consolidated Financial Statements included in Item 8 of Part II of the Company's Annual Report on Form 10-K for the fiscal year ended August 29, 2020 for additional information regarding these plans.</w:t>
      </w:r>
    </w:p>
    <w:p>
      <w:pPr>
        <w:spacing w:after="0" w:line="230"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The proportion of the assets that will fund options which expire within a year are included in prepaid expenses and other assets on the Consolidated Balance Sheets. The remaining assets are classified as non-current and included in other assets on the Consolidated Balance Sheets.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Assets and Liabilities Measured at Fair Value on a Nonrecurring Basis</w:t>
      </w:r>
    </w:p>
    <w:p>
      <w:pPr>
        <w:spacing w:after="0" w:line="133"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Certain financial instruments are measured at fair value on a nonrecurring basis. These assets primarily include goodwill, intangible assets, property, plant and equipment, and right-of-use lease assets. These assets were originally recognized at amounts equal to the fair value determined at date of acquisition or purchase. If certain triggering events occur, or if an annual impairment test is required, the Company will evaluate the non-financial asset for impairment. If an impairment has occurred, the asset is will be written down to its current estimated fair value. No impairments were recorded for non-financial assets in the three or nine months ended May 29, 2021 or May 30, 2020.</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Assets and Liabilities Not Measured at Fair Value</w:t>
      </w:r>
    </w:p>
    <w:p>
      <w:pPr>
        <w:spacing w:after="0" w:line="120" w:lineRule="exact"/>
        <w:rPr>
          <w:sz w:val="20"/>
          <w:szCs w:val="20"/>
          <w:color w:val="auto"/>
        </w:rPr>
      </w:pPr>
    </w:p>
    <w:p>
      <w:pPr>
        <w:ind w:right="120"/>
        <w:spacing w:after="0" w:line="235" w:lineRule="auto"/>
        <w:rPr>
          <w:sz w:val="20"/>
          <w:szCs w:val="20"/>
          <w:color w:val="auto"/>
        </w:rPr>
      </w:pPr>
      <w:r>
        <w:rPr>
          <w:rFonts w:ascii="Arial" w:cs="Arial" w:eastAsia="Arial" w:hAnsi="Arial"/>
          <w:sz w:val="16"/>
          <w:szCs w:val="16"/>
          <w:color w:val="auto"/>
        </w:rPr>
        <w:t>Certain financial instruments are not measured at fair value but are recorded at carrying amounts approximating fair value based on their short-term nature. These financial instruments include cash and cash equivalents, receivables, accounts payable, other payables, and long-term debt. If these instruments were measured at fair value in the financial statements, they would be classified as Level 1 in the fair value hierarchy. See Note 8 for information about the fair value of the Company's long-term debt.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860" w:type="dxa"/>
            <w:vAlign w:val="bottom"/>
          </w:tcPr>
          <w:p>
            <w:pPr>
              <w:spacing w:after="0"/>
              <w:rPr>
                <w:sz w:val="20"/>
                <w:szCs w:val="20"/>
                <w:color w:val="auto"/>
              </w:rPr>
            </w:pPr>
            <w:r>
              <w:rPr>
                <w:rFonts w:ascii="Arial" w:cs="Arial" w:eastAsia="Arial" w:hAnsi="Arial"/>
                <w:sz w:val="16"/>
                <w:szCs w:val="16"/>
                <w:b w:val="1"/>
                <w:bCs w:val="1"/>
                <w:color w:val="auto"/>
              </w:rPr>
              <w:t>Note 4.  Inventories</w:t>
            </w:r>
          </w:p>
        </w:tc>
        <w:tc>
          <w:tcPr>
            <w:tcW w:w="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7860" w:type="dxa"/>
            <w:vAlign w:val="bottom"/>
          </w:tcPr>
          <w:p>
            <w:pPr>
              <w:spacing w:after="0"/>
              <w:rPr>
                <w:sz w:val="20"/>
                <w:szCs w:val="20"/>
                <w:color w:val="auto"/>
              </w:rPr>
            </w:pPr>
            <w:r>
              <w:rPr>
                <w:rFonts w:ascii="Arial" w:cs="Arial" w:eastAsia="Arial" w:hAnsi="Arial"/>
                <w:sz w:val="16"/>
                <w:szCs w:val="16"/>
                <w:color w:val="auto"/>
              </w:rPr>
              <w:t>Inventories consist of the following:</w:t>
            </w:r>
          </w:p>
        </w:tc>
        <w:tc>
          <w:tcPr>
            <w:tcW w:w="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7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20" w:type="dxa"/>
            <w:vAlign w:val="bottom"/>
            <w:gridSpan w:val="2"/>
          </w:tcPr>
          <w:p>
            <w:pPr>
              <w:jc w:val="center"/>
              <w:ind w:right="420"/>
              <w:spacing w:after="0" w:line="181" w:lineRule="exact"/>
              <w:rPr>
                <w:sz w:val="20"/>
                <w:szCs w:val="20"/>
                <w:color w:val="auto"/>
              </w:rPr>
            </w:pPr>
            <w:r>
              <w:rPr>
                <w:rFonts w:ascii="Arial" w:cs="Arial" w:eastAsia="Arial" w:hAnsi="Arial"/>
                <w:sz w:val="16"/>
                <w:szCs w:val="16"/>
                <w:b w:val="1"/>
                <w:bCs w:val="1"/>
                <w:color w:val="auto"/>
              </w:rPr>
              <w:t>May 29,</w:t>
            </w:r>
          </w:p>
        </w:tc>
        <w:tc>
          <w:tcPr>
            <w:tcW w:w="260" w:type="dxa"/>
            <w:vAlign w:val="bottom"/>
          </w:tcPr>
          <w:p>
            <w:pPr>
              <w:spacing w:after="0"/>
              <w:rPr>
                <w:sz w:val="15"/>
                <w:szCs w:val="15"/>
                <w:color w:val="auto"/>
              </w:rPr>
            </w:pPr>
          </w:p>
        </w:tc>
        <w:tc>
          <w:tcPr>
            <w:tcW w:w="1380" w:type="dxa"/>
            <w:vAlign w:val="bottom"/>
          </w:tcPr>
          <w:p>
            <w:pPr>
              <w:jc w:val="center"/>
              <w:ind w:right="179"/>
              <w:spacing w:after="0" w:line="181" w:lineRule="exact"/>
              <w:rPr>
                <w:sz w:val="20"/>
                <w:szCs w:val="20"/>
                <w:color w:val="auto"/>
              </w:rPr>
            </w:pPr>
            <w:r>
              <w:rPr>
                <w:rFonts w:ascii="Arial" w:cs="Arial" w:eastAsia="Arial" w:hAnsi="Arial"/>
                <w:sz w:val="16"/>
                <w:szCs w:val="16"/>
                <w:b w:val="1"/>
                <w:bCs w:val="1"/>
                <w:color w:val="auto"/>
              </w:rPr>
              <w:t>August 29,</w:t>
            </w:r>
          </w:p>
        </w:tc>
        <w:tc>
          <w:tcPr>
            <w:tcW w:w="0" w:type="dxa"/>
            <w:vAlign w:val="bottom"/>
          </w:tcPr>
          <w:p>
            <w:pPr>
              <w:spacing w:after="0"/>
              <w:rPr>
                <w:sz w:val="1"/>
                <w:szCs w:val="1"/>
                <w:color w:val="auto"/>
              </w:rPr>
            </w:pPr>
          </w:p>
        </w:tc>
      </w:tr>
      <w:tr>
        <w:trPr>
          <w:trHeight w:val="216"/>
        </w:trPr>
        <w:tc>
          <w:tcPr>
            <w:tcW w:w="78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3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23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ind w:right="17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10"/>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Finished goods</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19,638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17,141</w:t>
            </w:r>
          </w:p>
        </w:tc>
        <w:tc>
          <w:tcPr>
            <w:tcW w:w="0" w:type="dxa"/>
            <w:vAlign w:val="bottom"/>
          </w:tcPr>
          <w:p>
            <w:pPr>
              <w:spacing w:after="0"/>
              <w:rPr>
                <w:sz w:val="1"/>
                <w:szCs w:val="1"/>
                <w:color w:val="auto"/>
              </w:rPr>
            </w:pPr>
          </w:p>
        </w:tc>
      </w:tr>
      <w:tr>
        <w:trPr>
          <w:trHeight w:val="213"/>
        </w:trPr>
        <w:tc>
          <w:tcPr>
            <w:tcW w:w="7860" w:type="dxa"/>
            <w:vAlign w:val="bottom"/>
          </w:tcPr>
          <w:p>
            <w:pPr>
              <w:ind w:left="20"/>
              <w:spacing w:after="0"/>
              <w:rPr>
                <w:sz w:val="20"/>
                <w:szCs w:val="20"/>
                <w:color w:val="auto"/>
              </w:rPr>
            </w:pPr>
            <w:r>
              <w:rPr>
                <w:rFonts w:ascii="Arial" w:cs="Arial" w:eastAsia="Arial" w:hAnsi="Arial"/>
                <w:sz w:val="16"/>
                <w:szCs w:val="16"/>
                <w:color w:val="auto"/>
              </w:rPr>
              <w:t>Work-in-process</w:t>
            </w:r>
          </w:p>
        </w:tc>
        <w:tc>
          <w:tcPr>
            <w:tcW w:w="3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182,316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86,651</w:t>
            </w: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Raw materials</w:t>
            </w:r>
          </w:p>
        </w:tc>
        <w:tc>
          <w:tcPr>
            <w:tcW w:w="3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169,218</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114,982</w:t>
            </w:r>
          </w:p>
        </w:tc>
        <w:tc>
          <w:tcPr>
            <w:tcW w:w="0" w:type="dxa"/>
            <w:vAlign w:val="bottom"/>
          </w:tcPr>
          <w:p>
            <w:pPr>
              <w:spacing w:after="0"/>
              <w:rPr>
                <w:sz w:val="1"/>
                <w:szCs w:val="1"/>
                <w:color w:val="auto"/>
              </w:rPr>
            </w:pPr>
          </w:p>
        </w:tc>
      </w:tr>
      <w:tr>
        <w:trPr>
          <w:trHeight w:val="210"/>
        </w:trPr>
        <w:tc>
          <w:tcPr>
            <w:tcW w:w="7860" w:type="dxa"/>
            <w:vAlign w:val="bottom"/>
          </w:tcPr>
          <w:p>
            <w:pPr>
              <w:ind w:left="140"/>
              <w:spacing w:after="0"/>
              <w:rPr>
                <w:sz w:val="20"/>
                <w:szCs w:val="20"/>
                <w:color w:val="auto"/>
              </w:rPr>
            </w:pPr>
            <w:r>
              <w:rPr>
                <w:rFonts w:ascii="Arial" w:cs="Arial" w:eastAsia="Arial" w:hAnsi="Arial"/>
                <w:sz w:val="16"/>
                <w:szCs w:val="16"/>
                <w:color w:val="auto"/>
              </w:rPr>
              <w:t>Total</w:t>
            </w:r>
          </w:p>
        </w:tc>
        <w:tc>
          <w:tcPr>
            <w:tcW w:w="3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371,172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218,774</w:t>
            </w: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Last-in, first-out ("LIFO") reserve</w:t>
            </w:r>
          </w:p>
        </w:tc>
        <w:tc>
          <w:tcPr>
            <w:tcW w:w="3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38,154</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35,833</w:t>
            </w:r>
          </w:p>
        </w:tc>
        <w:tc>
          <w:tcPr>
            <w:tcW w:w="0" w:type="dxa"/>
            <w:vAlign w:val="bottom"/>
          </w:tcPr>
          <w:p>
            <w:pPr>
              <w:spacing w:after="0"/>
              <w:rPr>
                <w:sz w:val="1"/>
                <w:szCs w:val="1"/>
                <w:color w:val="auto"/>
              </w:rPr>
            </w:pPr>
          </w:p>
        </w:tc>
      </w:tr>
      <w:tr>
        <w:trPr>
          <w:trHeight w:val="212"/>
        </w:trPr>
        <w:tc>
          <w:tcPr>
            <w:tcW w:w="7860" w:type="dxa"/>
            <w:vAlign w:val="bottom"/>
          </w:tcPr>
          <w:p>
            <w:pPr>
              <w:ind w:left="140"/>
              <w:spacing w:after="0"/>
              <w:rPr>
                <w:sz w:val="20"/>
                <w:szCs w:val="20"/>
                <w:color w:val="auto"/>
              </w:rPr>
            </w:pPr>
            <w:r>
              <w:rPr>
                <w:rFonts w:ascii="Arial" w:cs="Arial" w:eastAsia="Arial" w:hAnsi="Arial"/>
                <w:sz w:val="16"/>
                <w:szCs w:val="16"/>
                <w:color w:val="auto"/>
              </w:rPr>
              <w:t>Inventories, net</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333,018</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182,941</w:t>
            </w:r>
          </w:p>
        </w:tc>
        <w:tc>
          <w:tcPr>
            <w:tcW w:w="0" w:type="dxa"/>
            <w:vAlign w:val="bottom"/>
          </w:tcPr>
          <w:p>
            <w:pPr>
              <w:spacing w:after="0"/>
              <w:rPr>
                <w:sz w:val="1"/>
                <w:szCs w:val="1"/>
                <w:color w:val="auto"/>
              </w:rPr>
            </w:pPr>
          </w:p>
        </w:tc>
      </w:tr>
      <w:tr>
        <w:trPr>
          <w:trHeight w:val="21"/>
        </w:trPr>
        <w:tc>
          <w:tcPr>
            <w:tcW w:w="7860" w:type="dxa"/>
            <w:vAlign w:val="bottom"/>
            <w:vMerge w:val="restart"/>
          </w:tcPr>
          <w:p>
            <w:pPr>
              <w:spacing w:after="0"/>
              <w:rPr>
                <w:sz w:val="20"/>
                <w:szCs w:val="20"/>
                <w:color w:val="auto"/>
              </w:rPr>
            </w:pPr>
            <w:r>
              <w:rPr>
                <w:rFonts w:ascii="Arial" w:cs="Arial" w:eastAsia="Arial" w:hAnsi="Arial"/>
                <w:sz w:val="16"/>
                <w:szCs w:val="16"/>
                <w:color w:val="auto"/>
              </w:rPr>
              <w:t>Inventory valuation methods consist of the following:</w:t>
            </w:r>
          </w:p>
        </w:tc>
        <w:tc>
          <w:tcPr>
            <w:tcW w:w="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1"/>
        </w:trPr>
        <w:tc>
          <w:tcPr>
            <w:tcW w:w="78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7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20" w:type="dxa"/>
            <w:vAlign w:val="bottom"/>
            <w:gridSpan w:val="2"/>
          </w:tcPr>
          <w:p>
            <w:pPr>
              <w:jc w:val="center"/>
              <w:ind w:right="420"/>
              <w:spacing w:after="0" w:line="181" w:lineRule="exact"/>
              <w:rPr>
                <w:sz w:val="20"/>
                <w:szCs w:val="20"/>
                <w:color w:val="auto"/>
              </w:rPr>
            </w:pPr>
            <w:r>
              <w:rPr>
                <w:rFonts w:ascii="Arial" w:cs="Arial" w:eastAsia="Arial" w:hAnsi="Arial"/>
                <w:sz w:val="16"/>
                <w:szCs w:val="16"/>
                <w:b w:val="1"/>
                <w:bCs w:val="1"/>
                <w:color w:val="auto"/>
              </w:rPr>
              <w:t>May 29,</w:t>
            </w:r>
          </w:p>
        </w:tc>
        <w:tc>
          <w:tcPr>
            <w:tcW w:w="260" w:type="dxa"/>
            <w:vAlign w:val="bottom"/>
          </w:tcPr>
          <w:p>
            <w:pPr>
              <w:spacing w:after="0"/>
              <w:rPr>
                <w:sz w:val="15"/>
                <w:szCs w:val="15"/>
                <w:color w:val="auto"/>
              </w:rPr>
            </w:pPr>
          </w:p>
        </w:tc>
        <w:tc>
          <w:tcPr>
            <w:tcW w:w="1380" w:type="dxa"/>
            <w:vAlign w:val="bottom"/>
          </w:tcPr>
          <w:p>
            <w:pPr>
              <w:jc w:val="center"/>
              <w:ind w:right="179"/>
              <w:spacing w:after="0" w:line="181" w:lineRule="exact"/>
              <w:rPr>
                <w:sz w:val="20"/>
                <w:szCs w:val="20"/>
                <w:color w:val="auto"/>
              </w:rPr>
            </w:pPr>
            <w:r>
              <w:rPr>
                <w:rFonts w:ascii="Arial" w:cs="Arial" w:eastAsia="Arial" w:hAnsi="Arial"/>
                <w:sz w:val="16"/>
                <w:szCs w:val="16"/>
                <w:b w:val="1"/>
                <w:bCs w:val="1"/>
                <w:color w:val="auto"/>
              </w:rPr>
              <w:t>August 29,</w:t>
            </w:r>
          </w:p>
        </w:tc>
        <w:tc>
          <w:tcPr>
            <w:tcW w:w="0" w:type="dxa"/>
            <w:vAlign w:val="bottom"/>
          </w:tcPr>
          <w:p>
            <w:pPr>
              <w:spacing w:after="0"/>
              <w:rPr>
                <w:sz w:val="1"/>
                <w:szCs w:val="1"/>
                <w:color w:val="auto"/>
              </w:rPr>
            </w:pPr>
          </w:p>
        </w:tc>
      </w:tr>
      <w:tr>
        <w:trPr>
          <w:trHeight w:val="216"/>
        </w:trPr>
        <w:tc>
          <w:tcPr>
            <w:tcW w:w="78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3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23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ind w:right="17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10"/>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LIFO basis</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147,836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88,675</w:t>
            </w:r>
          </w:p>
        </w:tc>
        <w:tc>
          <w:tcPr>
            <w:tcW w:w="0" w:type="dxa"/>
            <w:vAlign w:val="bottom"/>
          </w:tcPr>
          <w:p>
            <w:pPr>
              <w:spacing w:after="0"/>
              <w:rPr>
                <w:sz w:val="1"/>
                <w:szCs w:val="1"/>
                <w:color w:val="auto"/>
              </w:rPr>
            </w:pPr>
          </w:p>
        </w:tc>
      </w:tr>
      <w:tr>
        <w:trPr>
          <w:trHeight w:val="213"/>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First-in, first-out basis</w:t>
            </w:r>
          </w:p>
        </w:tc>
        <w:tc>
          <w:tcPr>
            <w:tcW w:w="3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223,336</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130,099</w:t>
            </w:r>
          </w:p>
        </w:tc>
        <w:tc>
          <w:tcPr>
            <w:tcW w:w="0" w:type="dxa"/>
            <w:vAlign w:val="bottom"/>
          </w:tcPr>
          <w:p>
            <w:pPr>
              <w:spacing w:after="0"/>
              <w:rPr>
                <w:sz w:val="1"/>
                <w:szCs w:val="1"/>
                <w:color w:val="auto"/>
              </w:rPr>
            </w:pPr>
          </w:p>
        </w:tc>
      </w:tr>
      <w:tr>
        <w:trPr>
          <w:trHeight w:val="238"/>
        </w:trPr>
        <w:tc>
          <w:tcPr>
            <w:tcW w:w="78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371,172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218,774</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3" w:lineRule="exact"/>
        <w:rPr>
          <w:sz w:val="20"/>
          <w:szCs w:val="20"/>
          <w:color w:val="auto"/>
        </w:rPr>
      </w:pPr>
    </w:p>
    <w:p>
      <w:pPr>
        <w:spacing w:after="0"/>
        <w:rPr>
          <w:sz w:val="20"/>
          <w:szCs w:val="20"/>
          <w:color w:val="auto"/>
        </w:rPr>
      </w:pPr>
      <w:r>
        <w:rPr>
          <w:rFonts w:ascii="Arial" w:cs="Arial" w:eastAsia="Arial" w:hAnsi="Arial"/>
          <w:sz w:val="16"/>
          <w:szCs w:val="16"/>
          <w:color w:val="auto"/>
        </w:rPr>
        <w:t>The above inventory value, before reduction for the LIFO reserve, approximates replacement cost at the respective dates.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3" w:name="page14"/>
    <w:bookmarkEnd w:id="13"/>
    <w:tbl>
      <w:tblPr>
        <w:tblLayout w:type="fixed"/>
        <w:tblInd w:w="0" w:type="dxa"/>
        <w:tblCellMar>
          <w:top w:w="0" w:type="dxa"/>
          <w:left w:w="0" w:type="dxa"/>
          <w:bottom w:w="0" w:type="dxa"/>
          <w:right w:w="0" w:type="dxa"/>
        </w:tblCellMar>
      </w:tblPr>
      <w:tr>
        <w:trPr>
          <w:trHeight w:val="184"/>
        </w:trPr>
        <w:tc>
          <w:tcPr>
            <w:tcW w:w="7860" w:type="dxa"/>
            <w:vAlign w:val="bottom"/>
            <w:gridSpan w:val="2"/>
          </w:tcPr>
          <w:p>
            <w:pPr>
              <w:spacing w:after="0"/>
              <w:rPr>
                <w:rFonts w:ascii="Arial" w:cs="Arial" w:eastAsia="Arial" w:hAnsi="Arial"/>
                <w:sz w:val="16"/>
                <w:szCs w:val="16"/>
                <w:color w:val="0000FF"/>
              </w:rPr>
            </w:pPr>
            <w:hyperlink w:anchor="page1">
              <w:r>
                <w:rPr>
                  <w:rFonts w:ascii="Arial" w:cs="Arial" w:eastAsia="Arial" w:hAnsi="Arial"/>
                  <w:sz w:val="16"/>
                  <w:szCs w:val="16"/>
                  <w:color w:val="0000FF"/>
                </w:rPr>
                <w:t>Table of Contents</w:t>
              </w:r>
            </w:hyperlink>
          </w:p>
        </w:tc>
        <w:tc>
          <w:tcPr>
            <w:tcW w:w="3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20"/>
        </w:trPr>
        <w:tc>
          <w:tcPr>
            <w:tcW w:w="1260" w:type="dxa"/>
            <w:vAlign w:val="bottom"/>
            <w:shd w:val="clear" w:color="auto" w:fill="0000FF"/>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906"/>
        </w:trPr>
        <w:tc>
          <w:tcPr>
            <w:tcW w:w="7860" w:type="dxa"/>
            <w:vAlign w:val="bottom"/>
            <w:gridSpan w:val="2"/>
          </w:tcPr>
          <w:p>
            <w:pPr>
              <w:spacing w:after="0"/>
              <w:rPr>
                <w:sz w:val="20"/>
                <w:szCs w:val="20"/>
                <w:color w:val="auto"/>
              </w:rPr>
            </w:pPr>
            <w:r>
              <w:rPr>
                <w:rFonts w:ascii="Arial" w:cs="Arial" w:eastAsia="Arial" w:hAnsi="Arial"/>
                <w:sz w:val="16"/>
                <w:szCs w:val="16"/>
                <w:b w:val="1"/>
                <w:bCs w:val="1"/>
                <w:color w:val="auto"/>
              </w:rPr>
              <w:t>Note 5.  Property, Plant, and Equipment</w:t>
            </w:r>
          </w:p>
        </w:tc>
        <w:tc>
          <w:tcPr>
            <w:tcW w:w="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351"/>
        </w:trPr>
        <w:tc>
          <w:tcPr>
            <w:tcW w:w="8180" w:type="dxa"/>
            <w:vAlign w:val="bottom"/>
            <w:gridSpan w:val="3"/>
          </w:tcPr>
          <w:p>
            <w:pPr>
              <w:spacing w:after="0"/>
              <w:rPr>
                <w:sz w:val="20"/>
                <w:szCs w:val="20"/>
                <w:color w:val="auto"/>
              </w:rPr>
            </w:pPr>
            <w:r>
              <w:rPr>
                <w:rFonts w:ascii="Arial" w:cs="Arial" w:eastAsia="Arial" w:hAnsi="Arial"/>
                <w:sz w:val="16"/>
                <w:szCs w:val="16"/>
                <w:color w:val="auto"/>
              </w:rPr>
              <w:t>Property, plant, and equipment is stated at cost, net of accumulated depreciation, and consists of the following:</w:t>
            </w: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81"/>
        </w:trPr>
        <w:tc>
          <w:tcPr>
            <w:tcW w:w="1260" w:type="dxa"/>
            <w:vAlign w:val="bottom"/>
          </w:tcPr>
          <w:p>
            <w:pPr>
              <w:spacing w:after="0"/>
              <w:rPr>
                <w:sz w:val="15"/>
                <w:szCs w:val="15"/>
                <w:color w:val="auto"/>
              </w:rPr>
            </w:pPr>
          </w:p>
        </w:tc>
        <w:tc>
          <w:tcPr>
            <w:tcW w:w="6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20" w:type="dxa"/>
            <w:vAlign w:val="bottom"/>
            <w:gridSpan w:val="2"/>
          </w:tcPr>
          <w:p>
            <w:pPr>
              <w:ind w:left="200"/>
              <w:spacing w:after="0" w:line="181" w:lineRule="exact"/>
              <w:rPr>
                <w:sz w:val="20"/>
                <w:szCs w:val="20"/>
                <w:color w:val="auto"/>
              </w:rPr>
            </w:pPr>
            <w:r>
              <w:rPr>
                <w:rFonts w:ascii="Arial" w:cs="Arial" w:eastAsia="Arial" w:hAnsi="Arial"/>
                <w:sz w:val="16"/>
                <w:szCs w:val="16"/>
                <w:b w:val="1"/>
                <w:bCs w:val="1"/>
                <w:color w:val="auto"/>
              </w:rPr>
              <w:t>May 29,</w:t>
            </w:r>
          </w:p>
        </w:tc>
        <w:tc>
          <w:tcPr>
            <w:tcW w:w="260" w:type="dxa"/>
            <w:vAlign w:val="bottom"/>
          </w:tcPr>
          <w:p>
            <w:pPr>
              <w:spacing w:after="0"/>
              <w:rPr>
                <w:sz w:val="15"/>
                <w:szCs w:val="15"/>
                <w:color w:val="auto"/>
              </w:rPr>
            </w:pPr>
          </w:p>
        </w:tc>
        <w:tc>
          <w:tcPr>
            <w:tcW w:w="1380" w:type="dxa"/>
            <w:vAlign w:val="bottom"/>
          </w:tcPr>
          <w:p>
            <w:pPr>
              <w:jc w:val="right"/>
              <w:ind w:right="319"/>
              <w:spacing w:after="0" w:line="181" w:lineRule="exact"/>
              <w:rPr>
                <w:sz w:val="20"/>
                <w:szCs w:val="20"/>
                <w:color w:val="auto"/>
              </w:rPr>
            </w:pPr>
            <w:r>
              <w:rPr>
                <w:rFonts w:ascii="Arial" w:cs="Arial" w:eastAsia="Arial" w:hAnsi="Arial"/>
                <w:sz w:val="16"/>
                <w:szCs w:val="16"/>
                <w:b w:val="1"/>
                <w:bCs w:val="1"/>
                <w:color w:val="auto"/>
              </w:rPr>
              <w:t>August 29,</w:t>
            </w:r>
          </w:p>
        </w:tc>
      </w:tr>
      <w:tr>
        <w:trPr>
          <w:trHeight w:val="216"/>
        </w:trPr>
        <w:tc>
          <w:tcPr>
            <w:tcW w:w="78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(in thousands)</w:t>
            </w:r>
          </w:p>
        </w:tc>
        <w:tc>
          <w:tcPr>
            <w:tcW w:w="3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2020</w:t>
            </w:r>
          </w:p>
        </w:tc>
      </w:tr>
      <w:tr>
        <w:trPr>
          <w:trHeight w:val="210"/>
        </w:trPr>
        <w:tc>
          <w:tcPr>
            <w:tcW w:w="78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Land</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9,111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11,101</w:t>
            </w:r>
          </w:p>
        </w:tc>
      </w:tr>
      <w:tr>
        <w:trPr>
          <w:trHeight w:val="213"/>
        </w:trPr>
        <w:tc>
          <w:tcPr>
            <w:tcW w:w="7860" w:type="dxa"/>
            <w:vAlign w:val="bottom"/>
            <w:gridSpan w:val="2"/>
          </w:tcPr>
          <w:p>
            <w:pPr>
              <w:ind w:left="20"/>
              <w:spacing w:after="0"/>
              <w:rPr>
                <w:sz w:val="20"/>
                <w:szCs w:val="20"/>
                <w:color w:val="auto"/>
              </w:rPr>
            </w:pPr>
            <w:r>
              <w:rPr>
                <w:rFonts w:ascii="Arial" w:cs="Arial" w:eastAsia="Arial" w:hAnsi="Arial"/>
                <w:sz w:val="16"/>
                <w:szCs w:val="16"/>
                <w:color w:val="auto"/>
              </w:rPr>
              <w:t>Buildings and building improvements</w:t>
            </w:r>
          </w:p>
        </w:tc>
        <w:tc>
          <w:tcPr>
            <w:tcW w:w="3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147,679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144,565</w:t>
            </w:r>
          </w:p>
        </w:tc>
      </w:tr>
      <w:tr>
        <w:trPr>
          <w:trHeight w:val="219"/>
        </w:trPr>
        <w:tc>
          <w:tcPr>
            <w:tcW w:w="78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Machinery and equipment</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120,557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117,370</w:t>
            </w:r>
          </w:p>
        </w:tc>
      </w:tr>
      <w:tr>
        <w:trPr>
          <w:trHeight w:val="213"/>
        </w:trPr>
        <w:tc>
          <w:tcPr>
            <w:tcW w:w="7860" w:type="dxa"/>
            <w:vAlign w:val="bottom"/>
            <w:gridSpan w:val="2"/>
          </w:tcPr>
          <w:p>
            <w:pPr>
              <w:ind w:left="20"/>
              <w:spacing w:after="0"/>
              <w:rPr>
                <w:sz w:val="20"/>
                <w:szCs w:val="20"/>
                <w:color w:val="auto"/>
              </w:rPr>
            </w:pPr>
            <w:r>
              <w:rPr>
                <w:rFonts w:ascii="Arial" w:cs="Arial" w:eastAsia="Arial" w:hAnsi="Arial"/>
                <w:sz w:val="16"/>
                <w:szCs w:val="16"/>
                <w:color w:val="auto"/>
              </w:rPr>
              <w:t>Software</w:t>
            </w:r>
          </w:p>
        </w:tc>
        <w:tc>
          <w:tcPr>
            <w:tcW w:w="3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33,644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28,456</w:t>
            </w:r>
          </w:p>
        </w:tc>
      </w:tr>
      <w:tr>
        <w:trPr>
          <w:trHeight w:val="219"/>
        </w:trPr>
        <w:tc>
          <w:tcPr>
            <w:tcW w:w="78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Transportation</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4,974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4,913</w:t>
            </w:r>
          </w:p>
        </w:tc>
      </w:tr>
      <w:tr>
        <w:trPr>
          <w:trHeight w:val="213"/>
        </w:trPr>
        <w:tc>
          <w:tcPr>
            <w:tcW w:w="786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Construction in progress</w:t>
            </w:r>
          </w:p>
        </w:tc>
        <w:tc>
          <w:tcPr>
            <w:tcW w:w="3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22,158</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20,778</w:t>
            </w:r>
          </w:p>
        </w:tc>
      </w:tr>
      <w:tr>
        <w:trPr>
          <w:trHeight w:val="212"/>
        </w:trPr>
        <w:tc>
          <w:tcPr>
            <w:tcW w:w="78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Property, plant, and equipment, gross</w:t>
            </w: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338,123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327,183</w:t>
            </w:r>
          </w:p>
        </w:tc>
      </w:tr>
      <w:tr>
        <w:trPr>
          <w:trHeight w:val="213"/>
        </w:trPr>
        <w:tc>
          <w:tcPr>
            <w:tcW w:w="78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Less: Accumulated depreciation</w:t>
            </w:r>
          </w:p>
        </w:tc>
        <w:tc>
          <w:tcPr>
            <w:tcW w:w="3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160,545</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152,238</w:t>
            </w:r>
          </w:p>
        </w:tc>
      </w:tr>
      <w:tr>
        <w:trPr>
          <w:trHeight w:val="238"/>
        </w:trPr>
        <w:tc>
          <w:tcPr>
            <w:tcW w:w="78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Property, plant, and equipment, net</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177,578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174,945</w:t>
            </w:r>
          </w:p>
        </w:tc>
      </w:tr>
      <w:tr>
        <w:trPr>
          <w:trHeight w:val="20"/>
        </w:trPr>
        <w:tc>
          <w:tcPr>
            <w:tcW w:w="1260" w:type="dxa"/>
            <w:vAlign w:val="bottom"/>
            <w:tcBorders>
              <w:top w:val="single" w:sz="8" w:color="CCEEFF"/>
            </w:tcBorders>
          </w:tcPr>
          <w:p>
            <w:pPr>
              <w:spacing w:after="0" w:line="20" w:lineRule="exact"/>
              <w:rPr>
                <w:sz w:val="1"/>
                <w:szCs w:val="1"/>
                <w:color w:val="auto"/>
              </w:rPr>
            </w:pPr>
          </w:p>
        </w:tc>
        <w:tc>
          <w:tcPr>
            <w:tcW w:w="66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353" w:lineRule="exact"/>
        <w:rPr>
          <w:sz w:val="20"/>
          <w:szCs w:val="20"/>
          <w:color w:val="auto"/>
        </w:rPr>
      </w:pPr>
    </w:p>
    <w:p>
      <w:pPr>
        <w:ind w:right="200"/>
        <w:spacing w:after="0" w:line="260" w:lineRule="auto"/>
        <w:rPr>
          <w:sz w:val="20"/>
          <w:szCs w:val="20"/>
          <w:color w:val="auto"/>
        </w:rPr>
      </w:pPr>
      <w:r>
        <w:rPr>
          <w:rFonts w:ascii="Arial" w:cs="Arial" w:eastAsia="Arial" w:hAnsi="Arial"/>
          <w:sz w:val="16"/>
          <w:szCs w:val="16"/>
          <w:color w:val="auto"/>
        </w:rPr>
        <w:t>Depreciation expense was $4,917 and $4,134 for the three months ended May 29, 2021 and May 30, 2020, respectively, and $13,476 and $11,854 for the nine months ended May 29, 2021 and May 30, 2020, respectively.</w:t>
      </w:r>
    </w:p>
    <w:p>
      <w:pPr>
        <w:spacing w:after="0" w:line="202" w:lineRule="exact"/>
        <w:rPr>
          <w:sz w:val="20"/>
          <w:szCs w:val="20"/>
          <w:color w:val="auto"/>
        </w:rPr>
      </w:pPr>
    </w:p>
    <w:p>
      <w:pPr>
        <w:spacing w:after="0"/>
        <w:tabs>
          <w:tab w:leader="none" w:pos="700" w:val="left"/>
        </w:tabs>
        <w:rPr>
          <w:sz w:val="20"/>
          <w:szCs w:val="20"/>
          <w:color w:val="auto"/>
        </w:rPr>
      </w:pPr>
      <w:r>
        <w:rPr>
          <w:rFonts w:ascii="Arial" w:cs="Arial" w:eastAsia="Arial" w:hAnsi="Arial"/>
          <w:sz w:val="16"/>
          <w:szCs w:val="16"/>
          <w:b w:val="1"/>
          <w:bCs w:val="1"/>
          <w:color w:val="auto"/>
        </w:rPr>
        <w:t>Note 6.</w:t>
        <w:tab/>
        <w:t>Goodwill and Intangible Assets</w:t>
      </w:r>
    </w:p>
    <w:p>
      <w:pPr>
        <w:spacing w:after="0" w:line="268"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auto"/>
        </w:rPr>
        <w:t>The changes in the carrying amount of goodwill by segment, with no accumulated impairment losses, for the nine months ended May 29, 2021 and May 30, 2020 are as follows:</w:t>
      </w:r>
    </w:p>
    <w:tbl>
      <w:tblPr>
        <w:tblLayout w:type="fixed"/>
        <w:tblInd w:w="0" w:type="dxa"/>
        <w:tblCellMar>
          <w:top w:w="0" w:type="dxa"/>
          <w:left w:w="0" w:type="dxa"/>
          <w:bottom w:w="0" w:type="dxa"/>
          <w:right w:w="0" w:type="dxa"/>
        </w:tblCellMar>
      </w:tblPr>
      <w:tr>
        <w:trPr>
          <w:trHeight w:val="168"/>
        </w:trPr>
        <w:tc>
          <w:tcPr>
            <w:tcW w:w="4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gridSpan w:val="2"/>
          </w:tcPr>
          <w:p>
            <w:pPr>
              <w:ind w:left="80"/>
              <w:spacing w:after="0" w:line="168" w:lineRule="exact"/>
              <w:rPr>
                <w:sz w:val="20"/>
                <w:szCs w:val="20"/>
                <w:color w:val="auto"/>
              </w:rPr>
            </w:pPr>
            <w:r>
              <w:rPr>
                <w:rFonts w:ascii="Arial" w:cs="Arial" w:eastAsia="Arial" w:hAnsi="Arial"/>
                <w:sz w:val="16"/>
                <w:szCs w:val="16"/>
                <w:b w:val="1"/>
                <w:bCs w:val="1"/>
                <w:color w:val="auto"/>
              </w:rPr>
              <w:t>Corporate / All</w:t>
            </w:r>
          </w:p>
        </w:tc>
        <w:tc>
          <w:tcPr>
            <w:tcW w:w="3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216"/>
        </w:trPr>
        <w:tc>
          <w:tcPr>
            <w:tcW w:w="44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3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Towable</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Motorhome</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Other</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Total</w:t>
            </w:r>
          </w:p>
        </w:tc>
      </w:tr>
      <w:tr>
        <w:trPr>
          <w:trHeight w:val="209"/>
        </w:trPr>
        <w:tc>
          <w:tcPr>
            <w:tcW w:w="4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Balances at August 31, 2019</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244,684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30,247</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274,931</w:t>
            </w:r>
          </w:p>
        </w:tc>
      </w:tr>
      <w:tr>
        <w:trPr>
          <w:trHeight w:val="216"/>
        </w:trPr>
        <w:tc>
          <w:tcPr>
            <w:tcW w:w="4400" w:type="dxa"/>
            <w:vAlign w:val="bottom"/>
          </w:tcPr>
          <w:p>
            <w:pPr>
              <w:ind w:left="140"/>
              <w:spacing w:after="0" w:line="216" w:lineRule="exact"/>
              <w:rPr>
                <w:sz w:val="20"/>
                <w:szCs w:val="20"/>
                <w:color w:val="auto"/>
              </w:rPr>
            </w:pPr>
            <w:r>
              <w:rPr>
                <w:rFonts w:ascii="Arial" w:cs="Arial" w:eastAsia="Arial" w:hAnsi="Arial"/>
                <w:sz w:val="16"/>
                <w:szCs w:val="16"/>
                <w:color w:val="auto"/>
              </w:rPr>
              <w:t>Acquisition of Newmar</w:t>
            </w:r>
            <w:r>
              <w:rPr>
                <w:rFonts w:ascii="Arial" w:cs="Arial" w:eastAsia="Arial" w:hAnsi="Arial"/>
                <w:sz w:val="21"/>
                <w:szCs w:val="21"/>
                <w:color w:val="auto"/>
                <w:vertAlign w:val="superscript"/>
              </w:rPr>
              <w:t>(1)</w:t>
            </w:r>
          </w:p>
        </w:tc>
        <w:tc>
          <w:tcPr>
            <w:tcW w:w="30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73,127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73,127</w:t>
            </w:r>
          </w:p>
        </w:tc>
      </w:tr>
      <w:tr>
        <w:trPr>
          <w:trHeight w:val="234"/>
        </w:trPr>
        <w:tc>
          <w:tcPr>
            <w:tcW w:w="4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Balances at May 30, 2020</w:t>
            </w:r>
          </w:p>
        </w:tc>
        <w:tc>
          <w:tcPr>
            <w:tcW w:w="30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244,684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73,127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30,247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348,058</w:t>
            </w: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4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41"/>
        </w:trPr>
        <w:tc>
          <w:tcPr>
            <w:tcW w:w="4400" w:type="dxa"/>
            <w:vAlign w:val="bottom"/>
            <w:tcBorders>
              <w:bottom w:val="single" w:sz="8" w:color="CCEEFF"/>
            </w:tcBorders>
            <w:shd w:val="clear" w:color="auto" w:fill="CCEEFF"/>
          </w:tcPr>
          <w:p>
            <w:pPr>
              <w:ind w:left="20"/>
              <w:spacing w:after="0" w:line="216" w:lineRule="exact"/>
              <w:rPr>
                <w:sz w:val="20"/>
                <w:szCs w:val="20"/>
                <w:color w:val="auto"/>
              </w:rPr>
            </w:pPr>
            <w:r>
              <w:rPr>
                <w:rFonts w:ascii="Arial" w:cs="Arial" w:eastAsia="Arial" w:hAnsi="Arial"/>
                <w:sz w:val="16"/>
                <w:szCs w:val="16"/>
                <w:color w:val="auto"/>
              </w:rPr>
              <w:t>Balances at August 29, 2020 and May 29, 2021</w:t>
            </w:r>
            <w:r>
              <w:rPr>
                <w:rFonts w:ascii="Arial" w:cs="Arial" w:eastAsia="Arial" w:hAnsi="Arial"/>
                <w:sz w:val="21"/>
                <w:szCs w:val="21"/>
                <w:color w:val="auto"/>
                <w:vertAlign w:val="superscript"/>
              </w:rPr>
              <w:t>(2)</w:t>
            </w: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244,684</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73,127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30,247</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348,058</w:t>
            </w: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113" w:lineRule="exact"/>
        <w:rPr>
          <w:sz w:val="20"/>
          <w:szCs w:val="20"/>
          <w:color w:val="auto"/>
        </w:rPr>
      </w:pPr>
    </w:p>
    <w:p>
      <w:pPr>
        <w:jc w:val="both"/>
        <w:ind w:left="260" w:right="40" w:hanging="252"/>
        <w:spacing w:after="0" w:line="211" w:lineRule="auto"/>
        <w:tabs>
          <w:tab w:leader="none" w:pos="303" w:val="left"/>
        </w:tabs>
        <w:numPr>
          <w:ilvl w:val="0"/>
          <w:numId w:val="2"/>
        </w:numPr>
        <w:rPr>
          <w:rFonts w:ascii="Arial" w:cs="Arial" w:eastAsia="Arial" w:hAnsi="Arial"/>
          <w:sz w:val="21"/>
          <w:szCs w:val="21"/>
          <w:color w:val="auto"/>
          <w:vertAlign w:val="superscript"/>
        </w:rPr>
      </w:pPr>
      <w:r>
        <w:rPr>
          <w:rFonts w:ascii="Arial" w:cs="Arial" w:eastAsia="Arial" w:hAnsi="Arial"/>
          <w:sz w:val="14"/>
          <w:szCs w:val="14"/>
          <w:color w:val="auto"/>
        </w:rPr>
        <w:t>The change in Motorhome activity is related to the acquisition of Newmar Corporation, Dutch Real Estate Corp., New-Way Transport and New-Serv (collectively "Newmar") that occurred on November 8, 2019. See Note 2 to the Consolidated Financial Statements included in Item 8 of Part II of the Company's Annual Report on Form 10-K for the fiscal year ended August 29, 2020 for additional acquisition information.</w:t>
      </w:r>
    </w:p>
    <w:p>
      <w:pPr>
        <w:ind w:left="180" w:hanging="172"/>
        <w:spacing w:after="0" w:line="214" w:lineRule="auto"/>
        <w:tabs>
          <w:tab w:leader="none" w:pos="180" w:val="left"/>
        </w:tabs>
        <w:numPr>
          <w:ilvl w:val="0"/>
          <w:numId w:val="2"/>
        </w:numPr>
        <w:rPr>
          <w:rFonts w:ascii="Arial" w:cs="Arial" w:eastAsia="Arial" w:hAnsi="Arial"/>
          <w:sz w:val="21"/>
          <w:szCs w:val="21"/>
          <w:color w:val="auto"/>
          <w:vertAlign w:val="superscript"/>
        </w:rPr>
      </w:pPr>
      <w:r>
        <w:rPr>
          <w:rFonts w:ascii="Arial" w:cs="Arial" w:eastAsia="Arial" w:hAnsi="Arial"/>
          <w:sz w:val="13"/>
          <w:szCs w:val="13"/>
          <w:color w:val="auto"/>
        </w:rPr>
        <w:t>There was no activity in the nine months ended May 29,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84"/>
        </w:trPr>
        <w:tc>
          <w:tcPr>
            <w:tcW w:w="4860" w:type="dxa"/>
            <w:vAlign w:val="bottom"/>
            <w:gridSpan w:val="2"/>
          </w:tcPr>
          <w:p>
            <w:pPr>
              <w:spacing w:after="0"/>
              <w:rPr>
                <w:rFonts w:ascii="Arial" w:cs="Arial" w:eastAsia="Arial" w:hAnsi="Arial"/>
                <w:sz w:val="16"/>
                <w:szCs w:val="16"/>
                <w:color w:val="0000FF"/>
              </w:rPr>
            </w:pPr>
            <w:hyperlink w:anchor="page1">
              <w:r>
                <w:rPr>
                  <w:rFonts w:ascii="Arial" w:cs="Arial" w:eastAsia="Arial" w:hAnsi="Arial"/>
                  <w:sz w:val="16"/>
                  <w:szCs w:val="16"/>
                  <w:color w:val="0000FF"/>
                </w:rPr>
                <w:t>Table of Contents</w:t>
              </w:r>
            </w:hyperlink>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0"/>
        </w:trPr>
        <w:tc>
          <w:tcPr>
            <w:tcW w:w="1260" w:type="dxa"/>
            <w:vAlign w:val="bottom"/>
            <w:shd w:val="clear" w:color="auto" w:fill="0000FF"/>
          </w:tcPr>
          <w:p>
            <w:pPr>
              <w:spacing w:after="0" w:line="20" w:lineRule="exact"/>
              <w:rPr>
                <w:sz w:val="1"/>
                <w:szCs w:val="1"/>
                <w:color w:val="auto"/>
              </w:rPr>
            </w:pPr>
          </w:p>
        </w:tc>
        <w:tc>
          <w:tcPr>
            <w:tcW w:w="50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906"/>
        </w:trPr>
        <w:tc>
          <w:tcPr>
            <w:tcW w:w="6420" w:type="dxa"/>
            <w:vAlign w:val="bottom"/>
            <w:gridSpan w:val="4"/>
          </w:tcPr>
          <w:p>
            <w:pPr>
              <w:spacing w:after="0"/>
              <w:rPr>
                <w:sz w:val="20"/>
                <w:szCs w:val="20"/>
                <w:color w:val="auto"/>
              </w:rPr>
            </w:pPr>
            <w:r>
              <w:rPr>
                <w:rFonts w:ascii="Arial" w:cs="Arial" w:eastAsia="Arial" w:hAnsi="Arial"/>
                <w:sz w:val="16"/>
                <w:szCs w:val="16"/>
                <w:color w:val="auto"/>
              </w:rPr>
              <w:t>Other intangible assets, net of accumulated amortization, consist of the following:</w:t>
            </w: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32"/>
        </w:trPr>
        <w:tc>
          <w:tcPr>
            <w:tcW w:w="126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gridSpan w:val="6"/>
          </w:tcPr>
          <w:p>
            <w:pPr>
              <w:jc w:val="center"/>
              <w:ind w:right="180"/>
              <w:spacing w:after="0"/>
              <w:rPr>
                <w:sz w:val="20"/>
                <w:szCs w:val="20"/>
                <w:color w:val="auto"/>
              </w:rPr>
            </w:pPr>
            <w:r>
              <w:rPr>
                <w:rFonts w:ascii="Arial" w:cs="Arial" w:eastAsia="Arial" w:hAnsi="Arial"/>
                <w:sz w:val="16"/>
                <w:szCs w:val="16"/>
                <w:b w:val="1"/>
                <w:bCs w:val="1"/>
                <w:color w:val="auto"/>
              </w:rPr>
              <w:t>May 29, 2021</w:t>
            </w: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r>
      <w:tr>
        <w:trPr>
          <w:trHeight w:val="159"/>
        </w:trPr>
        <w:tc>
          <w:tcPr>
            <w:tcW w:w="126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1560" w:type="dxa"/>
            <w:vAlign w:val="bottom"/>
            <w:gridSpan w:val="2"/>
          </w:tcPr>
          <w:p>
            <w:pPr>
              <w:jc w:val="center"/>
              <w:ind w:right="120"/>
              <w:spacing w:after="0" w:line="158" w:lineRule="exact"/>
              <w:rPr>
                <w:sz w:val="20"/>
                <w:szCs w:val="20"/>
                <w:color w:val="auto"/>
              </w:rPr>
            </w:pPr>
            <w:r>
              <w:rPr>
                <w:rFonts w:ascii="Arial" w:cs="Arial" w:eastAsia="Arial" w:hAnsi="Arial"/>
                <w:sz w:val="16"/>
                <w:szCs w:val="16"/>
                <w:b w:val="1"/>
                <w:bCs w:val="1"/>
                <w:color w:val="auto"/>
              </w:rPr>
              <w:t>Weighted Average</w:t>
            </w:r>
          </w:p>
        </w:tc>
        <w:tc>
          <w:tcPr>
            <w:tcW w:w="140" w:type="dxa"/>
            <w:vAlign w:val="bottom"/>
          </w:tcPr>
          <w:p>
            <w:pPr>
              <w:spacing w:after="0"/>
              <w:rPr>
                <w:sz w:val="13"/>
                <w:szCs w:val="13"/>
                <w:color w:val="auto"/>
              </w:rPr>
            </w:pPr>
          </w:p>
        </w:tc>
        <w:tc>
          <w:tcPr>
            <w:tcW w:w="1480" w:type="dxa"/>
            <w:vAlign w:val="bottom"/>
            <w:gridSpan w:val="2"/>
          </w:tcPr>
          <w:p>
            <w:pPr>
              <w:jc w:val="center"/>
              <w:ind w:right="260"/>
              <w:spacing w:after="0" w:line="158" w:lineRule="exact"/>
              <w:rPr>
                <w:sz w:val="20"/>
                <w:szCs w:val="20"/>
                <w:color w:val="auto"/>
              </w:rPr>
            </w:pPr>
            <w:r>
              <w:rPr>
                <w:rFonts w:ascii="Arial" w:cs="Arial" w:eastAsia="Arial" w:hAnsi="Arial"/>
                <w:sz w:val="16"/>
                <w:szCs w:val="16"/>
                <w:b w:val="1"/>
                <w:bCs w:val="1"/>
                <w:color w:val="auto"/>
              </w:rPr>
              <w:t>Gross Carrying</w:t>
            </w:r>
          </w:p>
        </w:tc>
        <w:tc>
          <w:tcPr>
            <w:tcW w:w="200" w:type="dxa"/>
            <w:vAlign w:val="bottom"/>
          </w:tcPr>
          <w:p>
            <w:pPr>
              <w:spacing w:after="0"/>
              <w:rPr>
                <w:sz w:val="13"/>
                <w:szCs w:val="13"/>
                <w:color w:val="auto"/>
              </w:rPr>
            </w:pPr>
          </w:p>
        </w:tc>
        <w:tc>
          <w:tcPr>
            <w:tcW w:w="1480" w:type="dxa"/>
            <w:vAlign w:val="bottom"/>
            <w:gridSpan w:val="3"/>
          </w:tcPr>
          <w:p>
            <w:pPr>
              <w:ind w:left="80"/>
              <w:spacing w:after="0" w:line="158" w:lineRule="exact"/>
              <w:rPr>
                <w:sz w:val="20"/>
                <w:szCs w:val="20"/>
                <w:color w:val="auto"/>
              </w:rPr>
            </w:pPr>
            <w:r>
              <w:rPr>
                <w:rFonts w:ascii="Arial" w:cs="Arial" w:eastAsia="Arial" w:hAnsi="Arial"/>
                <w:sz w:val="16"/>
                <w:szCs w:val="16"/>
                <w:b w:val="1"/>
                <w:bCs w:val="1"/>
                <w:color w:val="auto"/>
              </w:rPr>
              <w:t>Accumulated</w:t>
            </w:r>
          </w:p>
        </w:tc>
        <w:tc>
          <w:tcPr>
            <w:tcW w:w="26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216"/>
        </w:trPr>
        <w:tc>
          <w:tcPr>
            <w:tcW w:w="48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 in thousands)</w:t>
            </w: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Life-Years</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9"/>
              </w:rPr>
              <w:t>Amount</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rPr>
              <w:t>Amortization</w:t>
            </w:r>
          </w:p>
        </w:tc>
        <w:tc>
          <w:tcPr>
            <w:tcW w:w="10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Net Carrying Value</w:t>
            </w:r>
          </w:p>
        </w:tc>
      </w:tr>
      <w:tr>
        <w:trPr>
          <w:trHeight w:val="209"/>
        </w:trPr>
        <w:tc>
          <w:tcPr>
            <w:tcW w:w="48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Trade names</w:t>
            </w:r>
          </w:p>
        </w:tc>
        <w:tc>
          <w:tcPr>
            <w:tcW w:w="15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Indefinite</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275,250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8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275,250</w:t>
            </w:r>
          </w:p>
        </w:tc>
      </w:tr>
      <w:tr>
        <w:trPr>
          <w:trHeight w:val="213"/>
        </w:trPr>
        <w:tc>
          <w:tcPr>
            <w:tcW w:w="4860" w:type="dxa"/>
            <w:vAlign w:val="bottom"/>
            <w:gridSpan w:val="2"/>
          </w:tcPr>
          <w:p>
            <w:pPr>
              <w:ind w:left="20"/>
              <w:spacing w:after="0"/>
              <w:rPr>
                <w:sz w:val="20"/>
                <w:szCs w:val="20"/>
                <w:color w:val="auto"/>
              </w:rPr>
            </w:pPr>
            <w:r>
              <w:rPr>
                <w:rFonts w:ascii="Arial" w:cs="Arial" w:eastAsia="Arial" w:hAnsi="Arial"/>
                <w:sz w:val="16"/>
                <w:szCs w:val="16"/>
                <w:color w:val="auto"/>
              </w:rPr>
              <w:t>Dealer networks</w:t>
            </w:r>
          </w:p>
        </w:tc>
        <w:tc>
          <w:tcPr>
            <w:tcW w:w="1460" w:type="dxa"/>
            <w:vAlign w:val="bottom"/>
          </w:tcPr>
          <w:p>
            <w:pPr>
              <w:jc w:val="center"/>
              <w:spacing w:after="0"/>
              <w:rPr>
                <w:sz w:val="20"/>
                <w:szCs w:val="20"/>
                <w:color w:val="auto"/>
              </w:rPr>
            </w:pPr>
            <w:r>
              <w:rPr>
                <w:rFonts w:ascii="Arial" w:cs="Arial" w:eastAsia="Arial" w:hAnsi="Arial"/>
                <w:sz w:val="16"/>
                <w:szCs w:val="16"/>
                <w:color w:val="auto"/>
              </w:rPr>
              <w:t>12.1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159,581</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42,360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117,221</w:t>
            </w:r>
          </w:p>
        </w:tc>
      </w:tr>
      <w:tr>
        <w:trPr>
          <w:trHeight w:val="219"/>
        </w:trPr>
        <w:tc>
          <w:tcPr>
            <w:tcW w:w="48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Backlog</w:t>
            </w:r>
          </w:p>
        </w:tc>
        <w:tc>
          <w:tcPr>
            <w:tcW w:w="14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0.5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28,327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28,327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48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Non-compete agreements</w:t>
            </w:r>
          </w:p>
        </w:tc>
        <w:tc>
          <w:tcPr>
            <w:tcW w:w="1460" w:type="dxa"/>
            <w:vAlign w:val="bottom"/>
            <w:tcBorders>
              <w:bottom w:val="single" w:sz="8" w:color="CCEEFF"/>
            </w:tcBorders>
          </w:tcPr>
          <w:p>
            <w:pPr>
              <w:jc w:val="center"/>
              <w:spacing w:after="0"/>
              <w:rPr>
                <w:sz w:val="20"/>
                <w:szCs w:val="20"/>
                <w:color w:val="auto"/>
              </w:rPr>
            </w:pPr>
            <w:r>
              <w:rPr>
                <w:rFonts w:ascii="Arial" w:cs="Arial" w:eastAsia="Arial" w:hAnsi="Arial"/>
                <w:sz w:val="16"/>
                <w:szCs w:val="16"/>
                <w:color w:val="auto"/>
                <w:w w:val="98"/>
              </w:rPr>
              <w:t>4.3</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6,647</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5,121</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1,526</w:t>
            </w:r>
          </w:p>
        </w:tc>
      </w:tr>
      <w:tr>
        <w:trPr>
          <w:trHeight w:val="237"/>
        </w:trPr>
        <w:tc>
          <w:tcPr>
            <w:tcW w:w="48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Other intangible assets</w:t>
            </w:r>
          </w:p>
        </w:tc>
        <w:tc>
          <w:tcPr>
            <w:tcW w:w="14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469,805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75,808</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393,997</w:t>
            </w:r>
          </w:p>
        </w:tc>
      </w:tr>
      <w:tr>
        <w:trPr>
          <w:trHeight w:val="20"/>
        </w:trPr>
        <w:tc>
          <w:tcPr>
            <w:tcW w:w="1260" w:type="dxa"/>
            <w:vAlign w:val="bottom"/>
            <w:tcBorders>
              <w:top w:val="single" w:sz="8" w:color="CCEEFF"/>
            </w:tcBorders>
          </w:tcPr>
          <w:p>
            <w:pPr>
              <w:spacing w:after="0" w:line="20" w:lineRule="exact"/>
              <w:rPr>
                <w:sz w:val="1"/>
                <w:szCs w:val="1"/>
                <w:color w:val="auto"/>
              </w:rPr>
            </w:pPr>
          </w:p>
        </w:tc>
        <w:tc>
          <w:tcPr>
            <w:tcW w:w="36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322"/>
        </w:trPr>
        <w:tc>
          <w:tcPr>
            <w:tcW w:w="126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6"/>
          </w:tcPr>
          <w:p>
            <w:pPr>
              <w:jc w:val="center"/>
              <w:ind w:right="180"/>
              <w:spacing w:after="0"/>
              <w:rPr>
                <w:sz w:val="20"/>
                <w:szCs w:val="20"/>
                <w:color w:val="auto"/>
              </w:rPr>
            </w:pPr>
            <w:r>
              <w:rPr>
                <w:rFonts w:ascii="Arial" w:cs="Arial" w:eastAsia="Arial" w:hAnsi="Arial"/>
                <w:sz w:val="16"/>
                <w:szCs w:val="16"/>
                <w:b w:val="1"/>
                <w:bCs w:val="1"/>
                <w:color w:val="auto"/>
              </w:rPr>
              <w:t>August 29, 2020</w:t>
            </w:r>
          </w:p>
        </w:tc>
        <w:tc>
          <w:tcPr>
            <w:tcW w:w="2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158"/>
        </w:trPr>
        <w:tc>
          <w:tcPr>
            <w:tcW w:w="126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1560" w:type="dxa"/>
            <w:vAlign w:val="bottom"/>
            <w:gridSpan w:val="2"/>
          </w:tcPr>
          <w:p>
            <w:pPr>
              <w:jc w:val="center"/>
              <w:ind w:right="120"/>
              <w:spacing w:after="0" w:line="158" w:lineRule="exact"/>
              <w:rPr>
                <w:sz w:val="20"/>
                <w:szCs w:val="20"/>
                <w:color w:val="auto"/>
              </w:rPr>
            </w:pPr>
            <w:r>
              <w:rPr>
                <w:rFonts w:ascii="Arial" w:cs="Arial" w:eastAsia="Arial" w:hAnsi="Arial"/>
                <w:sz w:val="16"/>
                <w:szCs w:val="16"/>
                <w:b w:val="1"/>
                <w:bCs w:val="1"/>
                <w:color w:val="auto"/>
              </w:rPr>
              <w:t>Weighted Average</w:t>
            </w:r>
          </w:p>
        </w:tc>
        <w:tc>
          <w:tcPr>
            <w:tcW w:w="1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80" w:type="dxa"/>
            <w:vAlign w:val="bottom"/>
            <w:gridSpan w:val="3"/>
          </w:tcPr>
          <w:p>
            <w:pPr>
              <w:ind w:left="80"/>
              <w:spacing w:after="0" w:line="158" w:lineRule="exact"/>
              <w:rPr>
                <w:sz w:val="20"/>
                <w:szCs w:val="20"/>
                <w:color w:val="auto"/>
              </w:rPr>
            </w:pPr>
            <w:r>
              <w:rPr>
                <w:rFonts w:ascii="Arial" w:cs="Arial" w:eastAsia="Arial" w:hAnsi="Arial"/>
                <w:sz w:val="16"/>
                <w:szCs w:val="16"/>
                <w:b w:val="1"/>
                <w:bCs w:val="1"/>
                <w:color w:val="auto"/>
              </w:rPr>
              <w:t>Accumulated</w:t>
            </w:r>
          </w:p>
        </w:tc>
        <w:tc>
          <w:tcPr>
            <w:tcW w:w="26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216"/>
        </w:trPr>
        <w:tc>
          <w:tcPr>
            <w:tcW w:w="48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 in thousands)</w:t>
            </w: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Life-Years</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rPr>
              <w:t>Cost</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rPr>
              <w:t>Amortization</w:t>
            </w:r>
          </w:p>
        </w:tc>
        <w:tc>
          <w:tcPr>
            <w:tcW w:w="10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Net Carrying Value</w:t>
            </w:r>
          </w:p>
        </w:tc>
      </w:tr>
      <w:tr>
        <w:trPr>
          <w:trHeight w:val="209"/>
        </w:trPr>
        <w:tc>
          <w:tcPr>
            <w:tcW w:w="48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Trade names</w:t>
            </w:r>
          </w:p>
        </w:tc>
        <w:tc>
          <w:tcPr>
            <w:tcW w:w="15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Indefinite</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275,250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8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275,250</w:t>
            </w:r>
          </w:p>
        </w:tc>
      </w:tr>
      <w:tr>
        <w:trPr>
          <w:trHeight w:val="213"/>
        </w:trPr>
        <w:tc>
          <w:tcPr>
            <w:tcW w:w="4860" w:type="dxa"/>
            <w:vAlign w:val="bottom"/>
            <w:gridSpan w:val="2"/>
          </w:tcPr>
          <w:p>
            <w:pPr>
              <w:ind w:left="20"/>
              <w:spacing w:after="0"/>
              <w:rPr>
                <w:sz w:val="20"/>
                <w:szCs w:val="20"/>
                <w:color w:val="auto"/>
              </w:rPr>
            </w:pPr>
            <w:r>
              <w:rPr>
                <w:rFonts w:ascii="Arial" w:cs="Arial" w:eastAsia="Arial" w:hAnsi="Arial"/>
                <w:sz w:val="16"/>
                <w:szCs w:val="16"/>
                <w:color w:val="auto"/>
              </w:rPr>
              <w:t>Dealer networks</w:t>
            </w:r>
          </w:p>
        </w:tc>
        <w:tc>
          <w:tcPr>
            <w:tcW w:w="1460" w:type="dxa"/>
            <w:vAlign w:val="bottom"/>
          </w:tcPr>
          <w:p>
            <w:pPr>
              <w:jc w:val="center"/>
              <w:spacing w:after="0"/>
              <w:rPr>
                <w:sz w:val="20"/>
                <w:szCs w:val="20"/>
                <w:color w:val="auto"/>
              </w:rPr>
            </w:pPr>
            <w:r>
              <w:rPr>
                <w:rFonts w:ascii="Arial" w:cs="Arial" w:eastAsia="Arial" w:hAnsi="Arial"/>
                <w:sz w:val="16"/>
                <w:szCs w:val="16"/>
                <w:color w:val="auto"/>
              </w:rPr>
              <w:t>12.2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159,581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32,487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127,094</w:t>
            </w:r>
          </w:p>
        </w:tc>
      </w:tr>
      <w:tr>
        <w:trPr>
          <w:trHeight w:val="219"/>
        </w:trPr>
        <w:tc>
          <w:tcPr>
            <w:tcW w:w="48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Backlog</w:t>
            </w:r>
          </w:p>
        </w:tc>
        <w:tc>
          <w:tcPr>
            <w:tcW w:w="14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0.5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28,327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28,327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48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Non-compete agreements</w:t>
            </w:r>
          </w:p>
        </w:tc>
        <w:tc>
          <w:tcPr>
            <w:tcW w:w="1460" w:type="dxa"/>
            <w:vAlign w:val="bottom"/>
            <w:tcBorders>
              <w:bottom w:val="single" w:sz="8" w:color="CCEEFF"/>
            </w:tcBorders>
          </w:tcPr>
          <w:p>
            <w:pPr>
              <w:jc w:val="center"/>
              <w:spacing w:after="0"/>
              <w:rPr>
                <w:sz w:val="20"/>
                <w:szCs w:val="20"/>
                <w:color w:val="auto"/>
              </w:rPr>
            </w:pPr>
            <w:r>
              <w:rPr>
                <w:rFonts w:ascii="Arial" w:cs="Arial" w:eastAsia="Arial" w:hAnsi="Arial"/>
                <w:sz w:val="16"/>
                <w:szCs w:val="16"/>
                <w:color w:val="auto"/>
                <w:w w:val="98"/>
              </w:rPr>
              <w:t>4.1</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6,647</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4,223</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2,424</w:t>
            </w:r>
          </w:p>
        </w:tc>
      </w:tr>
      <w:tr>
        <w:trPr>
          <w:trHeight w:val="238"/>
        </w:trPr>
        <w:tc>
          <w:tcPr>
            <w:tcW w:w="48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Other intangible assets</w:t>
            </w:r>
          </w:p>
        </w:tc>
        <w:tc>
          <w:tcPr>
            <w:tcW w:w="14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469,805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65,037</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404,768</w:t>
            </w:r>
          </w:p>
        </w:tc>
      </w:tr>
      <w:tr>
        <w:trPr>
          <w:trHeight w:val="20"/>
        </w:trPr>
        <w:tc>
          <w:tcPr>
            <w:tcW w:w="6320" w:type="dxa"/>
            <w:vAlign w:val="bottom"/>
            <w:tcBorders>
              <w:top w:val="single" w:sz="8" w:color="CCEEFF"/>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522"/>
        </w:trPr>
        <w:tc>
          <w:tcPr>
            <w:tcW w:w="9720" w:type="dxa"/>
            <w:vAlign w:val="bottom"/>
            <w:gridSpan w:val="11"/>
          </w:tcPr>
          <w:p>
            <w:pPr>
              <w:spacing w:after="0"/>
              <w:rPr>
                <w:sz w:val="20"/>
                <w:szCs w:val="20"/>
                <w:color w:val="auto"/>
              </w:rPr>
            </w:pPr>
            <w:r>
              <w:rPr>
                <w:rFonts w:ascii="Arial" w:cs="Arial" w:eastAsia="Arial" w:hAnsi="Arial"/>
                <w:sz w:val="16"/>
                <w:szCs w:val="16"/>
                <w:color w:val="auto"/>
              </w:rPr>
              <w:t>The weighted average remaining amortization period for intangible assets as of May 29, 2021 was approximately 9 years.</w:t>
            </w: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432"/>
        </w:trPr>
        <w:tc>
          <w:tcPr>
            <w:tcW w:w="6560" w:type="dxa"/>
            <w:vAlign w:val="bottom"/>
            <w:gridSpan w:val="5"/>
          </w:tcPr>
          <w:p>
            <w:pPr>
              <w:spacing w:after="0"/>
              <w:rPr>
                <w:sz w:val="20"/>
                <w:szCs w:val="20"/>
                <w:color w:val="auto"/>
              </w:rPr>
            </w:pPr>
            <w:r>
              <w:rPr>
                <w:rFonts w:ascii="Arial" w:cs="Arial" w:eastAsia="Arial" w:hAnsi="Arial"/>
                <w:sz w:val="16"/>
                <w:szCs w:val="16"/>
                <w:color w:val="auto"/>
              </w:rPr>
              <w:t>Estimated future amortization expense related to finite-lived intangible assets is as follows:</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35"/>
        </w:trPr>
        <w:tc>
          <w:tcPr>
            <w:tcW w:w="48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(in thousands)</w:t>
            </w:r>
          </w:p>
        </w:tc>
        <w:tc>
          <w:tcPr>
            <w:tcW w:w="14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Amount</w:t>
            </w:r>
          </w:p>
        </w:tc>
      </w:tr>
      <w:tr>
        <w:trPr>
          <w:trHeight w:val="209"/>
        </w:trPr>
        <w:tc>
          <w:tcPr>
            <w:tcW w:w="48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Remainder of Fiscal 2021</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ind w:left="1380"/>
              <w:spacing w:after="0"/>
              <w:rPr>
                <w:sz w:val="20"/>
                <w:szCs w:val="20"/>
                <w:color w:val="auto"/>
              </w:rPr>
            </w:pPr>
            <w:r>
              <w:rPr>
                <w:rFonts w:ascii="Arial" w:cs="Arial" w:eastAsia="Arial" w:hAnsi="Arial"/>
                <w:sz w:val="16"/>
                <w:szCs w:val="16"/>
                <w:color w:val="auto"/>
                <w:w w:val="89"/>
              </w:rPr>
              <w:t>$</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3,590</w:t>
            </w:r>
          </w:p>
        </w:tc>
      </w:tr>
      <w:tr>
        <w:trPr>
          <w:trHeight w:val="213"/>
        </w:trPr>
        <w:tc>
          <w:tcPr>
            <w:tcW w:w="4860" w:type="dxa"/>
            <w:vAlign w:val="bottom"/>
            <w:gridSpan w:val="2"/>
          </w:tcPr>
          <w:p>
            <w:pPr>
              <w:ind w:left="20"/>
              <w:spacing w:after="0"/>
              <w:rPr>
                <w:sz w:val="20"/>
                <w:szCs w:val="20"/>
                <w:color w:val="auto"/>
              </w:rPr>
            </w:pPr>
            <w:r>
              <w:rPr>
                <w:rFonts w:ascii="Arial" w:cs="Arial" w:eastAsia="Arial" w:hAnsi="Arial"/>
                <w:sz w:val="16"/>
                <w:szCs w:val="16"/>
                <w:color w:val="auto"/>
              </w:rPr>
              <w:t>Fiscal 2022</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13,719</w:t>
            </w:r>
          </w:p>
        </w:tc>
      </w:tr>
      <w:tr>
        <w:trPr>
          <w:trHeight w:val="219"/>
        </w:trPr>
        <w:tc>
          <w:tcPr>
            <w:tcW w:w="48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Fiscal 2023</w:t>
            </w: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13,526</w:t>
            </w:r>
          </w:p>
        </w:tc>
      </w:tr>
      <w:tr>
        <w:trPr>
          <w:trHeight w:val="213"/>
        </w:trPr>
        <w:tc>
          <w:tcPr>
            <w:tcW w:w="4860" w:type="dxa"/>
            <w:vAlign w:val="bottom"/>
            <w:gridSpan w:val="2"/>
          </w:tcPr>
          <w:p>
            <w:pPr>
              <w:ind w:left="20"/>
              <w:spacing w:after="0"/>
              <w:rPr>
                <w:sz w:val="20"/>
                <w:szCs w:val="20"/>
                <w:color w:val="auto"/>
              </w:rPr>
            </w:pPr>
            <w:r>
              <w:rPr>
                <w:rFonts w:ascii="Arial" w:cs="Arial" w:eastAsia="Arial" w:hAnsi="Arial"/>
                <w:sz w:val="16"/>
                <w:szCs w:val="16"/>
                <w:color w:val="auto"/>
              </w:rPr>
              <w:t>Fiscal 2024</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13,424</w:t>
            </w:r>
          </w:p>
        </w:tc>
      </w:tr>
      <w:tr>
        <w:trPr>
          <w:trHeight w:val="219"/>
        </w:trPr>
        <w:tc>
          <w:tcPr>
            <w:tcW w:w="48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Fiscal 2025</w:t>
            </w: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13,219</w:t>
            </w:r>
          </w:p>
        </w:tc>
      </w:tr>
      <w:tr>
        <w:trPr>
          <w:trHeight w:val="213"/>
        </w:trPr>
        <w:tc>
          <w:tcPr>
            <w:tcW w:w="4860" w:type="dxa"/>
            <w:vAlign w:val="bottom"/>
            <w:gridSpan w:val="2"/>
          </w:tcPr>
          <w:p>
            <w:pPr>
              <w:ind w:left="20"/>
              <w:spacing w:after="0"/>
              <w:rPr>
                <w:sz w:val="20"/>
                <w:szCs w:val="20"/>
                <w:color w:val="auto"/>
              </w:rPr>
            </w:pPr>
            <w:r>
              <w:rPr>
                <w:rFonts w:ascii="Arial" w:cs="Arial" w:eastAsia="Arial" w:hAnsi="Arial"/>
                <w:sz w:val="16"/>
                <w:szCs w:val="16"/>
                <w:color w:val="auto"/>
              </w:rPr>
              <w:t>Fiscal 2026</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13,165</w:t>
            </w:r>
          </w:p>
        </w:tc>
      </w:tr>
      <w:tr>
        <w:trPr>
          <w:trHeight w:val="216"/>
        </w:trPr>
        <w:tc>
          <w:tcPr>
            <w:tcW w:w="48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Thereafter</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48,104</w:t>
            </w:r>
          </w:p>
        </w:tc>
      </w:tr>
      <w:tr>
        <w:trPr>
          <w:trHeight w:val="213"/>
        </w:trPr>
        <w:tc>
          <w:tcPr>
            <w:tcW w:w="4860" w:type="dxa"/>
            <w:vAlign w:val="bottom"/>
            <w:gridSpan w:val="2"/>
          </w:tcPr>
          <w:p>
            <w:pPr>
              <w:ind w:left="140"/>
              <w:spacing w:after="0"/>
              <w:rPr>
                <w:sz w:val="20"/>
                <w:szCs w:val="20"/>
                <w:color w:val="auto"/>
              </w:rPr>
            </w:pPr>
            <w:r>
              <w:rPr>
                <w:rFonts w:ascii="Arial" w:cs="Arial" w:eastAsia="Arial" w:hAnsi="Arial"/>
                <w:sz w:val="16"/>
                <w:szCs w:val="16"/>
                <w:color w:val="auto"/>
              </w:rPr>
              <w:t>Total amortization expense remaining</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3"/>
          </w:tcPr>
          <w:p>
            <w:pPr>
              <w:ind w:left="1380"/>
              <w:spacing w:after="0"/>
              <w:rPr>
                <w:sz w:val="20"/>
                <w:szCs w:val="20"/>
                <w:color w:val="auto"/>
              </w:rPr>
            </w:pPr>
            <w:r>
              <w:rPr>
                <w:rFonts w:ascii="Arial" w:cs="Arial" w:eastAsia="Arial" w:hAnsi="Arial"/>
                <w:sz w:val="16"/>
                <w:szCs w:val="16"/>
                <w:color w:val="auto"/>
                <w:w w:val="89"/>
              </w:rPr>
              <w:t>$</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118,747</w:t>
            </w:r>
          </w:p>
        </w:tc>
      </w:tr>
      <w:tr>
        <w:trPr>
          <w:trHeight w:val="20"/>
        </w:trPr>
        <w:tc>
          <w:tcPr>
            <w:tcW w:w="126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tabs>
          <w:tab w:leader="none" w:pos="700" w:val="left"/>
        </w:tabs>
        <w:rPr>
          <w:sz w:val="20"/>
          <w:szCs w:val="20"/>
          <w:color w:val="auto"/>
        </w:rPr>
      </w:pPr>
      <w:r>
        <w:rPr>
          <w:rFonts w:ascii="Arial" w:cs="Arial" w:eastAsia="Arial" w:hAnsi="Arial"/>
          <w:sz w:val="16"/>
          <w:szCs w:val="16"/>
          <w:b w:val="1"/>
          <w:bCs w:val="1"/>
          <w:color w:val="auto"/>
        </w:rPr>
        <w:t>Note 7.</w:t>
        <w:tab/>
        <w:t>Product Warranties</w:t>
      </w:r>
    </w:p>
    <w:p>
      <w:pPr>
        <w:spacing w:after="0" w:line="268" w:lineRule="exact"/>
        <w:rPr>
          <w:sz w:val="20"/>
          <w:szCs w:val="20"/>
          <w:color w:val="auto"/>
        </w:rPr>
      </w:pPr>
    </w:p>
    <w:p>
      <w:pPr>
        <w:ind w:right="180"/>
        <w:spacing w:after="0" w:line="251" w:lineRule="auto"/>
        <w:rPr>
          <w:sz w:val="20"/>
          <w:szCs w:val="20"/>
          <w:color w:val="auto"/>
        </w:rPr>
      </w:pPr>
      <w:r>
        <w:rPr>
          <w:rFonts w:ascii="Arial" w:cs="Arial" w:eastAsia="Arial" w:hAnsi="Arial"/>
          <w:sz w:val="16"/>
          <w:szCs w:val="16"/>
          <w:color w:val="auto"/>
        </w:rPr>
        <w:t>The Company provides certain service and warranty on its products. From time to time, the Company also voluntarily incurs costs for certain warranty-type expenses occurring after the normal warranty period expires to help protect the reputation of the Company's products and the goodwill of the Company's customers. Estimated costs related to product warranty are accrued at the time of sale and are based upon historical warranty and service claims experience. Adjustments are made to accruals as claim data and cost experience becomes available.</w:t>
      </w:r>
    </w:p>
    <w:p>
      <w:pPr>
        <w:spacing w:after="0" w:line="229" w:lineRule="exact"/>
        <w:rPr>
          <w:sz w:val="20"/>
          <w:szCs w:val="20"/>
          <w:color w:val="auto"/>
        </w:rPr>
      </w:pPr>
    </w:p>
    <w:p>
      <w:pPr>
        <w:ind w:right="220"/>
        <w:spacing w:after="0" w:line="251" w:lineRule="auto"/>
        <w:rPr>
          <w:sz w:val="20"/>
          <w:szCs w:val="20"/>
          <w:color w:val="auto"/>
        </w:rPr>
      </w:pPr>
      <w:r>
        <w:rPr>
          <w:rFonts w:ascii="Arial" w:cs="Arial" w:eastAsia="Arial" w:hAnsi="Arial"/>
          <w:sz w:val="16"/>
          <w:szCs w:val="16"/>
          <w:color w:val="auto"/>
        </w:rPr>
        <w:t>In addition to the costs associated with the contractual warranty coverage provided on products, the Company also occasionally incurs costs as a result of additional service actions not covered by warranties, including product recalls and customer satisfaction actions. Although the Company estimates and reserves for the cost of these service actions when probable and estimable, there can be no assurance that expense levels will remain at current levels or such reserves will continue to be adequate.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84"/>
        </w:trPr>
        <w:tc>
          <w:tcPr>
            <w:tcW w:w="4440" w:type="dxa"/>
            <w:vAlign w:val="bottom"/>
            <w:gridSpan w:val="2"/>
          </w:tcPr>
          <w:p>
            <w:pPr>
              <w:spacing w:after="0"/>
              <w:rPr>
                <w:rFonts w:ascii="Arial" w:cs="Arial" w:eastAsia="Arial" w:hAnsi="Arial"/>
                <w:sz w:val="16"/>
                <w:szCs w:val="16"/>
                <w:color w:val="0000FF"/>
              </w:rPr>
            </w:pPr>
            <w:hyperlink w:anchor="page1">
              <w:r>
                <w:rPr>
                  <w:rFonts w:ascii="Arial" w:cs="Arial" w:eastAsia="Arial" w:hAnsi="Arial"/>
                  <w:sz w:val="16"/>
                  <w:szCs w:val="16"/>
                  <w:color w:val="0000FF"/>
                </w:rPr>
                <w:t>Table of Contents</w:t>
              </w:r>
            </w:hyperlink>
          </w:p>
        </w:tc>
        <w:tc>
          <w:tcPr>
            <w:tcW w:w="3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0"/>
        </w:trPr>
        <w:tc>
          <w:tcPr>
            <w:tcW w:w="1260" w:type="dxa"/>
            <w:vAlign w:val="bottom"/>
            <w:shd w:val="clear" w:color="auto" w:fill="0000FF"/>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906"/>
        </w:trPr>
        <w:tc>
          <w:tcPr>
            <w:tcW w:w="4440" w:type="dxa"/>
            <w:vAlign w:val="bottom"/>
            <w:gridSpan w:val="2"/>
          </w:tcPr>
          <w:p>
            <w:pPr>
              <w:spacing w:after="0"/>
              <w:rPr>
                <w:sz w:val="20"/>
                <w:szCs w:val="20"/>
                <w:color w:val="auto"/>
              </w:rPr>
            </w:pPr>
            <w:r>
              <w:rPr>
                <w:rFonts w:ascii="Arial" w:cs="Arial" w:eastAsia="Arial" w:hAnsi="Arial"/>
                <w:sz w:val="16"/>
                <w:szCs w:val="16"/>
                <w:color w:val="auto"/>
              </w:rPr>
              <w:t>Changes in the product warranty liability are as follows:</w:t>
            </w: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33"/>
        </w:trPr>
        <w:tc>
          <w:tcPr>
            <w:tcW w:w="126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140" w:type="dxa"/>
            <w:vAlign w:val="bottom"/>
            <w:gridSpan w:val="5"/>
          </w:tcPr>
          <w:p>
            <w:pPr>
              <w:ind w:left="560"/>
              <w:spacing w:after="0"/>
              <w:rPr>
                <w:sz w:val="20"/>
                <w:szCs w:val="20"/>
                <w:color w:val="auto"/>
              </w:rPr>
            </w:pPr>
            <w:r>
              <w:rPr>
                <w:rFonts w:ascii="Arial" w:cs="Arial" w:eastAsia="Arial" w:hAnsi="Arial"/>
                <w:sz w:val="16"/>
                <w:szCs w:val="16"/>
                <w:b w:val="1"/>
                <w:bCs w:val="1"/>
                <w:color w:val="auto"/>
              </w:rPr>
              <w:t>Three Months Ended</w:t>
            </w:r>
          </w:p>
        </w:tc>
        <w:tc>
          <w:tcPr>
            <w:tcW w:w="300" w:type="dxa"/>
            <w:vAlign w:val="bottom"/>
          </w:tcPr>
          <w:p>
            <w:pPr>
              <w:spacing w:after="0"/>
              <w:rPr>
                <w:sz w:val="20"/>
                <w:szCs w:val="20"/>
                <w:color w:val="auto"/>
              </w:rPr>
            </w:pPr>
          </w:p>
        </w:tc>
        <w:tc>
          <w:tcPr>
            <w:tcW w:w="3040" w:type="dxa"/>
            <w:vAlign w:val="bottom"/>
            <w:gridSpan w:val="4"/>
          </w:tcPr>
          <w:p>
            <w:pPr>
              <w:ind w:left="620"/>
              <w:spacing w:after="0"/>
              <w:rPr>
                <w:sz w:val="20"/>
                <w:szCs w:val="20"/>
                <w:color w:val="auto"/>
              </w:rPr>
            </w:pPr>
            <w:r>
              <w:rPr>
                <w:rFonts w:ascii="Arial" w:cs="Arial" w:eastAsia="Arial" w:hAnsi="Arial"/>
                <w:sz w:val="16"/>
                <w:szCs w:val="16"/>
                <w:b w:val="1"/>
                <w:bCs w:val="1"/>
                <w:color w:val="auto"/>
              </w:rPr>
              <w:t>Nine Months Ended</w:t>
            </w:r>
          </w:p>
        </w:tc>
      </w:tr>
      <w:tr>
        <w:trPr>
          <w:trHeight w:val="158"/>
        </w:trPr>
        <w:tc>
          <w:tcPr>
            <w:tcW w:w="126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gridSpan w:val="2"/>
          </w:tcPr>
          <w:p>
            <w:pPr>
              <w:ind w:left="200"/>
              <w:spacing w:after="0" w:line="158" w:lineRule="exact"/>
              <w:rPr>
                <w:sz w:val="20"/>
                <w:szCs w:val="20"/>
                <w:color w:val="auto"/>
              </w:rPr>
            </w:pPr>
            <w:r>
              <w:rPr>
                <w:rFonts w:ascii="Arial" w:cs="Arial" w:eastAsia="Arial" w:hAnsi="Arial"/>
                <w:sz w:val="16"/>
                <w:szCs w:val="16"/>
                <w:b w:val="1"/>
                <w:bCs w:val="1"/>
                <w:color w:val="auto"/>
              </w:rPr>
              <w:t>May 29,</w:t>
            </w:r>
          </w:p>
        </w:tc>
        <w:tc>
          <w:tcPr>
            <w:tcW w:w="32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jc w:val="right"/>
              <w:ind w:right="439"/>
              <w:spacing w:after="0" w:line="158" w:lineRule="exact"/>
              <w:rPr>
                <w:sz w:val="20"/>
                <w:szCs w:val="20"/>
                <w:color w:val="auto"/>
              </w:rPr>
            </w:pPr>
            <w:r>
              <w:rPr>
                <w:rFonts w:ascii="Arial" w:cs="Arial" w:eastAsia="Arial" w:hAnsi="Arial"/>
                <w:sz w:val="16"/>
                <w:szCs w:val="16"/>
                <w:b w:val="1"/>
                <w:bCs w:val="1"/>
                <w:color w:val="auto"/>
              </w:rPr>
              <w:t>May 30,</w:t>
            </w:r>
          </w:p>
        </w:tc>
        <w:tc>
          <w:tcPr>
            <w:tcW w:w="10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gridSpan w:val="2"/>
          </w:tcPr>
          <w:p>
            <w:pPr>
              <w:ind w:left="200"/>
              <w:spacing w:after="0" w:line="158" w:lineRule="exact"/>
              <w:rPr>
                <w:sz w:val="20"/>
                <w:szCs w:val="20"/>
                <w:color w:val="auto"/>
              </w:rPr>
            </w:pPr>
            <w:r>
              <w:rPr>
                <w:rFonts w:ascii="Arial" w:cs="Arial" w:eastAsia="Arial" w:hAnsi="Arial"/>
                <w:sz w:val="16"/>
                <w:szCs w:val="16"/>
                <w:b w:val="1"/>
                <w:bCs w:val="1"/>
                <w:color w:val="auto"/>
              </w:rPr>
              <w:t>May 29,</w:t>
            </w:r>
          </w:p>
        </w:tc>
        <w:tc>
          <w:tcPr>
            <w:tcW w:w="32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jc w:val="center"/>
              <w:ind w:right="239"/>
              <w:spacing w:after="0" w:line="158" w:lineRule="exact"/>
              <w:rPr>
                <w:sz w:val="20"/>
                <w:szCs w:val="20"/>
                <w:color w:val="auto"/>
              </w:rPr>
            </w:pPr>
            <w:r>
              <w:rPr>
                <w:rFonts w:ascii="Arial" w:cs="Arial" w:eastAsia="Arial" w:hAnsi="Arial"/>
                <w:sz w:val="16"/>
                <w:szCs w:val="16"/>
                <w:b w:val="1"/>
                <w:bCs w:val="1"/>
                <w:color w:val="auto"/>
              </w:rPr>
              <w:t>May 30,</w:t>
            </w:r>
          </w:p>
        </w:tc>
      </w:tr>
      <w:tr>
        <w:trPr>
          <w:trHeight w:val="216"/>
        </w:trPr>
        <w:tc>
          <w:tcPr>
            <w:tcW w:w="44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(in thousands)</w:t>
            </w:r>
          </w:p>
        </w:tc>
        <w:tc>
          <w:tcPr>
            <w:tcW w:w="3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2020</w:t>
            </w:r>
          </w:p>
        </w:tc>
      </w:tr>
      <w:tr>
        <w:trPr>
          <w:trHeight w:val="209"/>
        </w:trPr>
        <w:tc>
          <w:tcPr>
            <w:tcW w:w="44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Balance at beginning of period</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76,040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60,211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64,031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center"/>
              <w:ind w:left="579"/>
              <w:spacing w:after="0"/>
              <w:rPr>
                <w:sz w:val="20"/>
                <w:szCs w:val="20"/>
                <w:color w:val="auto"/>
              </w:rPr>
            </w:pPr>
            <w:r>
              <w:rPr>
                <w:rFonts w:ascii="Arial" w:cs="Arial" w:eastAsia="Arial" w:hAnsi="Arial"/>
                <w:sz w:val="16"/>
                <w:szCs w:val="16"/>
                <w:color w:val="auto"/>
                <w:w w:val="98"/>
              </w:rPr>
              <w:t>44,436</w:t>
            </w:r>
          </w:p>
        </w:tc>
      </w:tr>
      <w:tr>
        <w:trPr>
          <w:trHeight w:val="216"/>
        </w:trPr>
        <w:tc>
          <w:tcPr>
            <w:tcW w:w="4440" w:type="dxa"/>
            <w:vAlign w:val="bottom"/>
            <w:gridSpan w:val="2"/>
          </w:tcPr>
          <w:p>
            <w:pPr>
              <w:ind w:left="140"/>
              <w:spacing w:after="0" w:line="216" w:lineRule="exact"/>
              <w:rPr>
                <w:sz w:val="20"/>
                <w:szCs w:val="20"/>
                <w:color w:val="auto"/>
              </w:rPr>
            </w:pPr>
            <w:r>
              <w:rPr>
                <w:rFonts w:ascii="Arial" w:cs="Arial" w:eastAsia="Arial" w:hAnsi="Arial"/>
                <w:sz w:val="16"/>
                <w:szCs w:val="16"/>
                <w:color w:val="auto"/>
              </w:rPr>
              <w:t>Business acquisition</w:t>
            </w:r>
            <w:r>
              <w:rPr>
                <w:rFonts w:ascii="Arial" w:cs="Arial" w:eastAsia="Arial" w:hAnsi="Arial"/>
                <w:sz w:val="21"/>
                <w:szCs w:val="21"/>
                <w:color w:val="auto"/>
                <w:vertAlign w:val="superscript"/>
              </w:rPr>
              <w:t>(1)</w:t>
            </w:r>
          </w:p>
        </w:tc>
        <w:tc>
          <w:tcPr>
            <w:tcW w:w="32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300" w:type="dxa"/>
            <w:vAlign w:val="bottom"/>
          </w:tcPr>
          <w:p>
            <w:pPr>
              <w:jc w:val="center"/>
              <w:ind w:left="579"/>
              <w:spacing w:after="0"/>
              <w:rPr>
                <w:sz w:val="20"/>
                <w:szCs w:val="20"/>
                <w:color w:val="auto"/>
              </w:rPr>
            </w:pPr>
            <w:r>
              <w:rPr>
                <w:rFonts w:ascii="Arial" w:cs="Arial" w:eastAsia="Arial" w:hAnsi="Arial"/>
                <w:sz w:val="16"/>
                <w:szCs w:val="16"/>
                <w:color w:val="auto"/>
                <w:w w:val="98"/>
              </w:rPr>
              <w:t>15,147</w:t>
            </w:r>
          </w:p>
        </w:tc>
      </w:tr>
      <w:tr>
        <w:trPr>
          <w:trHeight w:val="216"/>
        </w:trPr>
        <w:tc>
          <w:tcPr>
            <w:tcW w:w="44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Provision</w:t>
            </w: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23,056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13,227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64,986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jc w:val="center"/>
              <w:ind w:left="579"/>
              <w:spacing w:after="0"/>
              <w:rPr>
                <w:sz w:val="20"/>
                <w:szCs w:val="20"/>
                <w:color w:val="auto"/>
              </w:rPr>
            </w:pPr>
            <w:r>
              <w:rPr>
                <w:rFonts w:ascii="Arial" w:cs="Arial" w:eastAsia="Arial" w:hAnsi="Arial"/>
                <w:sz w:val="16"/>
                <w:szCs w:val="16"/>
                <w:color w:val="auto"/>
                <w:w w:val="98"/>
              </w:rPr>
              <w:t>44,274</w:t>
            </w:r>
          </w:p>
        </w:tc>
      </w:tr>
      <w:tr>
        <w:trPr>
          <w:trHeight w:val="213"/>
        </w:trPr>
        <w:tc>
          <w:tcPr>
            <w:tcW w:w="444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Claims paid</w:t>
            </w:r>
          </w:p>
        </w:tc>
        <w:tc>
          <w:tcPr>
            <w:tcW w:w="3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(17,034)</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(12,773)</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(46,955)</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left="559"/>
              <w:spacing w:after="0"/>
              <w:rPr>
                <w:sz w:val="20"/>
                <w:szCs w:val="20"/>
                <w:color w:val="auto"/>
              </w:rPr>
            </w:pPr>
            <w:r>
              <w:rPr>
                <w:rFonts w:ascii="Arial" w:cs="Arial" w:eastAsia="Arial" w:hAnsi="Arial"/>
                <w:sz w:val="16"/>
                <w:szCs w:val="16"/>
                <w:color w:val="auto"/>
              </w:rPr>
              <w:t>(43,192)</w:t>
            </w:r>
          </w:p>
        </w:tc>
      </w:tr>
      <w:tr>
        <w:trPr>
          <w:trHeight w:val="238"/>
        </w:trPr>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Balance at end of period</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82,062</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60,665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82,062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center"/>
              <w:ind w:left="579"/>
              <w:spacing w:after="0"/>
              <w:rPr>
                <w:sz w:val="20"/>
                <w:szCs w:val="20"/>
                <w:color w:val="auto"/>
              </w:rPr>
            </w:pPr>
            <w:r>
              <w:rPr>
                <w:rFonts w:ascii="Arial" w:cs="Arial" w:eastAsia="Arial" w:hAnsi="Arial"/>
                <w:sz w:val="16"/>
                <w:szCs w:val="16"/>
                <w:color w:val="auto"/>
                <w:w w:val="98"/>
              </w:rPr>
              <w:t>60,665</w:t>
            </w:r>
          </w:p>
        </w:tc>
      </w:tr>
      <w:tr>
        <w:trPr>
          <w:trHeight w:val="20"/>
        </w:trPr>
        <w:tc>
          <w:tcPr>
            <w:tcW w:w="1260" w:type="dxa"/>
            <w:vAlign w:val="bottom"/>
            <w:tcBorders>
              <w:top w:val="single" w:sz="8" w:color="CCEEFF"/>
            </w:tcBorders>
          </w:tcPr>
          <w:p>
            <w:pPr>
              <w:spacing w:after="0" w:line="20" w:lineRule="exact"/>
              <w:rPr>
                <w:sz w:val="1"/>
                <w:szCs w:val="1"/>
                <w:color w:val="auto"/>
              </w:rPr>
            </w:pPr>
          </w:p>
        </w:tc>
        <w:tc>
          <w:tcPr>
            <w:tcW w:w="3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113" w:lineRule="exact"/>
        <w:rPr>
          <w:sz w:val="20"/>
          <w:szCs w:val="20"/>
          <w:color w:val="auto"/>
        </w:rPr>
      </w:pPr>
    </w:p>
    <w:p>
      <w:pPr>
        <w:ind w:left="260" w:right="220" w:hanging="252"/>
        <w:spacing w:after="0" w:line="199" w:lineRule="auto"/>
        <w:tabs>
          <w:tab w:leader="none" w:pos="305" w:val="left"/>
        </w:tabs>
        <w:numPr>
          <w:ilvl w:val="0"/>
          <w:numId w:val="3"/>
        </w:numPr>
        <w:rPr>
          <w:rFonts w:ascii="Arial" w:cs="Arial" w:eastAsia="Arial" w:hAnsi="Arial"/>
          <w:sz w:val="21"/>
          <w:szCs w:val="21"/>
          <w:color w:val="auto"/>
          <w:vertAlign w:val="superscript"/>
        </w:rPr>
      </w:pPr>
      <w:r>
        <w:rPr>
          <w:rFonts w:ascii="Arial" w:cs="Arial" w:eastAsia="Arial" w:hAnsi="Arial"/>
          <w:sz w:val="14"/>
          <w:szCs w:val="14"/>
          <w:color w:val="auto"/>
        </w:rPr>
        <w:t>Relates to the acquisition of Newmar on November 8, 2019. See Note 2 to the Consolidated Financial Statements in Item 8 of Part II of the Company's Annual Report on Form 10-K for the fiscal year ended August 29, 2020 for additional acquisition information.</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860" w:type="dxa"/>
            <w:vAlign w:val="bottom"/>
          </w:tcPr>
          <w:p>
            <w:pPr>
              <w:spacing w:after="0"/>
              <w:rPr>
                <w:sz w:val="20"/>
                <w:szCs w:val="20"/>
                <w:color w:val="auto"/>
              </w:rPr>
            </w:pPr>
            <w:r>
              <w:rPr>
                <w:rFonts w:ascii="Arial" w:cs="Arial" w:eastAsia="Arial" w:hAnsi="Arial"/>
                <w:sz w:val="16"/>
                <w:szCs w:val="16"/>
                <w:b w:val="1"/>
                <w:bCs w:val="1"/>
                <w:color w:val="auto"/>
              </w:rPr>
              <w:t>Note 8.  Long-Term Debt</w:t>
            </w:r>
          </w:p>
        </w:tc>
        <w:tc>
          <w:tcPr>
            <w:tcW w:w="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432"/>
        </w:trPr>
        <w:tc>
          <w:tcPr>
            <w:tcW w:w="7860" w:type="dxa"/>
            <w:vAlign w:val="bottom"/>
          </w:tcPr>
          <w:p>
            <w:pPr>
              <w:spacing w:after="0"/>
              <w:rPr>
                <w:sz w:val="20"/>
                <w:szCs w:val="20"/>
                <w:color w:val="auto"/>
              </w:rPr>
            </w:pPr>
            <w:r>
              <w:rPr>
                <w:rFonts w:ascii="Arial" w:cs="Arial" w:eastAsia="Arial" w:hAnsi="Arial"/>
                <w:sz w:val="16"/>
                <w:szCs w:val="16"/>
                <w:color w:val="auto"/>
              </w:rPr>
              <w:t>Long-term debt consists of the following:</w:t>
            </w:r>
          </w:p>
        </w:tc>
        <w:tc>
          <w:tcPr>
            <w:tcW w:w="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82"/>
        </w:trPr>
        <w:tc>
          <w:tcPr>
            <w:tcW w:w="7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20" w:type="dxa"/>
            <w:vAlign w:val="bottom"/>
            <w:gridSpan w:val="2"/>
          </w:tcPr>
          <w:p>
            <w:pPr>
              <w:ind w:left="200"/>
              <w:spacing w:after="0" w:line="181" w:lineRule="exact"/>
              <w:rPr>
                <w:sz w:val="20"/>
                <w:szCs w:val="20"/>
                <w:color w:val="auto"/>
              </w:rPr>
            </w:pPr>
            <w:r>
              <w:rPr>
                <w:rFonts w:ascii="Arial" w:cs="Arial" w:eastAsia="Arial" w:hAnsi="Arial"/>
                <w:sz w:val="16"/>
                <w:szCs w:val="16"/>
                <w:b w:val="1"/>
                <w:bCs w:val="1"/>
                <w:color w:val="auto"/>
              </w:rPr>
              <w:t>May 29,</w:t>
            </w:r>
          </w:p>
        </w:tc>
        <w:tc>
          <w:tcPr>
            <w:tcW w:w="260" w:type="dxa"/>
            <w:vAlign w:val="bottom"/>
          </w:tcPr>
          <w:p>
            <w:pPr>
              <w:spacing w:after="0"/>
              <w:rPr>
                <w:sz w:val="15"/>
                <w:szCs w:val="15"/>
                <w:color w:val="auto"/>
              </w:rPr>
            </w:pPr>
          </w:p>
        </w:tc>
        <w:tc>
          <w:tcPr>
            <w:tcW w:w="1380" w:type="dxa"/>
            <w:vAlign w:val="bottom"/>
          </w:tcPr>
          <w:p>
            <w:pPr>
              <w:jc w:val="right"/>
              <w:ind w:right="319"/>
              <w:spacing w:after="0" w:line="181" w:lineRule="exact"/>
              <w:rPr>
                <w:sz w:val="20"/>
                <w:szCs w:val="20"/>
                <w:color w:val="auto"/>
              </w:rPr>
            </w:pPr>
            <w:r>
              <w:rPr>
                <w:rFonts w:ascii="Arial" w:cs="Arial" w:eastAsia="Arial" w:hAnsi="Arial"/>
                <w:sz w:val="16"/>
                <w:szCs w:val="16"/>
                <w:b w:val="1"/>
                <w:bCs w:val="1"/>
                <w:color w:val="auto"/>
              </w:rPr>
              <w:t>August 29,</w:t>
            </w:r>
          </w:p>
        </w:tc>
      </w:tr>
      <w:tr>
        <w:trPr>
          <w:trHeight w:val="216"/>
        </w:trPr>
        <w:tc>
          <w:tcPr>
            <w:tcW w:w="78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3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2020</w:t>
            </w:r>
          </w:p>
        </w:tc>
      </w:tr>
      <w:tr>
        <w:trPr>
          <w:trHeight w:val="209"/>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ABL Credit Facility</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860" w:type="dxa"/>
            <w:vAlign w:val="bottom"/>
          </w:tcPr>
          <w:p>
            <w:pPr>
              <w:ind w:left="20"/>
              <w:spacing w:after="0"/>
              <w:rPr>
                <w:sz w:val="20"/>
                <w:szCs w:val="20"/>
                <w:color w:val="auto"/>
              </w:rPr>
            </w:pPr>
            <w:r>
              <w:rPr>
                <w:rFonts w:ascii="Arial" w:cs="Arial" w:eastAsia="Arial" w:hAnsi="Arial"/>
                <w:sz w:val="16"/>
                <w:szCs w:val="16"/>
                <w:color w:val="auto"/>
              </w:rPr>
              <w:t>Senior Secured Notes</w:t>
            </w:r>
          </w:p>
        </w:tc>
        <w:tc>
          <w:tcPr>
            <w:tcW w:w="3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300,000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300,000</w:t>
            </w:r>
          </w:p>
        </w:tc>
      </w:tr>
      <w:tr>
        <w:trPr>
          <w:trHeight w:val="216"/>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Convertible Notes</w:t>
            </w:r>
          </w:p>
        </w:tc>
        <w:tc>
          <w:tcPr>
            <w:tcW w:w="3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300,000</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300,000</w:t>
            </w:r>
          </w:p>
        </w:tc>
      </w:tr>
      <w:tr>
        <w:trPr>
          <w:trHeight w:val="209"/>
        </w:trPr>
        <w:tc>
          <w:tcPr>
            <w:tcW w:w="7860" w:type="dxa"/>
            <w:vAlign w:val="bottom"/>
          </w:tcPr>
          <w:p>
            <w:pPr>
              <w:ind w:left="140"/>
              <w:spacing w:after="0"/>
              <w:rPr>
                <w:sz w:val="20"/>
                <w:szCs w:val="20"/>
                <w:color w:val="auto"/>
              </w:rPr>
            </w:pPr>
            <w:r>
              <w:rPr>
                <w:rFonts w:ascii="Arial" w:cs="Arial" w:eastAsia="Arial" w:hAnsi="Arial"/>
                <w:sz w:val="16"/>
                <w:szCs w:val="16"/>
                <w:color w:val="auto"/>
              </w:rPr>
              <w:t>Long-term debt, gross</w:t>
            </w:r>
          </w:p>
        </w:tc>
        <w:tc>
          <w:tcPr>
            <w:tcW w:w="3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600,000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600,000</w:t>
            </w:r>
          </w:p>
        </w:tc>
      </w:tr>
      <w:tr>
        <w:trPr>
          <w:trHeight w:val="219"/>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Convertible Notes unamortized interest discount</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(63,922)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(74,294)</w:t>
            </w:r>
          </w:p>
        </w:tc>
      </w:tr>
      <w:tr>
        <w:trPr>
          <w:trHeight w:val="213"/>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Debt issuance costs, net</w:t>
            </w:r>
          </w:p>
        </w:tc>
        <w:tc>
          <w:tcPr>
            <w:tcW w:w="3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(11,628)</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(13,076)</w:t>
            </w:r>
          </w:p>
        </w:tc>
      </w:tr>
      <w:tr>
        <w:trPr>
          <w:trHeight w:val="238"/>
        </w:trPr>
        <w:tc>
          <w:tcPr>
            <w:tcW w:w="78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Long-term debt, net</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524,450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512,630</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Credit Agreements</w:t>
      </w:r>
    </w:p>
    <w:p>
      <w:pPr>
        <w:spacing w:after="0" w:line="133"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On July 8, 2020, the Company closed its private offering (the “Senior Secured Notes Offering”) of $300,000 aggregate principal amount of 6.25% Senior Secured Notes due 2028 (the “Senior Secured Notes”). The Senior Secured Notes were issued in accordance with an Indenture dated as of July 8, 2020 (the “Indenture”). The Senior Secured Notes will mature on July 15, 2028 unless earlier redeemed or repurchased. Interest on the Senior Secured Notes accrues starting July 8, 2020 and is payable semi-annually in arrears on January 15 and July 15 of each year, which began on January 15, 2021. The Senior Secured Notes and the related guarantees are secured by (i) a first-priority lien on substantially all of the Company’s and the subsidiary guarantor parties' existing and future assets (other than certain collateral under the Company’s ABL facility) and (ii) a second-priority lien on the Company’s present and future receivables, inventory and other related assets and proceeds that secure the ABL facility on a first-priority basis.</w:t>
      </w:r>
    </w:p>
    <w:p>
      <w:pPr>
        <w:spacing w:after="0" w:line="235"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The Indenture limits certain abilities of the Company and its subsidiaries (subject to certain exceptions and qualifications) to incur additional debt and provide additional guarantees; make restricted payments; create or permit certain liens; make certain asset sales; use the proceeds from the sale of assets and subsidiary stock; create or permit restrictions on the ability of the Company’s restricted subsidiaries to pay dividends or make other inter-company distributions; engage in certain transactions with affiliates; designate subsidiaries as unrestricted subsidiaries; and consolidate, merge or transfer all or substantially all of the Company’s assets and the assets of its restricted subsidiaries.</w:t>
      </w:r>
    </w:p>
    <w:p>
      <w:pPr>
        <w:spacing w:after="0" w:line="230"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Debt issuance costs incurred and capitalized are amortized on a straight-line basis over the term of the associated debt agreement. If early principal payments are made on the Senior Secured Notes, a proportional amount of the unamortized debt issuance costs is expensed. As part of the Senior Secured Notes Offering, the Company capitalized $7,493 in debt issuance costs that will be amortized over the eight-year term of the agreement.</w:t>
      </w:r>
    </w:p>
    <w:p>
      <w:pPr>
        <w:spacing w:after="0" w:line="228" w:lineRule="exact"/>
        <w:rPr>
          <w:sz w:val="20"/>
          <w:szCs w:val="20"/>
          <w:color w:val="auto"/>
        </w:rPr>
      </w:pPr>
    </w:p>
    <w:p>
      <w:pPr>
        <w:ind w:right="120"/>
        <w:spacing w:after="0" w:line="250" w:lineRule="auto"/>
        <w:rPr>
          <w:sz w:val="20"/>
          <w:szCs w:val="20"/>
          <w:color w:val="auto"/>
        </w:rPr>
      </w:pPr>
      <w:r>
        <w:rPr>
          <w:rFonts w:ascii="Arial" w:cs="Arial" w:eastAsia="Arial" w:hAnsi="Arial"/>
          <w:sz w:val="16"/>
          <w:szCs w:val="16"/>
          <w:color w:val="auto"/>
        </w:rPr>
        <w:t>On November 8, 2016, the Company entered into an asset-based revolving credit agreement ("ABL") and a loan agreement ("Term Loan") with JPMorgan Chase Bank, N.A. ("JPMorgan Chase"), as administrative agent and certain lenders from time to time party thereto. The remaining principal balance of the Term Loan as of July 8, 2020 was $249,750, which was repaid with the proceeds from the Senior Secured Notes, and debt issuance costs of $4,650 were written off upon repayment. In addition, the interest rate swaps with a liability position of $600 used to hedge the Term Loan interest rates were settled early in July 2020 in conjunction with the Term Loan repayment.</w:t>
      </w:r>
    </w:p>
    <w:p>
      <w:pPr>
        <w:spacing w:after="0" w:line="230" w:lineRule="exact"/>
        <w:rPr>
          <w:sz w:val="20"/>
          <w:szCs w:val="20"/>
          <w:color w:val="auto"/>
        </w:rPr>
      </w:pPr>
    </w:p>
    <w:p>
      <w:pPr>
        <w:ind w:right="200"/>
        <w:spacing w:after="0" w:line="253" w:lineRule="auto"/>
        <w:rPr>
          <w:sz w:val="20"/>
          <w:szCs w:val="20"/>
          <w:color w:val="auto"/>
        </w:rPr>
      </w:pPr>
      <w:r>
        <w:rPr>
          <w:rFonts w:ascii="Arial" w:cs="Arial" w:eastAsia="Arial" w:hAnsi="Arial"/>
          <w:sz w:val="16"/>
          <w:szCs w:val="16"/>
          <w:color w:val="auto"/>
        </w:rPr>
        <w:t>Under the ABL, the Company has a $192,500 credit facility that matures on October 22, 2024 (subject to certain factors which may accelerate the maturity date) on a revolving basis, subject to availability under a borrowing base consisting of eligible accounts receivable and eligible inventory. The ABL is available for issuance of letters of credit to a specified limit of $19,250. The Company</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 w:name="page17"/>
    <w:bookmarkEnd w:id="1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pays a commitment fee of 0.25% on the average daily amount of the facility available, but unused. The Company can elect to base the interest rate on various rates plus specific spreads depending on the amount of borrowings outstanding. If drawn, the Company would pay interest on ABL borrowings at a floating rate based upon LIBOR plus a spread of between 1.25% and 1.75%, depending on the usage of the facility during the most recent quarter. Based on current usage, the Company would pay LIBOR plus 1.25%.</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Convertible Notes</w:t>
      </w:r>
    </w:p>
    <w:p>
      <w:pPr>
        <w:spacing w:after="0" w:line="133" w:lineRule="exact"/>
        <w:rPr>
          <w:sz w:val="20"/>
          <w:szCs w:val="20"/>
          <w:color w:val="auto"/>
        </w:rPr>
      </w:pPr>
    </w:p>
    <w:p>
      <w:pPr>
        <w:ind w:right="140"/>
        <w:spacing w:after="0" w:line="251" w:lineRule="auto"/>
        <w:rPr>
          <w:sz w:val="20"/>
          <w:szCs w:val="20"/>
          <w:color w:val="auto"/>
        </w:rPr>
      </w:pPr>
      <w:r>
        <w:rPr>
          <w:rFonts w:ascii="Arial" w:cs="Arial" w:eastAsia="Arial" w:hAnsi="Arial"/>
          <w:sz w:val="16"/>
          <w:szCs w:val="16"/>
          <w:color w:val="auto"/>
        </w:rPr>
        <w:t>On November 1, 2019, the Company issued $300,000 in aggregate principal amount of 1.5% unsecured convertible senior notes due 2025 (“Convertible Notes”). The net proceeds from the issuance of the Convertible Notes, after deducting the initial purchasers' transaction fees and offering expense payable by the Company, were approximately $290,223. The Convertible Notes bear interest at the annual rate of 1.5%, payable on April 1 and October 1 of each year, beginning on April 1, 2020, and will mature on April 1, 2025, unless earlier converted or repurchased by the Company.</w:t>
      </w:r>
    </w:p>
    <w:p>
      <w:pPr>
        <w:spacing w:after="0" w:line="229"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The Convertible Notes will be convertible into cash, shares of the Company's common stock or a combination thereof, at the election of the Company, at an initial conversion rate of 15.6906 shares of common stock per $1,000 principal amount of Convertible Notes, which is equivalent to an initial conversion price of approximately $63.73 per share, as adjusted pursuant to the terms of the indenture governing the Convertible Notes. The Convertible Notes may be converted at any time on or after October 1, 2024, until the close of business on the second scheduled trading day immediately preceding the maturity date.</w:t>
      </w:r>
    </w:p>
    <w:p>
      <w:pPr>
        <w:spacing w:after="0" w:line="216" w:lineRule="exact"/>
        <w:rPr>
          <w:sz w:val="20"/>
          <w:szCs w:val="20"/>
          <w:color w:val="auto"/>
        </w:rPr>
      </w:pPr>
    </w:p>
    <w:p>
      <w:pPr>
        <w:ind w:right="180"/>
        <w:spacing w:after="0" w:line="235" w:lineRule="auto"/>
        <w:rPr>
          <w:sz w:val="20"/>
          <w:szCs w:val="20"/>
          <w:color w:val="auto"/>
        </w:rPr>
      </w:pPr>
      <w:r>
        <w:rPr>
          <w:rFonts w:ascii="Arial" w:cs="Arial" w:eastAsia="Arial" w:hAnsi="Arial"/>
          <w:sz w:val="16"/>
          <w:szCs w:val="16"/>
          <w:color w:val="auto"/>
        </w:rPr>
        <w:t>The conversion rate of the Convertible Notes may be adjusted in certain circumstances, including in connection with a conversion of the Convertible Notes made following certain fundamental changes and under other circumstances set forth in the indenture. It is the Company's current intent to settle all conversions of the Convertible Notes through settlement of cash. The Company’s ability to cash settle may be limited depending on the stock price at the time of conversion.</w:t>
      </w:r>
    </w:p>
    <w:p>
      <w:pPr>
        <w:spacing w:after="0" w:line="238"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Prior to the close of business on the business day immediately preceding October 1, 2024, the Convertible Notes will be convertible only under the following circumstances:</w:t>
      </w:r>
    </w:p>
    <w:p>
      <w:pPr>
        <w:spacing w:after="0" w:line="222" w:lineRule="exact"/>
        <w:rPr>
          <w:sz w:val="20"/>
          <w:szCs w:val="20"/>
          <w:color w:val="auto"/>
        </w:rPr>
      </w:pPr>
    </w:p>
    <w:p>
      <w:pPr>
        <w:ind w:left="660" w:right="120" w:hanging="328"/>
        <w:spacing w:after="0" w:line="253"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during any fiscal quarter commencing after December 31, 2019 if the closing sale price of the common stock is more than 130% of the applicable conversion price on each applicable trading day for at least 20 trading days (whether or not consecutive) during a period of 30 consecutive trading days ending on, and including, the last trading day of the immediately preceding calendar quarter;</w:t>
      </w:r>
    </w:p>
    <w:p>
      <w:pPr>
        <w:spacing w:after="0" w:line="93" w:lineRule="exact"/>
        <w:rPr>
          <w:rFonts w:ascii="Arial" w:cs="Arial" w:eastAsia="Arial" w:hAnsi="Arial"/>
          <w:sz w:val="16"/>
          <w:szCs w:val="16"/>
          <w:color w:val="auto"/>
        </w:rPr>
      </w:pPr>
    </w:p>
    <w:p>
      <w:pPr>
        <w:ind w:left="660" w:right="80" w:hanging="328"/>
        <w:spacing w:after="0" w:line="253"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during the five consecutive business day period after any five consecutive trading day period (the "measurement period") in which the trading price per $1,000 principal amount of Convertible Notes for each trading day of the measurement period was less than 98% of the product of the last reported sale price of the common stock and the conversion rate for the Convertible Notes on each such trading day; or</w:t>
      </w:r>
    </w:p>
    <w:p>
      <w:pPr>
        <w:spacing w:after="0" w:line="93" w:lineRule="exact"/>
        <w:rPr>
          <w:rFonts w:ascii="Arial" w:cs="Arial" w:eastAsia="Arial" w:hAnsi="Arial"/>
          <w:sz w:val="16"/>
          <w:szCs w:val="16"/>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upon the occurrence of certain specified corporate events set forth in the indenture.</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The Company may not redeem the Convertible Notes at its option prior to the maturity date, and no sinking fund is provided for the Convertible Notes.</w:t>
      </w:r>
    </w:p>
    <w:p>
      <w:pPr>
        <w:spacing w:after="0" w:line="248" w:lineRule="exact"/>
        <w:rPr>
          <w:sz w:val="20"/>
          <w:szCs w:val="20"/>
          <w:color w:val="auto"/>
        </w:rPr>
      </w:pPr>
    </w:p>
    <w:p>
      <w:pPr>
        <w:ind w:right="80"/>
        <w:spacing w:after="0" w:line="249" w:lineRule="auto"/>
        <w:rPr>
          <w:sz w:val="20"/>
          <w:szCs w:val="20"/>
          <w:color w:val="auto"/>
        </w:rPr>
      </w:pPr>
      <w:r>
        <w:rPr>
          <w:rFonts w:ascii="Arial" w:cs="Arial" w:eastAsia="Arial" w:hAnsi="Arial"/>
          <w:sz w:val="16"/>
          <w:szCs w:val="16"/>
          <w:color w:val="auto"/>
        </w:rPr>
        <w:t>On October 29, 2019 and October 30, 2019, in connection with the offering of the Convertible Notes, the Company entered into privately negotiated convertible note hedge transactions (collectively, the “Hedge Transactions”) that cover, subject to customary anti-dilution adjustments, the number of shares of the Company's common stock that initially underlie the Convertible Notes, and are expected generally to reduce the potential dilution and/or offset any cash payments the Company is required to make in excess of the principal amount due, as the case may be, upon conversion of the Convertible Notes in the event that the market price of the Company's common stock is greater than the strike price of the Hedge Transactions, which was initially $63.73 per share (subject to adjustment under the terms of the Hedge Transactions), corresponding to the initial conversion price of the Convertible Notes.</w:t>
      </w:r>
    </w:p>
    <w:p>
      <w:pPr>
        <w:spacing w:after="0" w:line="232" w:lineRule="exact"/>
        <w:rPr>
          <w:sz w:val="20"/>
          <w:szCs w:val="20"/>
          <w:color w:val="auto"/>
        </w:rPr>
      </w:pPr>
    </w:p>
    <w:p>
      <w:pPr>
        <w:ind w:right="160"/>
        <w:spacing w:after="0" w:line="248" w:lineRule="auto"/>
        <w:rPr>
          <w:sz w:val="20"/>
          <w:szCs w:val="20"/>
          <w:color w:val="auto"/>
        </w:rPr>
      </w:pPr>
      <w:r>
        <w:rPr>
          <w:rFonts w:ascii="Arial" w:cs="Arial" w:eastAsia="Arial" w:hAnsi="Arial"/>
          <w:sz w:val="16"/>
          <w:szCs w:val="16"/>
          <w:color w:val="auto"/>
        </w:rPr>
        <w:t>On October 29, 2019 and October 30, 2019, the Company also entered into privately negotiated warrant transactions (collectively, the “Warrant Transactions” and, together with the Hedge Transactions, the “Call Spread Transactions”), whereby the Company sold warrants at a higher strike price relating to the same number of shares of the Company's common stock that initially underlie the Convertible Notes, subject to customary anti-dilution adjustments. The initial strike price of the warrants is $96.20 per share (subject to adjustment under the terms of the Warrant Transactions), which is 100% above the last reported sale price of the Company's common stock on October 29, 2019. The Warrant Transactions could have a dilutive effect to the Company's shareholders to the extent that the market price per share of the Company's common stock, as measured under the terms of the Warrant Transactions, exceeds the applicable strike price of the warrants.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The Company used $28,590 of the net proceeds from the issuance of the Convertible Notes to pay the cost of the Call Spread Transactions.</w:t>
      </w:r>
    </w:p>
    <w:p>
      <w:pPr>
        <w:spacing w:after="0" w:line="194" w:lineRule="exact"/>
        <w:rPr>
          <w:sz w:val="20"/>
          <w:szCs w:val="20"/>
          <w:color w:val="auto"/>
        </w:rPr>
      </w:pPr>
    </w:p>
    <w:p>
      <w:pPr>
        <w:ind w:right="180"/>
        <w:spacing w:after="0" w:line="253" w:lineRule="auto"/>
        <w:rPr>
          <w:sz w:val="20"/>
          <w:szCs w:val="20"/>
          <w:color w:val="auto"/>
        </w:rPr>
      </w:pPr>
      <w:r>
        <w:rPr>
          <w:rFonts w:ascii="Arial" w:cs="Arial" w:eastAsia="Arial" w:hAnsi="Arial"/>
          <w:sz w:val="16"/>
          <w:szCs w:val="16"/>
          <w:color w:val="auto"/>
        </w:rPr>
        <w:t>The Hedge Transactions and the Warrant Transactions are separate transactions, in each case, and are not part of the terms of the Convertible Notes and will not affect any holder’s rights under the Convertible Notes. Holders of the Convertible Notes will not have any rights with respect to the Call Spread Transactions.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 w:right="359" w:bottom="1440" w:gutter="0" w:footer="0" w:header="0"/>
        </w:sectPr>
      </w:pPr>
    </w:p>
    <w:bookmarkStart w:id="17" w:name="page18"/>
    <w:bookmarkEnd w:id="1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Accounting Treatment of the Convertible Notes and Related Hedge Transactions and Warrant Transactions</w:t>
      </w:r>
    </w:p>
    <w:p>
      <w:pPr>
        <w:spacing w:after="0" w:line="75"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color w:val="auto"/>
        </w:rPr>
        <w:t>The Call Spread Transactions were classified as equity. The Company bifurcated the proceeds from the offering of the Convertible Notes between liability and equity components. On the date of issuance, the liability and equity components were calculated to be approximately $214,979 and $85,021, respectively. The initial $214,979 liability component was determined based on the fair value of similar debt instruments excluding the conversion feature assuming a hypothetical interest rate of 8%. The initial $85,021 ($64,106 net of tax) equity component represents the difference between the fair value of the initial $214,979 in debt and the $300,000 of gross proceeds. The related initial debt discount of $85,021 is being amortized over the life of the Convertible Notes as non-cash interest expense using the effective interest method.</w:t>
      </w:r>
    </w:p>
    <w:p>
      <w:pPr>
        <w:spacing w:after="0" w:line="232"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In connection with the above-noted transactions, the Company incurred approximately $9,777 of offering-related costs. These offering fees were allocated to the liability and equity components in proportion to the allocation of proceeds and accounted for as debt and equity issuance costs, respectively. The Company allocated $7,006 of debt issuance costs to the liability component, which were capitalized as deferred financing costs within long-term debt on the Consolidated Balance Sheets. These costs are being amortized as interest expense over the term of the debt using the effective interest method. The remaining $2,771 of transaction costs allocated to the equity component were recorded as a reduction of the equity component.</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Fair Value and Future Maturities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As of May 29, 2021 and August 29, 2020, the fair value of long-term debt, gross, was $729,954 and $674,709, respectively.</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860" w:type="dxa"/>
            <w:vAlign w:val="bottom"/>
          </w:tcPr>
          <w:p>
            <w:pPr>
              <w:spacing w:after="0"/>
              <w:rPr>
                <w:sz w:val="20"/>
                <w:szCs w:val="20"/>
                <w:color w:val="auto"/>
              </w:rPr>
            </w:pPr>
            <w:r>
              <w:rPr>
                <w:rFonts w:ascii="Arial" w:cs="Arial" w:eastAsia="Arial" w:hAnsi="Arial"/>
                <w:sz w:val="16"/>
                <w:szCs w:val="16"/>
                <w:color w:val="auto"/>
              </w:rPr>
              <w:t>Aggregate contractual maturities of debt in future fiscal years are as follows:</w:t>
            </w:r>
          </w:p>
        </w:tc>
        <w:tc>
          <w:tcPr>
            <w:tcW w:w="3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78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3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179"/>
              <w:spacing w:after="0"/>
              <w:rPr>
                <w:sz w:val="20"/>
                <w:szCs w:val="20"/>
                <w:color w:val="auto"/>
              </w:rPr>
            </w:pPr>
            <w:r>
              <w:rPr>
                <w:rFonts w:ascii="Arial" w:cs="Arial" w:eastAsia="Arial" w:hAnsi="Arial"/>
                <w:sz w:val="16"/>
                <w:szCs w:val="16"/>
                <w:b w:val="1"/>
                <w:bCs w:val="1"/>
                <w:color w:val="auto"/>
                <w:w w:val="99"/>
              </w:rPr>
              <w:t>Amount</w:t>
            </w:r>
          </w:p>
        </w:tc>
        <w:tc>
          <w:tcPr>
            <w:tcW w:w="0" w:type="dxa"/>
            <w:vAlign w:val="bottom"/>
          </w:tcPr>
          <w:p>
            <w:pPr>
              <w:spacing w:after="0"/>
              <w:rPr>
                <w:sz w:val="1"/>
                <w:szCs w:val="1"/>
                <w:color w:val="auto"/>
              </w:rPr>
            </w:pPr>
          </w:p>
        </w:tc>
      </w:tr>
      <w:tr>
        <w:trPr>
          <w:trHeight w:val="212"/>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Remainder of Fiscal 2021</w:t>
            </w: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860" w:type="dxa"/>
            <w:vAlign w:val="bottom"/>
          </w:tcPr>
          <w:p>
            <w:pPr>
              <w:ind w:left="20"/>
              <w:spacing w:after="0"/>
              <w:rPr>
                <w:sz w:val="20"/>
                <w:szCs w:val="20"/>
                <w:color w:val="auto"/>
              </w:rPr>
            </w:pPr>
            <w:r>
              <w:rPr>
                <w:rFonts w:ascii="Arial" w:cs="Arial" w:eastAsia="Arial" w:hAnsi="Arial"/>
                <w:sz w:val="16"/>
                <w:szCs w:val="16"/>
                <w:color w:val="auto"/>
              </w:rPr>
              <w:t>Fiscal 2022</w:t>
            </w:r>
          </w:p>
        </w:tc>
        <w:tc>
          <w:tcPr>
            <w:tcW w:w="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Fiscal 2023</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860" w:type="dxa"/>
            <w:vAlign w:val="bottom"/>
          </w:tcPr>
          <w:p>
            <w:pPr>
              <w:ind w:left="20"/>
              <w:spacing w:after="0"/>
              <w:rPr>
                <w:sz w:val="20"/>
                <w:szCs w:val="20"/>
                <w:color w:val="auto"/>
              </w:rPr>
            </w:pPr>
            <w:r>
              <w:rPr>
                <w:rFonts w:ascii="Arial" w:cs="Arial" w:eastAsia="Arial" w:hAnsi="Arial"/>
                <w:sz w:val="16"/>
                <w:szCs w:val="16"/>
                <w:color w:val="auto"/>
              </w:rPr>
              <w:t>Fiscal 2024</w:t>
            </w:r>
          </w:p>
        </w:tc>
        <w:tc>
          <w:tcPr>
            <w:tcW w:w="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Fiscal 2025</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300,000</w:t>
            </w:r>
          </w:p>
        </w:tc>
        <w:tc>
          <w:tcPr>
            <w:tcW w:w="0" w:type="dxa"/>
            <w:vAlign w:val="bottom"/>
          </w:tcPr>
          <w:p>
            <w:pPr>
              <w:spacing w:after="0"/>
              <w:rPr>
                <w:sz w:val="1"/>
                <w:szCs w:val="1"/>
                <w:color w:val="auto"/>
              </w:rPr>
            </w:pPr>
          </w:p>
        </w:tc>
      </w:tr>
      <w:tr>
        <w:trPr>
          <w:trHeight w:val="213"/>
        </w:trPr>
        <w:tc>
          <w:tcPr>
            <w:tcW w:w="7860" w:type="dxa"/>
            <w:vAlign w:val="bottom"/>
          </w:tcPr>
          <w:p>
            <w:pPr>
              <w:ind w:left="20"/>
              <w:spacing w:after="0"/>
              <w:rPr>
                <w:sz w:val="20"/>
                <w:szCs w:val="20"/>
                <w:color w:val="auto"/>
              </w:rPr>
            </w:pPr>
            <w:r>
              <w:rPr>
                <w:rFonts w:ascii="Arial" w:cs="Arial" w:eastAsia="Arial" w:hAnsi="Arial"/>
                <w:sz w:val="16"/>
                <w:szCs w:val="16"/>
                <w:color w:val="auto"/>
              </w:rPr>
              <w:t>Fiscal 2026</w:t>
            </w:r>
          </w:p>
        </w:tc>
        <w:tc>
          <w:tcPr>
            <w:tcW w:w="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Thereafter</w:t>
            </w: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300,000</w:t>
            </w:r>
          </w:p>
        </w:tc>
        <w:tc>
          <w:tcPr>
            <w:tcW w:w="0" w:type="dxa"/>
            <w:vAlign w:val="bottom"/>
          </w:tcPr>
          <w:p>
            <w:pPr>
              <w:spacing w:after="0"/>
              <w:rPr>
                <w:sz w:val="1"/>
                <w:szCs w:val="1"/>
                <w:color w:val="auto"/>
              </w:rPr>
            </w:pPr>
          </w:p>
        </w:tc>
      </w:tr>
      <w:tr>
        <w:trPr>
          <w:trHeight w:val="213"/>
        </w:trPr>
        <w:tc>
          <w:tcPr>
            <w:tcW w:w="7860" w:type="dxa"/>
            <w:vAlign w:val="bottom"/>
          </w:tcPr>
          <w:p>
            <w:pPr>
              <w:ind w:left="140"/>
              <w:spacing w:after="0"/>
              <w:rPr>
                <w:sz w:val="20"/>
                <w:szCs w:val="20"/>
                <w:color w:val="auto"/>
              </w:rPr>
            </w:pPr>
            <w:r>
              <w:rPr>
                <w:rFonts w:ascii="Arial" w:cs="Arial" w:eastAsia="Arial" w:hAnsi="Arial"/>
                <w:sz w:val="16"/>
                <w:szCs w:val="16"/>
                <w:color w:val="auto"/>
              </w:rPr>
              <w:t>Total Senior Secured Notes and Convertible Notes</w:t>
            </w:r>
          </w:p>
        </w:tc>
        <w:tc>
          <w:tcPr>
            <w:tcW w:w="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600,000</w:t>
            </w:r>
          </w:p>
        </w:tc>
        <w:tc>
          <w:tcPr>
            <w:tcW w:w="0" w:type="dxa"/>
            <w:vAlign w:val="bottom"/>
          </w:tcPr>
          <w:p>
            <w:pPr>
              <w:spacing w:after="0"/>
              <w:rPr>
                <w:sz w:val="1"/>
                <w:szCs w:val="1"/>
                <w:color w:val="auto"/>
              </w:rPr>
            </w:pPr>
          </w:p>
        </w:tc>
      </w:tr>
      <w:tr>
        <w:trPr>
          <w:trHeight w:val="20"/>
        </w:trPr>
        <w:tc>
          <w:tcPr>
            <w:tcW w:w="7860" w:type="dxa"/>
            <w:vAlign w:val="bottom"/>
            <w:vMerge w:val="restart"/>
          </w:tcPr>
          <w:p>
            <w:pPr>
              <w:spacing w:after="0"/>
              <w:rPr>
                <w:sz w:val="20"/>
                <w:szCs w:val="20"/>
                <w:color w:val="auto"/>
              </w:rPr>
            </w:pPr>
            <w:r>
              <w:rPr>
                <w:rFonts w:ascii="Arial" w:cs="Arial" w:eastAsia="Arial" w:hAnsi="Arial"/>
                <w:sz w:val="16"/>
                <w:szCs w:val="16"/>
                <w:b w:val="1"/>
                <w:bCs w:val="1"/>
                <w:color w:val="auto"/>
              </w:rPr>
              <w:t>Note 9.  Employee and Retiree Benefits</w:t>
            </w:r>
          </w:p>
        </w:tc>
        <w:tc>
          <w:tcPr>
            <w:tcW w:w="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1"/>
        </w:trPr>
        <w:tc>
          <w:tcPr>
            <w:tcW w:w="78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860" w:type="dxa"/>
            <w:vAlign w:val="bottom"/>
          </w:tcPr>
          <w:p>
            <w:pPr>
              <w:spacing w:after="0"/>
              <w:rPr>
                <w:sz w:val="20"/>
                <w:szCs w:val="20"/>
                <w:color w:val="auto"/>
              </w:rPr>
            </w:pPr>
            <w:r>
              <w:rPr>
                <w:rFonts w:ascii="Arial" w:cs="Arial" w:eastAsia="Arial" w:hAnsi="Arial"/>
                <w:sz w:val="16"/>
                <w:szCs w:val="16"/>
                <w:color w:val="auto"/>
              </w:rPr>
              <w:t>Deferred compensation liabilities are as follows:</w:t>
            </w:r>
          </w:p>
        </w:tc>
        <w:tc>
          <w:tcPr>
            <w:tcW w:w="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78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 thousands)</w:t>
            </w:r>
          </w:p>
        </w:tc>
        <w:tc>
          <w:tcPr>
            <w:tcW w:w="320" w:type="dxa"/>
            <w:vAlign w:val="bottom"/>
          </w:tcPr>
          <w:p>
            <w:pPr>
              <w:spacing w:after="0"/>
              <w:rPr>
                <w:sz w:val="15"/>
                <w:szCs w:val="15"/>
                <w:color w:val="auto"/>
              </w:rPr>
            </w:pPr>
          </w:p>
        </w:tc>
        <w:tc>
          <w:tcPr>
            <w:tcW w:w="1420" w:type="dxa"/>
            <w:vAlign w:val="bottom"/>
            <w:gridSpan w:val="2"/>
          </w:tcPr>
          <w:p>
            <w:pPr>
              <w:ind w:left="200"/>
              <w:spacing w:after="0" w:line="181" w:lineRule="exact"/>
              <w:rPr>
                <w:sz w:val="20"/>
                <w:szCs w:val="20"/>
                <w:color w:val="auto"/>
              </w:rPr>
            </w:pPr>
            <w:r>
              <w:rPr>
                <w:rFonts w:ascii="Arial" w:cs="Arial" w:eastAsia="Arial" w:hAnsi="Arial"/>
                <w:sz w:val="16"/>
                <w:szCs w:val="16"/>
                <w:b w:val="1"/>
                <w:bCs w:val="1"/>
                <w:color w:val="auto"/>
              </w:rPr>
              <w:t>May 29,</w:t>
            </w:r>
          </w:p>
        </w:tc>
        <w:tc>
          <w:tcPr>
            <w:tcW w:w="260" w:type="dxa"/>
            <w:vAlign w:val="bottom"/>
          </w:tcPr>
          <w:p>
            <w:pPr>
              <w:spacing w:after="0"/>
              <w:rPr>
                <w:sz w:val="15"/>
                <w:szCs w:val="15"/>
                <w:color w:val="auto"/>
              </w:rPr>
            </w:pPr>
          </w:p>
        </w:tc>
        <w:tc>
          <w:tcPr>
            <w:tcW w:w="1380" w:type="dxa"/>
            <w:vAlign w:val="bottom"/>
          </w:tcPr>
          <w:p>
            <w:pPr>
              <w:jc w:val="center"/>
              <w:ind w:right="179"/>
              <w:spacing w:after="0" w:line="181" w:lineRule="exact"/>
              <w:rPr>
                <w:sz w:val="20"/>
                <w:szCs w:val="20"/>
                <w:color w:val="auto"/>
              </w:rPr>
            </w:pPr>
            <w:r>
              <w:rPr>
                <w:rFonts w:ascii="Arial" w:cs="Arial" w:eastAsia="Arial" w:hAnsi="Arial"/>
                <w:sz w:val="16"/>
                <w:szCs w:val="16"/>
                <w:b w:val="1"/>
                <w:bCs w:val="1"/>
                <w:color w:val="auto"/>
              </w:rPr>
              <w:t>August 29,</w:t>
            </w:r>
          </w:p>
        </w:tc>
        <w:tc>
          <w:tcPr>
            <w:tcW w:w="0" w:type="dxa"/>
            <w:vAlign w:val="bottom"/>
          </w:tcPr>
          <w:p>
            <w:pPr>
              <w:spacing w:after="0"/>
              <w:rPr>
                <w:sz w:val="1"/>
                <w:szCs w:val="1"/>
                <w:color w:val="auto"/>
              </w:rPr>
            </w:pPr>
          </w:p>
        </w:tc>
      </w:tr>
      <w:tr>
        <w:trPr>
          <w:trHeight w:val="215"/>
        </w:trPr>
        <w:tc>
          <w:tcPr>
            <w:tcW w:w="7860" w:type="dxa"/>
            <w:vAlign w:val="bottom"/>
            <w:tcBorders>
              <w:bottom w:val="single" w:sz="8" w:color="auto"/>
            </w:tcBorders>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ind w:right="17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10"/>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Non-qualified deferred compensation</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10,157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11,460</w:t>
            </w:r>
          </w:p>
        </w:tc>
        <w:tc>
          <w:tcPr>
            <w:tcW w:w="0" w:type="dxa"/>
            <w:vAlign w:val="bottom"/>
          </w:tcPr>
          <w:p>
            <w:pPr>
              <w:spacing w:after="0"/>
              <w:rPr>
                <w:sz w:val="1"/>
                <w:szCs w:val="1"/>
                <w:color w:val="auto"/>
              </w:rPr>
            </w:pPr>
          </w:p>
        </w:tc>
      </w:tr>
      <w:tr>
        <w:trPr>
          <w:trHeight w:val="213"/>
        </w:trPr>
        <w:tc>
          <w:tcPr>
            <w:tcW w:w="7860" w:type="dxa"/>
            <w:vAlign w:val="bottom"/>
          </w:tcPr>
          <w:p>
            <w:pPr>
              <w:ind w:left="20"/>
              <w:spacing w:after="0"/>
              <w:rPr>
                <w:sz w:val="20"/>
                <w:szCs w:val="20"/>
                <w:color w:val="auto"/>
              </w:rPr>
            </w:pPr>
            <w:r>
              <w:rPr>
                <w:rFonts w:ascii="Arial" w:cs="Arial" w:eastAsia="Arial" w:hAnsi="Arial"/>
                <w:sz w:val="16"/>
                <w:szCs w:val="16"/>
                <w:color w:val="auto"/>
              </w:rPr>
              <w:t>Supplemental executive retirement plan</w:t>
            </w:r>
          </w:p>
        </w:tc>
        <w:tc>
          <w:tcPr>
            <w:tcW w:w="3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1,601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1,838</w:t>
            </w: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Executive deferred compensation plan</w:t>
            </w:r>
          </w:p>
        </w:tc>
        <w:tc>
          <w:tcPr>
            <w:tcW w:w="3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1,004</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710</w:t>
            </w:r>
          </w:p>
        </w:tc>
        <w:tc>
          <w:tcPr>
            <w:tcW w:w="0" w:type="dxa"/>
            <w:vAlign w:val="bottom"/>
          </w:tcPr>
          <w:p>
            <w:pPr>
              <w:spacing w:after="0"/>
              <w:rPr>
                <w:sz w:val="1"/>
                <w:szCs w:val="1"/>
                <w:color w:val="auto"/>
              </w:rPr>
            </w:pPr>
          </w:p>
        </w:tc>
      </w:tr>
      <w:tr>
        <w:trPr>
          <w:trHeight w:val="209"/>
        </w:trPr>
        <w:tc>
          <w:tcPr>
            <w:tcW w:w="7860" w:type="dxa"/>
            <w:vAlign w:val="bottom"/>
          </w:tcPr>
          <w:p>
            <w:pPr>
              <w:ind w:left="140"/>
              <w:spacing w:after="0"/>
              <w:rPr>
                <w:sz w:val="20"/>
                <w:szCs w:val="20"/>
                <w:color w:val="auto"/>
              </w:rPr>
            </w:pPr>
            <w:r>
              <w:rPr>
                <w:rFonts w:ascii="Arial" w:cs="Arial" w:eastAsia="Arial" w:hAnsi="Arial"/>
                <w:sz w:val="16"/>
                <w:szCs w:val="16"/>
                <w:color w:val="auto"/>
              </w:rPr>
              <w:t>Deferred compensation benefits</w:t>
            </w:r>
          </w:p>
        </w:tc>
        <w:tc>
          <w:tcPr>
            <w:tcW w:w="3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12,762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14,008</w:t>
            </w: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Less current portion</w:t>
            </w:r>
            <w:r>
              <w:rPr>
                <w:rFonts w:ascii="Arial" w:cs="Arial" w:eastAsia="Arial" w:hAnsi="Arial"/>
                <w:sz w:val="21"/>
                <w:szCs w:val="21"/>
                <w:color w:val="auto"/>
                <w:vertAlign w:val="superscript"/>
              </w:rPr>
              <w:t>(1)</w:t>
            </w:r>
          </w:p>
        </w:tc>
        <w:tc>
          <w:tcPr>
            <w:tcW w:w="3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2,842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2,878</w:t>
            </w:r>
          </w:p>
        </w:tc>
        <w:tc>
          <w:tcPr>
            <w:tcW w:w="0" w:type="dxa"/>
            <w:vAlign w:val="bottom"/>
          </w:tcPr>
          <w:p>
            <w:pPr>
              <w:spacing w:after="0"/>
              <w:rPr>
                <w:sz w:val="1"/>
                <w:szCs w:val="1"/>
                <w:color w:val="auto"/>
              </w:rPr>
            </w:pPr>
          </w:p>
        </w:tc>
      </w:tr>
      <w:tr>
        <w:trPr>
          <w:trHeight w:val="210"/>
        </w:trPr>
        <w:tc>
          <w:tcPr>
            <w:tcW w:w="7860" w:type="dxa"/>
            <w:vAlign w:val="bottom"/>
          </w:tcPr>
          <w:p>
            <w:pPr>
              <w:ind w:left="140"/>
              <w:spacing w:after="0"/>
              <w:rPr>
                <w:sz w:val="20"/>
                <w:szCs w:val="20"/>
                <w:color w:val="auto"/>
              </w:rPr>
            </w:pPr>
            <w:r>
              <w:rPr>
                <w:rFonts w:ascii="Arial" w:cs="Arial" w:eastAsia="Arial" w:hAnsi="Arial"/>
                <w:sz w:val="16"/>
                <w:szCs w:val="16"/>
                <w:color w:val="auto"/>
              </w:rPr>
              <w:t>Deferred compensation benefits, net of current portion</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9,920</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11,130</w:t>
            </w: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21"/>
          <w:szCs w:val="21"/>
          <w:color w:val="auto"/>
          <w:vertAlign w:val="superscript"/>
        </w:rPr>
        <w:t>(1)</w:t>
      </w:r>
      <w:r>
        <w:rPr>
          <w:rFonts w:ascii="Arial" w:cs="Arial" w:eastAsia="Arial" w:hAnsi="Arial"/>
          <w:sz w:val="14"/>
          <w:szCs w:val="14"/>
          <w:color w:val="auto"/>
        </w:rPr>
        <w:t xml:space="preserve"> Included in accrued compensation on the Consolidated Balance Sheets.</w:t>
      </w:r>
    </w:p>
    <w:p>
      <w:pPr>
        <w:spacing w:after="0" w:line="160" w:lineRule="exact"/>
        <w:rPr>
          <w:sz w:val="20"/>
          <w:szCs w:val="20"/>
          <w:color w:val="auto"/>
        </w:rPr>
      </w:pPr>
    </w:p>
    <w:p>
      <w:pPr>
        <w:spacing w:after="0"/>
        <w:tabs>
          <w:tab w:leader="none" w:pos="840" w:val="left"/>
        </w:tabs>
        <w:rPr>
          <w:sz w:val="20"/>
          <w:szCs w:val="20"/>
          <w:color w:val="auto"/>
        </w:rPr>
      </w:pPr>
      <w:r>
        <w:rPr>
          <w:rFonts w:ascii="Arial" w:cs="Arial" w:eastAsia="Arial" w:hAnsi="Arial"/>
          <w:sz w:val="16"/>
          <w:szCs w:val="16"/>
          <w:b w:val="1"/>
          <w:bCs w:val="1"/>
          <w:color w:val="auto"/>
        </w:rPr>
        <w:t>Note 10.</w:t>
        <w:tab/>
        <w:t>Contingent Liabilities and Commitments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Repurchase Commitments</w:t>
      </w:r>
    </w:p>
    <w:p>
      <w:pPr>
        <w:spacing w:after="0" w:line="133" w:lineRule="exact"/>
        <w:rPr>
          <w:sz w:val="20"/>
          <w:szCs w:val="20"/>
          <w:color w:val="auto"/>
        </w:rPr>
      </w:pPr>
    </w:p>
    <w:p>
      <w:pPr>
        <w:jc w:val="both"/>
        <w:ind w:right="100"/>
        <w:spacing w:after="0" w:line="253" w:lineRule="auto"/>
        <w:rPr>
          <w:sz w:val="20"/>
          <w:szCs w:val="20"/>
          <w:color w:val="auto"/>
        </w:rPr>
      </w:pPr>
      <w:r>
        <w:rPr>
          <w:rFonts w:ascii="Arial" w:cs="Arial" w:eastAsia="Arial" w:hAnsi="Arial"/>
          <w:sz w:val="16"/>
          <w:szCs w:val="16"/>
          <w:color w:val="auto"/>
        </w:rPr>
        <w:t>Generally, manufacturers in the same industries as the Company enter into repurchase agreements with lending institutions which have provided wholesale floorplan financing to dealers. Most dealers are financed on a "floorplan" basis under which a bank or finance company lends the dealer all, or substantially all, of the purchase price, collateralized by a security interest in the units purchased.</w:t>
      </w:r>
    </w:p>
    <w:p>
      <w:pPr>
        <w:spacing w:after="0" w:line="228"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auto"/>
        </w:rPr>
        <w:t>The Company's repurchase agreements generally provide that, in the event of default by the dealer on the agreement to pay the lending institution, the Company will repurchase the financed merchandise. The terms of these agreements, which generally can last up to 24 months, provide that the Company's liability will be the lesser of remaining principal owed by the dealer to the lending institution, or dealer invoice less periodic reductions based on the time since the date of the original invoice. The Company's liability</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8" w:name="page19"/>
    <w:bookmarkEnd w:id="1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60"/>
        <w:spacing w:after="0" w:line="251" w:lineRule="auto"/>
        <w:rPr>
          <w:sz w:val="20"/>
          <w:szCs w:val="20"/>
          <w:color w:val="auto"/>
        </w:rPr>
      </w:pPr>
      <w:r>
        <w:rPr>
          <w:rFonts w:ascii="Arial" w:cs="Arial" w:eastAsia="Arial" w:hAnsi="Arial"/>
          <w:sz w:val="16"/>
          <w:szCs w:val="16"/>
          <w:color w:val="auto"/>
        </w:rPr>
        <w:t>cannot exceed 100% of the dealer invoice. In certain instances, the Company also repurchases inventory from dealers due to state law or regulatory requirements that govern voluntary or involuntary relationship terminations. Although laws vary from state to state, some states have laws in place that require manufacturers of recreational vehicles or boats to repurchase current inventory if a dealership exits the business. The total contingent liability on all repurchase agreements of the Company was approximately $739,966 and $798,906 at May 29, 2021 and August 29, 2020, respectively.</w:t>
      </w:r>
    </w:p>
    <w:p>
      <w:pPr>
        <w:spacing w:after="0" w:line="229"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Repurchased sales are not recorded as a revenue transaction, rather the net difference between the original repurchase price and the resale price is recorded against the loss reserve, which is a deduction from gross revenue. The Company's loss reserve for repurchase commitments contains uncertainties because the calculation requires management to make assumptions and apply judgment regarding a number of factors. The Company's risk of loss related to these repurchase commitments is significantly reduced by the potential resale value of any products that are subject to repurchase and is spread over numerous dealers and lenders. The aggregate contingent liability related to the Company's repurchase agreements represents all financed dealer inventory at the period-end reporting date subject to a repurchase agreement, net of the greater of periodic reductions per the agreement or dealer principal payments. Based on these repurchase agreements and the Company's historical loss experience, an associated loss reserve is established which is included in accrued expenses: other on the Consolidated Balance Sheets. The Company's repurchase accrual was $989 and $980 at May 29, 2021 and August 29, 2020, respectively. Repurchase risk is affected by the credit worthiness of the Company's dealer network. The Company does not believe there is a reasonable likelihood that there will be a material change in the estimates or assumptions used to establish the loss reserve for repurchase commitments.</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There was no material activity related to repurchase agreements during the nine months ended May 29, 2021 and May 30, 2020.</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Litigation</w:t>
      </w:r>
    </w:p>
    <w:p>
      <w:pPr>
        <w:spacing w:after="0" w:line="133" w:lineRule="exact"/>
        <w:rPr>
          <w:sz w:val="20"/>
          <w:szCs w:val="20"/>
          <w:color w:val="auto"/>
        </w:rPr>
      </w:pPr>
    </w:p>
    <w:p>
      <w:pPr>
        <w:ind w:right="240"/>
        <w:spacing w:after="0" w:line="249" w:lineRule="auto"/>
        <w:rPr>
          <w:sz w:val="20"/>
          <w:szCs w:val="20"/>
          <w:color w:val="auto"/>
        </w:rPr>
      </w:pPr>
      <w:r>
        <w:rPr>
          <w:rFonts w:ascii="Arial" w:cs="Arial" w:eastAsia="Arial" w:hAnsi="Arial"/>
          <w:sz w:val="16"/>
          <w:szCs w:val="16"/>
          <w:color w:val="auto"/>
        </w:rPr>
        <w:t>The Company is involved in various legal proceedings which are considered ordinary and routine litigation incidental to the business, some of which are covered in whole or in part by insurance. While the Company believes the ultimate disposition of litigation will not have a material adverse effect on the Company's financial position, results of operations or liquidity, the possibility exists that such litigation may have an impact on the Company's results for a particular reporting period in which litigation effects become probable and reasonably estimable. Though the Company does not believe there is a reasonable likelihood that there will be a material change related to these matters, litigation is subject to inherent uncertainties and the Company's view of these matters may change in the future.</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11. Revenue</w:t>
      </w:r>
    </w:p>
    <w:p>
      <w:pPr>
        <w:spacing w:after="0" w:line="268" w:lineRule="exact"/>
        <w:rPr>
          <w:sz w:val="20"/>
          <w:szCs w:val="20"/>
          <w:color w:val="auto"/>
        </w:rPr>
      </w:pPr>
    </w:p>
    <w:p>
      <w:pPr>
        <w:ind w:right="240"/>
        <w:spacing w:after="0" w:line="253" w:lineRule="auto"/>
        <w:rPr>
          <w:sz w:val="20"/>
          <w:szCs w:val="20"/>
          <w:color w:val="auto"/>
        </w:rPr>
      </w:pPr>
      <w:r>
        <w:rPr>
          <w:rFonts w:ascii="Arial" w:cs="Arial" w:eastAsia="Arial" w:hAnsi="Arial"/>
          <w:sz w:val="16"/>
          <w:szCs w:val="16"/>
          <w:color w:val="auto"/>
        </w:rPr>
        <w:t>All operating revenue is generated from contracts with customers. The Company's primary revenue source is generated through the sale of manufactured non-motorized towable units, motorized units and marine units to the Company's independent dealer network (the Company's customers). The following table disaggregates revenue by reportable segment and product category:</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160" w:type="dxa"/>
            <w:vAlign w:val="bottom"/>
            <w:gridSpan w:val="5"/>
          </w:tcPr>
          <w:p>
            <w:pPr>
              <w:ind w:left="560"/>
              <w:spacing w:after="0"/>
              <w:rPr>
                <w:sz w:val="20"/>
                <w:szCs w:val="20"/>
                <w:color w:val="auto"/>
              </w:rPr>
            </w:pPr>
            <w:r>
              <w:rPr>
                <w:rFonts w:ascii="Arial" w:cs="Arial" w:eastAsia="Arial" w:hAnsi="Arial"/>
                <w:sz w:val="16"/>
                <w:szCs w:val="16"/>
                <w:b w:val="1"/>
                <w:bCs w:val="1"/>
                <w:color w:val="auto"/>
              </w:rPr>
              <w:t>Three Months Ended</w:t>
            </w:r>
          </w:p>
        </w:tc>
        <w:tc>
          <w:tcPr>
            <w:tcW w:w="300" w:type="dxa"/>
            <w:vAlign w:val="bottom"/>
          </w:tcPr>
          <w:p>
            <w:pPr>
              <w:spacing w:after="0"/>
              <w:rPr>
                <w:sz w:val="18"/>
                <w:szCs w:val="18"/>
                <w:color w:val="auto"/>
              </w:rPr>
            </w:pPr>
          </w:p>
        </w:tc>
        <w:tc>
          <w:tcPr>
            <w:tcW w:w="3040" w:type="dxa"/>
            <w:vAlign w:val="bottom"/>
            <w:gridSpan w:val="4"/>
          </w:tcPr>
          <w:p>
            <w:pPr>
              <w:jc w:val="right"/>
              <w:ind w:right="839"/>
              <w:spacing w:after="0"/>
              <w:rPr>
                <w:sz w:val="20"/>
                <w:szCs w:val="20"/>
                <w:color w:val="auto"/>
              </w:rPr>
            </w:pPr>
            <w:r>
              <w:rPr>
                <w:rFonts w:ascii="Arial" w:cs="Arial" w:eastAsia="Arial" w:hAnsi="Arial"/>
                <w:sz w:val="16"/>
                <w:szCs w:val="16"/>
                <w:b w:val="1"/>
                <w:bCs w:val="1"/>
                <w:color w:val="auto"/>
              </w:rPr>
              <w:t>Nine Months Ended</w:t>
            </w:r>
          </w:p>
        </w:tc>
      </w:tr>
      <w:tr>
        <w:trPr>
          <w:trHeight w:val="158"/>
        </w:trPr>
        <w:tc>
          <w:tcPr>
            <w:tcW w:w="444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gridSpan w:val="2"/>
          </w:tcPr>
          <w:p>
            <w:pPr>
              <w:ind w:left="220"/>
              <w:spacing w:after="0" w:line="158" w:lineRule="exact"/>
              <w:rPr>
                <w:sz w:val="20"/>
                <w:szCs w:val="20"/>
                <w:color w:val="auto"/>
              </w:rPr>
            </w:pPr>
            <w:r>
              <w:rPr>
                <w:rFonts w:ascii="Arial" w:cs="Arial" w:eastAsia="Arial" w:hAnsi="Arial"/>
                <w:sz w:val="16"/>
                <w:szCs w:val="16"/>
                <w:b w:val="1"/>
                <w:bCs w:val="1"/>
                <w:color w:val="auto"/>
              </w:rPr>
              <w:t>May 29,</w:t>
            </w:r>
          </w:p>
        </w:tc>
        <w:tc>
          <w:tcPr>
            <w:tcW w:w="32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jc w:val="right"/>
              <w:ind w:right="439"/>
              <w:spacing w:after="0" w:line="158" w:lineRule="exact"/>
              <w:rPr>
                <w:sz w:val="20"/>
                <w:szCs w:val="20"/>
                <w:color w:val="auto"/>
              </w:rPr>
            </w:pPr>
            <w:r>
              <w:rPr>
                <w:rFonts w:ascii="Arial" w:cs="Arial" w:eastAsia="Arial" w:hAnsi="Arial"/>
                <w:sz w:val="16"/>
                <w:szCs w:val="16"/>
                <w:b w:val="1"/>
                <w:bCs w:val="1"/>
                <w:color w:val="auto"/>
              </w:rPr>
              <w:t>May 30,</w:t>
            </w:r>
          </w:p>
        </w:tc>
        <w:tc>
          <w:tcPr>
            <w:tcW w:w="12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gridSpan w:val="2"/>
          </w:tcPr>
          <w:p>
            <w:pPr>
              <w:ind w:left="200"/>
              <w:spacing w:after="0" w:line="158" w:lineRule="exact"/>
              <w:rPr>
                <w:sz w:val="20"/>
                <w:szCs w:val="20"/>
                <w:color w:val="auto"/>
              </w:rPr>
            </w:pPr>
            <w:r>
              <w:rPr>
                <w:rFonts w:ascii="Arial" w:cs="Arial" w:eastAsia="Arial" w:hAnsi="Arial"/>
                <w:sz w:val="16"/>
                <w:szCs w:val="16"/>
                <w:b w:val="1"/>
                <w:bCs w:val="1"/>
                <w:color w:val="auto"/>
              </w:rPr>
              <w:t>May 29,</w:t>
            </w:r>
          </w:p>
        </w:tc>
        <w:tc>
          <w:tcPr>
            <w:tcW w:w="32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jc w:val="right"/>
              <w:ind w:right="439"/>
              <w:spacing w:after="0" w:line="158" w:lineRule="exact"/>
              <w:rPr>
                <w:sz w:val="20"/>
                <w:szCs w:val="20"/>
                <w:color w:val="auto"/>
              </w:rPr>
            </w:pPr>
            <w:r>
              <w:rPr>
                <w:rFonts w:ascii="Arial" w:cs="Arial" w:eastAsia="Arial" w:hAnsi="Arial"/>
                <w:sz w:val="16"/>
                <w:szCs w:val="16"/>
                <w:b w:val="1"/>
                <w:bCs w:val="1"/>
                <w:color w:val="auto"/>
              </w:rPr>
              <w:t>May 30,</w:t>
            </w:r>
          </w:p>
        </w:tc>
      </w:tr>
      <w:tr>
        <w:trPr>
          <w:trHeight w:val="216"/>
        </w:trPr>
        <w:tc>
          <w:tcPr>
            <w:tcW w:w="44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3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2020</w:t>
            </w:r>
          </w:p>
        </w:tc>
      </w:tr>
      <w:tr>
        <w:trPr>
          <w:trHeight w:val="210"/>
        </w:trPr>
        <w:tc>
          <w:tcPr>
            <w:tcW w:w="44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Revenues</w:t>
            </w: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13"/>
        </w:trPr>
        <w:tc>
          <w:tcPr>
            <w:tcW w:w="4440" w:type="dxa"/>
            <w:vAlign w:val="bottom"/>
          </w:tcPr>
          <w:p>
            <w:pPr>
              <w:ind w:left="20"/>
              <w:spacing w:after="0"/>
              <w:rPr>
                <w:sz w:val="20"/>
                <w:szCs w:val="20"/>
                <w:color w:val="auto"/>
              </w:rPr>
            </w:pPr>
            <w:r>
              <w:rPr>
                <w:rFonts w:ascii="Arial" w:cs="Arial" w:eastAsia="Arial" w:hAnsi="Arial"/>
                <w:sz w:val="16"/>
                <w:szCs w:val="16"/>
                <w:color w:val="auto"/>
              </w:rPr>
              <w:t>Towable</w:t>
            </w: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9"/>
        </w:trPr>
        <w:tc>
          <w:tcPr>
            <w:tcW w:w="44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Fifth Wheel</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284,432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107,364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751,822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459,301</w:t>
            </w:r>
          </w:p>
        </w:tc>
      </w:tr>
      <w:tr>
        <w:trPr>
          <w:trHeight w:val="213"/>
        </w:trPr>
        <w:tc>
          <w:tcPr>
            <w:tcW w:w="4440" w:type="dxa"/>
            <w:vAlign w:val="bottom"/>
          </w:tcPr>
          <w:p>
            <w:pPr>
              <w:ind w:left="140"/>
              <w:spacing w:after="0"/>
              <w:rPr>
                <w:sz w:val="20"/>
                <w:szCs w:val="20"/>
                <w:color w:val="auto"/>
              </w:rPr>
            </w:pPr>
            <w:r>
              <w:rPr>
                <w:rFonts w:ascii="Arial" w:cs="Arial" w:eastAsia="Arial" w:hAnsi="Arial"/>
                <w:sz w:val="16"/>
                <w:szCs w:val="16"/>
                <w:color w:val="auto"/>
              </w:rPr>
              <w:t>Travel Trailer</w:t>
            </w: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264,450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77,974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680,088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342,331</w:t>
            </w:r>
          </w:p>
        </w:tc>
      </w:tr>
      <w:tr>
        <w:trPr>
          <w:trHeight w:val="219"/>
        </w:trPr>
        <w:tc>
          <w:tcPr>
            <w:tcW w:w="4440" w:type="dxa"/>
            <w:vAlign w:val="bottom"/>
            <w:shd w:val="clear" w:color="auto" w:fill="CCEEFF"/>
          </w:tcPr>
          <w:p>
            <w:pPr>
              <w:ind w:left="140"/>
              <w:spacing w:after="0" w:line="219" w:lineRule="exact"/>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(1)</w:t>
            </w:r>
          </w:p>
        </w:tc>
        <w:tc>
          <w:tcPr>
            <w:tcW w:w="3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6,867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3,560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18,024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11,979</w:t>
            </w:r>
          </w:p>
        </w:tc>
      </w:tr>
      <w:tr>
        <w:trPr>
          <w:trHeight w:val="207"/>
        </w:trPr>
        <w:tc>
          <w:tcPr>
            <w:tcW w:w="4440" w:type="dxa"/>
            <w:vAlign w:val="bottom"/>
          </w:tcPr>
          <w:p>
            <w:pPr>
              <w:ind w:left="220"/>
              <w:spacing w:after="0"/>
              <w:rPr>
                <w:sz w:val="20"/>
                <w:szCs w:val="20"/>
                <w:color w:val="auto"/>
              </w:rPr>
            </w:pPr>
            <w:r>
              <w:rPr>
                <w:rFonts w:ascii="Arial" w:cs="Arial" w:eastAsia="Arial" w:hAnsi="Arial"/>
                <w:sz w:val="16"/>
                <w:szCs w:val="16"/>
                <w:color w:val="auto"/>
              </w:rPr>
              <w:t>Total Towable</w:t>
            </w:r>
          </w:p>
        </w:tc>
        <w:tc>
          <w:tcPr>
            <w:tcW w:w="3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555,749</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188,898</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1,449,934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813,611</w:t>
            </w:r>
          </w:p>
        </w:tc>
      </w:tr>
      <w:tr>
        <w:trPr>
          <w:trHeight w:val="219"/>
        </w:trPr>
        <w:tc>
          <w:tcPr>
            <w:tcW w:w="4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Motorhome</w:t>
            </w: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13"/>
        </w:trPr>
        <w:tc>
          <w:tcPr>
            <w:tcW w:w="4440" w:type="dxa"/>
            <w:vAlign w:val="bottom"/>
          </w:tcPr>
          <w:p>
            <w:pPr>
              <w:ind w:left="140"/>
              <w:spacing w:after="0"/>
              <w:rPr>
                <w:sz w:val="20"/>
                <w:szCs w:val="20"/>
                <w:color w:val="auto"/>
              </w:rPr>
            </w:pPr>
            <w:r>
              <w:rPr>
                <w:rFonts w:ascii="Arial" w:cs="Arial" w:eastAsia="Arial" w:hAnsi="Arial"/>
                <w:sz w:val="16"/>
                <w:szCs w:val="16"/>
                <w:color w:val="auto"/>
              </w:rPr>
              <w:t>Class A</w:t>
            </w: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172,437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92,280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464,347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337,629</w:t>
            </w:r>
          </w:p>
        </w:tc>
      </w:tr>
      <w:tr>
        <w:trPr>
          <w:trHeight w:val="219"/>
        </w:trPr>
        <w:tc>
          <w:tcPr>
            <w:tcW w:w="44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Class B</w:t>
            </w: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135,705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65,000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382,162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232,349</w:t>
            </w:r>
          </w:p>
        </w:tc>
      </w:tr>
      <w:tr>
        <w:trPr>
          <w:trHeight w:val="213"/>
        </w:trPr>
        <w:tc>
          <w:tcPr>
            <w:tcW w:w="4440" w:type="dxa"/>
            <w:vAlign w:val="bottom"/>
          </w:tcPr>
          <w:p>
            <w:pPr>
              <w:ind w:left="140"/>
              <w:spacing w:after="0"/>
              <w:rPr>
                <w:sz w:val="20"/>
                <w:szCs w:val="20"/>
                <w:color w:val="auto"/>
              </w:rPr>
            </w:pPr>
            <w:r>
              <w:rPr>
                <w:rFonts w:ascii="Arial" w:cs="Arial" w:eastAsia="Arial" w:hAnsi="Arial"/>
                <w:sz w:val="16"/>
                <w:szCs w:val="16"/>
                <w:color w:val="auto"/>
              </w:rPr>
              <w:t>Class C</w:t>
            </w: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67,386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39,268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215,935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161,801</w:t>
            </w:r>
          </w:p>
        </w:tc>
      </w:tr>
      <w:tr>
        <w:trPr>
          <w:trHeight w:val="219"/>
        </w:trPr>
        <w:tc>
          <w:tcPr>
            <w:tcW w:w="4440" w:type="dxa"/>
            <w:vAlign w:val="bottom"/>
            <w:shd w:val="clear" w:color="auto" w:fill="CCEEFF"/>
          </w:tcPr>
          <w:p>
            <w:pPr>
              <w:ind w:left="140"/>
              <w:spacing w:after="0" w:line="219" w:lineRule="exact"/>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(1)</w:t>
            </w:r>
          </w:p>
        </w:tc>
        <w:tc>
          <w:tcPr>
            <w:tcW w:w="3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9,729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7,042</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27,777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23,244</w:t>
            </w:r>
          </w:p>
        </w:tc>
      </w:tr>
      <w:tr>
        <w:trPr>
          <w:trHeight w:val="206"/>
        </w:trPr>
        <w:tc>
          <w:tcPr>
            <w:tcW w:w="4440" w:type="dxa"/>
            <w:vAlign w:val="bottom"/>
          </w:tcPr>
          <w:p>
            <w:pPr>
              <w:ind w:left="220"/>
              <w:spacing w:after="0"/>
              <w:rPr>
                <w:sz w:val="20"/>
                <w:szCs w:val="20"/>
                <w:color w:val="auto"/>
              </w:rPr>
            </w:pPr>
            <w:r>
              <w:rPr>
                <w:rFonts w:ascii="Arial" w:cs="Arial" w:eastAsia="Arial" w:hAnsi="Arial"/>
                <w:sz w:val="16"/>
                <w:szCs w:val="16"/>
                <w:color w:val="auto"/>
              </w:rPr>
              <w:t>Total Motorhome</w:t>
            </w:r>
          </w:p>
        </w:tc>
        <w:tc>
          <w:tcPr>
            <w:tcW w:w="3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385,257</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203,590</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1,090,221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755,023</w:t>
            </w:r>
          </w:p>
        </w:tc>
      </w:tr>
      <w:tr>
        <w:trPr>
          <w:trHeight w:val="219"/>
        </w:trPr>
        <w:tc>
          <w:tcPr>
            <w:tcW w:w="4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 / All Other</w:t>
            </w: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16"/>
        </w:trPr>
        <w:tc>
          <w:tcPr>
            <w:tcW w:w="4440" w:type="dxa"/>
            <w:vAlign w:val="bottom"/>
            <w:tcBorders>
              <w:bottom w:val="single" w:sz="8" w:color="CCEEFF"/>
            </w:tcBorders>
          </w:tcPr>
          <w:p>
            <w:pPr>
              <w:ind w:left="140"/>
              <w:spacing w:after="0" w:line="216" w:lineRule="exact"/>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(2)</w:t>
            </w:r>
          </w:p>
        </w:tc>
        <w:tc>
          <w:tcPr>
            <w:tcW w:w="3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19,731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9,970</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53,599</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49,092</w:t>
            </w:r>
          </w:p>
        </w:tc>
      </w:tr>
      <w:tr>
        <w:trPr>
          <w:trHeight w:val="207"/>
        </w:trPr>
        <w:tc>
          <w:tcPr>
            <w:tcW w:w="44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Corporate / All Other</w:t>
            </w:r>
          </w:p>
        </w:tc>
        <w:tc>
          <w:tcPr>
            <w:tcW w:w="30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19,731</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9,970</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53,599</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49,092</w:t>
            </w:r>
          </w:p>
        </w:tc>
      </w:tr>
      <w:tr>
        <w:trPr>
          <w:trHeight w:val="213"/>
        </w:trPr>
        <w:tc>
          <w:tcPr>
            <w:tcW w:w="4440" w:type="dxa"/>
            <w:vAlign w:val="bottom"/>
          </w:tcPr>
          <w:p>
            <w:pPr>
              <w:ind w:left="360"/>
              <w:spacing w:after="0"/>
              <w:rPr>
                <w:sz w:val="20"/>
                <w:szCs w:val="20"/>
                <w:color w:val="auto"/>
              </w:rPr>
            </w:pPr>
            <w:r>
              <w:rPr>
                <w:rFonts w:ascii="Arial" w:cs="Arial" w:eastAsia="Arial" w:hAnsi="Arial"/>
                <w:sz w:val="16"/>
                <w:szCs w:val="16"/>
                <w:color w:val="auto"/>
              </w:rPr>
              <w:t>Consolidated Net Revenues</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960,737</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402,458</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2,593,754</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1,617,726</w:t>
            </w:r>
          </w:p>
        </w:tc>
      </w:tr>
      <w:tr>
        <w:trPr>
          <w:trHeight w:val="20"/>
        </w:trPr>
        <w:tc>
          <w:tcPr>
            <w:tcW w:w="4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3" w:lineRule="exact"/>
        <w:rPr>
          <w:sz w:val="20"/>
          <w:szCs w:val="20"/>
          <w:color w:val="auto"/>
        </w:rPr>
      </w:pPr>
    </w:p>
    <w:p>
      <w:pPr>
        <w:ind w:left="300" w:hanging="292"/>
        <w:spacing w:after="0"/>
        <w:tabs>
          <w:tab w:leader="none" w:pos="300" w:val="left"/>
        </w:tabs>
        <w:numPr>
          <w:ilvl w:val="0"/>
          <w:numId w:val="5"/>
        </w:numPr>
        <w:rPr>
          <w:rFonts w:ascii="Arial" w:cs="Arial" w:eastAsia="Arial" w:hAnsi="Arial"/>
          <w:sz w:val="21"/>
          <w:szCs w:val="21"/>
          <w:color w:val="auto"/>
          <w:vertAlign w:val="superscript"/>
        </w:rPr>
      </w:pPr>
      <w:r>
        <w:rPr>
          <w:rFonts w:ascii="Arial" w:cs="Arial" w:eastAsia="Arial" w:hAnsi="Arial"/>
          <w:sz w:val="14"/>
          <w:szCs w:val="14"/>
          <w:color w:val="auto"/>
        </w:rPr>
        <w:t>Relates to parts, accessories, and services.</w:t>
      </w:r>
    </w:p>
    <w:p>
      <w:pPr>
        <w:ind w:left="300" w:hanging="292"/>
        <w:spacing w:after="0" w:line="189" w:lineRule="auto"/>
        <w:tabs>
          <w:tab w:leader="none" w:pos="300" w:val="left"/>
        </w:tabs>
        <w:numPr>
          <w:ilvl w:val="0"/>
          <w:numId w:val="5"/>
        </w:numPr>
        <w:rPr>
          <w:rFonts w:ascii="Arial" w:cs="Arial" w:eastAsia="Arial" w:hAnsi="Arial"/>
          <w:sz w:val="19"/>
          <w:szCs w:val="19"/>
          <w:color w:val="auto"/>
          <w:vertAlign w:val="superscript"/>
        </w:rPr>
      </w:pPr>
      <w:r>
        <w:rPr>
          <w:rFonts w:ascii="Arial" w:cs="Arial" w:eastAsia="Arial" w:hAnsi="Arial"/>
          <w:sz w:val="13"/>
          <w:szCs w:val="13"/>
          <w:color w:val="auto"/>
        </w:rPr>
        <w:t>Relates to marine units, specialty vehicle units, parts, accessories, and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9" w:name="page20"/>
    <w:bookmarkEnd w:id="1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340"/>
        <w:spacing w:after="0" w:line="260" w:lineRule="auto"/>
        <w:rPr>
          <w:sz w:val="20"/>
          <w:szCs w:val="20"/>
          <w:color w:val="auto"/>
        </w:rPr>
      </w:pPr>
      <w:r>
        <w:rPr>
          <w:rFonts w:ascii="Arial" w:cs="Arial" w:eastAsia="Arial" w:hAnsi="Arial"/>
          <w:sz w:val="16"/>
          <w:szCs w:val="16"/>
          <w:color w:val="auto"/>
        </w:rPr>
        <w:t>The Company does not have material contract assets or liabilities. Allowances for uncollectible receivables are established based on historical collection trends, write-off history, consideration of current conditions and expectations for future economic conditions.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Concentration of Risk</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No single dealer organization accounted for more than 10% of net revenue for the three or nine months ended May 29, 2021 or May 30, 2020.</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12. Stock-Based Compensation</w:t>
      </w:r>
    </w:p>
    <w:p>
      <w:pPr>
        <w:spacing w:after="0" w:line="268"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On December 11, 2018, the Company's shareholders approved the Winnebago Industries, Inc. 2019 Omnibus Incentive Plan ("2019 Plan") as detailed in the Company's Proxy Statement for the 2018 Annual Meeting of Shareholders. The 2019 Plan allows the Company to grant or issue non-qualified stock options, incentive stock options, restricted share units, and other equity compensation to key employees and to non-employee directors. The 2019 Plan replaces the 2014 Omnibus Equity, Performance Award, and Incentive Compensation Plan (as amended, the "2014 Plan"). The number of shares of the Company's Common Stock that may be awarded and issued under the 2019 Plan is 4,100 shares, plus the shares subject to any awards outstanding under the 2014 Plan and the Company's predecessor plan, the 2004 Incentive Compensation Plan (the “2004 Plan”), on December 11, 2018 that subsequently expire, are forfeited or canceled, or are settled for cash. Until such time, awards under the 2014 Plan and the 2004 Plan, respectively, that are outstanding on December 11, 2018 will continue to be subject to the terms of the 2014 Plan or 2004 Plan, as applicable. Shares remaining available for future awards under the 2014 Plan were not carried over into the 2019 Plan.</w:t>
      </w:r>
    </w:p>
    <w:p>
      <w:pPr>
        <w:spacing w:after="0" w:line="233"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Stock-based compensation expense was $4,738 and $(308) during the three months ended May 29, 2021 and May 30, 2020, respectively, and $11,719 and $3,332 during the nine months ended May 29, 2021 and May 30, 2020, respectively. Compensation expense is recognized over the requisite service or performance period of the award.</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13. Restructuring</w:t>
      </w:r>
    </w:p>
    <w:p>
      <w:pPr>
        <w:spacing w:after="0" w:line="268" w:lineRule="exact"/>
        <w:rPr>
          <w:sz w:val="20"/>
          <w:szCs w:val="20"/>
          <w:color w:val="auto"/>
        </w:rPr>
      </w:pPr>
    </w:p>
    <w:p>
      <w:pPr>
        <w:ind w:right="60"/>
        <w:spacing w:after="0" w:line="249" w:lineRule="auto"/>
        <w:rPr>
          <w:sz w:val="20"/>
          <w:szCs w:val="20"/>
          <w:color w:val="auto"/>
        </w:rPr>
      </w:pPr>
      <w:r>
        <w:rPr>
          <w:rFonts w:ascii="Arial" w:cs="Arial" w:eastAsia="Arial" w:hAnsi="Arial"/>
          <w:sz w:val="16"/>
          <w:szCs w:val="16"/>
          <w:color w:val="auto"/>
        </w:rPr>
        <w:t>In Fiscal 2020, the Company's Class A diesel production included in the Motorhome reportable segment was moved from Junction City, OR to Forest City, IA. In November 2020, a portion of the property in Junction City, OR was sold for net proceeds of $7,731 with a resulting gain of $3,565. In May 2021, the rest of the property in Junction City, OR was sold for net proceeds of $4,692 with a resulting gain of $1,188. The gain on both sales is included within selling, general, and administrative expenses on the Consolidated Statements of Income (Loss) for Fiscal 2021. Total restructuring expenses related to the relocation for the nine months ended May 29, 2021 were immaterial to the Consolidated Financial Statements. The Company does not expect additional restructuring charges during the remainder of Fiscal 2021.</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14. Income Taxes</w:t>
      </w:r>
    </w:p>
    <w:p>
      <w:pPr>
        <w:spacing w:after="0" w:line="255" w:lineRule="exact"/>
        <w:rPr>
          <w:sz w:val="20"/>
          <w:szCs w:val="20"/>
          <w:color w:val="auto"/>
        </w:rPr>
      </w:pPr>
    </w:p>
    <w:p>
      <w:pPr>
        <w:spacing w:after="0" w:line="233" w:lineRule="auto"/>
        <w:rPr>
          <w:sz w:val="20"/>
          <w:szCs w:val="20"/>
          <w:color w:val="auto"/>
        </w:rPr>
      </w:pPr>
      <w:r>
        <w:rPr>
          <w:rFonts w:ascii="Arial" w:cs="Arial" w:eastAsia="Arial" w:hAnsi="Arial"/>
          <w:sz w:val="16"/>
          <w:szCs w:val="16"/>
          <w:color w:val="auto"/>
        </w:rPr>
        <w:t>The Company's effective tax rate was 22.8% and 25.3% for the three months ended May 29, 2021 and May 30, 2020, respectively, and 23.2% and 16.3% for the nine months ended May 29, 2021 and May 30, 2020, respectively. The decrease in tax rate for the three months ended May 29, 2021 compared to the three months ended May 30, 2020 was primarily due to a favorable tax adjustment in the third quarter of Fiscal 2020 driven by a change in projected annual performance over a pretax loss resulting in a higher calculated effective tax rate. The increase in tax rate for the nine months ended May 29, 2021 compared to the nine months ended May 30, 2020 was driven primarily by the impact of consistent tax credits year-over-year over an increased year to date pretax income in the current year.</w:t>
      </w:r>
    </w:p>
    <w:p>
      <w:pPr>
        <w:spacing w:after="0" w:line="238" w:lineRule="exact"/>
        <w:rPr>
          <w:sz w:val="20"/>
          <w:szCs w:val="20"/>
          <w:color w:val="auto"/>
        </w:rPr>
      </w:pPr>
    </w:p>
    <w:p>
      <w:pPr>
        <w:ind w:right="100"/>
        <w:spacing w:after="0" w:line="250" w:lineRule="auto"/>
        <w:rPr>
          <w:sz w:val="20"/>
          <w:szCs w:val="20"/>
          <w:color w:val="auto"/>
        </w:rPr>
      </w:pPr>
      <w:r>
        <w:rPr>
          <w:rFonts w:ascii="Arial" w:cs="Arial" w:eastAsia="Arial" w:hAnsi="Arial"/>
          <w:sz w:val="16"/>
          <w:szCs w:val="16"/>
          <w:color w:val="auto"/>
        </w:rPr>
        <w:t>The Company files a U.S. Federal tax return, as well as returns in various international and state jurisdictions. As of May 29, 2021, the Company's Federal returns from Fiscal 2017 to present are subject to review by the Internal Revenue Service. With limited exceptions, state returns from Fiscal 2016 to present continue to be subject to review by state taxing jurisdictions. The Company is currently under review by certain U.S. state tax authorities for Fiscal 2016 through Fiscal 2019. The Company believes it has adequately reserved for its exposure to potential additional payments for uncertain tax positions in its liability for unrecognized tax benefits.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84"/>
        </w:trPr>
        <w:tc>
          <w:tcPr>
            <w:tcW w:w="4500" w:type="dxa"/>
            <w:vAlign w:val="bottom"/>
            <w:gridSpan w:val="3"/>
          </w:tcPr>
          <w:p>
            <w:pPr>
              <w:spacing w:after="0"/>
              <w:rPr>
                <w:rFonts w:ascii="Arial" w:cs="Arial" w:eastAsia="Arial" w:hAnsi="Arial"/>
                <w:sz w:val="16"/>
                <w:szCs w:val="16"/>
                <w:color w:val="0000FF"/>
              </w:rPr>
            </w:pPr>
            <w:hyperlink w:anchor="page1">
              <w:r>
                <w:rPr>
                  <w:rFonts w:ascii="Arial" w:cs="Arial" w:eastAsia="Arial" w:hAnsi="Arial"/>
                  <w:sz w:val="16"/>
                  <w:szCs w:val="16"/>
                  <w:color w:val="0000FF"/>
                </w:rPr>
                <w:t>Table of Contents</w:t>
              </w:r>
            </w:hyperlink>
          </w:p>
        </w:tc>
        <w:tc>
          <w:tcPr>
            <w:tcW w:w="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0"/>
        </w:trPr>
        <w:tc>
          <w:tcPr>
            <w:tcW w:w="1260" w:type="dxa"/>
            <w:vAlign w:val="bottom"/>
            <w:shd w:val="clear" w:color="auto" w:fill="0000FF"/>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906"/>
        </w:trPr>
        <w:tc>
          <w:tcPr>
            <w:tcW w:w="4500" w:type="dxa"/>
            <w:vAlign w:val="bottom"/>
            <w:gridSpan w:val="3"/>
          </w:tcPr>
          <w:p>
            <w:pPr>
              <w:spacing w:after="0"/>
              <w:rPr>
                <w:sz w:val="20"/>
                <w:szCs w:val="20"/>
                <w:color w:val="auto"/>
              </w:rPr>
            </w:pPr>
            <w:r>
              <w:rPr>
                <w:rFonts w:ascii="Arial" w:cs="Arial" w:eastAsia="Arial" w:hAnsi="Arial"/>
                <w:sz w:val="16"/>
                <w:szCs w:val="16"/>
                <w:b w:val="1"/>
                <w:bCs w:val="1"/>
                <w:color w:val="auto"/>
              </w:rPr>
              <w:t>Note 15. Earnings Per Share</w:t>
            </w: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51"/>
        </w:trPr>
        <w:tc>
          <w:tcPr>
            <w:tcW w:w="4500" w:type="dxa"/>
            <w:vAlign w:val="bottom"/>
            <w:gridSpan w:val="3"/>
          </w:tcPr>
          <w:p>
            <w:pPr>
              <w:spacing w:after="0"/>
              <w:rPr>
                <w:sz w:val="20"/>
                <w:szCs w:val="20"/>
                <w:color w:val="auto"/>
              </w:rPr>
            </w:pPr>
            <w:r>
              <w:rPr>
                <w:rFonts w:ascii="Arial" w:cs="Arial" w:eastAsia="Arial" w:hAnsi="Arial"/>
                <w:sz w:val="16"/>
                <w:szCs w:val="16"/>
                <w:color w:val="auto"/>
              </w:rPr>
              <w:t>Basic and diluted earnings per share are calculated as follows:</w:t>
            </w: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33"/>
        </w:trPr>
        <w:tc>
          <w:tcPr>
            <w:tcW w:w="126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120" w:type="dxa"/>
            <w:vAlign w:val="bottom"/>
            <w:gridSpan w:val="5"/>
          </w:tcPr>
          <w:p>
            <w:pPr>
              <w:ind w:left="560"/>
              <w:spacing w:after="0"/>
              <w:rPr>
                <w:sz w:val="20"/>
                <w:szCs w:val="20"/>
                <w:color w:val="auto"/>
              </w:rPr>
            </w:pPr>
            <w:r>
              <w:rPr>
                <w:rFonts w:ascii="Arial" w:cs="Arial" w:eastAsia="Arial" w:hAnsi="Arial"/>
                <w:sz w:val="16"/>
                <w:szCs w:val="16"/>
                <w:b w:val="1"/>
                <w:bCs w:val="1"/>
                <w:color w:val="auto"/>
              </w:rPr>
              <w:t>Three Months Ended</w:t>
            </w:r>
          </w:p>
        </w:tc>
        <w:tc>
          <w:tcPr>
            <w:tcW w:w="320" w:type="dxa"/>
            <w:vAlign w:val="bottom"/>
          </w:tcPr>
          <w:p>
            <w:pPr>
              <w:spacing w:after="0"/>
              <w:rPr>
                <w:sz w:val="20"/>
                <w:szCs w:val="20"/>
                <w:color w:val="auto"/>
              </w:rPr>
            </w:pPr>
          </w:p>
        </w:tc>
        <w:tc>
          <w:tcPr>
            <w:tcW w:w="3020" w:type="dxa"/>
            <w:vAlign w:val="bottom"/>
            <w:gridSpan w:val="4"/>
          </w:tcPr>
          <w:p>
            <w:pPr>
              <w:jc w:val="right"/>
              <w:ind w:right="839"/>
              <w:spacing w:after="0"/>
              <w:rPr>
                <w:sz w:val="20"/>
                <w:szCs w:val="20"/>
                <w:color w:val="auto"/>
              </w:rPr>
            </w:pPr>
            <w:r>
              <w:rPr>
                <w:rFonts w:ascii="Arial" w:cs="Arial" w:eastAsia="Arial" w:hAnsi="Arial"/>
                <w:sz w:val="16"/>
                <w:szCs w:val="16"/>
                <w:b w:val="1"/>
                <w:bCs w:val="1"/>
                <w:color w:val="auto"/>
              </w:rPr>
              <w:t>Nine Months Ended</w:t>
            </w:r>
          </w:p>
        </w:tc>
      </w:tr>
      <w:tr>
        <w:trPr>
          <w:trHeight w:val="158"/>
        </w:trPr>
        <w:tc>
          <w:tcPr>
            <w:tcW w:w="126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gridSpan w:val="2"/>
          </w:tcPr>
          <w:p>
            <w:pPr>
              <w:ind w:left="200"/>
              <w:spacing w:after="0" w:line="158" w:lineRule="exact"/>
              <w:rPr>
                <w:sz w:val="20"/>
                <w:szCs w:val="20"/>
                <w:color w:val="auto"/>
              </w:rPr>
            </w:pPr>
            <w:r>
              <w:rPr>
                <w:rFonts w:ascii="Arial" w:cs="Arial" w:eastAsia="Arial" w:hAnsi="Arial"/>
                <w:sz w:val="16"/>
                <w:szCs w:val="16"/>
                <w:b w:val="1"/>
                <w:bCs w:val="1"/>
                <w:color w:val="auto"/>
              </w:rPr>
              <w:t>May 29,</w:t>
            </w:r>
          </w:p>
        </w:tc>
        <w:tc>
          <w:tcPr>
            <w:tcW w:w="30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jc w:val="right"/>
              <w:ind w:right="439"/>
              <w:spacing w:after="0" w:line="158" w:lineRule="exact"/>
              <w:rPr>
                <w:sz w:val="20"/>
                <w:szCs w:val="20"/>
                <w:color w:val="auto"/>
              </w:rPr>
            </w:pPr>
            <w:r>
              <w:rPr>
                <w:rFonts w:ascii="Arial" w:cs="Arial" w:eastAsia="Arial" w:hAnsi="Arial"/>
                <w:sz w:val="16"/>
                <w:szCs w:val="16"/>
                <w:b w:val="1"/>
                <w:bCs w:val="1"/>
                <w:color w:val="auto"/>
              </w:rPr>
              <w:t>May 30,</w:t>
            </w:r>
          </w:p>
        </w:tc>
        <w:tc>
          <w:tcPr>
            <w:tcW w:w="8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gridSpan w:val="2"/>
          </w:tcPr>
          <w:p>
            <w:pPr>
              <w:ind w:left="200"/>
              <w:spacing w:after="0" w:line="158" w:lineRule="exact"/>
              <w:rPr>
                <w:sz w:val="20"/>
                <w:szCs w:val="20"/>
                <w:color w:val="auto"/>
              </w:rPr>
            </w:pPr>
            <w:r>
              <w:rPr>
                <w:rFonts w:ascii="Arial" w:cs="Arial" w:eastAsia="Arial" w:hAnsi="Arial"/>
                <w:sz w:val="16"/>
                <w:szCs w:val="16"/>
                <w:b w:val="1"/>
                <w:bCs w:val="1"/>
                <w:color w:val="auto"/>
              </w:rPr>
              <w:t>May 29,</w:t>
            </w:r>
          </w:p>
        </w:tc>
        <w:tc>
          <w:tcPr>
            <w:tcW w:w="32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jc w:val="right"/>
              <w:ind w:right="439"/>
              <w:spacing w:after="0" w:line="158" w:lineRule="exact"/>
              <w:rPr>
                <w:sz w:val="20"/>
                <w:szCs w:val="20"/>
                <w:color w:val="auto"/>
              </w:rPr>
            </w:pPr>
            <w:r>
              <w:rPr>
                <w:rFonts w:ascii="Arial" w:cs="Arial" w:eastAsia="Arial" w:hAnsi="Arial"/>
                <w:sz w:val="16"/>
                <w:szCs w:val="16"/>
                <w:b w:val="1"/>
                <w:bCs w:val="1"/>
                <w:color w:val="auto"/>
              </w:rPr>
              <w:t>May 30,</w:t>
            </w:r>
          </w:p>
        </w:tc>
      </w:tr>
      <w:tr>
        <w:trPr>
          <w:trHeight w:val="216"/>
        </w:trPr>
        <w:tc>
          <w:tcPr>
            <w:tcW w:w="450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color w:val="auto"/>
              </w:rPr>
              <w:t>(in thousands, except per share data)</w:t>
            </w: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2020</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2020</w:t>
            </w:r>
          </w:p>
        </w:tc>
      </w:tr>
      <w:tr>
        <w:trPr>
          <w:trHeight w:val="229"/>
        </w:trPr>
        <w:tc>
          <w:tcPr>
            <w:tcW w:w="45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71,295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(12,353)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197,786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18,983</w:t>
            </w:r>
          </w:p>
        </w:tc>
      </w:tr>
      <w:tr>
        <w:trPr>
          <w:trHeight w:val="20"/>
        </w:trPr>
        <w:tc>
          <w:tcPr>
            <w:tcW w:w="4480" w:type="dxa"/>
            <w:vAlign w:val="bottom"/>
            <w:tcBorders>
              <w:top w:val="single" w:sz="8" w:color="CCEEFF"/>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109"/>
        </w:trPr>
        <w:tc>
          <w:tcPr>
            <w:tcW w:w="1260" w:type="dxa"/>
            <w:vAlign w:val="bottom"/>
          </w:tcPr>
          <w:p>
            <w:pPr>
              <w:spacing w:after="0"/>
              <w:rPr>
                <w:sz w:val="9"/>
                <w:szCs w:val="9"/>
                <w:color w:val="auto"/>
              </w:rPr>
            </w:pPr>
          </w:p>
        </w:tc>
        <w:tc>
          <w:tcPr>
            <w:tcW w:w="322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00" w:type="dxa"/>
            <w:vAlign w:val="bottom"/>
          </w:tcPr>
          <w:p>
            <w:pPr>
              <w:spacing w:after="0"/>
              <w:rPr>
                <w:sz w:val="9"/>
                <w:szCs w:val="9"/>
                <w:color w:val="auto"/>
              </w:rPr>
            </w:pPr>
          </w:p>
        </w:tc>
      </w:tr>
      <w:tr>
        <w:trPr>
          <w:trHeight w:val="216"/>
        </w:trPr>
        <w:tc>
          <w:tcPr>
            <w:tcW w:w="45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Weighted average common shares outstanding</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33,552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33,625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33,565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33,102</w:t>
            </w:r>
          </w:p>
        </w:tc>
      </w:tr>
      <w:tr>
        <w:trPr>
          <w:trHeight w:val="213"/>
        </w:trPr>
        <w:tc>
          <w:tcPr>
            <w:tcW w:w="4500" w:type="dxa"/>
            <w:vAlign w:val="bottom"/>
            <w:gridSpan w:val="3"/>
          </w:tcPr>
          <w:p>
            <w:pPr>
              <w:ind w:left="20"/>
              <w:spacing w:after="0"/>
              <w:rPr>
                <w:sz w:val="20"/>
                <w:szCs w:val="20"/>
                <w:color w:val="auto"/>
              </w:rPr>
            </w:pPr>
            <w:r>
              <w:rPr>
                <w:rFonts w:ascii="Arial" w:cs="Arial" w:eastAsia="Arial" w:hAnsi="Arial"/>
                <w:sz w:val="16"/>
                <w:szCs w:val="16"/>
                <w:color w:val="auto"/>
              </w:rPr>
              <w:t>Dilutive impact of stock compensation awards</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384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302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187</w:t>
            </w:r>
          </w:p>
        </w:tc>
      </w:tr>
      <w:tr>
        <w:trPr>
          <w:trHeight w:val="216"/>
        </w:trPr>
        <w:tc>
          <w:tcPr>
            <w:tcW w:w="44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Dilutive impact of convertible notes</w:t>
            </w:r>
          </w:p>
        </w:tc>
        <w:tc>
          <w:tcPr>
            <w:tcW w:w="2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836</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2"/>
        </w:trPr>
        <w:tc>
          <w:tcPr>
            <w:tcW w:w="4500" w:type="dxa"/>
            <w:vAlign w:val="bottom"/>
            <w:gridSpan w:val="3"/>
          </w:tcPr>
          <w:p>
            <w:pPr>
              <w:ind w:left="20"/>
              <w:spacing w:after="0"/>
              <w:rPr>
                <w:sz w:val="20"/>
                <w:szCs w:val="20"/>
                <w:color w:val="auto"/>
              </w:rPr>
            </w:pPr>
            <w:r>
              <w:rPr>
                <w:rFonts w:ascii="Arial" w:cs="Arial" w:eastAsia="Arial" w:hAnsi="Arial"/>
                <w:sz w:val="16"/>
                <w:szCs w:val="16"/>
                <w:color w:val="auto"/>
              </w:rPr>
              <w:t>Weighted average diluted common shares outstanding</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34,772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33,625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33,943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33,289</w:t>
            </w:r>
          </w:p>
        </w:tc>
      </w:tr>
      <w:tr>
        <w:trPr>
          <w:trHeight w:val="20"/>
        </w:trPr>
        <w:tc>
          <w:tcPr>
            <w:tcW w:w="1260" w:type="dxa"/>
            <w:vAlign w:val="bottom"/>
            <w:tcBorders>
              <w:bottom w:val="single" w:sz="8" w:color="CCEEFF"/>
            </w:tcBorders>
          </w:tcPr>
          <w:p>
            <w:pPr>
              <w:spacing w:after="0" w:line="20" w:lineRule="exact"/>
              <w:rPr>
                <w:sz w:val="1"/>
                <w:szCs w:val="1"/>
                <w:color w:val="auto"/>
              </w:rPr>
            </w:pPr>
          </w:p>
        </w:tc>
        <w:tc>
          <w:tcPr>
            <w:tcW w:w="322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129"/>
        </w:trPr>
        <w:tc>
          <w:tcPr>
            <w:tcW w:w="1260" w:type="dxa"/>
            <w:vAlign w:val="bottom"/>
            <w:shd w:val="clear" w:color="auto" w:fill="CCEEFF"/>
          </w:tcPr>
          <w:p>
            <w:pPr>
              <w:spacing w:after="0"/>
              <w:rPr>
                <w:sz w:val="11"/>
                <w:szCs w:val="11"/>
                <w:color w:val="auto"/>
              </w:rPr>
            </w:pPr>
          </w:p>
        </w:tc>
        <w:tc>
          <w:tcPr>
            <w:tcW w:w="32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r>
      <w:tr>
        <w:trPr>
          <w:trHeight w:val="177"/>
        </w:trPr>
        <w:tc>
          <w:tcPr>
            <w:tcW w:w="4500" w:type="dxa"/>
            <w:vAlign w:val="bottom"/>
            <w:gridSpan w:val="3"/>
          </w:tcPr>
          <w:p>
            <w:pPr>
              <w:ind w:left="20"/>
              <w:spacing w:after="0" w:line="178" w:lineRule="exact"/>
              <w:rPr>
                <w:sz w:val="20"/>
                <w:szCs w:val="20"/>
                <w:color w:val="auto"/>
              </w:rPr>
            </w:pPr>
            <w:r>
              <w:rPr>
                <w:rFonts w:ascii="Arial" w:cs="Arial" w:eastAsia="Arial" w:hAnsi="Arial"/>
                <w:sz w:val="16"/>
                <w:szCs w:val="16"/>
                <w:color w:val="auto"/>
              </w:rPr>
              <w:t>Anti-dilutive securities excluded from weighted average</w:t>
            </w:r>
          </w:p>
        </w:tc>
        <w:tc>
          <w:tcPr>
            <w:tcW w:w="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98"/>
        </w:trPr>
        <w:tc>
          <w:tcPr>
            <w:tcW w:w="4500" w:type="dxa"/>
            <w:vAlign w:val="bottom"/>
            <w:gridSpan w:val="3"/>
          </w:tcPr>
          <w:p>
            <w:pPr>
              <w:ind w:left="20"/>
              <w:spacing w:after="0"/>
              <w:rPr>
                <w:sz w:val="20"/>
                <w:szCs w:val="20"/>
                <w:color w:val="auto"/>
              </w:rPr>
            </w:pPr>
            <w:r>
              <w:rPr>
                <w:rFonts w:ascii="Arial" w:cs="Arial" w:eastAsia="Arial" w:hAnsi="Arial"/>
                <w:sz w:val="16"/>
                <w:szCs w:val="16"/>
                <w:color w:val="auto"/>
              </w:rPr>
              <w:t>diluted common shares outstanding</w:t>
            </w:r>
          </w:p>
        </w:tc>
        <w:tc>
          <w:tcPr>
            <w:tcW w:w="2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123</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104</w:t>
            </w:r>
          </w:p>
        </w:tc>
      </w:tr>
      <w:tr>
        <w:trPr>
          <w:trHeight w:val="165"/>
        </w:trPr>
        <w:tc>
          <w:tcPr>
            <w:tcW w:w="4480" w:type="dxa"/>
            <w:vAlign w:val="bottom"/>
            <w:gridSpan w:val="2"/>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213"/>
        </w:trPr>
        <w:tc>
          <w:tcPr>
            <w:tcW w:w="4500" w:type="dxa"/>
            <w:vAlign w:val="bottom"/>
            <w:gridSpan w:val="3"/>
          </w:tcPr>
          <w:p>
            <w:pPr>
              <w:ind w:left="20"/>
              <w:spacing w:after="0"/>
              <w:rPr>
                <w:sz w:val="20"/>
                <w:szCs w:val="20"/>
                <w:color w:val="auto"/>
              </w:rPr>
            </w:pPr>
            <w:r>
              <w:rPr>
                <w:rFonts w:ascii="Arial" w:cs="Arial" w:eastAsia="Arial" w:hAnsi="Arial"/>
                <w:sz w:val="16"/>
                <w:szCs w:val="16"/>
                <w:color w:val="auto"/>
              </w:rPr>
              <w:t>Basic earnings (loss) per common share</w:t>
            </w: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2.12</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(0.37)</w:t>
            </w:r>
          </w:p>
        </w:tc>
        <w:tc>
          <w:tcPr>
            <w:tcW w:w="8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5.89</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0.57</w:t>
            </w:r>
          </w:p>
        </w:tc>
      </w:tr>
      <w:tr>
        <w:trPr>
          <w:trHeight w:val="219"/>
        </w:trPr>
        <w:tc>
          <w:tcPr>
            <w:tcW w:w="45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Diluted earnings (loss) per common share</w:t>
            </w: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0.57</w:t>
            </w:r>
          </w:p>
        </w:tc>
      </w:tr>
    </w:tbl>
    <w:p>
      <w:pPr>
        <w:spacing w:after="0" w:line="353" w:lineRule="exact"/>
        <w:rPr>
          <w:sz w:val="20"/>
          <w:szCs w:val="20"/>
          <w:color w:val="auto"/>
        </w:rPr>
      </w:pPr>
    </w:p>
    <w:p>
      <w:pPr>
        <w:ind w:right="520"/>
        <w:spacing w:after="0" w:line="260" w:lineRule="auto"/>
        <w:rPr>
          <w:sz w:val="20"/>
          <w:szCs w:val="20"/>
          <w:color w:val="auto"/>
        </w:rPr>
      </w:pPr>
      <w:r>
        <w:rPr>
          <w:rFonts w:ascii="Arial" w:cs="Arial" w:eastAsia="Arial" w:hAnsi="Arial"/>
          <w:sz w:val="16"/>
          <w:szCs w:val="16"/>
          <w:color w:val="auto"/>
        </w:rPr>
        <w:t>Under the treasury stock method, shares associated with certain anti-dilutive securities have been excluded from the diluted weighted average shares outstanding calculation because the exercise of those options would lead to a net reduction in common shares outstanding or anti-dilution.</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16. Accumulated Other Comprehensive Income (Loss)</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Changes in Accumulated Other Comprehensive Income ("AOCI") by component, net of tax, were:</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34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r>
      <w:tr>
        <w:trPr>
          <w:trHeight w:val="212"/>
        </w:trPr>
        <w:tc>
          <w:tcPr>
            <w:tcW w:w="434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May 29, 2021</w:t>
            </w:r>
          </w:p>
        </w:tc>
        <w:tc>
          <w:tcPr>
            <w:tcW w:w="8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rPr>
              <w:t>May 30, 2020</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r>
      <w:tr>
        <w:trPr>
          <w:trHeight w:val="156"/>
        </w:trPr>
        <w:tc>
          <w:tcPr>
            <w:tcW w:w="4340" w:type="dxa"/>
            <w:vAlign w:val="bottom"/>
          </w:tcPr>
          <w:p>
            <w:pPr>
              <w:spacing w:after="0"/>
              <w:rPr>
                <w:sz w:val="13"/>
                <w:szCs w:val="13"/>
                <w:color w:val="auto"/>
              </w:rPr>
            </w:pPr>
          </w:p>
        </w:tc>
        <w:tc>
          <w:tcPr>
            <w:tcW w:w="1400" w:type="dxa"/>
            <w:vAlign w:val="bottom"/>
            <w:gridSpan w:val="3"/>
          </w:tcPr>
          <w:p>
            <w:pPr>
              <w:jc w:val="center"/>
              <w:ind w:right="100"/>
              <w:spacing w:after="0" w:line="156" w:lineRule="exact"/>
              <w:rPr>
                <w:sz w:val="20"/>
                <w:szCs w:val="20"/>
                <w:color w:val="auto"/>
              </w:rPr>
            </w:pPr>
            <w:r>
              <w:rPr>
                <w:rFonts w:ascii="Arial" w:cs="Arial" w:eastAsia="Arial" w:hAnsi="Arial"/>
                <w:sz w:val="16"/>
                <w:szCs w:val="16"/>
                <w:b w:val="1"/>
                <w:bCs w:val="1"/>
                <w:color w:val="auto"/>
              </w:rPr>
              <w:t>Defined Benefit</w:t>
            </w:r>
          </w:p>
        </w:tc>
        <w:tc>
          <w:tcPr>
            <w:tcW w:w="4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gridSpan w:val="4"/>
          </w:tcPr>
          <w:p>
            <w:pPr>
              <w:jc w:val="center"/>
              <w:ind w:right="120"/>
              <w:spacing w:after="0" w:line="156" w:lineRule="exact"/>
              <w:rPr>
                <w:sz w:val="20"/>
                <w:szCs w:val="20"/>
                <w:color w:val="auto"/>
              </w:rPr>
            </w:pPr>
            <w:r>
              <w:rPr>
                <w:rFonts w:ascii="Arial" w:cs="Arial" w:eastAsia="Arial" w:hAnsi="Arial"/>
                <w:sz w:val="16"/>
                <w:szCs w:val="16"/>
                <w:b w:val="1"/>
                <w:bCs w:val="1"/>
                <w:color w:val="auto"/>
              </w:rPr>
              <w:t>Defined Benefit</w:t>
            </w:r>
          </w:p>
        </w:tc>
        <w:tc>
          <w:tcPr>
            <w:tcW w:w="120" w:type="dxa"/>
            <w:vAlign w:val="bottom"/>
          </w:tcPr>
          <w:p>
            <w:pPr>
              <w:spacing w:after="0"/>
              <w:rPr>
                <w:sz w:val="13"/>
                <w:szCs w:val="13"/>
                <w:color w:val="auto"/>
              </w:rPr>
            </w:pPr>
          </w:p>
        </w:tc>
        <w:tc>
          <w:tcPr>
            <w:tcW w:w="1260" w:type="dxa"/>
            <w:vAlign w:val="bottom"/>
            <w:gridSpan w:val="2"/>
          </w:tcPr>
          <w:p>
            <w:pPr>
              <w:jc w:val="center"/>
              <w:ind w:right="240"/>
              <w:spacing w:after="0" w:line="156" w:lineRule="exact"/>
              <w:rPr>
                <w:sz w:val="20"/>
                <w:szCs w:val="20"/>
                <w:color w:val="auto"/>
              </w:rPr>
            </w:pPr>
            <w:r>
              <w:rPr>
                <w:rFonts w:ascii="Arial" w:cs="Arial" w:eastAsia="Arial" w:hAnsi="Arial"/>
                <w:sz w:val="16"/>
                <w:szCs w:val="16"/>
                <w:b w:val="1"/>
                <w:bCs w:val="1"/>
                <w:color w:val="auto"/>
              </w:rPr>
              <w:t>Interest Rate</w:t>
            </w: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216"/>
        </w:trPr>
        <w:tc>
          <w:tcPr>
            <w:tcW w:w="43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130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Pension Items</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w w:val="99"/>
              </w:rPr>
              <w:t>Total</w:t>
            </w:r>
          </w:p>
        </w:tc>
        <w:tc>
          <w:tcPr>
            <w:tcW w:w="12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Pension Items</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rPr>
              <w:t>Swap</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Total</w:t>
            </w:r>
          </w:p>
        </w:tc>
      </w:tr>
      <w:tr>
        <w:trPr>
          <w:trHeight w:val="210"/>
        </w:trPr>
        <w:tc>
          <w:tcPr>
            <w:tcW w:w="4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beginning of period</w:t>
            </w: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(509)</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(509)</w:t>
            </w:r>
          </w:p>
        </w:tc>
        <w:tc>
          <w:tcPr>
            <w:tcW w:w="940" w:type="dxa"/>
            <w:vAlign w:val="bottom"/>
            <w:gridSpan w:val="2"/>
            <w:shd w:val="clear" w:color="auto" w:fill="CCEEFF"/>
          </w:tcPr>
          <w:p>
            <w:pPr>
              <w:jc w:val="right"/>
              <w:ind w:right="639"/>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(543)</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(543)</w:t>
            </w:r>
          </w:p>
        </w:tc>
      </w:tr>
      <w:tr>
        <w:trPr>
          <w:trHeight w:val="177"/>
        </w:trPr>
        <w:tc>
          <w:tcPr>
            <w:tcW w:w="4340" w:type="dxa"/>
            <w:vAlign w:val="bottom"/>
          </w:tcPr>
          <w:p>
            <w:pPr>
              <w:ind w:left="140"/>
              <w:spacing w:after="0" w:line="178" w:lineRule="exact"/>
              <w:rPr>
                <w:sz w:val="20"/>
                <w:szCs w:val="20"/>
                <w:color w:val="auto"/>
              </w:rPr>
            </w:pPr>
            <w:r>
              <w:rPr>
                <w:rFonts w:ascii="Arial" w:cs="Arial" w:eastAsia="Arial" w:hAnsi="Arial"/>
                <w:sz w:val="16"/>
                <w:szCs w:val="16"/>
                <w:color w:val="auto"/>
              </w:rPr>
              <w:t>Other comprehensive income (loss) ("OCI") before</w:t>
            </w:r>
          </w:p>
        </w:tc>
        <w:tc>
          <w:tcPr>
            <w:tcW w:w="4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98"/>
        </w:trPr>
        <w:tc>
          <w:tcPr>
            <w:tcW w:w="4340" w:type="dxa"/>
            <w:vAlign w:val="bottom"/>
          </w:tcPr>
          <w:p>
            <w:pPr>
              <w:ind w:left="140"/>
              <w:spacing w:after="0"/>
              <w:rPr>
                <w:sz w:val="20"/>
                <w:szCs w:val="20"/>
                <w:color w:val="auto"/>
              </w:rPr>
            </w:pPr>
            <w:r>
              <w:rPr>
                <w:rFonts w:ascii="Arial" w:cs="Arial" w:eastAsia="Arial" w:hAnsi="Arial"/>
                <w:sz w:val="16"/>
                <w:szCs w:val="16"/>
                <w:color w:val="auto"/>
              </w:rPr>
              <w:t>reclassifications</w:t>
            </w:r>
          </w:p>
        </w:tc>
        <w:tc>
          <w:tcPr>
            <w:tcW w:w="48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(432)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(432)</w:t>
            </w:r>
          </w:p>
        </w:tc>
      </w:tr>
      <w:tr>
        <w:trPr>
          <w:trHeight w:val="216"/>
        </w:trPr>
        <w:tc>
          <w:tcPr>
            <w:tcW w:w="43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Amounts reclassified from AOCI</w:t>
            </w:r>
          </w:p>
        </w:tc>
        <w:tc>
          <w:tcPr>
            <w:tcW w:w="4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r>
      <w:tr>
        <w:trPr>
          <w:trHeight w:val="209"/>
        </w:trPr>
        <w:tc>
          <w:tcPr>
            <w:tcW w:w="43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Net current-period OCI</w:t>
            </w:r>
          </w:p>
        </w:tc>
        <w:tc>
          <w:tcPr>
            <w:tcW w:w="4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CEEFF"/>
            </w:tcBorders>
          </w:tcPr>
          <w:p>
            <w:pPr>
              <w:spacing w:after="0"/>
              <w:rPr>
                <w:sz w:val="18"/>
                <w:szCs w:val="18"/>
                <w:color w:val="auto"/>
              </w:rPr>
            </w:pPr>
          </w:p>
        </w:tc>
        <w:tc>
          <w:tcPr>
            <w:tcW w:w="82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(432)</w:t>
            </w:r>
          </w:p>
        </w:tc>
        <w:tc>
          <w:tcPr>
            <w:tcW w:w="1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(424)</w:t>
            </w:r>
          </w:p>
        </w:tc>
      </w:tr>
      <w:tr>
        <w:trPr>
          <w:trHeight w:val="233"/>
        </w:trPr>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end of period</w:t>
            </w: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(500)</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(500)</w:t>
            </w: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ind w:right="639"/>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(535)</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(967)</w:t>
            </w:r>
          </w:p>
        </w:tc>
      </w:tr>
      <w:tr>
        <w:trPr>
          <w:trHeight w:val="20"/>
        </w:trPr>
        <w:tc>
          <w:tcPr>
            <w:tcW w:w="43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416"/>
        </w:trPr>
        <w:tc>
          <w:tcPr>
            <w:tcW w:w="434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5"/>
          </w:tcPr>
          <w:p>
            <w:pPr>
              <w:jc w:val="center"/>
              <w:spacing w:after="0"/>
              <w:rPr>
                <w:sz w:val="20"/>
                <w:szCs w:val="20"/>
                <w:color w:val="auto"/>
              </w:rPr>
            </w:pPr>
            <w:r>
              <w:rPr>
                <w:rFonts w:ascii="Arial" w:cs="Arial" w:eastAsia="Arial" w:hAnsi="Arial"/>
                <w:sz w:val="16"/>
                <w:szCs w:val="16"/>
                <w:b w:val="1"/>
                <w:bCs w:val="1"/>
                <w:color w:val="auto"/>
              </w:rPr>
              <w:t>Nine Months Ended</w:t>
            </w: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r>
        <w:trPr>
          <w:trHeight w:val="212"/>
        </w:trPr>
        <w:tc>
          <w:tcPr>
            <w:tcW w:w="434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May 29, 2021</w:t>
            </w:r>
          </w:p>
        </w:tc>
        <w:tc>
          <w:tcPr>
            <w:tcW w:w="8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rPr>
              <w:t>May 30, 2020</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r>
      <w:tr>
        <w:trPr>
          <w:trHeight w:val="156"/>
        </w:trPr>
        <w:tc>
          <w:tcPr>
            <w:tcW w:w="4340" w:type="dxa"/>
            <w:vAlign w:val="bottom"/>
          </w:tcPr>
          <w:p>
            <w:pPr>
              <w:spacing w:after="0"/>
              <w:rPr>
                <w:sz w:val="13"/>
                <w:szCs w:val="13"/>
                <w:color w:val="auto"/>
              </w:rPr>
            </w:pPr>
          </w:p>
        </w:tc>
        <w:tc>
          <w:tcPr>
            <w:tcW w:w="1400" w:type="dxa"/>
            <w:vAlign w:val="bottom"/>
            <w:gridSpan w:val="3"/>
          </w:tcPr>
          <w:p>
            <w:pPr>
              <w:jc w:val="center"/>
              <w:ind w:right="100"/>
              <w:spacing w:after="0" w:line="156" w:lineRule="exact"/>
              <w:rPr>
                <w:sz w:val="20"/>
                <w:szCs w:val="20"/>
                <w:color w:val="auto"/>
              </w:rPr>
            </w:pPr>
            <w:r>
              <w:rPr>
                <w:rFonts w:ascii="Arial" w:cs="Arial" w:eastAsia="Arial" w:hAnsi="Arial"/>
                <w:sz w:val="16"/>
                <w:szCs w:val="16"/>
                <w:b w:val="1"/>
                <w:bCs w:val="1"/>
                <w:color w:val="auto"/>
              </w:rPr>
              <w:t>Defined Benefit</w:t>
            </w:r>
          </w:p>
        </w:tc>
        <w:tc>
          <w:tcPr>
            <w:tcW w:w="4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gridSpan w:val="4"/>
          </w:tcPr>
          <w:p>
            <w:pPr>
              <w:jc w:val="center"/>
              <w:ind w:right="120"/>
              <w:spacing w:after="0" w:line="156" w:lineRule="exact"/>
              <w:rPr>
                <w:sz w:val="20"/>
                <w:szCs w:val="20"/>
                <w:color w:val="auto"/>
              </w:rPr>
            </w:pPr>
            <w:r>
              <w:rPr>
                <w:rFonts w:ascii="Arial" w:cs="Arial" w:eastAsia="Arial" w:hAnsi="Arial"/>
                <w:sz w:val="16"/>
                <w:szCs w:val="16"/>
                <w:b w:val="1"/>
                <w:bCs w:val="1"/>
                <w:color w:val="auto"/>
              </w:rPr>
              <w:t>Defined Benefit</w:t>
            </w:r>
          </w:p>
        </w:tc>
        <w:tc>
          <w:tcPr>
            <w:tcW w:w="120" w:type="dxa"/>
            <w:vAlign w:val="bottom"/>
          </w:tcPr>
          <w:p>
            <w:pPr>
              <w:spacing w:after="0"/>
              <w:rPr>
                <w:sz w:val="13"/>
                <w:szCs w:val="13"/>
                <w:color w:val="auto"/>
              </w:rPr>
            </w:pPr>
          </w:p>
        </w:tc>
        <w:tc>
          <w:tcPr>
            <w:tcW w:w="1260" w:type="dxa"/>
            <w:vAlign w:val="bottom"/>
            <w:gridSpan w:val="2"/>
          </w:tcPr>
          <w:p>
            <w:pPr>
              <w:jc w:val="center"/>
              <w:ind w:right="240"/>
              <w:spacing w:after="0" w:line="156" w:lineRule="exact"/>
              <w:rPr>
                <w:sz w:val="20"/>
                <w:szCs w:val="20"/>
                <w:color w:val="auto"/>
              </w:rPr>
            </w:pPr>
            <w:r>
              <w:rPr>
                <w:rFonts w:ascii="Arial" w:cs="Arial" w:eastAsia="Arial" w:hAnsi="Arial"/>
                <w:sz w:val="16"/>
                <w:szCs w:val="16"/>
                <w:b w:val="1"/>
                <w:bCs w:val="1"/>
                <w:color w:val="auto"/>
              </w:rPr>
              <w:t>Interest Rate</w:t>
            </w: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216"/>
        </w:trPr>
        <w:tc>
          <w:tcPr>
            <w:tcW w:w="43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130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Pension Items</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w w:val="99"/>
              </w:rPr>
              <w:t>Total</w:t>
            </w:r>
          </w:p>
        </w:tc>
        <w:tc>
          <w:tcPr>
            <w:tcW w:w="12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Pension Items</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rPr>
              <w:t>Swap</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Total</w:t>
            </w:r>
          </w:p>
        </w:tc>
      </w:tr>
      <w:tr>
        <w:trPr>
          <w:trHeight w:val="209"/>
        </w:trPr>
        <w:tc>
          <w:tcPr>
            <w:tcW w:w="4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beginning of period</w:t>
            </w: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(526)</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(526)</w:t>
            </w:r>
          </w:p>
        </w:tc>
        <w:tc>
          <w:tcPr>
            <w:tcW w:w="940" w:type="dxa"/>
            <w:vAlign w:val="bottom"/>
            <w:gridSpan w:val="2"/>
            <w:shd w:val="clear" w:color="auto" w:fill="CCEEFF"/>
          </w:tcPr>
          <w:p>
            <w:pPr>
              <w:jc w:val="right"/>
              <w:ind w:right="639"/>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(559)</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(491)</w:t>
            </w:r>
          </w:p>
        </w:tc>
      </w:tr>
      <w:tr>
        <w:trPr>
          <w:trHeight w:val="213"/>
        </w:trPr>
        <w:tc>
          <w:tcPr>
            <w:tcW w:w="4340" w:type="dxa"/>
            <w:vAlign w:val="bottom"/>
          </w:tcPr>
          <w:p>
            <w:pPr>
              <w:ind w:left="140"/>
              <w:spacing w:after="0"/>
              <w:rPr>
                <w:sz w:val="20"/>
                <w:szCs w:val="20"/>
                <w:color w:val="auto"/>
              </w:rPr>
            </w:pPr>
            <w:r>
              <w:rPr>
                <w:rFonts w:ascii="Arial" w:cs="Arial" w:eastAsia="Arial" w:hAnsi="Arial"/>
                <w:sz w:val="16"/>
                <w:szCs w:val="16"/>
                <w:color w:val="auto"/>
              </w:rPr>
              <w:t>OCI before reclassifications</w:t>
            </w:r>
          </w:p>
        </w:tc>
        <w:tc>
          <w:tcPr>
            <w:tcW w:w="4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(500)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(500)</w:t>
            </w:r>
          </w:p>
        </w:tc>
      </w:tr>
      <w:tr>
        <w:trPr>
          <w:trHeight w:val="216"/>
        </w:trPr>
        <w:tc>
          <w:tcPr>
            <w:tcW w:w="43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Amounts reclassified from AOCI</w:t>
            </w:r>
          </w:p>
        </w:tc>
        <w:tc>
          <w:tcPr>
            <w:tcW w:w="4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r>
      <w:tr>
        <w:trPr>
          <w:trHeight w:val="209"/>
        </w:trPr>
        <w:tc>
          <w:tcPr>
            <w:tcW w:w="43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Net current-period OCI</w:t>
            </w:r>
          </w:p>
        </w:tc>
        <w:tc>
          <w:tcPr>
            <w:tcW w:w="4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10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120" w:type="dxa"/>
            <w:vAlign w:val="bottom"/>
            <w:tcBorders>
              <w:bottom w:val="single" w:sz="8" w:color="CCEEFF"/>
            </w:tcBorders>
          </w:tcPr>
          <w:p>
            <w:pPr>
              <w:spacing w:after="0"/>
              <w:rPr>
                <w:sz w:val="18"/>
                <w:szCs w:val="18"/>
                <w:color w:val="auto"/>
              </w:rPr>
            </w:pPr>
          </w:p>
        </w:tc>
        <w:tc>
          <w:tcPr>
            <w:tcW w:w="82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(500)</w:t>
            </w:r>
          </w:p>
        </w:tc>
        <w:tc>
          <w:tcPr>
            <w:tcW w:w="1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(476)</w:t>
            </w:r>
          </w:p>
        </w:tc>
      </w:tr>
      <w:tr>
        <w:trPr>
          <w:trHeight w:val="233"/>
        </w:trPr>
        <w:tc>
          <w:tcPr>
            <w:tcW w:w="4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end of period</w:t>
            </w: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w:t>
            </w:r>
          </w:p>
        </w:tc>
        <w:tc>
          <w:tcPr>
            <w:tcW w:w="940" w:type="dxa"/>
            <w:vAlign w:val="bottom"/>
            <w:gridSpan w:val="2"/>
            <w:shd w:val="clear" w:color="auto" w:fill="CCEEFF"/>
          </w:tcPr>
          <w:p>
            <w:pPr>
              <w:jc w:val="right"/>
              <w:ind w:right="639"/>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(535)</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(432)</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(967)</w:t>
            </w: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color w:val="auto"/>
        </w:rPr>
        <w:t>Reclassifications out of AOCI, net of tax, were:</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5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900" w:type="dxa"/>
            <w:vAlign w:val="bottom"/>
            <w:gridSpan w:val="5"/>
          </w:tcPr>
          <w:p>
            <w:pPr>
              <w:ind w:left="460"/>
              <w:spacing w:after="0"/>
              <w:rPr>
                <w:sz w:val="20"/>
                <w:szCs w:val="20"/>
                <w:color w:val="auto"/>
              </w:rPr>
            </w:pPr>
            <w:r>
              <w:rPr>
                <w:rFonts w:ascii="Arial" w:cs="Arial" w:eastAsia="Arial" w:hAnsi="Arial"/>
                <w:sz w:val="16"/>
                <w:szCs w:val="16"/>
                <w:b w:val="1"/>
                <w:bCs w:val="1"/>
                <w:color w:val="auto"/>
              </w:rPr>
              <w:t>Three Months Ended</w:t>
            </w:r>
          </w:p>
        </w:tc>
        <w:tc>
          <w:tcPr>
            <w:tcW w:w="300" w:type="dxa"/>
            <w:vAlign w:val="bottom"/>
          </w:tcPr>
          <w:p>
            <w:pPr>
              <w:spacing w:after="0"/>
              <w:rPr>
                <w:sz w:val="18"/>
                <w:szCs w:val="18"/>
                <w:color w:val="auto"/>
              </w:rPr>
            </w:pPr>
          </w:p>
        </w:tc>
        <w:tc>
          <w:tcPr>
            <w:tcW w:w="2800" w:type="dxa"/>
            <w:vAlign w:val="bottom"/>
            <w:gridSpan w:val="4"/>
          </w:tcPr>
          <w:p>
            <w:pPr>
              <w:jc w:val="right"/>
              <w:ind w:right="699"/>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148"/>
        </w:trPr>
        <w:tc>
          <w:tcPr>
            <w:tcW w:w="2580" w:type="dxa"/>
            <w:vAlign w:val="bottom"/>
          </w:tcPr>
          <w:p>
            <w:pPr>
              <w:spacing w:after="0"/>
              <w:rPr>
                <w:sz w:val="12"/>
                <w:szCs w:val="12"/>
                <w:color w:val="auto"/>
              </w:rPr>
            </w:pPr>
          </w:p>
        </w:tc>
        <w:tc>
          <w:tcPr>
            <w:tcW w:w="2360" w:type="dxa"/>
            <w:vAlign w:val="bottom"/>
          </w:tcPr>
          <w:p>
            <w:pPr>
              <w:jc w:val="center"/>
              <w:spacing w:after="0" w:line="148" w:lineRule="exact"/>
              <w:rPr>
                <w:sz w:val="20"/>
                <w:szCs w:val="20"/>
                <w:color w:val="auto"/>
              </w:rPr>
            </w:pPr>
            <w:r>
              <w:rPr>
                <w:rFonts w:ascii="Arial" w:cs="Arial" w:eastAsia="Arial" w:hAnsi="Arial"/>
                <w:sz w:val="16"/>
                <w:szCs w:val="16"/>
                <w:b w:val="1"/>
                <w:bCs w:val="1"/>
                <w:color w:val="auto"/>
              </w:rPr>
              <w:t>Location on Consolidated</w:t>
            </w:r>
          </w:p>
        </w:tc>
        <w:tc>
          <w:tcPr>
            <w:tcW w:w="30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580" w:type="dxa"/>
            <w:vAlign w:val="bottom"/>
          </w:tcPr>
          <w:p>
            <w:pPr>
              <w:spacing w:after="0"/>
              <w:rPr>
                <w:sz w:val="14"/>
                <w:szCs w:val="14"/>
                <w:color w:val="auto"/>
              </w:rPr>
            </w:pPr>
          </w:p>
        </w:tc>
        <w:tc>
          <w:tcPr>
            <w:tcW w:w="23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Statements</w:t>
            </w:r>
          </w:p>
        </w:tc>
        <w:tc>
          <w:tcPr>
            <w:tcW w:w="300" w:type="dxa"/>
            <w:vAlign w:val="bottom"/>
          </w:tcPr>
          <w:p>
            <w:pPr>
              <w:spacing w:after="0"/>
              <w:rPr>
                <w:sz w:val="14"/>
                <w:szCs w:val="14"/>
                <w:color w:val="auto"/>
              </w:rPr>
            </w:pPr>
          </w:p>
        </w:tc>
        <w:tc>
          <w:tcPr>
            <w:tcW w:w="1320" w:type="dxa"/>
            <w:vAlign w:val="bottom"/>
            <w:gridSpan w:val="2"/>
            <w:vMerge w:val="restart"/>
          </w:tcPr>
          <w:p>
            <w:pPr>
              <w:jc w:val="center"/>
              <w:ind w:right="400"/>
              <w:spacing w:after="0"/>
              <w:rPr>
                <w:sz w:val="20"/>
                <w:szCs w:val="20"/>
                <w:color w:val="auto"/>
              </w:rPr>
            </w:pPr>
            <w:r>
              <w:rPr>
                <w:rFonts w:ascii="Arial" w:cs="Arial" w:eastAsia="Arial" w:hAnsi="Arial"/>
                <w:sz w:val="16"/>
                <w:szCs w:val="16"/>
                <w:b w:val="1"/>
                <w:bCs w:val="1"/>
                <w:color w:val="auto"/>
              </w:rPr>
              <w:t>May 29,</w:t>
            </w:r>
          </w:p>
        </w:tc>
        <w:tc>
          <w:tcPr>
            <w:tcW w:w="280" w:type="dxa"/>
            <w:vAlign w:val="bottom"/>
          </w:tcPr>
          <w:p>
            <w:pPr>
              <w:spacing w:after="0"/>
              <w:rPr>
                <w:sz w:val="14"/>
                <w:szCs w:val="14"/>
                <w:color w:val="auto"/>
              </w:rPr>
            </w:pPr>
          </w:p>
        </w:tc>
        <w:tc>
          <w:tcPr>
            <w:tcW w:w="1300" w:type="dxa"/>
            <w:vAlign w:val="bottom"/>
            <w:gridSpan w:val="2"/>
            <w:vMerge w:val="restart"/>
          </w:tcPr>
          <w:p>
            <w:pPr>
              <w:jc w:val="center"/>
              <w:ind w:right="360"/>
              <w:spacing w:after="0"/>
              <w:rPr>
                <w:sz w:val="20"/>
                <w:szCs w:val="20"/>
                <w:color w:val="auto"/>
              </w:rPr>
            </w:pPr>
            <w:r>
              <w:rPr>
                <w:rFonts w:ascii="Arial" w:cs="Arial" w:eastAsia="Arial" w:hAnsi="Arial"/>
                <w:sz w:val="16"/>
                <w:szCs w:val="16"/>
                <w:b w:val="1"/>
                <w:bCs w:val="1"/>
                <w:color w:val="auto"/>
              </w:rPr>
              <w:t>May 30,</w:t>
            </w:r>
          </w:p>
        </w:tc>
        <w:tc>
          <w:tcPr>
            <w:tcW w:w="300" w:type="dxa"/>
            <w:vAlign w:val="bottom"/>
          </w:tcPr>
          <w:p>
            <w:pPr>
              <w:spacing w:after="0"/>
              <w:rPr>
                <w:sz w:val="14"/>
                <w:szCs w:val="14"/>
                <w:color w:val="auto"/>
              </w:rPr>
            </w:pPr>
          </w:p>
        </w:tc>
        <w:tc>
          <w:tcPr>
            <w:tcW w:w="1300" w:type="dxa"/>
            <w:vAlign w:val="bottom"/>
            <w:gridSpan w:val="2"/>
            <w:vMerge w:val="restart"/>
          </w:tcPr>
          <w:p>
            <w:pPr>
              <w:jc w:val="center"/>
              <w:ind w:right="380"/>
              <w:spacing w:after="0"/>
              <w:rPr>
                <w:sz w:val="20"/>
                <w:szCs w:val="20"/>
                <w:color w:val="auto"/>
              </w:rPr>
            </w:pPr>
            <w:r>
              <w:rPr>
                <w:rFonts w:ascii="Arial" w:cs="Arial" w:eastAsia="Arial" w:hAnsi="Arial"/>
                <w:sz w:val="16"/>
                <w:szCs w:val="16"/>
                <w:b w:val="1"/>
                <w:bCs w:val="1"/>
                <w:color w:val="auto"/>
              </w:rPr>
              <w:t>May 29,</w:t>
            </w:r>
          </w:p>
        </w:tc>
        <w:tc>
          <w:tcPr>
            <w:tcW w:w="280" w:type="dxa"/>
            <w:vAlign w:val="bottom"/>
          </w:tcPr>
          <w:p>
            <w:pPr>
              <w:spacing w:after="0"/>
              <w:rPr>
                <w:sz w:val="14"/>
                <w:szCs w:val="14"/>
                <w:color w:val="auto"/>
              </w:rPr>
            </w:pPr>
          </w:p>
        </w:tc>
        <w:tc>
          <w:tcPr>
            <w:tcW w:w="1220" w:type="dxa"/>
            <w:vAlign w:val="bottom"/>
            <w:vMerge w:val="restart"/>
          </w:tcPr>
          <w:p>
            <w:pPr>
              <w:jc w:val="center"/>
              <w:ind w:right="199"/>
              <w:spacing w:after="0"/>
              <w:rPr>
                <w:sz w:val="20"/>
                <w:szCs w:val="20"/>
                <w:color w:val="auto"/>
              </w:rPr>
            </w:pPr>
            <w:r>
              <w:rPr>
                <w:rFonts w:ascii="Arial" w:cs="Arial" w:eastAsia="Arial" w:hAnsi="Arial"/>
                <w:sz w:val="16"/>
                <w:szCs w:val="16"/>
                <w:b w:val="1"/>
                <w:bCs w:val="1"/>
                <w:color w:val="auto"/>
              </w:rPr>
              <w:t>May 30,</w:t>
            </w:r>
          </w:p>
        </w:tc>
        <w:tc>
          <w:tcPr>
            <w:tcW w:w="0" w:type="dxa"/>
            <w:vAlign w:val="bottom"/>
          </w:tcPr>
          <w:p>
            <w:pPr>
              <w:spacing w:after="0"/>
              <w:rPr>
                <w:sz w:val="1"/>
                <w:szCs w:val="1"/>
                <w:color w:val="auto"/>
              </w:rPr>
            </w:pPr>
          </w:p>
        </w:tc>
      </w:tr>
      <w:tr>
        <w:trPr>
          <w:trHeight w:val="162"/>
        </w:trPr>
        <w:tc>
          <w:tcPr>
            <w:tcW w:w="2580" w:type="dxa"/>
            <w:vAlign w:val="bottom"/>
          </w:tcPr>
          <w:p>
            <w:pPr>
              <w:spacing w:after="0"/>
              <w:rPr>
                <w:sz w:val="14"/>
                <w:szCs w:val="14"/>
                <w:color w:val="auto"/>
              </w:rPr>
            </w:pPr>
          </w:p>
        </w:tc>
        <w:tc>
          <w:tcPr>
            <w:tcW w:w="2360" w:type="dxa"/>
            <w:vAlign w:val="bottom"/>
          </w:tcPr>
          <w:p>
            <w:pPr>
              <w:jc w:val="center"/>
              <w:ind w:left="19"/>
              <w:spacing w:after="0" w:line="162" w:lineRule="exact"/>
              <w:rPr>
                <w:sz w:val="20"/>
                <w:szCs w:val="20"/>
                <w:color w:val="auto"/>
              </w:rPr>
            </w:pPr>
            <w:r>
              <w:rPr>
                <w:rFonts w:ascii="Arial" w:cs="Arial" w:eastAsia="Arial" w:hAnsi="Arial"/>
                <w:sz w:val="16"/>
                <w:szCs w:val="16"/>
                <w:b w:val="1"/>
                <w:bCs w:val="1"/>
                <w:color w:val="auto"/>
              </w:rPr>
              <w:t>of Income and</w:t>
            </w:r>
          </w:p>
        </w:tc>
        <w:tc>
          <w:tcPr>
            <w:tcW w:w="30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5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3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Comprehensive Income</w:t>
            </w: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2020</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09"/>
        </w:trPr>
        <w:tc>
          <w:tcPr>
            <w:tcW w:w="2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net actuarial loss</w:t>
            </w:r>
          </w:p>
        </w:tc>
        <w:tc>
          <w:tcPr>
            <w:tcW w:w="23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SG&amp;A</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22" w:name="page23"/>
    <w:bookmarkEnd w:id="2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Management's Discussion and Analysis of Financial Condition and Results of Operations</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The terms "Winnebago," "we," "us," and "our," unless the context otherwise requires, refer to Winnebago Industries, Inc. and its wholly-owned subsidiaries.</w:t>
      </w:r>
    </w:p>
    <w:p>
      <w:pPr>
        <w:spacing w:after="0" w:line="248"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Management’s Discussion and Analysis of Financial Condition and Results of Operations (“MD&amp;A”) is intended to provide a reader of our financial statements with a narrative from the perspective of management on our financial condition, results of operations, liquidity, and certain other factors that may affect our future results. Unless otherwise noted, transactions and other factors significantly impacting our financial condition, results of operations and liquidity are discussed in order of magnitude.</w:t>
      </w:r>
    </w:p>
    <w:p>
      <w:pPr>
        <w:spacing w:after="0" w:line="229"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auto"/>
        </w:rPr>
        <w:t>Our MD&amp;A should be read in conjunction with the Consolidated Financial Statements and related Notes included in Item 1 of Part I of this Quarterly Report on Form 10-Q and our Annual Report on Form 10-K for the fiscal year ended August 29, 2020 (including the information presented therein under Risk Factors), as well as our reports on Forms 10-Q and 8-K and other publicly available information. All amounts herein are unaudited. All dollar amounts are in thousands unless otherwise noted.</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133"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Winnebago Industries, Inc. is one of the leading North American manufacturers of recreation vehicles ("RV"s) and marine products with a diversified portfolio used primarily in leisure travel and outdoor recreational activities. We produce our motorhome units in Iowa and Indiana; our towable units in Indiana; and our marine units in Florida. We distribute our RV and marine products primarily through independent dealers throughout the U.S. and Canada, who then retail the products to the end consumer. We also distribute our marine products internationally through independent dealers, who then retail the products to the end consumer.</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COVID-19 Pandemic</w:t>
      </w:r>
    </w:p>
    <w:p>
      <w:pPr>
        <w:spacing w:after="0" w:line="120" w:lineRule="exact"/>
        <w:rPr>
          <w:sz w:val="20"/>
          <w:szCs w:val="20"/>
          <w:color w:val="auto"/>
        </w:rPr>
      </w:pPr>
    </w:p>
    <w:p>
      <w:pPr>
        <w:ind w:right="20"/>
        <w:spacing w:after="0" w:line="233" w:lineRule="auto"/>
        <w:rPr>
          <w:sz w:val="20"/>
          <w:szCs w:val="20"/>
          <w:color w:val="auto"/>
        </w:rPr>
      </w:pPr>
      <w:r>
        <w:rPr>
          <w:rFonts w:ascii="Arial" w:cs="Arial" w:eastAsia="Arial" w:hAnsi="Arial"/>
          <w:sz w:val="16"/>
          <w:szCs w:val="16"/>
          <w:color w:val="212529"/>
        </w:rPr>
        <w:t xml:space="preserve">We continue to monitor guidance from international and domestic authorities, including federal, state and local public health authorities, regarding the COVID-19 pandemic and may take additional actions based on their requirements and recommendations. In these circumstances, there may be developments outside our control requiring us to adjust our operating plan. Overall, t </w:t>
      </w:r>
      <w:r>
        <w:rPr>
          <w:rFonts w:ascii="Arial" w:cs="Arial" w:eastAsia="Arial" w:hAnsi="Arial"/>
          <w:sz w:val="16"/>
          <w:szCs w:val="16"/>
          <w:color w:val="000000"/>
        </w:rPr>
        <w:t>here has been strong retail demand by consumers of RVs as a safe</w:t>
      </w:r>
      <w:r>
        <w:rPr>
          <w:rFonts w:ascii="Arial" w:cs="Arial" w:eastAsia="Arial" w:hAnsi="Arial"/>
          <w:sz w:val="16"/>
          <w:szCs w:val="16"/>
          <w:color w:val="212529"/>
        </w:rPr>
        <w:t xml:space="preserve"> </w:t>
      </w:r>
      <w:r>
        <w:rPr>
          <w:rFonts w:ascii="Arial" w:cs="Arial" w:eastAsia="Arial" w:hAnsi="Arial"/>
          <w:sz w:val="16"/>
          <w:szCs w:val="16"/>
          <w:color w:val="000000"/>
        </w:rPr>
        <w:t xml:space="preserve">travel option during the COVID-19 pandemic. While our production has experienced certain supply shortages, we continue to actively manage through these temporary supply chain disruptions. </w:t>
      </w:r>
      <w:r>
        <w:rPr>
          <w:rFonts w:ascii="Arial" w:cs="Arial" w:eastAsia="Arial" w:hAnsi="Arial"/>
          <w:sz w:val="16"/>
          <w:szCs w:val="16"/>
          <w:color w:val="212529"/>
        </w:rPr>
        <w:t>Refer to the COVID-19 related risk factors disclosed in Item 1A of Part I in our Annual Report on Form 10-K for the fiscal</w:t>
      </w:r>
      <w:r>
        <w:rPr>
          <w:rFonts w:ascii="Arial" w:cs="Arial" w:eastAsia="Arial" w:hAnsi="Arial"/>
          <w:sz w:val="16"/>
          <w:szCs w:val="16"/>
          <w:color w:val="000000"/>
        </w:rPr>
        <w:t xml:space="preserve"> </w:t>
      </w:r>
      <w:r>
        <w:rPr>
          <w:rFonts w:ascii="Arial" w:cs="Arial" w:eastAsia="Arial" w:hAnsi="Arial"/>
          <w:sz w:val="16"/>
          <w:szCs w:val="16"/>
          <w:color w:val="212529"/>
        </w:rPr>
        <w:t>year ended August 29, 2020.</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Non-GAAP Reconciliation</w:t>
      </w:r>
    </w:p>
    <w:p>
      <w:pPr>
        <w:spacing w:after="0" w:line="133"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This MD&amp;A includes financial information prepared in accordance with GAAP, as well as certain adjusted or non-GAAP financial measures such as EBITDA and Adjusted EBITDA. EBITDA is defined as net income before interest expense, provision for income taxes, and depreciation and amortization expense. Adjusted EBITDA is defined as net income before interest expense, provision for income taxes, depreciation and amortization expense, and other pretax adjustments made in order to present comparable results from period to period.</w:t>
      </w:r>
    </w:p>
    <w:p>
      <w:pPr>
        <w:spacing w:after="0" w:line="229"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These non-GAAP financial measures, which are not calculated or presented in accordance with GAAP, have been provided as information supplemental and in addition to the financial measures presented in accordance with GAAP. Such non-GAAP financial measures should not be considered superior to, as a substitute for, or as an alternative to, and should be considered in conjunction with, the GAAP financial measures presented herein. The non-GAAP financial measures presented may differ from similar measures used by other companies.</w:t>
      </w:r>
    </w:p>
    <w:p>
      <w:pPr>
        <w:spacing w:after="0" w:line="229"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Refer to the Results of Operations - Current Quarter Compared to the Comparable Prior Year Quarter and the Results of Operations - Nine Months Ended May 29, 2021 Compared to the Nine Months Ended May 30, 2020 for a detailed reconciliation of items that impacted EBITDA and Adjusted EBITDA. We have included these non-GAAP performance measures as a comparable measure to illustrate the effect of non-recurring transactions occurring during the reported periods and to improve comparability of our results from period to period. We believe Adjusted EBITDA provides meaningful supplemental information about our operating performance because these measures exclude amounts from net income that we do not consider part of our core operating results when assessing our performance. Examples of items excluded from Adjusted EBITDA include acquisition-related costs, restructuring expenses, gain or loss on sale of property and equipment, and non-operating (income) loss.</w:t>
      </w:r>
    </w:p>
    <w:p>
      <w:pPr>
        <w:spacing w:after="0" w:line="235"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Management uses these non-GAAP financial measures (a) to evaluate our historical and prospective financial performance and trends as well as our performance relative to competitors and peers; (b) to measure operational profitability on a consistent basis; (c) in presentations to the members of our Board of Directors to enable our Board of Directors to have the same measurement basis of operating performance as is used by management in its assessments of performance and in forecasting and budgeting for our company; (d) to evaluate potential acquisitions; and (e) to ensure compliance with covenants and restricted activities under the terms of our ABL Credit Facility and outstanding notes, as further described in Note 8 to the Consolidated Financial Statements included in Item 1 of Part I of this Quarterly Report on Form 10-Q. We believe these non-GAAP financial measures are frequently used by securities analysts, investors and other interested parties to evaluate companies in the industry.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 w:right="359" w:bottom="1440" w:gutter="0" w:footer="0" w:header="0"/>
        </w:sectPr>
      </w:pPr>
    </w:p>
    <w:bookmarkStart w:id="23" w:name="page24"/>
    <w:bookmarkEnd w:id="2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Reportable Segments</w:t>
      </w:r>
    </w:p>
    <w:p>
      <w:pPr>
        <w:spacing w:after="0" w:line="133" w:lineRule="exact"/>
        <w:rPr>
          <w:sz w:val="20"/>
          <w:szCs w:val="20"/>
          <w:color w:val="auto"/>
        </w:rPr>
      </w:pPr>
    </w:p>
    <w:p>
      <w:pPr>
        <w:jc w:val="both"/>
        <w:ind w:right="180"/>
        <w:spacing w:after="0" w:line="253" w:lineRule="auto"/>
        <w:rPr>
          <w:sz w:val="20"/>
          <w:szCs w:val="20"/>
          <w:color w:val="auto"/>
        </w:rPr>
      </w:pPr>
      <w:r>
        <w:rPr>
          <w:rFonts w:ascii="Arial" w:cs="Arial" w:eastAsia="Arial" w:hAnsi="Arial"/>
          <w:sz w:val="16"/>
          <w:szCs w:val="16"/>
          <w:color w:val="auto"/>
        </w:rPr>
        <w:t>We have six operating segments: 1) Grand Design towables, 2) Winnebago towables, 3) Winnebago motorhomes, 4) Newmar motorhomes, 5) Chris-Craft marine and 6) Winnebago specialty vehicles. Financial performance is evaluated based on each operating segment's Adjusted EBITDA, as defined above, which excludes certain corporate administration expenses and non-operating income and expense.</w:t>
      </w:r>
    </w:p>
    <w:p>
      <w:pPr>
        <w:spacing w:after="0" w:line="228"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Our two reportable segments are Towable (an aggregation of the Winnebago towables and Grand Design towables operating segments) and Motorhome (an aggregation of the Winnebago motorhomes and Newmar motorhomes operating segments). Towable is comprised of non-motorized products that are generally towed by another vehicle, along with other related manufactured products and services. Motorhome is comprised of products that include a motorized chassis, along with other related manufactured products and services.</w:t>
      </w:r>
    </w:p>
    <w:p>
      <w:pPr>
        <w:spacing w:after="0" w:line="229" w:lineRule="exact"/>
        <w:rPr>
          <w:sz w:val="20"/>
          <w:szCs w:val="20"/>
          <w:color w:val="auto"/>
        </w:rPr>
      </w:pPr>
    </w:p>
    <w:p>
      <w:pPr>
        <w:ind w:right="500"/>
        <w:spacing w:after="0" w:line="260" w:lineRule="auto"/>
        <w:rPr>
          <w:sz w:val="20"/>
          <w:szCs w:val="20"/>
          <w:color w:val="auto"/>
        </w:rPr>
      </w:pPr>
      <w:r>
        <w:rPr>
          <w:rFonts w:ascii="Arial" w:cs="Arial" w:eastAsia="Arial" w:hAnsi="Arial"/>
          <w:sz w:val="16"/>
          <w:szCs w:val="16"/>
          <w:color w:val="auto"/>
        </w:rPr>
        <w:t>The Corporate / All Other category includes the Chris-Craft marine and Winnebago specialty vehicles operating segments as well as certain corporate administration expenses related to the oversight of the enterprise such as corporate leadership and administration costs.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Industry Trends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Key reported statistics for the North American RV industry are as follows:</w:t>
      </w:r>
    </w:p>
    <w:p>
      <w:pPr>
        <w:spacing w:after="0" w:line="5" w:lineRule="exact"/>
        <w:rPr>
          <w:sz w:val="20"/>
          <w:szCs w:val="20"/>
          <w:color w:val="auto"/>
        </w:rPr>
      </w:pPr>
    </w:p>
    <w:p>
      <w:pPr>
        <w:ind w:left="560" w:hanging="228"/>
        <w:spacing w:after="0"/>
        <w:tabs>
          <w:tab w:leader="none" w:pos="560" w:val="left"/>
        </w:tabs>
        <w:numPr>
          <w:ilvl w:val="0"/>
          <w:numId w:val="6"/>
        </w:numPr>
        <w:rPr>
          <w:rFonts w:ascii="Arial" w:cs="Arial" w:eastAsia="Arial" w:hAnsi="Arial"/>
          <w:sz w:val="16"/>
          <w:szCs w:val="16"/>
          <w:color w:val="auto"/>
        </w:rPr>
      </w:pPr>
      <w:r>
        <w:rPr>
          <w:rFonts w:ascii="Arial" w:cs="Arial" w:eastAsia="Arial" w:hAnsi="Arial"/>
          <w:sz w:val="16"/>
          <w:szCs w:val="16"/>
          <w:color w:val="auto"/>
        </w:rPr>
        <w:t>Wholesale unit shipments - RV product delivered to the dealers, which is reported monthly by the Recreation Vehicle Industry Association ("RVIA").</w:t>
      </w:r>
    </w:p>
    <w:p>
      <w:pPr>
        <w:spacing w:after="0" w:line="5" w:lineRule="exact"/>
        <w:rPr>
          <w:rFonts w:ascii="Arial" w:cs="Arial" w:eastAsia="Arial" w:hAnsi="Arial"/>
          <w:sz w:val="16"/>
          <w:szCs w:val="16"/>
          <w:color w:val="auto"/>
        </w:rPr>
      </w:pPr>
    </w:p>
    <w:p>
      <w:pPr>
        <w:ind w:left="560" w:hanging="228"/>
        <w:spacing w:after="0"/>
        <w:tabs>
          <w:tab w:leader="none" w:pos="560" w:val="left"/>
        </w:tabs>
        <w:numPr>
          <w:ilvl w:val="0"/>
          <w:numId w:val="6"/>
        </w:numPr>
        <w:rPr>
          <w:rFonts w:ascii="Arial" w:cs="Arial" w:eastAsia="Arial" w:hAnsi="Arial"/>
          <w:sz w:val="16"/>
          <w:szCs w:val="16"/>
          <w:color w:val="auto"/>
        </w:rPr>
      </w:pPr>
      <w:r>
        <w:rPr>
          <w:rFonts w:ascii="Arial" w:cs="Arial" w:eastAsia="Arial" w:hAnsi="Arial"/>
          <w:sz w:val="16"/>
          <w:szCs w:val="16"/>
          <w:color w:val="auto"/>
        </w:rPr>
        <w:t>Retail unit registrations - Consumer purchases of RVs from dealers, which is reported monthly by Stat Surveys.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We track RV industry conditions using these key statistics to monitor trends and evaluate and understand our performance relative to the overall industry.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an analysis of changes in these key statistics for the rolling 12 months through April as of 2021 and 2020:</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50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gridSpan w:val="3"/>
          </w:tcPr>
          <w:p>
            <w:pPr>
              <w:jc w:val="right"/>
              <w:ind w:right="159"/>
              <w:spacing w:after="0"/>
              <w:rPr>
                <w:sz w:val="20"/>
                <w:szCs w:val="20"/>
                <w:color w:val="auto"/>
              </w:rPr>
            </w:pPr>
            <w:r>
              <w:rPr>
                <w:rFonts w:ascii="Arial" w:cs="Arial" w:eastAsia="Arial" w:hAnsi="Arial"/>
                <w:sz w:val="16"/>
                <w:szCs w:val="16"/>
                <w:b w:val="1"/>
                <w:bCs w:val="1"/>
                <w:color w:val="auto"/>
              </w:rPr>
              <w:t>US and Canada Industry</w:t>
            </w: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r>
      <w:tr>
        <w:trPr>
          <w:trHeight w:val="208"/>
        </w:trPr>
        <w:tc>
          <w:tcPr>
            <w:tcW w:w="1500" w:type="dxa"/>
            <w:vAlign w:val="bottom"/>
          </w:tcPr>
          <w:p>
            <w:pPr>
              <w:spacing w:after="0"/>
              <w:rPr>
                <w:sz w:val="18"/>
                <w:szCs w:val="18"/>
                <w:color w:val="auto"/>
              </w:rPr>
            </w:pPr>
          </w:p>
        </w:tc>
        <w:tc>
          <w:tcPr>
            <w:tcW w:w="3780" w:type="dxa"/>
            <w:vAlign w:val="bottom"/>
            <w:gridSpan w:val="7"/>
          </w:tcPr>
          <w:p>
            <w:pPr>
              <w:jc w:val="center"/>
              <w:ind w:left="899"/>
              <w:spacing w:after="0"/>
              <w:rPr>
                <w:sz w:val="20"/>
                <w:szCs w:val="20"/>
                <w:color w:val="auto"/>
              </w:rPr>
            </w:pPr>
            <w:r>
              <w:rPr>
                <w:rFonts w:ascii="Arial" w:cs="Arial" w:eastAsia="Arial" w:hAnsi="Arial"/>
                <w:sz w:val="16"/>
                <w:szCs w:val="16"/>
                <w:b w:val="1"/>
                <w:bCs w:val="1"/>
                <w:color w:val="auto"/>
              </w:rPr>
              <w:t>Wholesale Unit Shipments per RVIA</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0" w:type="dxa"/>
            <w:vAlign w:val="bottom"/>
            <w:gridSpan w:val="8"/>
          </w:tcPr>
          <w:p>
            <w:pPr>
              <w:jc w:val="center"/>
              <w:spacing w:after="0"/>
              <w:rPr>
                <w:sz w:val="20"/>
                <w:szCs w:val="20"/>
                <w:color w:val="auto"/>
              </w:rPr>
            </w:pPr>
            <w:r>
              <w:rPr>
                <w:rFonts w:ascii="Arial" w:cs="Arial" w:eastAsia="Arial" w:hAnsi="Arial"/>
                <w:sz w:val="16"/>
                <w:szCs w:val="16"/>
                <w:b w:val="1"/>
                <w:bCs w:val="1"/>
                <w:color w:val="auto"/>
              </w:rPr>
              <w:t>Retail Unit Registrations per Stat Surveys</w:t>
            </w:r>
          </w:p>
        </w:tc>
      </w:tr>
      <w:tr>
        <w:trPr>
          <w:trHeight w:val="218"/>
        </w:trPr>
        <w:tc>
          <w:tcPr>
            <w:tcW w:w="150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6"/>
          </w:tcPr>
          <w:p>
            <w:pPr>
              <w:jc w:val="center"/>
              <w:ind w:right="120"/>
              <w:spacing w:after="0"/>
              <w:rPr>
                <w:sz w:val="20"/>
                <w:szCs w:val="20"/>
                <w:color w:val="auto"/>
              </w:rPr>
            </w:pPr>
            <w:r>
              <w:rPr>
                <w:rFonts w:ascii="Arial" w:cs="Arial" w:eastAsia="Arial" w:hAnsi="Arial"/>
                <w:sz w:val="16"/>
                <w:szCs w:val="16"/>
                <w:b w:val="1"/>
                <w:bCs w:val="1"/>
                <w:color w:val="auto"/>
              </w:rPr>
              <w:t>Rolling 12 Months through April</w:t>
            </w:r>
          </w:p>
        </w:tc>
        <w:tc>
          <w:tcPr>
            <w:tcW w:w="10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6"/>
          </w:tcPr>
          <w:p>
            <w:pPr>
              <w:jc w:val="center"/>
              <w:ind w:right="60"/>
              <w:spacing w:after="0"/>
              <w:rPr>
                <w:sz w:val="20"/>
                <w:szCs w:val="20"/>
                <w:color w:val="auto"/>
              </w:rPr>
            </w:pPr>
            <w:r>
              <w:rPr>
                <w:rFonts w:ascii="Arial" w:cs="Arial" w:eastAsia="Arial" w:hAnsi="Arial"/>
                <w:sz w:val="16"/>
                <w:szCs w:val="16"/>
                <w:b w:val="1"/>
                <w:bCs w:val="1"/>
                <w:color w:val="auto"/>
              </w:rPr>
              <w:t>Rolling 12 Months through April</w:t>
            </w:r>
          </w:p>
        </w:tc>
        <w:tc>
          <w:tcPr>
            <w:tcW w:w="1080" w:type="dxa"/>
            <w:vAlign w:val="bottom"/>
            <w:tcBorders>
              <w:bottom w:val="single" w:sz="8" w:color="auto"/>
            </w:tcBorders>
          </w:tcPr>
          <w:p>
            <w:pPr>
              <w:spacing w:after="0"/>
              <w:rPr>
                <w:sz w:val="18"/>
                <w:szCs w:val="18"/>
                <w:color w:val="auto"/>
              </w:rPr>
            </w:pPr>
          </w:p>
        </w:tc>
      </w:tr>
      <w:tr>
        <w:trPr>
          <w:trHeight w:val="212"/>
        </w:trPr>
        <w:tc>
          <w:tcPr>
            <w:tcW w:w="15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Unit Change</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 Change</w:t>
            </w:r>
          </w:p>
        </w:tc>
        <w:tc>
          <w:tcPr>
            <w:tcW w:w="12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Unit Change</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 Change</w:t>
            </w:r>
          </w:p>
        </w:tc>
      </w:tr>
      <w:tr>
        <w:trPr>
          <w:trHeight w:val="210"/>
        </w:trPr>
        <w:tc>
          <w:tcPr>
            <w:tcW w:w="1500" w:type="dxa"/>
            <w:vAlign w:val="bottom"/>
            <w:shd w:val="clear" w:color="auto" w:fill="CCEEFF"/>
          </w:tcPr>
          <w:p>
            <w:pPr>
              <w:ind w:left="20"/>
              <w:spacing w:after="0" w:line="210" w:lineRule="exact"/>
              <w:rPr>
                <w:sz w:val="20"/>
                <w:szCs w:val="20"/>
                <w:color w:val="auto"/>
              </w:rPr>
            </w:pPr>
            <w:r>
              <w:rPr>
                <w:rFonts w:ascii="Arial" w:cs="Arial" w:eastAsia="Arial" w:hAnsi="Arial"/>
                <w:sz w:val="16"/>
                <w:szCs w:val="16"/>
                <w:color w:val="auto"/>
              </w:rPr>
              <w:t>Towable</w:t>
            </w:r>
            <w:r>
              <w:rPr>
                <w:rFonts w:ascii="Arial" w:cs="Arial" w:eastAsia="Arial" w:hAnsi="Arial"/>
                <w:sz w:val="21"/>
                <w:szCs w:val="21"/>
                <w:color w:val="auto"/>
                <w:vertAlign w:val="superscript"/>
              </w:rPr>
              <w:t>(1)</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462,704</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324,262</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138,442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42.7 %</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520,369</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373,427</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146,942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39.3 %</w:t>
            </w:r>
          </w:p>
        </w:tc>
      </w:tr>
      <w:tr>
        <w:trPr>
          <w:trHeight w:val="216"/>
        </w:trPr>
        <w:tc>
          <w:tcPr>
            <w:tcW w:w="150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16"/>
                <w:szCs w:val="16"/>
                <w:color w:val="auto"/>
              </w:rPr>
              <w:t>Motorhome</w:t>
            </w:r>
            <w:r>
              <w:rPr>
                <w:rFonts w:ascii="Arial" w:cs="Arial" w:eastAsia="Arial" w:hAnsi="Arial"/>
                <w:sz w:val="21"/>
                <w:szCs w:val="21"/>
                <w:color w:val="auto"/>
                <w:vertAlign w:val="superscript"/>
              </w:rPr>
              <w:t>(2)</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49,293</w:t>
            </w:r>
          </w:p>
        </w:tc>
        <w:tc>
          <w:tcPr>
            <w:tcW w:w="10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40,152</w:t>
            </w:r>
          </w:p>
        </w:tc>
        <w:tc>
          <w:tcPr>
            <w:tcW w:w="1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9,141</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22.8 %</w:t>
            </w:r>
          </w:p>
        </w:tc>
        <w:tc>
          <w:tcPr>
            <w:tcW w:w="12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58,743</w:t>
            </w:r>
          </w:p>
        </w:tc>
        <w:tc>
          <w:tcPr>
            <w:tcW w:w="12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47,183</w:t>
            </w:r>
          </w:p>
        </w:tc>
        <w:tc>
          <w:tcPr>
            <w:tcW w:w="12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11,560</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24.5 %</w:t>
            </w:r>
          </w:p>
        </w:tc>
      </w:tr>
      <w:tr>
        <w:trPr>
          <w:trHeight w:val="230"/>
        </w:trPr>
        <w:tc>
          <w:tcPr>
            <w:tcW w:w="15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Combined</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511,997</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364,414</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147,583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40.5 %</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579,112</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420,610</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158,502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37.7 %</w:t>
            </w:r>
          </w:p>
        </w:tc>
      </w:tr>
      <w:tr>
        <w:trPr>
          <w:trHeight w:val="20"/>
        </w:trPr>
        <w:tc>
          <w:tcPr>
            <w:tcW w:w="15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10" w:lineRule="exact"/>
        <w:rPr>
          <w:sz w:val="20"/>
          <w:szCs w:val="20"/>
          <w:color w:val="auto"/>
        </w:rPr>
      </w:pPr>
    </w:p>
    <w:p>
      <w:pPr>
        <w:ind w:left="300" w:hanging="292"/>
        <w:spacing w:after="0"/>
        <w:tabs>
          <w:tab w:leader="none" w:pos="300" w:val="left"/>
        </w:tabs>
        <w:numPr>
          <w:ilvl w:val="0"/>
          <w:numId w:val="7"/>
        </w:numPr>
        <w:rPr>
          <w:rFonts w:ascii="Arial" w:cs="Arial" w:eastAsia="Arial" w:hAnsi="Arial"/>
          <w:sz w:val="23"/>
          <w:szCs w:val="23"/>
          <w:color w:val="auto"/>
          <w:vertAlign w:val="superscript"/>
        </w:rPr>
      </w:pPr>
      <w:r>
        <w:rPr>
          <w:rFonts w:ascii="Arial" w:cs="Arial" w:eastAsia="Arial" w:hAnsi="Arial"/>
          <w:sz w:val="14"/>
          <w:szCs w:val="14"/>
          <w:color w:val="auto"/>
        </w:rPr>
        <w:t>Towable: Fifth wheel and travel trailer products.</w:t>
      </w:r>
    </w:p>
    <w:p>
      <w:pPr>
        <w:ind w:left="300" w:hanging="292"/>
        <w:spacing w:after="0" w:line="189" w:lineRule="auto"/>
        <w:tabs>
          <w:tab w:leader="none" w:pos="300" w:val="left"/>
        </w:tabs>
        <w:numPr>
          <w:ilvl w:val="0"/>
          <w:numId w:val="7"/>
        </w:numPr>
        <w:rPr>
          <w:rFonts w:ascii="Arial" w:cs="Arial" w:eastAsia="Arial" w:hAnsi="Arial"/>
          <w:sz w:val="19"/>
          <w:szCs w:val="19"/>
          <w:color w:val="auto"/>
          <w:vertAlign w:val="superscript"/>
        </w:rPr>
      </w:pPr>
      <w:r>
        <w:rPr>
          <w:rFonts w:ascii="Arial" w:cs="Arial" w:eastAsia="Arial" w:hAnsi="Arial"/>
          <w:sz w:val="12"/>
          <w:szCs w:val="12"/>
          <w:color w:val="auto"/>
        </w:rPr>
        <w:t>Motorhome: Class A, B, and C products.</w:t>
      </w:r>
    </w:p>
    <w:p>
      <w:pPr>
        <w:spacing w:after="0" w:line="217" w:lineRule="exact"/>
        <w:rPr>
          <w:sz w:val="20"/>
          <w:szCs w:val="20"/>
          <w:color w:val="auto"/>
        </w:rPr>
      </w:pPr>
    </w:p>
    <w:p>
      <w:pPr>
        <w:ind w:right="120"/>
        <w:spacing w:after="0" w:line="233" w:lineRule="auto"/>
        <w:rPr>
          <w:sz w:val="20"/>
          <w:szCs w:val="20"/>
          <w:color w:val="auto"/>
        </w:rPr>
      </w:pPr>
      <w:r>
        <w:rPr>
          <w:rFonts w:ascii="Arial" w:cs="Arial" w:eastAsia="Arial" w:hAnsi="Arial"/>
          <w:sz w:val="16"/>
          <w:szCs w:val="16"/>
          <w:color w:val="auto"/>
        </w:rPr>
        <w:t>Wholesale unit shipments have experienced growth (after the initial industry-wide shutdown of RV manufacturing for a six-week period beginning the last week of March 2020) due to high levels of end consumer demand and extremely low levels of dealer inventories, most notably in the towables segment, as consumers considered RVs a safe travel option during the COVID-19 pandemic. The rolling twelve months retail information for 2021 and 2020 illustrates that retail sales remain at healthy levels relative to the industry's historical retail levels. We believe retail demand is the key driver to continued growth in the industry.</w:t>
      </w:r>
    </w:p>
    <w:p>
      <w:pPr>
        <w:spacing w:after="0" w:line="241"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The most recent RVIA wholesale shipment forecasts for calendar year 2021, as noted in the table below, indicate that industry shipments are expected to experience growth in 2021. The retail activity is anticipated to remain at healthy levels and wholesale shipments are expected to reflect a rebound associated with dealers rebuilding their inventories throughout 2021 and likely into 2022 before normalizing.</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620" w:type="dxa"/>
            <w:vAlign w:val="bottom"/>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4"/>
          </w:tcPr>
          <w:p>
            <w:pPr>
              <w:ind w:left="660"/>
              <w:spacing w:after="0"/>
              <w:rPr>
                <w:sz w:val="20"/>
                <w:szCs w:val="20"/>
                <w:color w:val="auto"/>
              </w:rPr>
            </w:pPr>
            <w:r>
              <w:rPr>
                <w:rFonts w:ascii="Arial" w:cs="Arial" w:eastAsia="Arial" w:hAnsi="Arial"/>
                <w:sz w:val="16"/>
                <w:szCs w:val="16"/>
                <w:b w:val="1"/>
                <w:bCs w:val="1"/>
                <w:color w:val="auto"/>
              </w:rPr>
              <w:t>Calendar Year</w:t>
            </w:r>
          </w:p>
        </w:tc>
        <w:tc>
          <w:tcPr>
            <w:tcW w:w="1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56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Wholesale Unit Shipment Forecast per RVIA</w:t>
            </w:r>
            <w:r>
              <w:rPr>
                <w:rFonts w:ascii="Arial" w:cs="Arial" w:eastAsia="Arial" w:hAnsi="Arial"/>
                <w:sz w:val="21"/>
                <w:szCs w:val="21"/>
                <w:b w:val="1"/>
                <w:bCs w:val="1"/>
                <w:color w:val="auto"/>
                <w:vertAlign w:val="superscript"/>
              </w:rPr>
              <w:t>(1)</w:t>
            </w:r>
          </w:p>
        </w:tc>
        <w:tc>
          <w:tcPr>
            <w:tcW w:w="1480" w:type="dxa"/>
            <w:vAlign w:val="bottom"/>
          </w:tcPr>
          <w:p>
            <w:pPr>
              <w:jc w:val="right"/>
              <w:ind w:right="479"/>
              <w:spacing w:after="0" w:line="158" w:lineRule="exact"/>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3"/>
                <w:szCs w:val="13"/>
                <w:color w:val="auto"/>
              </w:rPr>
            </w:pPr>
          </w:p>
        </w:tc>
        <w:tc>
          <w:tcPr>
            <w:tcW w:w="1480" w:type="dxa"/>
            <w:vAlign w:val="bottom"/>
          </w:tcPr>
          <w:p>
            <w:pPr>
              <w:jc w:val="right"/>
              <w:ind w:right="479"/>
              <w:spacing w:after="0" w:line="158" w:lineRule="exact"/>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3"/>
                <w:szCs w:val="13"/>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Unit Change</w:t>
            </w:r>
          </w:p>
        </w:tc>
        <w:tc>
          <w:tcPr>
            <w:tcW w:w="1220" w:type="dxa"/>
            <w:vAlign w:val="bottom"/>
            <w:vMerge w:val="restart"/>
          </w:tcPr>
          <w:p>
            <w:pPr>
              <w:jc w:val="right"/>
              <w:ind w:right="13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6"/>
        </w:trPr>
        <w:tc>
          <w:tcPr>
            <w:tcW w:w="5620" w:type="dxa"/>
            <w:vAlign w:val="bottom"/>
            <w:vMerge w:val="continue"/>
          </w:tcPr>
          <w:p>
            <w:pPr>
              <w:spacing w:after="0"/>
              <w:rPr>
                <w:sz w:val="18"/>
                <w:szCs w:val="18"/>
                <w:color w:val="auto"/>
              </w:rPr>
            </w:pPr>
          </w:p>
        </w:tc>
        <w:tc>
          <w:tcPr>
            <w:tcW w:w="1600" w:type="dxa"/>
            <w:vAlign w:val="bottom"/>
            <w:gridSpan w:val="2"/>
          </w:tcPr>
          <w:p>
            <w:pPr>
              <w:ind w:left="400"/>
              <w:spacing w:after="0"/>
              <w:rPr>
                <w:sz w:val="20"/>
                <w:szCs w:val="20"/>
                <w:color w:val="auto"/>
              </w:rPr>
            </w:pPr>
            <w:r>
              <w:rPr>
                <w:rFonts w:ascii="Arial" w:cs="Arial" w:eastAsia="Arial" w:hAnsi="Arial"/>
                <w:sz w:val="16"/>
                <w:szCs w:val="16"/>
                <w:b w:val="1"/>
                <w:bCs w:val="1"/>
                <w:color w:val="auto"/>
              </w:rPr>
              <w:t>Forecast</w:t>
            </w:r>
          </w:p>
        </w:tc>
        <w:tc>
          <w:tcPr>
            <w:tcW w:w="1580" w:type="dxa"/>
            <w:vAlign w:val="bottom"/>
            <w:gridSpan w:val="2"/>
          </w:tcPr>
          <w:p>
            <w:pPr>
              <w:ind w:left="500"/>
              <w:spacing w:after="0"/>
              <w:rPr>
                <w:sz w:val="20"/>
                <w:szCs w:val="20"/>
                <w:color w:val="auto"/>
              </w:rPr>
            </w:pPr>
            <w:r>
              <w:rPr>
                <w:rFonts w:ascii="Arial" w:cs="Arial" w:eastAsia="Arial" w:hAnsi="Arial"/>
                <w:sz w:val="16"/>
                <w:szCs w:val="16"/>
                <w:b w:val="1"/>
                <w:bCs w:val="1"/>
                <w:color w:val="auto"/>
              </w:rPr>
              <w:t>Actual</w:t>
            </w:r>
          </w:p>
        </w:tc>
        <w:tc>
          <w:tcPr>
            <w:tcW w:w="1200" w:type="dxa"/>
            <w:vAlign w:val="bottom"/>
            <w:gridSpan w:val="2"/>
            <w:vMerge w:val="continue"/>
          </w:tcPr>
          <w:p>
            <w:pPr>
              <w:spacing w:after="0"/>
              <w:rPr>
                <w:sz w:val="18"/>
                <w:szCs w:val="18"/>
                <w:color w:val="auto"/>
              </w:rPr>
            </w:pP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Aggressive</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586,300</w:t>
            </w:r>
          </w:p>
        </w:tc>
        <w:tc>
          <w:tcPr>
            <w:tcW w:w="12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430,400</w:t>
            </w:r>
          </w:p>
        </w:tc>
        <w:tc>
          <w:tcPr>
            <w:tcW w:w="1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155,900</w:t>
            </w:r>
          </w:p>
        </w:tc>
        <w:tc>
          <w:tcPr>
            <w:tcW w:w="1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36.2 %</w:t>
            </w:r>
          </w:p>
        </w:tc>
        <w:tc>
          <w:tcPr>
            <w:tcW w:w="0" w:type="dxa"/>
            <w:vAlign w:val="bottom"/>
          </w:tcPr>
          <w:p>
            <w:pPr>
              <w:spacing w:after="0"/>
              <w:rPr>
                <w:sz w:val="1"/>
                <w:szCs w:val="1"/>
                <w:color w:val="auto"/>
              </w:rPr>
            </w:pPr>
          </w:p>
        </w:tc>
      </w:tr>
      <w:tr>
        <w:trPr>
          <w:trHeight w:val="213"/>
        </w:trPr>
        <w:tc>
          <w:tcPr>
            <w:tcW w:w="5620" w:type="dxa"/>
            <w:vAlign w:val="bottom"/>
          </w:tcPr>
          <w:p>
            <w:pPr>
              <w:ind w:left="20"/>
              <w:spacing w:after="0"/>
              <w:rPr>
                <w:sz w:val="20"/>
                <w:szCs w:val="20"/>
                <w:color w:val="auto"/>
              </w:rPr>
            </w:pPr>
            <w:r>
              <w:rPr>
                <w:rFonts w:ascii="Arial" w:cs="Arial" w:eastAsia="Arial" w:hAnsi="Arial"/>
                <w:sz w:val="16"/>
                <w:szCs w:val="16"/>
                <w:color w:val="auto"/>
              </w:rPr>
              <w:t>Most likely</w:t>
            </w:r>
          </w:p>
        </w:tc>
        <w:tc>
          <w:tcPr>
            <w:tcW w:w="1480" w:type="dxa"/>
            <w:vAlign w:val="bottom"/>
          </w:tcPr>
          <w:p>
            <w:pPr>
              <w:jc w:val="right"/>
              <w:spacing w:after="0"/>
              <w:rPr>
                <w:sz w:val="20"/>
                <w:szCs w:val="20"/>
                <w:color w:val="auto"/>
              </w:rPr>
            </w:pPr>
            <w:r>
              <w:rPr>
                <w:rFonts w:ascii="Arial" w:cs="Arial" w:eastAsia="Arial" w:hAnsi="Arial"/>
                <w:sz w:val="16"/>
                <w:szCs w:val="16"/>
                <w:color w:val="auto"/>
              </w:rPr>
              <w:t>576,100</w:t>
            </w: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430,400</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145,700</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33.9 %</w:t>
            </w:r>
          </w:p>
        </w:tc>
        <w:tc>
          <w:tcPr>
            <w:tcW w:w="0" w:type="dxa"/>
            <w:vAlign w:val="bottom"/>
          </w:tcPr>
          <w:p>
            <w:pPr>
              <w:spacing w:after="0"/>
              <w:rPr>
                <w:sz w:val="1"/>
                <w:szCs w:val="1"/>
                <w:color w:val="auto"/>
              </w:rPr>
            </w:pPr>
          </w:p>
        </w:tc>
      </w:tr>
      <w:tr>
        <w:trPr>
          <w:trHeight w:val="219"/>
        </w:trPr>
        <w:tc>
          <w:tcPr>
            <w:tcW w:w="5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Conservative</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565,800</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430,400</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135,400</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31.5 %</w:t>
            </w:r>
          </w:p>
        </w:tc>
        <w:tc>
          <w:tcPr>
            <w:tcW w:w="0" w:type="dxa"/>
            <w:vAlign w:val="bottom"/>
          </w:tcPr>
          <w:p>
            <w:pPr>
              <w:spacing w:after="0"/>
              <w:rPr>
                <w:sz w:val="1"/>
                <w:szCs w:val="1"/>
                <w:color w:val="auto"/>
              </w:rPr>
            </w:pPr>
          </w:p>
        </w:tc>
      </w:tr>
    </w:tbl>
    <w:p>
      <w:pPr>
        <w:spacing w:after="0" w:line="21" w:lineRule="exact"/>
        <w:rPr>
          <w:sz w:val="20"/>
          <w:szCs w:val="20"/>
          <w:color w:val="auto"/>
        </w:rPr>
      </w:pPr>
    </w:p>
    <w:p>
      <w:pPr>
        <w:ind w:left="300" w:hanging="292"/>
        <w:spacing w:after="0"/>
        <w:tabs>
          <w:tab w:leader="none" w:pos="300" w:val="left"/>
        </w:tabs>
        <w:numPr>
          <w:ilvl w:val="0"/>
          <w:numId w:val="8"/>
        </w:numPr>
        <w:rPr>
          <w:rFonts w:ascii="Arial" w:cs="Arial" w:eastAsia="Arial" w:hAnsi="Arial"/>
          <w:sz w:val="23"/>
          <w:szCs w:val="23"/>
          <w:color w:val="auto"/>
          <w:vertAlign w:val="superscript"/>
        </w:rPr>
      </w:pPr>
      <w:r>
        <w:rPr>
          <w:rFonts w:ascii="Arial" w:cs="Arial" w:eastAsia="Arial" w:hAnsi="Arial"/>
          <w:sz w:val="14"/>
          <w:szCs w:val="14"/>
          <w:color w:val="auto"/>
        </w:rPr>
        <w:t>Prepared by ITR Economics for RVIA and reported in the Roadsigns RV Summer 2021 Industry Forecast Issue.</w:t>
      </w:r>
    </w:p>
    <w:p>
      <w:pPr>
        <w:spacing w:after="0" w:line="200" w:lineRule="exact"/>
        <w:rPr>
          <w:rFonts w:ascii="Arial" w:cs="Arial" w:eastAsia="Arial" w:hAnsi="Arial"/>
          <w:sz w:val="23"/>
          <w:szCs w:val="23"/>
          <w:color w:val="auto"/>
          <w:vertAlign w:val="superscript"/>
        </w:rPr>
      </w:pPr>
    </w:p>
    <w:p>
      <w:pPr>
        <w:spacing w:after="0" w:line="200" w:lineRule="exact"/>
        <w:rPr>
          <w:rFonts w:ascii="Arial" w:cs="Arial" w:eastAsia="Arial" w:hAnsi="Arial"/>
          <w:sz w:val="23"/>
          <w:szCs w:val="23"/>
          <w:color w:val="auto"/>
          <w:vertAlign w:val="superscript"/>
        </w:rPr>
      </w:pPr>
    </w:p>
    <w:p>
      <w:pPr>
        <w:spacing w:after="0" w:line="200" w:lineRule="exact"/>
        <w:rPr>
          <w:rFonts w:ascii="Arial" w:cs="Arial" w:eastAsia="Arial" w:hAnsi="Arial"/>
          <w:sz w:val="23"/>
          <w:szCs w:val="23"/>
          <w:color w:val="auto"/>
          <w:vertAlign w:val="superscript"/>
        </w:rPr>
      </w:pPr>
    </w:p>
    <w:p>
      <w:pPr>
        <w:spacing w:after="0" w:line="331" w:lineRule="exact"/>
        <w:rPr>
          <w:rFonts w:ascii="Arial" w:cs="Arial" w:eastAsia="Arial" w:hAnsi="Arial"/>
          <w:sz w:val="23"/>
          <w:szCs w:val="23"/>
          <w:color w:val="auto"/>
          <w:vertAlign w:val="superscript"/>
        </w:rPr>
      </w:pPr>
    </w:p>
    <w:p>
      <w:pPr>
        <w:ind w:left="5540"/>
        <w:spacing w:after="0"/>
        <w:rPr>
          <w:rFonts w:ascii="Arial" w:cs="Arial" w:eastAsia="Arial" w:hAnsi="Arial"/>
          <w:sz w:val="23"/>
          <w:szCs w:val="23"/>
          <w:color w:val="auto"/>
          <w:vertAlign w:val="superscript"/>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24" w:name="page25"/>
    <w:bookmarkEnd w:id="2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Market Share</w:t>
      </w:r>
    </w:p>
    <w:p>
      <w:pPr>
        <w:spacing w:after="0" w:line="133"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auto"/>
        </w:rPr>
        <w:t>Our retail unit market share, as reported by Stat Surveys based on state records, is illustrated below. Market share is calculated by taking our brands total unit sales divided by the total units sold in the motorized and travel trailer and fifth wheel markets. The data is used to analyze growth and profitability of our products and brands year over year. This data is subject to adjustment and is continuously updated.</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480" w:type="dxa"/>
            <w:vAlign w:val="bottom"/>
          </w:tcPr>
          <w:p>
            <w:pPr>
              <w:spacing w:after="0"/>
              <w:rPr>
                <w:sz w:val="18"/>
                <w:szCs w:val="18"/>
                <w:color w:val="auto"/>
              </w:rPr>
            </w:pPr>
          </w:p>
        </w:tc>
        <w:tc>
          <w:tcPr>
            <w:tcW w:w="2720" w:type="dxa"/>
            <w:vAlign w:val="bottom"/>
            <w:gridSpan w:val="4"/>
          </w:tcPr>
          <w:p>
            <w:pPr>
              <w:ind w:left="80"/>
              <w:spacing w:after="0"/>
              <w:rPr>
                <w:sz w:val="20"/>
                <w:szCs w:val="20"/>
                <w:color w:val="auto"/>
              </w:rPr>
            </w:pPr>
            <w:r>
              <w:rPr>
                <w:rFonts w:ascii="Arial" w:cs="Arial" w:eastAsia="Arial" w:hAnsi="Arial"/>
                <w:sz w:val="16"/>
                <w:szCs w:val="16"/>
                <w:b w:val="1"/>
                <w:bCs w:val="1"/>
                <w:color w:val="auto"/>
              </w:rPr>
              <w:t>Rolling 12 Months through April</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ind w:left="100"/>
              <w:spacing w:after="0"/>
              <w:rPr>
                <w:sz w:val="20"/>
                <w:szCs w:val="20"/>
                <w:color w:val="auto"/>
              </w:rPr>
            </w:pPr>
            <w:r>
              <w:rPr>
                <w:rFonts w:ascii="Arial" w:cs="Arial" w:eastAsia="Arial" w:hAnsi="Arial"/>
                <w:sz w:val="16"/>
                <w:szCs w:val="16"/>
                <w:b w:val="1"/>
                <w:bCs w:val="1"/>
                <w:color w:val="auto"/>
              </w:rPr>
              <w:t>Calendar Year</w:t>
            </w:r>
          </w:p>
        </w:tc>
        <w:tc>
          <w:tcPr>
            <w:tcW w:w="1240" w:type="dxa"/>
            <w:vAlign w:val="bottom"/>
          </w:tcPr>
          <w:p>
            <w:pPr>
              <w:spacing w:after="0"/>
              <w:rPr>
                <w:sz w:val="18"/>
                <w:szCs w:val="18"/>
                <w:color w:val="auto"/>
              </w:rPr>
            </w:pPr>
          </w:p>
        </w:tc>
      </w:tr>
      <w:tr>
        <w:trPr>
          <w:trHeight w:val="215"/>
        </w:trPr>
        <w:tc>
          <w:tcPr>
            <w:tcW w:w="44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US and Canada</w:t>
            </w:r>
          </w:p>
        </w:tc>
        <w:tc>
          <w:tcPr>
            <w:tcW w:w="126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299"/>
              <w:spacing w:after="0" w:line="216" w:lineRule="exact"/>
              <w:rPr>
                <w:sz w:val="20"/>
                <w:szCs w:val="20"/>
                <w:color w:val="auto"/>
              </w:rPr>
            </w:pPr>
            <w:r>
              <w:rPr>
                <w:rFonts w:ascii="Arial" w:cs="Arial" w:eastAsia="Arial" w:hAnsi="Arial"/>
                <w:sz w:val="16"/>
                <w:szCs w:val="16"/>
                <w:b w:val="1"/>
                <w:bCs w:val="1"/>
                <w:color w:val="auto"/>
              </w:rPr>
              <w:t>2020</w:t>
            </w:r>
            <w:r>
              <w:rPr>
                <w:rFonts w:ascii="Arial" w:cs="Arial" w:eastAsia="Arial" w:hAnsi="Arial"/>
                <w:sz w:val="21"/>
                <w:szCs w:val="21"/>
                <w:b w:val="1"/>
                <w:bCs w:val="1"/>
                <w:color w:val="auto"/>
                <w:vertAlign w:val="superscript"/>
              </w:rPr>
              <w:t>(1)</w:t>
            </w:r>
          </w:p>
        </w:tc>
        <w:tc>
          <w:tcPr>
            <w:tcW w:w="100" w:type="dxa"/>
            <w:vAlign w:val="bottom"/>
            <w:tcBorders>
              <w:bottom w:val="single" w:sz="8" w:color="CCEEFF"/>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bottom w:val="single" w:sz="8" w:color="CCEEFF"/>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299"/>
              <w:spacing w:after="0" w:line="216" w:lineRule="exact"/>
              <w:rPr>
                <w:sz w:val="20"/>
                <w:szCs w:val="20"/>
                <w:color w:val="auto"/>
              </w:rPr>
            </w:pPr>
            <w:r>
              <w:rPr>
                <w:rFonts w:ascii="Arial" w:cs="Arial" w:eastAsia="Arial" w:hAnsi="Arial"/>
                <w:sz w:val="16"/>
                <w:szCs w:val="16"/>
                <w:b w:val="1"/>
                <w:bCs w:val="1"/>
                <w:color w:val="auto"/>
              </w:rPr>
              <w:t>2019</w:t>
            </w:r>
            <w:r>
              <w:rPr>
                <w:rFonts w:ascii="Arial" w:cs="Arial" w:eastAsia="Arial" w:hAnsi="Arial"/>
                <w:sz w:val="21"/>
                <w:szCs w:val="21"/>
                <w:b w:val="1"/>
                <w:bCs w:val="1"/>
                <w:color w:val="auto"/>
                <w:vertAlign w:val="superscript"/>
              </w:rPr>
              <w:t>(1)</w:t>
            </w:r>
          </w:p>
        </w:tc>
        <w:tc>
          <w:tcPr>
            <w:tcW w:w="120" w:type="dxa"/>
            <w:vAlign w:val="bottom"/>
            <w:tcBorders>
              <w:top w:val="single" w:sz="8" w:color="auto"/>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2018</w:t>
            </w:r>
          </w:p>
        </w:tc>
      </w:tr>
      <w:tr>
        <w:trPr>
          <w:trHeight w:val="210"/>
        </w:trPr>
        <w:tc>
          <w:tcPr>
            <w:tcW w:w="4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Travel trailer and fifth wheels</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10.7 %</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9.8 %</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10.4 %</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9.2 %</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7.8 %</w:t>
            </w:r>
          </w:p>
        </w:tc>
      </w:tr>
      <w:tr>
        <w:trPr>
          <w:trHeight w:val="213"/>
        </w:trPr>
        <w:tc>
          <w:tcPr>
            <w:tcW w:w="4480" w:type="dxa"/>
            <w:vAlign w:val="bottom"/>
          </w:tcPr>
          <w:p>
            <w:pPr>
              <w:ind w:left="20"/>
              <w:spacing w:after="0"/>
              <w:rPr>
                <w:sz w:val="20"/>
                <w:szCs w:val="20"/>
                <w:color w:val="auto"/>
              </w:rPr>
            </w:pPr>
            <w:r>
              <w:rPr>
                <w:rFonts w:ascii="Arial" w:cs="Arial" w:eastAsia="Arial" w:hAnsi="Arial"/>
                <w:sz w:val="16"/>
                <w:szCs w:val="16"/>
                <w:color w:val="auto"/>
              </w:rPr>
              <w:t>Motorhome A, B, C</w:t>
            </w:r>
          </w:p>
        </w:tc>
        <w:tc>
          <w:tcPr>
            <w:tcW w:w="1260" w:type="dxa"/>
            <w:vAlign w:val="bottom"/>
          </w:tcPr>
          <w:p>
            <w:pPr>
              <w:jc w:val="right"/>
              <w:spacing w:after="0"/>
              <w:rPr>
                <w:sz w:val="20"/>
                <w:szCs w:val="20"/>
                <w:color w:val="auto"/>
              </w:rPr>
            </w:pPr>
            <w:r>
              <w:rPr>
                <w:rFonts w:ascii="Arial" w:cs="Arial" w:eastAsia="Arial" w:hAnsi="Arial"/>
                <w:sz w:val="16"/>
                <w:szCs w:val="16"/>
                <w:color w:val="auto"/>
              </w:rPr>
              <w:t>20.0 %</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20.3 %</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20.8 %</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16.1 %</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15.5 %</w:t>
            </w:r>
          </w:p>
        </w:tc>
      </w:tr>
      <w:tr>
        <w:trPr>
          <w:trHeight w:val="219"/>
        </w:trPr>
        <w:tc>
          <w:tcPr>
            <w:tcW w:w="44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market share</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11.6 %</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11.0 %</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11.5 %</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8.7 %</w:t>
            </w:r>
          </w:p>
        </w:tc>
      </w:tr>
    </w:tbl>
    <w:p>
      <w:pPr>
        <w:spacing w:after="0" w:line="21" w:lineRule="exact"/>
        <w:rPr>
          <w:sz w:val="20"/>
          <w:szCs w:val="20"/>
          <w:color w:val="auto"/>
        </w:rPr>
      </w:pPr>
    </w:p>
    <w:p>
      <w:pPr>
        <w:ind w:left="300" w:hanging="292"/>
        <w:spacing w:after="0"/>
        <w:tabs>
          <w:tab w:leader="none" w:pos="300" w:val="left"/>
        </w:tabs>
        <w:numPr>
          <w:ilvl w:val="0"/>
          <w:numId w:val="9"/>
        </w:numPr>
        <w:rPr>
          <w:rFonts w:ascii="Arial" w:cs="Arial" w:eastAsia="Arial" w:hAnsi="Arial"/>
          <w:sz w:val="23"/>
          <w:szCs w:val="23"/>
          <w:color w:val="auto"/>
          <w:vertAlign w:val="superscript"/>
        </w:rPr>
      </w:pPr>
      <w:r>
        <w:rPr>
          <w:rFonts w:ascii="Arial" w:cs="Arial" w:eastAsia="Arial" w:hAnsi="Arial"/>
          <w:sz w:val="14"/>
          <w:szCs w:val="14"/>
          <w:color w:val="auto"/>
        </w:rPr>
        <w:t>Includes retail unit market share for Newmar since its acquisition on November 8, 2019.</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Enterprise Resource Planning System</w:t>
      </w:r>
    </w:p>
    <w:p>
      <w:pPr>
        <w:spacing w:after="0" w:line="133"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In the second quarter of Fiscal 2015, our Board of Directors approved the strategic initiative of implementing an enterprise resource planning ("ERP") system to replace our legacy business applications. The new ERP platform will provide better support for our changing business needs and plans for future growth. Our initial cost estimates have grown due to the identification of additional needs of the business, such as the opportunity to integrate the ERP system with additional manufacturing systems. The project includes software, external implementation assistance, and increased internal staffing directly related to this initiative. We anticipate that approximately 40% of the cost will be expensed in the period incurred and 60% will be capitalized and depreciated over the new ERP's useful life.</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illustrates the cumulative project costs: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260" w:type="dxa"/>
            <w:vAlign w:val="bottom"/>
          </w:tcPr>
          <w:p>
            <w:pPr>
              <w:spacing w:after="0"/>
              <w:rPr>
                <w:sz w:val="18"/>
                <w:szCs w:val="18"/>
                <w:color w:val="auto"/>
              </w:rPr>
            </w:pPr>
          </w:p>
        </w:tc>
        <w:tc>
          <w:tcPr>
            <w:tcW w:w="180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rPr>
              <w:t>Nine Months Ended</w:t>
            </w:r>
          </w:p>
        </w:tc>
        <w:tc>
          <w:tcPr>
            <w:tcW w:w="380" w:type="dxa"/>
            <w:vAlign w:val="bottom"/>
          </w:tcPr>
          <w:p>
            <w:pPr>
              <w:spacing w:after="0"/>
              <w:rPr>
                <w:sz w:val="18"/>
                <w:szCs w:val="18"/>
                <w:color w:val="auto"/>
              </w:rPr>
            </w:pPr>
          </w:p>
        </w:tc>
        <w:tc>
          <w:tcPr>
            <w:tcW w:w="1920" w:type="dxa"/>
            <w:vAlign w:val="bottom"/>
            <w:gridSpan w:val="3"/>
          </w:tcPr>
          <w:p>
            <w:pPr>
              <w:jc w:val="right"/>
              <w:ind w:right="59"/>
              <w:spacing w:after="0"/>
              <w:rPr>
                <w:sz w:val="20"/>
                <w:szCs w:val="20"/>
                <w:color w:val="auto"/>
              </w:rPr>
            </w:pPr>
            <w:r>
              <w:rPr>
                <w:rFonts w:ascii="Arial" w:cs="Arial" w:eastAsia="Arial" w:hAnsi="Arial"/>
                <w:sz w:val="16"/>
                <w:szCs w:val="16"/>
                <w:b w:val="1"/>
                <w:bCs w:val="1"/>
                <w:color w:val="auto"/>
              </w:rPr>
              <w:t>Fiscal Year</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gridSpan w:val="3"/>
          </w:tcPr>
          <w:p>
            <w:pPr>
              <w:jc w:val="center"/>
              <w:ind w:left="179"/>
              <w:spacing w:after="0"/>
              <w:rPr>
                <w:sz w:val="20"/>
                <w:szCs w:val="20"/>
                <w:color w:val="auto"/>
              </w:rPr>
            </w:pPr>
            <w:r>
              <w:rPr>
                <w:rFonts w:ascii="Arial" w:cs="Arial" w:eastAsia="Arial" w:hAnsi="Arial"/>
                <w:sz w:val="16"/>
                <w:szCs w:val="16"/>
                <w:b w:val="1"/>
                <w:bCs w:val="1"/>
                <w:color w:val="auto"/>
              </w:rPr>
              <w:t>Cumulative Investment</w:t>
            </w:r>
          </w:p>
        </w:tc>
        <w:tc>
          <w:tcPr>
            <w:tcW w:w="760" w:type="dxa"/>
            <w:vAlign w:val="bottom"/>
          </w:tcPr>
          <w:p>
            <w:pPr>
              <w:spacing w:after="0"/>
              <w:rPr>
                <w:sz w:val="18"/>
                <w:szCs w:val="18"/>
                <w:color w:val="auto"/>
              </w:rPr>
            </w:pPr>
          </w:p>
        </w:tc>
      </w:tr>
      <w:tr>
        <w:trPr>
          <w:trHeight w:val="158"/>
        </w:trPr>
        <w:tc>
          <w:tcPr>
            <w:tcW w:w="226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jc w:val="center"/>
              <w:ind w:right="239"/>
              <w:spacing w:after="0" w:line="158" w:lineRule="exact"/>
              <w:rPr>
                <w:sz w:val="20"/>
                <w:szCs w:val="20"/>
                <w:color w:val="auto"/>
              </w:rPr>
            </w:pPr>
            <w:r>
              <w:rPr>
                <w:rFonts w:ascii="Arial" w:cs="Arial" w:eastAsia="Arial" w:hAnsi="Arial"/>
                <w:sz w:val="16"/>
                <w:szCs w:val="16"/>
                <w:b w:val="1"/>
                <w:bCs w:val="1"/>
                <w:color w:val="auto"/>
              </w:rPr>
              <w:t>May 29,</w:t>
            </w:r>
          </w:p>
        </w:tc>
        <w:tc>
          <w:tcPr>
            <w:tcW w:w="120" w:type="dxa"/>
            <w:vAlign w:val="bottom"/>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r>
      <w:tr>
        <w:trPr>
          <w:trHeight w:val="216"/>
        </w:trPr>
        <w:tc>
          <w:tcPr>
            <w:tcW w:w="22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3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25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3"/>
          </w:tcPr>
          <w:p>
            <w:pPr>
              <w:jc w:val="center"/>
              <w:ind w:left="179"/>
              <w:spacing w:after="0"/>
              <w:rPr>
                <w:sz w:val="20"/>
                <w:szCs w:val="20"/>
                <w:color w:val="auto"/>
              </w:rPr>
            </w:pPr>
            <w:r>
              <w:rPr>
                <w:rFonts w:ascii="Arial" w:cs="Arial" w:eastAsia="Arial" w:hAnsi="Arial"/>
                <w:sz w:val="16"/>
                <w:szCs w:val="16"/>
                <w:b w:val="1"/>
                <w:bCs w:val="1"/>
                <w:color w:val="auto"/>
              </w:rPr>
              <w:t>Fiscal 2015-2021</w:t>
            </w:r>
          </w:p>
        </w:tc>
        <w:tc>
          <w:tcPr>
            <w:tcW w:w="760" w:type="dxa"/>
            <w:vAlign w:val="bottom"/>
            <w:tcBorders>
              <w:bottom w:val="single" w:sz="8" w:color="auto"/>
            </w:tcBorders>
          </w:tcPr>
          <w:p>
            <w:pPr>
              <w:spacing w:after="0"/>
              <w:rPr>
                <w:sz w:val="18"/>
                <w:szCs w:val="18"/>
                <w:color w:val="auto"/>
              </w:rPr>
            </w:pPr>
          </w:p>
        </w:tc>
      </w:tr>
      <w:tr>
        <w:trPr>
          <w:trHeight w:val="209"/>
        </w:trPr>
        <w:tc>
          <w:tcPr>
            <w:tcW w:w="2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Capitalized</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3,838</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3,891</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3,875</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30,515</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59.2 %</w:t>
            </w:r>
          </w:p>
        </w:tc>
      </w:tr>
      <w:tr>
        <w:trPr>
          <w:trHeight w:val="213"/>
        </w:trPr>
        <w:tc>
          <w:tcPr>
            <w:tcW w:w="22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Expensed</w:t>
            </w:r>
          </w:p>
        </w:tc>
        <w:tc>
          <w:tcPr>
            <w:tcW w:w="3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2,376</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1,788</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3,709</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21,039</w:t>
            </w:r>
          </w:p>
        </w:tc>
        <w:tc>
          <w:tcPr>
            <w:tcW w:w="12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40.8 %</w:t>
            </w:r>
          </w:p>
        </w:tc>
      </w:tr>
      <w:tr>
        <w:trPr>
          <w:trHeight w:val="238"/>
        </w:trPr>
        <w:tc>
          <w:tcPr>
            <w:tcW w:w="2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6,214</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5,679</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7,584</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51,554</w:t>
            </w: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20"/>
        </w:trPr>
        <w:tc>
          <w:tcPr>
            <w:tcW w:w="2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25" w:name="page26"/>
    <w:bookmarkEnd w:id="2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of Operations - Current Quarter Compared to the Comparable Prior Year Quarter</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Consolidated Performance Summary</w:t>
      </w:r>
    </w:p>
    <w:p>
      <w:pPr>
        <w:spacing w:after="0" w:line="133" w:lineRule="exact"/>
        <w:rPr>
          <w:sz w:val="20"/>
          <w:szCs w:val="20"/>
          <w:color w:val="auto"/>
        </w:rPr>
      </w:pPr>
    </w:p>
    <w:p>
      <w:pPr>
        <w:ind w:right="280"/>
        <w:spacing w:after="0" w:line="259" w:lineRule="auto"/>
        <w:rPr>
          <w:sz w:val="20"/>
          <w:szCs w:val="20"/>
          <w:color w:val="auto"/>
        </w:rPr>
      </w:pPr>
      <w:r>
        <w:rPr>
          <w:rFonts w:ascii="Arial" w:cs="Arial" w:eastAsia="Arial" w:hAnsi="Arial"/>
          <w:sz w:val="16"/>
          <w:szCs w:val="16"/>
          <w:color w:val="auto"/>
        </w:rPr>
        <w:t>The following is an analysis of changes in key items included in the Consolidated Statements of Income (Loss) for the three months ended May 29, 2021 compared to the three months ended May 30, 2020: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7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4"/>
          </w:tcPr>
          <w:p>
            <w:pPr>
              <w:ind w:left="320"/>
              <w:spacing w:after="0"/>
              <w:rPr>
                <w:sz w:val="20"/>
                <w:szCs w:val="20"/>
                <w:color w:val="auto"/>
              </w:rPr>
            </w:pPr>
            <w:r>
              <w:rPr>
                <w:rFonts w:ascii="Arial" w:cs="Arial" w:eastAsia="Arial" w:hAnsi="Arial"/>
                <w:sz w:val="16"/>
                <w:szCs w:val="16"/>
                <w:b w:val="1"/>
                <w:bCs w:val="1"/>
                <w:color w:val="auto"/>
              </w:rPr>
              <w:t>Three Months Ended</w:t>
            </w:r>
          </w:p>
        </w:tc>
        <w:tc>
          <w:tcPr>
            <w:tcW w:w="2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740" w:type="dxa"/>
            <w:vAlign w:val="bottom"/>
          </w:tcPr>
          <w:p>
            <w:pPr>
              <w:ind w:left="20"/>
              <w:spacing w:after="0"/>
              <w:rPr>
                <w:sz w:val="20"/>
                <w:szCs w:val="20"/>
                <w:color w:val="auto"/>
              </w:rPr>
            </w:pPr>
            <w:r>
              <w:rPr>
                <w:rFonts w:ascii="Arial" w:cs="Arial" w:eastAsia="Arial" w:hAnsi="Arial"/>
                <w:sz w:val="14"/>
                <w:szCs w:val="14"/>
                <w:color w:val="auto"/>
              </w:rPr>
              <w:t>($ in thousands, except per share data)</w:t>
            </w:r>
          </w:p>
        </w:tc>
        <w:tc>
          <w:tcPr>
            <w:tcW w:w="140" w:type="dxa"/>
            <w:vAlign w:val="bottom"/>
          </w:tcPr>
          <w:p>
            <w:pPr>
              <w:spacing w:after="0"/>
              <w:rPr>
                <w:sz w:val="18"/>
                <w:szCs w:val="18"/>
                <w:color w:val="auto"/>
              </w:rPr>
            </w:pPr>
          </w:p>
        </w:tc>
        <w:tc>
          <w:tcPr>
            <w:tcW w:w="1320" w:type="dxa"/>
            <w:vAlign w:val="bottom"/>
            <w:gridSpan w:val="2"/>
          </w:tcPr>
          <w:p>
            <w:pPr>
              <w:ind w:left="40"/>
              <w:spacing w:after="0"/>
              <w:rPr>
                <w:sz w:val="20"/>
                <w:szCs w:val="20"/>
                <w:color w:val="auto"/>
              </w:rPr>
            </w:pPr>
            <w:r>
              <w:rPr>
                <w:rFonts w:ascii="Arial" w:cs="Arial" w:eastAsia="Arial" w:hAnsi="Arial"/>
                <w:sz w:val="16"/>
                <w:szCs w:val="16"/>
                <w:b w:val="1"/>
                <w:bCs w:val="1"/>
                <w:color w:val="auto"/>
              </w:rPr>
              <w:t>May 29, 2021</w:t>
            </w:r>
          </w:p>
        </w:tc>
        <w:tc>
          <w:tcPr>
            <w:tcW w:w="1420" w:type="dxa"/>
            <w:vAlign w:val="bottom"/>
            <w:gridSpan w:val="2"/>
          </w:tcPr>
          <w:p>
            <w:pPr>
              <w:ind w:left="20"/>
              <w:spacing w:after="0" w:line="213" w:lineRule="exact"/>
              <w:rPr>
                <w:sz w:val="20"/>
                <w:szCs w:val="20"/>
                <w:color w:val="auto"/>
              </w:rPr>
            </w:pPr>
            <w:r>
              <w:rPr>
                <w:rFonts w:ascii="Arial" w:cs="Arial" w:eastAsia="Arial" w:hAnsi="Arial"/>
                <w:sz w:val="16"/>
                <w:szCs w:val="16"/>
                <w:b w:val="1"/>
                <w:bCs w:val="1"/>
                <w:color w:val="auto"/>
              </w:rPr>
              <w:t>% of Revenues</w:t>
            </w:r>
            <w:r>
              <w:rPr>
                <w:rFonts w:ascii="Arial" w:cs="Arial" w:eastAsia="Arial" w:hAnsi="Arial"/>
                <w:sz w:val="21"/>
                <w:szCs w:val="21"/>
                <w:b w:val="1"/>
                <w:bCs w:val="1"/>
                <w:color w:val="auto"/>
                <w:vertAlign w:val="superscript"/>
              </w:rPr>
              <w:t>(1)</w:t>
            </w:r>
          </w:p>
        </w:tc>
        <w:tc>
          <w:tcPr>
            <w:tcW w:w="140" w:type="dxa"/>
            <w:vAlign w:val="bottom"/>
          </w:tcPr>
          <w:p>
            <w:pPr>
              <w:spacing w:after="0"/>
              <w:rPr>
                <w:sz w:val="18"/>
                <w:szCs w:val="18"/>
                <w:color w:val="auto"/>
              </w:rPr>
            </w:pPr>
          </w:p>
        </w:tc>
        <w:tc>
          <w:tcPr>
            <w:tcW w:w="1300" w:type="dxa"/>
            <w:vAlign w:val="bottom"/>
            <w:gridSpan w:val="2"/>
          </w:tcPr>
          <w:p>
            <w:pPr>
              <w:ind w:left="40"/>
              <w:spacing w:after="0"/>
              <w:rPr>
                <w:sz w:val="20"/>
                <w:szCs w:val="20"/>
                <w:color w:val="auto"/>
              </w:rPr>
            </w:pPr>
            <w:r>
              <w:rPr>
                <w:rFonts w:ascii="Arial" w:cs="Arial" w:eastAsia="Arial" w:hAnsi="Arial"/>
                <w:sz w:val="16"/>
                <w:szCs w:val="16"/>
                <w:b w:val="1"/>
                <w:bCs w:val="1"/>
                <w:color w:val="auto"/>
              </w:rPr>
              <w:t>May 30, 2020</w:t>
            </w:r>
          </w:p>
        </w:tc>
        <w:tc>
          <w:tcPr>
            <w:tcW w:w="1440" w:type="dxa"/>
            <w:vAlign w:val="bottom"/>
            <w:gridSpan w:val="2"/>
          </w:tcPr>
          <w:p>
            <w:pPr>
              <w:ind w:left="20"/>
              <w:spacing w:after="0" w:line="213" w:lineRule="exact"/>
              <w:rPr>
                <w:sz w:val="20"/>
                <w:szCs w:val="20"/>
                <w:color w:val="auto"/>
              </w:rPr>
            </w:pPr>
            <w:r>
              <w:rPr>
                <w:rFonts w:ascii="Arial" w:cs="Arial" w:eastAsia="Arial" w:hAnsi="Arial"/>
                <w:sz w:val="16"/>
                <w:szCs w:val="16"/>
                <w:b w:val="1"/>
                <w:bCs w:val="1"/>
                <w:color w:val="auto"/>
              </w:rPr>
              <w:t>% of Revenues</w:t>
            </w:r>
            <w:r>
              <w:rPr>
                <w:rFonts w:ascii="Arial" w:cs="Arial" w:eastAsia="Arial" w:hAnsi="Arial"/>
                <w:sz w:val="21"/>
                <w:szCs w:val="21"/>
                <w:b w:val="1"/>
                <w:bCs w:val="1"/>
                <w:color w:val="auto"/>
                <w:vertAlign w:val="superscript"/>
              </w:rPr>
              <w:t>(1)</w:t>
            </w:r>
          </w:p>
        </w:tc>
        <w:tc>
          <w:tcPr>
            <w:tcW w:w="2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00" w:type="dxa"/>
            <w:vAlign w:val="bottom"/>
            <w:gridSpan w:val="2"/>
          </w:tcPr>
          <w:p>
            <w:pPr>
              <w:ind w:left="20"/>
              <w:spacing w:after="0"/>
              <w:rPr>
                <w:sz w:val="20"/>
                <w:szCs w:val="20"/>
                <w:color w:val="auto"/>
              </w:rPr>
            </w:pPr>
            <w:r>
              <w:rPr>
                <w:rFonts w:ascii="Arial" w:cs="Arial" w:eastAsia="Arial" w:hAnsi="Arial"/>
                <w:sz w:val="16"/>
                <w:szCs w:val="16"/>
                <w:b w:val="1"/>
                <w:bCs w:val="1"/>
                <w:color w:val="auto"/>
              </w:rPr>
              <w:t>Change</w:t>
            </w:r>
          </w:p>
        </w:tc>
        <w:tc>
          <w:tcPr>
            <w:tcW w:w="1360" w:type="dxa"/>
            <w:vAlign w:val="bottom"/>
          </w:tcPr>
          <w:p>
            <w:pPr>
              <w:jc w:val="right"/>
              <w:ind w:right="21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0"/>
        </w:trPr>
        <w:tc>
          <w:tcPr>
            <w:tcW w:w="2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960,737</w:t>
            </w:r>
          </w:p>
        </w:tc>
        <w:tc>
          <w:tcPr>
            <w:tcW w:w="12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402,458</w:t>
            </w:r>
          </w:p>
        </w:tc>
        <w:tc>
          <w:tcPr>
            <w:tcW w:w="10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558,279</w:t>
            </w:r>
          </w:p>
        </w:tc>
        <w:tc>
          <w:tcPr>
            <w:tcW w:w="1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138.7 %</w:t>
            </w:r>
          </w:p>
        </w:tc>
        <w:tc>
          <w:tcPr>
            <w:tcW w:w="0" w:type="dxa"/>
            <w:vAlign w:val="bottom"/>
          </w:tcPr>
          <w:p>
            <w:pPr>
              <w:spacing w:after="0"/>
              <w:rPr>
                <w:sz w:val="1"/>
                <w:szCs w:val="1"/>
                <w:color w:val="auto"/>
              </w:rPr>
            </w:pPr>
          </w:p>
        </w:tc>
      </w:tr>
      <w:tr>
        <w:trPr>
          <w:trHeight w:val="213"/>
        </w:trPr>
        <w:tc>
          <w:tcPr>
            <w:tcW w:w="27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goods sold</w:t>
            </w: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791,125</w:t>
            </w:r>
          </w:p>
        </w:tc>
        <w:tc>
          <w:tcPr>
            <w:tcW w:w="12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82.3 %</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370,434</w:t>
            </w:r>
          </w:p>
        </w:tc>
        <w:tc>
          <w:tcPr>
            <w:tcW w:w="10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92.0 %</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420,691</w:t>
            </w:r>
          </w:p>
        </w:tc>
        <w:tc>
          <w:tcPr>
            <w:tcW w:w="12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113.6 %</w:t>
            </w:r>
          </w:p>
        </w:tc>
        <w:tc>
          <w:tcPr>
            <w:tcW w:w="0" w:type="dxa"/>
            <w:vAlign w:val="bottom"/>
          </w:tcPr>
          <w:p>
            <w:pPr>
              <w:spacing w:after="0"/>
              <w:rPr>
                <w:sz w:val="1"/>
                <w:szCs w:val="1"/>
                <w:color w:val="auto"/>
              </w:rPr>
            </w:pPr>
          </w:p>
        </w:tc>
      </w:tr>
      <w:tr>
        <w:trPr>
          <w:trHeight w:val="212"/>
        </w:trPr>
        <w:tc>
          <w:tcPr>
            <w:tcW w:w="2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1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169,612</w:t>
            </w:r>
          </w:p>
        </w:tc>
        <w:tc>
          <w:tcPr>
            <w:tcW w:w="120" w:type="dxa"/>
            <w:vAlign w:val="bottom"/>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17.7 %</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32,024</w:t>
            </w:r>
          </w:p>
        </w:tc>
        <w:tc>
          <w:tcPr>
            <w:tcW w:w="100" w:type="dxa"/>
            <w:vAlign w:val="bottom"/>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8.0 %</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137,588</w:t>
            </w:r>
          </w:p>
        </w:tc>
        <w:tc>
          <w:tcPr>
            <w:tcW w:w="120" w:type="dxa"/>
            <w:vAlign w:val="bottom"/>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429.6 %</w:t>
            </w:r>
          </w:p>
        </w:tc>
        <w:tc>
          <w:tcPr>
            <w:tcW w:w="0" w:type="dxa"/>
            <w:vAlign w:val="bottom"/>
          </w:tcPr>
          <w:p>
            <w:pPr>
              <w:spacing w:after="0"/>
              <w:rPr>
                <w:sz w:val="1"/>
                <w:szCs w:val="1"/>
                <w:color w:val="auto"/>
              </w:rPr>
            </w:pPr>
          </w:p>
        </w:tc>
      </w:tr>
      <w:tr>
        <w:trPr>
          <w:trHeight w:val="157"/>
        </w:trPr>
        <w:tc>
          <w:tcPr>
            <w:tcW w:w="2740" w:type="dxa"/>
            <w:vAlign w:val="bottom"/>
          </w:tcPr>
          <w:p>
            <w:pPr>
              <w:ind w:left="20"/>
              <w:spacing w:after="0" w:line="158" w:lineRule="exact"/>
              <w:rPr>
                <w:sz w:val="20"/>
                <w:szCs w:val="20"/>
                <w:color w:val="auto"/>
              </w:rPr>
            </w:pPr>
            <w:r>
              <w:rPr>
                <w:rFonts w:ascii="Arial" w:cs="Arial" w:eastAsia="Arial" w:hAnsi="Arial"/>
                <w:sz w:val="16"/>
                <w:szCs w:val="16"/>
                <w:color w:val="auto"/>
              </w:rPr>
              <w:t>Selling, general, and administrative</w:t>
            </w: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2740" w:type="dxa"/>
            <w:vAlign w:val="bottom"/>
          </w:tcPr>
          <w:p>
            <w:pPr>
              <w:ind w:left="20"/>
              <w:spacing w:after="0"/>
              <w:rPr>
                <w:sz w:val="20"/>
                <w:szCs w:val="20"/>
                <w:color w:val="auto"/>
              </w:rPr>
            </w:pPr>
            <w:r>
              <w:rPr>
                <w:rFonts w:ascii="Arial" w:cs="Arial" w:eastAsia="Arial" w:hAnsi="Arial"/>
                <w:sz w:val="16"/>
                <w:szCs w:val="16"/>
                <w:color w:val="auto"/>
              </w:rPr>
              <w:t>expenses</w:t>
            </w: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63,586</w:t>
            </w:r>
          </w:p>
        </w:tc>
        <w:tc>
          <w:tcPr>
            <w:tcW w:w="1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6.6 %</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33,271</w:t>
            </w:r>
          </w:p>
        </w:tc>
        <w:tc>
          <w:tcPr>
            <w:tcW w:w="1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8.3 %</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30,315</w:t>
            </w:r>
          </w:p>
        </w:tc>
        <w:tc>
          <w:tcPr>
            <w:tcW w:w="1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91.1 %</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w:t>
            </w:r>
          </w:p>
        </w:tc>
        <w:tc>
          <w:tcPr>
            <w:tcW w:w="1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3,590</w:t>
            </w:r>
          </w:p>
        </w:tc>
        <w:tc>
          <w:tcPr>
            <w:tcW w:w="120" w:type="dxa"/>
            <w:vAlign w:val="bottom"/>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0.4 %</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6,926</w:t>
            </w:r>
          </w:p>
        </w:tc>
        <w:tc>
          <w:tcPr>
            <w:tcW w:w="100" w:type="dxa"/>
            <w:vAlign w:val="bottom"/>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1.7 %</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(3,336)</w:t>
            </w:r>
          </w:p>
        </w:tc>
        <w:tc>
          <w:tcPr>
            <w:tcW w:w="120" w:type="dxa"/>
            <w:vAlign w:val="bottom"/>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(48.2)%</w:t>
            </w:r>
          </w:p>
        </w:tc>
        <w:tc>
          <w:tcPr>
            <w:tcW w:w="0" w:type="dxa"/>
            <w:vAlign w:val="bottom"/>
          </w:tcPr>
          <w:p>
            <w:pPr>
              <w:spacing w:after="0"/>
              <w:rPr>
                <w:sz w:val="1"/>
                <w:szCs w:val="1"/>
                <w:color w:val="auto"/>
              </w:rPr>
            </w:pPr>
          </w:p>
        </w:tc>
      </w:tr>
      <w:tr>
        <w:trPr>
          <w:trHeight w:val="210"/>
        </w:trPr>
        <w:tc>
          <w:tcPr>
            <w:tcW w:w="2740" w:type="dxa"/>
            <w:vAlign w:val="bottom"/>
          </w:tcPr>
          <w:p>
            <w:pPr>
              <w:ind w:left="20"/>
              <w:spacing w:after="0"/>
              <w:rPr>
                <w:sz w:val="20"/>
                <w:szCs w:val="20"/>
                <w:color w:val="auto"/>
              </w:rPr>
            </w:pPr>
            <w:r>
              <w:rPr>
                <w:rFonts w:ascii="Arial" w:cs="Arial" w:eastAsia="Arial" w:hAnsi="Arial"/>
                <w:sz w:val="16"/>
                <w:szCs w:val="16"/>
                <w:color w:val="auto"/>
              </w:rPr>
              <w:t>Total operating expenses</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67,176</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7.0 %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40,197</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10.0 %</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26,979</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67.1 %</w:t>
            </w:r>
          </w:p>
        </w:tc>
        <w:tc>
          <w:tcPr>
            <w:tcW w:w="0" w:type="dxa"/>
            <w:vAlign w:val="bottom"/>
          </w:tcPr>
          <w:p>
            <w:pPr>
              <w:spacing w:after="0"/>
              <w:rPr>
                <w:sz w:val="1"/>
                <w:szCs w:val="1"/>
                <w:color w:val="auto"/>
              </w:rPr>
            </w:pPr>
          </w:p>
        </w:tc>
      </w:tr>
      <w:tr>
        <w:trPr>
          <w:trHeight w:val="219"/>
        </w:trPr>
        <w:tc>
          <w:tcPr>
            <w:tcW w:w="2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 (loss)</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102,436</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(8,173)</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110,609</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(1,353.3)%</w:t>
            </w:r>
          </w:p>
        </w:tc>
        <w:tc>
          <w:tcPr>
            <w:tcW w:w="0" w:type="dxa"/>
            <w:vAlign w:val="bottom"/>
          </w:tcPr>
          <w:p>
            <w:pPr>
              <w:spacing w:after="0"/>
              <w:rPr>
                <w:sz w:val="1"/>
                <w:szCs w:val="1"/>
                <w:color w:val="auto"/>
              </w:rPr>
            </w:pPr>
          </w:p>
        </w:tc>
      </w:tr>
      <w:tr>
        <w:trPr>
          <w:trHeight w:val="213"/>
        </w:trPr>
        <w:tc>
          <w:tcPr>
            <w:tcW w:w="274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10,229</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1.1 %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8,440</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2.1 %</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1,789</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21.2 %</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Non-operating income</w:t>
            </w: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 %</w:t>
            </w: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 %</w:t>
            </w: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25.7 %</w:t>
            </w:r>
          </w:p>
        </w:tc>
        <w:tc>
          <w:tcPr>
            <w:tcW w:w="0" w:type="dxa"/>
            <w:vAlign w:val="bottom"/>
          </w:tcPr>
          <w:p>
            <w:pPr>
              <w:spacing w:after="0"/>
              <w:rPr>
                <w:sz w:val="1"/>
                <w:szCs w:val="1"/>
                <w:color w:val="auto"/>
              </w:rPr>
            </w:pPr>
          </w:p>
        </w:tc>
      </w:tr>
      <w:tr>
        <w:trPr>
          <w:trHeight w:val="209"/>
        </w:trPr>
        <w:tc>
          <w:tcPr>
            <w:tcW w:w="2740" w:type="dxa"/>
            <w:vAlign w:val="bottom"/>
          </w:tcPr>
          <w:p>
            <w:pPr>
              <w:ind w:left="20"/>
              <w:spacing w:after="0"/>
              <w:rPr>
                <w:sz w:val="20"/>
                <w:szCs w:val="20"/>
                <w:color w:val="auto"/>
              </w:rPr>
            </w:pPr>
            <w:r>
              <w:rPr>
                <w:rFonts w:ascii="Arial" w:cs="Arial" w:eastAsia="Arial" w:hAnsi="Arial"/>
                <w:sz w:val="16"/>
                <w:szCs w:val="16"/>
                <w:color w:val="auto"/>
              </w:rPr>
              <w:t>Income (loss) before income taxes</w:t>
            </w: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92,300</w:t>
            </w:r>
          </w:p>
        </w:tc>
        <w:tc>
          <w:tcPr>
            <w:tcW w:w="120" w:type="dxa"/>
            <w:vAlign w:val="bottom"/>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9.6 %</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(16,539)</w:t>
            </w:r>
          </w:p>
        </w:tc>
        <w:tc>
          <w:tcPr>
            <w:tcW w:w="100" w:type="dxa"/>
            <w:vAlign w:val="bottom"/>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108,839</w:t>
            </w:r>
          </w:p>
        </w:tc>
        <w:tc>
          <w:tcPr>
            <w:tcW w:w="120" w:type="dxa"/>
            <w:vAlign w:val="bottom"/>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(658.1)%</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(benefit) for income taxes</w:t>
            </w:r>
          </w:p>
        </w:tc>
        <w:tc>
          <w:tcPr>
            <w:tcW w:w="1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21,005</w:t>
            </w:r>
          </w:p>
        </w:tc>
        <w:tc>
          <w:tcPr>
            <w:tcW w:w="120" w:type="dxa"/>
            <w:vAlign w:val="bottom"/>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2.2 %</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(4,186)</w:t>
            </w:r>
          </w:p>
        </w:tc>
        <w:tc>
          <w:tcPr>
            <w:tcW w:w="100" w:type="dxa"/>
            <w:vAlign w:val="bottom"/>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25,191</w:t>
            </w:r>
          </w:p>
        </w:tc>
        <w:tc>
          <w:tcPr>
            <w:tcW w:w="120" w:type="dxa"/>
            <w:vAlign w:val="bottom"/>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(601.8)%</w:t>
            </w:r>
          </w:p>
        </w:tc>
        <w:tc>
          <w:tcPr>
            <w:tcW w:w="0" w:type="dxa"/>
            <w:vAlign w:val="bottom"/>
          </w:tcPr>
          <w:p>
            <w:pPr>
              <w:spacing w:after="0"/>
              <w:rPr>
                <w:sz w:val="1"/>
                <w:szCs w:val="1"/>
                <w:color w:val="auto"/>
              </w:rPr>
            </w:pPr>
          </w:p>
        </w:tc>
      </w:tr>
      <w:tr>
        <w:trPr>
          <w:trHeight w:val="213"/>
        </w:trPr>
        <w:tc>
          <w:tcPr>
            <w:tcW w:w="274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71,295</w:t>
            </w:r>
          </w:p>
        </w:tc>
        <w:tc>
          <w:tcPr>
            <w:tcW w:w="12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7.4 %</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(12,353)</w:t>
            </w:r>
          </w:p>
        </w:tc>
        <w:tc>
          <w:tcPr>
            <w:tcW w:w="100" w:type="dxa"/>
            <w:vAlign w:val="bottom"/>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83,648</w:t>
            </w:r>
          </w:p>
        </w:tc>
        <w:tc>
          <w:tcPr>
            <w:tcW w:w="120" w:type="dxa"/>
            <w:vAlign w:val="bottom"/>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(677.1)%</w:t>
            </w:r>
          </w:p>
        </w:tc>
        <w:tc>
          <w:tcPr>
            <w:tcW w:w="0" w:type="dxa"/>
            <w:vAlign w:val="bottom"/>
          </w:tcPr>
          <w:p>
            <w:pPr>
              <w:spacing w:after="0"/>
              <w:rPr>
                <w:sz w:val="1"/>
                <w:szCs w:val="1"/>
                <w:color w:val="auto"/>
              </w:rPr>
            </w:pPr>
          </w:p>
        </w:tc>
      </w:tr>
      <w:tr>
        <w:trPr>
          <w:trHeight w:val="20"/>
        </w:trPr>
        <w:tc>
          <w:tcPr>
            <w:tcW w:w="27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7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740" w:type="dxa"/>
            <w:vAlign w:val="bottom"/>
          </w:tcPr>
          <w:p>
            <w:pPr>
              <w:ind w:left="20"/>
              <w:spacing w:after="0"/>
              <w:rPr>
                <w:sz w:val="20"/>
                <w:szCs w:val="20"/>
                <w:color w:val="auto"/>
              </w:rPr>
            </w:pPr>
            <w:r>
              <w:rPr>
                <w:rFonts w:ascii="Arial" w:cs="Arial" w:eastAsia="Arial" w:hAnsi="Arial"/>
                <w:sz w:val="16"/>
                <w:szCs w:val="16"/>
                <w:color w:val="auto"/>
              </w:rPr>
              <w:t>Diluted earnings (loss) per share</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2.05</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(0.37)</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2.42</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(654.1)%</w:t>
            </w:r>
          </w:p>
        </w:tc>
        <w:tc>
          <w:tcPr>
            <w:tcW w:w="0" w:type="dxa"/>
            <w:vAlign w:val="bottom"/>
          </w:tcPr>
          <w:p>
            <w:pPr>
              <w:spacing w:after="0"/>
              <w:rPr>
                <w:sz w:val="1"/>
                <w:szCs w:val="1"/>
                <w:color w:val="auto"/>
              </w:rPr>
            </w:pPr>
          </w:p>
        </w:tc>
      </w:tr>
      <w:tr>
        <w:trPr>
          <w:trHeight w:val="180"/>
        </w:trPr>
        <w:tc>
          <w:tcPr>
            <w:tcW w:w="274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Diluted weighted average shares</w:t>
            </w:r>
          </w:p>
        </w:tc>
        <w:tc>
          <w:tcPr>
            <w:tcW w:w="14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34,772</w:t>
            </w:r>
          </w:p>
        </w:tc>
        <w:tc>
          <w:tcPr>
            <w:tcW w:w="1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33,625</w:t>
            </w: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1,147</w:t>
            </w:r>
          </w:p>
        </w:tc>
        <w:tc>
          <w:tcPr>
            <w:tcW w:w="120" w:type="dxa"/>
            <w:vAlign w:val="bottom"/>
            <w:shd w:val="clear" w:color="auto" w:fill="CCEEFF"/>
          </w:tcPr>
          <w:p>
            <w:pPr>
              <w:spacing w:after="0"/>
              <w:rPr>
                <w:sz w:val="15"/>
                <w:szCs w:val="15"/>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3.4 %</w:t>
            </w:r>
          </w:p>
        </w:tc>
        <w:tc>
          <w:tcPr>
            <w:tcW w:w="0" w:type="dxa"/>
            <w:vAlign w:val="bottom"/>
          </w:tcPr>
          <w:p>
            <w:pPr>
              <w:spacing w:after="0"/>
              <w:rPr>
                <w:sz w:val="1"/>
                <w:szCs w:val="1"/>
                <w:color w:val="auto"/>
              </w:rPr>
            </w:pPr>
          </w:p>
        </w:tc>
      </w:tr>
      <w:tr>
        <w:trPr>
          <w:trHeight w:val="114"/>
        </w:trPr>
        <w:tc>
          <w:tcPr>
            <w:tcW w:w="274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outstanding</w:t>
            </w:r>
          </w:p>
        </w:tc>
        <w:tc>
          <w:tcPr>
            <w:tcW w:w="140" w:type="dxa"/>
            <w:vAlign w:val="bottom"/>
            <w:shd w:val="clear" w:color="auto" w:fill="CCEEFF"/>
          </w:tcPr>
          <w:p>
            <w:pPr>
              <w:spacing w:after="0"/>
              <w:rPr>
                <w:sz w:val="9"/>
                <w:szCs w:val="9"/>
                <w:color w:val="auto"/>
              </w:rPr>
            </w:pPr>
          </w:p>
        </w:tc>
        <w:tc>
          <w:tcPr>
            <w:tcW w:w="1200" w:type="dxa"/>
            <w:vAlign w:val="bottom"/>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3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20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3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780" w:type="dxa"/>
            <w:vAlign w:val="bottom"/>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36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2740" w:type="dxa"/>
            <w:vAlign w:val="bottom"/>
            <w:vMerge w:val="continue"/>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2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3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2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3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3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bl>
    <w:p>
      <w:pPr>
        <w:spacing w:after="0" w:line="44" w:lineRule="exact"/>
        <w:rPr>
          <w:sz w:val="20"/>
          <w:szCs w:val="20"/>
          <w:color w:val="auto"/>
        </w:rPr>
      </w:pPr>
    </w:p>
    <w:p>
      <w:pPr>
        <w:ind w:left="300" w:hanging="292"/>
        <w:spacing w:after="0"/>
        <w:tabs>
          <w:tab w:leader="none" w:pos="300" w:val="left"/>
        </w:tabs>
        <w:numPr>
          <w:ilvl w:val="0"/>
          <w:numId w:val="10"/>
        </w:numPr>
        <w:rPr>
          <w:rFonts w:ascii="Arial" w:cs="Arial" w:eastAsia="Arial" w:hAnsi="Arial"/>
          <w:sz w:val="21"/>
          <w:szCs w:val="21"/>
          <w:b w:val="1"/>
          <w:bCs w:val="1"/>
          <w:color w:val="auto"/>
          <w:vertAlign w:val="superscript"/>
        </w:rPr>
      </w:pPr>
      <w:r>
        <w:rPr>
          <w:rFonts w:ascii="Arial" w:cs="Arial" w:eastAsia="Arial" w:hAnsi="Arial"/>
          <w:sz w:val="14"/>
          <w:szCs w:val="14"/>
          <w:color w:val="auto"/>
        </w:rPr>
        <w:t>Percentages may not add due to rounding differences.</w:t>
      </w:r>
    </w:p>
    <w:p>
      <w:pPr>
        <w:spacing w:after="0" w:line="216" w:lineRule="exact"/>
        <w:rPr>
          <w:sz w:val="20"/>
          <w:szCs w:val="20"/>
          <w:color w:val="auto"/>
        </w:rPr>
      </w:pPr>
    </w:p>
    <w:p>
      <w:pPr>
        <w:spacing w:after="0" w:line="237" w:lineRule="auto"/>
        <w:rPr>
          <w:sz w:val="20"/>
          <w:szCs w:val="20"/>
          <w:color w:val="auto"/>
        </w:rPr>
      </w:pPr>
      <w:r>
        <w:rPr>
          <w:rFonts w:ascii="Arial" w:cs="Arial" w:eastAsia="Arial" w:hAnsi="Arial"/>
          <w:sz w:val="16"/>
          <w:szCs w:val="16"/>
          <w:color w:val="auto"/>
        </w:rPr>
        <w:t>Third quarter Fiscal 2020 results were negatively impacted by the unprecedented series of events related to the COVID-19 pandemic which included the suspension of the Company's manufacturing operations as well as disruptions across its dealer network, supply chain and end consumers during most of the quarter.</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Net revenues increased primarily due to unit growth and pricing actions, including lower allowances.</w:t>
      </w:r>
    </w:p>
    <w:p>
      <w:pPr>
        <w:spacing w:after="0" w:line="248" w:lineRule="exact"/>
        <w:rPr>
          <w:sz w:val="20"/>
          <w:szCs w:val="20"/>
          <w:color w:val="auto"/>
        </w:rPr>
      </w:pPr>
    </w:p>
    <w:p>
      <w:pPr>
        <w:ind w:right="100"/>
        <w:spacing w:after="0" w:line="260" w:lineRule="auto"/>
        <w:rPr>
          <w:sz w:val="20"/>
          <w:szCs w:val="20"/>
          <w:color w:val="auto"/>
        </w:rPr>
      </w:pPr>
      <w:r>
        <w:rPr>
          <w:rFonts w:ascii="Arial" w:cs="Arial" w:eastAsia="Arial" w:hAnsi="Arial"/>
          <w:sz w:val="16"/>
          <w:szCs w:val="16"/>
          <w:color w:val="auto"/>
        </w:rPr>
        <w:t>Gross profit as a percentage of revenue increased primarily due to improved operating leverage on higher revenues, pricing actions and favorable segment mix, partially offset by higher enterprise-wide variable compensation expense.</w:t>
      </w:r>
    </w:p>
    <w:p>
      <w:pPr>
        <w:spacing w:after="0" w:line="222" w:lineRule="exact"/>
        <w:rPr>
          <w:sz w:val="20"/>
          <w:szCs w:val="20"/>
          <w:color w:val="auto"/>
        </w:rPr>
      </w:pPr>
    </w:p>
    <w:p>
      <w:pPr>
        <w:ind w:right="520"/>
        <w:spacing w:after="0" w:line="260" w:lineRule="auto"/>
        <w:rPr>
          <w:sz w:val="20"/>
          <w:szCs w:val="20"/>
          <w:color w:val="auto"/>
        </w:rPr>
      </w:pPr>
      <w:r>
        <w:rPr>
          <w:rFonts w:ascii="Arial" w:cs="Arial" w:eastAsia="Arial" w:hAnsi="Arial"/>
          <w:sz w:val="16"/>
          <w:szCs w:val="16"/>
          <w:color w:val="auto"/>
        </w:rPr>
        <w:t>Operating expenses increased primarily due to an increase in enterprise-wide variable compensation expense and higher selling costs from improved operating performance, partially offset by lower Newmar amortization.</w:t>
      </w:r>
    </w:p>
    <w:p>
      <w:pPr>
        <w:spacing w:after="0" w:line="222" w:lineRule="exact"/>
        <w:rPr>
          <w:sz w:val="20"/>
          <w:szCs w:val="20"/>
          <w:color w:val="auto"/>
        </w:rPr>
      </w:pPr>
    </w:p>
    <w:p>
      <w:pPr>
        <w:ind w:right="340"/>
        <w:spacing w:after="0" w:line="260" w:lineRule="auto"/>
        <w:rPr>
          <w:sz w:val="20"/>
          <w:szCs w:val="20"/>
          <w:color w:val="auto"/>
        </w:rPr>
      </w:pPr>
      <w:r>
        <w:rPr>
          <w:rFonts w:ascii="Arial" w:cs="Arial" w:eastAsia="Arial" w:hAnsi="Arial"/>
          <w:sz w:val="16"/>
          <w:szCs w:val="16"/>
          <w:color w:val="auto"/>
        </w:rPr>
        <w:t>Interest expense increased primarily due to a higher interest rate on indebtedness as a result of refinancing our Term Loan in the fourth quarter of Fiscal 2020.</w:t>
      </w:r>
    </w:p>
    <w:p>
      <w:pPr>
        <w:spacing w:after="0" w:line="222" w:lineRule="exact"/>
        <w:rPr>
          <w:sz w:val="20"/>
          <w:szCs w:val="20"/>
          <w:color w:val="auto"/>
        </w:rPr>
      </w:pPr>
    </w:p>
    <w:p>
      <w:pPr>
        <w:jc w:val="both"/>
        <w:ind w:right="460"/>
        <w:spacing w:after="0" w:line="253" w:lineRule="auto"/>
        <w:rPr>
          <w:sz w:val="20"/>
          <w:szCs w:val="20"/>
          <w:color w:val="auto"/>
        </w:rPr>
      </w:pPr>
      <w:r>
        <w:rPr>
          <w:rFonts w:ascii="Arial" w:cs="Arial" w:eastAsia="Arial" w:hAnsi="Arial"/>
          <w:sz w:val="16"/>
          <w:szCs w:val="16"/>
          <w:color w:val="auto"/>
        </w:rPr>
        <w:t>Our effective tax rate decreased to 22.8% for the third quarter of Fiscal 2021 compared to 25.3% for the third quarter of Fiscal 2020 primarily due to a favorable tax adjustment in the third quarter of Fiscal 2020 driven by a change in projected annual performance over a pretax loss resulting in a higher calculated effective tax rate.</w:t>
      </w:r>
    </w:p>
    <w:p>
      <w:pPr>
        <w:spacing w:after="0" w:line="215" w:lineRule="exact"/>
        <w:rPr>
          <w:sz w:val="20"/>
          <w:szCs w:val="20"/>
          <w:color w:val="auto"/>
        </w:rPr>
      </w:pPr>
    </w:p>
    <w:p>
      <w:pPr>
        <w:ind w:right="120"/>
        <w:spacing w:after="0" w:line="242" w:lineRule="auto"/>
        <w:rPr>
          <w:sz w:val="20"/>
          <w:szCs w:val="20"/>
          <w:color w:val="auto"/>
        </w:rPr>
      </w:pPr>
      <w:r>
        <w:rPr>
          <w:rFonts w:ascii="Arial" w:cs="Arial" w:eastAsia="Arial" w:hAnsi="Arial"/>
          <w:sz w:val="16"/>
          <w:szCs w:val="16"/>
          <w:color w:val="auto"/>
        </w:rPr>
        <w:t>Net income and diluted earnings per share increased primarily due to leverage gained on higher revenues, partially offset by increased operating expenses and higher income tax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 w:right="359" w:bottom="1440" w:gutter="0" w:footer="0" w:header="0"/>
        </w:sectPr>
      </w:pPr>
    </w:p>
    <w:bookmarkStart w:id="26" w:name="page27"/>
    <w:bookmarkEnd w:id="2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Non-GAAP Reconciliation</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reconciles net income to consolidated EBITDA and Adjusted EBITDA for the three months ended May 29, 2021 and May 30, 2020:</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6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3240" w:type="dxa"/>
            <w:vAlign w:val="bottom"/>
            <w:tcBorders>
              <w:bottom w:val="single" w:sz="8" w:color="auto"/>
            </w:tcBorders>
            <w:gridSpan w:val="4"/>
          </w:tcPr>
          <w:p>
            <w:pPr>
              <w:jc w:val="right"/>
              <w:ind w:right="919"/>
              <w:spacing w:after="0"/>
              <w:rPr>
                <w:sz w:val="20"/>
                <w:szCs w:val="20"/>
                <w:color w:val="auto"/>
              </w:rPr>
            </w:pPr>
            <w:r>
              <w:rPr>
                <w:rFonts w:ascii="Arial" w:cs="Arial" w:eastAsia="Arial" w:hAnsi="Arial"/>
                <w:sz w:val="16"/>
                <w:szCs w:val="16"/>
                <w:b w:val="1"/>
                <w:bCs w:val="1"/>
                <w:color w:val="auto"/>
              </w:rPr>
              <w:t>Three Months Ended</w:t>
            </w:r>
          </w:p>
        </w:tc>
      </w:tr>
      <w:tr>
        <w:trPr>
          <w:trHeight w:val="158"/>
        </w:trPr>
        <w:tc>
          <w:tcPr>
            <w:tcW w:w="7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00" w:type="dxa"/>
            <w:vAlign w:val="bottom"/>
            <w:gridSpan w:val="2"/>
          </w:tcPr>
          <w:p>
            <w:pPr>
              <w:ind w:left="220"/>
              <w:spacing w:after="0" w:line="158" w:lineRule="exact"/>
              <w:rPr>
                <w:sz w:val="20"/>
                <w:szCs w:val="20"/>
                <w:color w:val="auto"/>
              </w:rPr>
            </w:pPr>
            <w:r>
              <w:rPr>
                <w:rFonts w:ascii="Arial" w:cs="Arial" w:eastAsia="Arial" w:hAnsi="Arial"/>
                <w:sz w:val="16"/>
                <w:szCs w:val="16"/>
                <w:b w:val="1"/>
                <w:bCs w:val="1"/>
                <w:color w:val="auto"/>
              </w:rPr>
              <w:t>May 29,</w:t>
            </w:r>
          </w:p>
        </w:tc>
        <w:tc>
          <w:tcPr>
            <w:tcW w:w="340" w:type="dxa"/>
            <w:vAlign w:val="bottom"/>
          </w:tcPr>
          <w:p>
            <w:pPr>
              <w:spacing w:after="0"/>
              <w:rPr>
                <w:sz w:val="13"/>
                <w:szCs w:val="13"/>
                <w:color w:val="auto"/>
              </w:rPr>
            </w:pPr>
          </w:p>
        </w:tc>
        <w:tc>
          <w:tcPr>
            <w:tcW w:w="1400" w:type="dxa"/>
            <w:vAlign w:val="bottom"/>
          </w:tcPr>
          <w:p>
            <w:pPr>
              <w:jc w:val="right"/>
              <w:ind w:right="499"/>
              <w:spacing w:after="0" w:line="158" w:lineRule="exact"/>
              <w:rPr>
                <w:sz w:val="20"/>
                <w:szCs w:val="20"/>
                <w:color w:val="auto"/>
              </w:rPr>
            </w:pPr>
            <w:r>
              <w:rPr>
                <w:rFonts w:ascii="Arial" w:cs="Arial" w:eastAsia="Arial" w:hAnsi="Arial"/>
                <w:sz w:val="16"/>
                <w:szCs w:val="16"/>
                <w:b w:val="1"/>
                <w:bCs w:val="1"/>
                <w:color w:val="auto"/>
              </w:rPr>
              <w:t>May 30,</w:t>
            </w:r>
          </w:p>
        </w:tc>
      </w:tr>
      <w:tr>
        <w:trPr>
          <w:trHeight w:val="216"/>
        </w:trPr>
        <w:tc>
          <w:tcPr>
            <w:tcW w:w="76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3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2020</w:t>
            </w:r>
          </w:p>
        </w:tc>
      </w:tr>
      <w:tr>
        <w:trPr>
          <w:trHeight w:val="209"/>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71,295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(12,353)</w:t>
            </w:r>
          </w:p>
        </w:tc>
      </w:tr>
      <w:tr>
        <w:trPr>
          <w:trHeight w:val="213"/>
        </w:trPr>
        <w:tc>
          <w:tcPr>
            <w:tcW w:w="764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3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10,229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8,440</w:t>
            </w:r>
          </w:p>
        </w:tc>
      </w:tr>
      <w:tr>
        <w:trPr>
          <w:trHeight w:val="219"/>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(benefit) for income taxes</w:t>
            </w:r>
          </w:p>
        </w:tc>
        <w:tc>
          <w:tcPr>
            <w:tcW w:w="3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21,005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(4,186)</w:t>
            </w:r>
          </w:p>
        </w:tc>
      </w:tr>
      <w:tr>
        <w:trPr>
          <w:trHeight w:val="213"/>
        </w:trPr>
        <w:tc>
          <w:tcPr>
            <w:tcW w:w="7640" w:type="dxa"/>
            <w:vAlign w:val="bottom"/>
          </w:tcPr>
          <w:p>
            <w:pPr>
              <w:ind w:left="20"/>
              <w:spacing w:after="0"/>
              <w:rPr>
                <w:sz w:val="20"/>
                <w:szCs w:val="20"/>
                <w:color w:val="auto"/>
              </w:rPr>
            </w:pPr>
            <w:r>
              <w:rPr>
                <w:rFonts w:ascii="Arial" w:cs="Arial" w:eastAsia="Arial" w:hAnsi="Arial"/>
                <w:sz w:val="16"/>
                <w:szCs w:val="16"/>
                <w:color w:val="auto"/>
              </w:rPr>
              <w:t>Depreciation</w:t>
            </w:r>
          </w:p>
        </w:tc>
        <w:tc>
          <w:tcPr>
            <w:tcW w:w="3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4,917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4,134</w:t>
            </w:r>
          </w:p>
        </w:tc>
      </w:tr>
      <w:tr>
        <w:trPr>
          <w:trHeight w:val="216"/>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w:t>
            </w:r>
          </w:p>
        </w:tc>
        <w:tc>
          <w:tcPr>
            <w:tcW w:w="3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3,590</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6,926</w:t>
            </w:r>
          </w:p>
        </w:tc>
      </w:tr>
      <w:tr>
        <w:trPr>
          <w:trHeight w:val="209"/>
        </w:trPr>
        <w:tc>
          <w:tcPr>
            <w:tcW w:w="7640" w:type="dxa"/>
            <w:vAlign w:val="bottom"/>
          </w:tcPr>
          <w:p>
            <w:pPr>
              <w:ind w:left="140"/>
              <w:spacing w:after="0"/>
              <w:rPr>
                <w:sz w:val="20"/>
                <w:szCs w:val="20"/>
                <w:color w:val="auto"/>
              </w:rPr>
            </w:pPr>
            <w:r>
              <w:rPr>
                <w:rFonts w:ascii="Arial" w:cs="Arial" w:eastAsia="Arial" w:hAnsi="Arial"/>
                <w:sz w:val="16"/>
                <w:szCs w:val="16"/>
                <w:color w:val="auto"/>
              </w:rPr>
              <w:t>EBITDA</w:t>
            </w:r>
          </w:p>
        </w:tc>
        <w:tc>
          <w:tcPr>
            <w:tcW w:w="3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111,036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2,961</w:t>
            </w:r>
          </w:p>
        </w:tc>
      </w:tr>
      <w:tr>
        <w:trPr>
          <w:trHeight w:val="219"/>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Acquisition-related costs</w:t>
            </w:r>
          </w:p>
        </w:tc>
        <w:tc>
          <w:tcPr>
            <w:tcW w:w="3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w:t>
            </w:r>
          </w:p>
        </w:tc>
      </w:tr>
      <w:tr>
        <w:trPr>
          <w:trHeight w:val="213"/>
        </w:trPr>
        <w:tc>
          <w:tcPr>
            <w:tcW w:w="7640" w:type="dxa"/>
            <w:vAlign w:val="bottom"/>
          </w:tcPr>
          <w:p>
            <w:pPr>
              <w:ind w:left="20"/>
              <w:spacing w:after="0"/>
              <w:rPr>
                <w:sz w:val="20"/>
                <w:szCs w:val="20"/>
                <w:color w:val="auto"/>
              </w:rPr>
            </w:pPr>
            <w:r>
              <w:rPr>
                <w:rFonts w:ascii="Arial" w:cs="Arial" w:eastAsia="Arial" w:hAnsi="Arial"/>
                <w:sz w:val="16"/>
                <w:szCs w:val="16"/>
                <w:color w:val="auto"/>
              </w:rPr>
              <w:t>Restructuring expenses</w:t>
            </w:r>
          </w:p>
        </w:tc>
        <w:tc>
          <w:tcPr>
            <w:tcW w:w="3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1,376</w:t>
            </w:r>
          </w:p>
        </w:tc>
      </w:tr>
      <w:tr>
        <w:trPr>
          <w:trHeight w:val="219"/>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Gain on sale of property, plant and equipment</w:t>
            </w:r>
          </w:p>
        </w:tc>
        <w:tc>
          <w:tcPr>
            <w:tcW w:w="3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6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Non-operating income</w:t>
            </w:r>
          </w:p>
        </w:tc>
        <w:tc>
          <w:tcPr>
            <w:tcW w:w="3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w:t>
            </w:r>
          </w:p>
        </w:tc>
      </w:tr>
      <w:tr>
        <w:trPr>
          <w:trHeight w:val="238"/>
        </w:trPr>
        <w:tc>
          <w:tcPr>
            <w:tcW w:w="7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Adjusted EBITDA</w:t>
            </w: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109,774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4,074</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Reportable Segment Performance Summary</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Towable</w:t>
      </w:r>
    </w:p>
    <w:p>
      <w:pPr>
        <w:spacing w:after="0" w:line="129"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The following is an analysis of key changes in our Towable segment for the three months ended May 29, 2021 compared to the three months ended May 30, 2020:</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4"/>
          </w:tcPr>
          <w:p>
            <w:pPr>
              <w:ind w:left="120"/>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60" w:type="dxa"/>
            <w:vAlign w:val="bottom"/>
            <w:gridSpan w:val="2"/>
          </w:tcPr>
          <w:p>
            <w:pPr>
              <w:jc w:val="center"/>
              <w:ind w:right="380"/>
              <w:spacing w:after="0" w:line="158" w:lineRule="exact"/>
              <w:rPr>
                <w:sz w:val="20"/>
                <w:szCs w:val="20"/>
                <w:color w:val="auto"/>
              </w:rPr>
            </w:pPr>
            <w:r>
              <w:rPr>
                <w:rFonts w:ascii="Arial" w:cs="Arial" w:eastAsia="Arial" w:hAnsi="Arial"/>
                <w:sz w:val="16"/>
                <w:szCs w:val="16"/>
                <w:b w:val="1"/>
                <w:bCs w:val="1"/>
                <w:color w:val="auto"/>
              </w:rPr>
              <w:t>May 29,</w:t>
            </w: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gridSpan w:val="2"/>
          </w:tcPr>
          <w:p>
            <w:pPr>
              <w:jc w:val="center"/>
              <w:ind w:right="360"/>
              <w:spacing w:after="0" w:line="158" w:lineRule="exact"/>
              <w:rPr>
                <w:sz w:val="20"/>
                <w:szCs w:val="20"/>
                <w:color w:val="auto"/>
              </w:rPr>
            </w:pPr>
            <w:r>
              <w:rPr>
                <w:rFonts w:ascii="Arial" w:cs="Arial" w:eastAsia="Arial" w:hAnsi="Arial"/>
                <w:sz w:val="16"/>
                <w:szCs w:val="16"/>
                <w:b w:val="1"/>
                <w:bCs w:val="1"/>
                <w:color w:val="auto"/>
              </w:rPr>
              <w:t>May 30,</w:t>
            </w: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160" w:type="dxa"/>
            <w:vAlign w:val="bottom"/>
          </w:tcPr>
          <w:p>
            <w:pPr>
              <w:ind w:left="20"/>
              <w:spacing w:after="0"/>
              <w:rPr>
                <w:sz w:val="20"/>
                <w:szCs w:val="20"/>
                <w:color w:val="auto"/>
              </w:rPr>
            </w:pPr>
            <w:r>
              <w:rPr>
                <w:rFonts w:ascii="Arial" w:cs="Arial" w:eastAsia="Arial" w:hAnsi="Arial"/>
                <w:sz w:val="14"/>
                <w:szCs w:val="14"/>
                <w:color w:val="auto"/>
              </w:rPr>
              <w:t>(in thousands, except ASP)</w:t>
            </w:r>
          </w:p>
        </w:tc>
        <w:tc>
          <w:tcPr>
            <w:tcW w:w="280" w:type="dxa"/>
            <w:vAlign w:val="bottom"/>
          </w:tcPr>
          <w:p>
            <w:pPr>
              <w:spacing w:after="0"/>
              <w:rPr>
                <w:sz w:val="18"/>
                <w:szCs w:val="18"/>
                <w:color w:val="auto"/>
              </w:rPr>
            </w:pPr>
          </w:p>
        </w:tc>
        <w:tc>
          <w:tcPr>
            <w:tcW w:w="1160" w:type="dxa"/>
            <w:vAlign w:val="bottom"/>
          </w:tcPr>
          <w:p>
            <w:pPr>
              <w:jc w:val="center"/>
              <w:ind w:right="19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13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 of Revenues</w:t>
            </w:r>
          </w:p>
        </w:tc>
        <w:tc>
          <w:tcPr>
            <w:tcW w:w="240" w:type="dxa"/>
            <w:vAlign w:val="bottom"/>
          </w:tcPr>
          <w:p>
            <w:pPr>
              <w:spacing w:after="0"/>
              <w:rPr>
                <w:sz w:val="18"/>
                <w:szCs w:val="18"/>
                <w:color w:val="auto"/>
              </w:rPr>
            </w:pPr>
          </w:p>
        </w:tc>
        <w:tc>
          <w:tcPr>
            <w:tcW w:w="1180" w:type="dxa"/>
            <w:vAlign w:val="bottom"/>
          </w:tcPr>
          <w:p>
            <w:pPr>
              <w:jc w:val="center"/>
              <w:ind w:right="13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 of Revenues</w:t>
            </w:r>
          </w:p>
        </w:tc>
        <w:tc>
          <w:tcPr>
            <w:tcW w:w="14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9"/>
              </w:rPr>
              <w:t>$ Change</w:t>
            </w:r>
          </w:p>
        </w:tc>
        <w:tc>
          <w:tcPr>
            <w:tcW w:w="1180" w:type="dxa"/>
            <w:vAlign w:val="bottom"/>
          </w:tcPr>
          <w:p>
            <w:pPr>
              <w:jc w:val="right"/>
              <w:ind w:right="11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09"/>
        </w:trPr>
        <w:tc>
          <w:tcPr>
            <w:tcW w:w="3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28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555,749</w:t>
            </w: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188,898</w:t>
            </w:r>
          </w:p>
        </w:tc>
        <w:tc>
          <w:tcPr>
            <w:tcW w:w="12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366,851</w:t>
            </w: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194.2 %</w:t>
            </w:r>
          </w:p>
        </w:tc>
        <w:tc>
          <w:tcPr>
            <w:tcW w:w="0" w:type="dxa"/>
            <w:vAlign w:val="bottom"/>
          </w:tcPr>
          <w:p>
            <w:pPr>
              <w:spacing w:after="0"/>
              <w:rPr>
                <w:sz w:val="1"/>
                <w:szCs w:val="1"/>
                <w:color w:val="auto"/>
              </w:rPr>
            </w:pPr>
          </w:p>
        </w:tc>
      </w:tr>
      <w:tr>
        <w:trPr>
          <w:trHeight w:val="213"/>
        </w:trPr>
        <w:tc>
          <w:tcPr>
            <w:tcW w:w="316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80,130</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14.4 %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16,451</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8.7 %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63,679</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387.1 %</w:t>
            </w:r>
          </w:p>
        </w:tc>
        <w:tc>
          <w:tcPr>
            <w:tcW w:w="0" w:type="dxa"/>
            <w:vAlign w:val="bottom"/>
          </w:tcPr>
          <w:p>
            <w:pPr>
              <w:spacing w:after="0"/>
              <w:rPr>
                <w:sz w:val="1"/>
                <w:szCs w:val="1"/>
                <w:color w:val="auto"/>
              </w:rPr>
            </w:pPr>
          </w:p>
        </w:tc>
      </w:tr>
      <w:tr>
        <w:trPr>
          <w:trHeight w:val="260"/>
        </w:trPr>
        <w:tc>
          <w:tcPr>
            <w:tcW w:w="31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3160" w:type="dxa"/>
            <w:vAlign w:val="bottom"/>
          </w:tcPr>
          <w:p>
            <w:pPr>
              <w:ind w:left="20"/>
              <w:spacing w:after="0"/>
              <w:rPr>
                <w:sz w:val="20"/>
                <w:szCs w:val="20"/>
                <w:color w:val="auto"/>
              </w:rPr>
            </w:pPr>
            <w:r>
              <w:rPr>
                <w:rFonts w:ascii="Arial" w:cs="Arial" w:eastAsia="Arial" w:hAnsi="Arial"/>
                <w:sz w:val="16"/>
                <w:szCs w:val="16"/>
                <w:color w:val="auto"/>
              </w:rPr>
              <w:t>Average Selling Price ("ASP")</w:t>
            </w:r>
            <w:r>
              <w:rPr>
                <w:rFonts w:ascii="Arial" w:cs="Arial" w:eastAsia="Arial" w:hAnsi="Arial"/>
                <w:sz w:val="21"/>
                <w:szCs w:val="21"/>
                <w:color w:val="auto"/>
                <w:vertAlign w:val="superscript"/>
              </w:rPr>
              <w:t>(1)</w:t>
            </w:r>
          </w:p>
        </w:tc>
        <w:tc>
          <w:tcPr>
            <w:tcW w:w="2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32,958</w:t>
            </w: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32,107</w:t>
            </w: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851</w:t>
            </w:r>
          </w:p>
        </w:tc>
        <w:tc>
          <w:tcPr>
            <w:tcW w:w="1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2.7 %</w:t>
            </w:r>
          </w:p>
        </w:tc>
        <w:tc>
          <w:tcPr>
            <w:tcW w:w="0" w:type="dxa"/>
            <w:vAlign w:val="bottom"/>
          </w:tcPr>
          <w:p>
            <w:pPr>
              <w:spacing w:after="0"/>
              <w:rPr>
                <w:sz w:val="1"/>
                <w:szCs w:val="1"/>
                <w:color w:val="auto"/>
              </w:rPr>
            </w:pPr>
          </w:p>
        </w:tc>
      </w:tr>
      <w:tr>
        <w:trPr>
          <w:trHeight w:val="310"/>
        </w:trPr>
        <w:tc>
          <w:tcPr>
            <w:tcW w:w="31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4"/>
          </w:tcPr>
          <w:p>
            <w:pPr>
              <w:ind w:left="120"/>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31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Unit deliveries</w:t>
            </w:r>
          </w:p>
        </w:tc>
        <w:tc>
          <w:tcPr>
            <w:tcW w:w="280" w:type="dxa"/>
            <w:vAlign w:val="bottom"/>
          </w:tcPr>
          <w:p>
            <w:pPr>
              <w:spacing w:after="0"/>
              <w:rPr>
                <w:sz w:val="13"/>
                <w:szCs w:val="13"/>
                <w:color w:val="auto"/>
              </w:rPr>
            </w:pPr>
          </w:p>
        </w:tc>
        <w:tc>
          <w:tcPr>
            <w:tcW w:w="1260" w:type="dxa"/>
            <w:vAlign w:val="bottom"/>
            <w:gridSpan w:val="2"/>
          </w:tcPr>
          <w:p>
            <w:pPr>
              <w:jc w:val="center"/>
              <w:ind w:right="380"/>
              <w:spacing w:after="0" w:line="158" w:lineRule="exact"/>
              <w:rPr>
                <w:sz w:val="20"/>
                <w:szCs w:val="20"/>
                <w:color w:val="auto"/>
              </w:rPr>
            </w:pPr>
            <w:r>
              <w:rPr>
                <w:rFonts w:ascii="Arial" w:cs="Arial" w:eastAsia="Arial" w:hAnsi="Arial"/>
                <w:sz w:val="16"/>
                <w:szCs w:val="16"/>
                <w:b w:val="1"/>
                <w:bCs w:val="1"/>
                <w:color w:val="auto"/>
              </w:rPr>
              <w:t>May 29,</w:t>
            </w:r>
          </w:p>
        </w:tc>
        <w:tc>
          <w:tcPr>
            <w:tcW w:w="132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7"/>
              </w:rPr>
              <w:t>Product Mix</w:t>
            </w:r>
            <w:r>
              <w:rPr>
                <w:rFonts w:ascii="Arial" w:cs="Arial" w:eastAsia="Arial" w:hAnsi="Arial"/>
                <w:sz w:val="21"/>
                <w:szCs w:val="21"/>
                <w:b w:val="1"/>
                <w:bCs w:val="1"/>
                <w:color w:val="auto"/>
                <w:w w:val="97"/>
                <w:vertAlign w:val="superscript"/>
              </w:rPr>
              <w:t>(2)</w:t>
            </w:r>
          </w:p>
        </w:tc>
        <w:tc>
          <w:tcPr>
            <w:tcW w:w="240" w:type="dxa"/>
            <w:vAlign w:val="bottom"/>
          </w:tcPr>
          <w:p>
            <w:pPr>
              <w:spacing w:after="0"/>
              <w:rPr>
                <w:sz w:val="13"/>
                <w:szCs w:val="13"/>
                <w:color w:val="auto"/>
              </w:rPr>
            </w:pPr>
          </w:p>
        </w:tc>
        <w:tc>
          <w:tcPr>
            <w:tcW w:w="1300" w:type="dxa"/>
            <w:vAlign w:val="bottom"/>
            <w:gridSpan w:val="2"/>
          </w:tcPr>
          <w:p>
            <w:pPr>
              <w:jc w:val="center"/>
              <w:ind w:right="360"/>
              <w:spacing w:after="0" w:line="158" w:lineRule="exact"/>
              <w:rPr>
                <w:sz w:val="20"/>
                <w:szCs w:val="20"/>
                <w:color w:val="auto"/>
              </w:rPr>
            </w:pPr>
            <w:r>
              <w:rPr>
                <w:rFonts w:ascii="Arial" w:cs="Arial" w:eastAsia="Arial" w:hAnsi="Arial"/>
                <w:sz w:val="16"/>
                <w:szCs w:val="16"/>
                <w:b w:val="1"/>
                <w:bCs w:val="1"/>
                <w:color w:val="auto"/>
              </w:rPr>
              <w:t>May 30,</w:t>
            </w:r>
          </w:p>
        </w:tc>
        <w:tc>
          <w:tcPr>
            <w:tcW w:w="130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7"/>
              </w:rPr>
              <w:t>Product Mix</w:t>
            </w:r>
            <w:r>
              <w:rPr>
                <w:rFonts w:ascii="Arial" w:cs="Arial" w:eastAsia="Arial" w:hAnsi="Arial"/>
                <w:sz w:val="21"/>
                <w:szCs w:val="21"/>
                <w:b w:val="1"/>
                <w:bCs w:val="1"/>
                <w:color w:val="auto"/>
                <w:w w:val="97"/>
                <w:vertAlign w:val="superscript"/>
              </w:rPr>
              <w:t>(2)</w:t>
            </w:r>
          </w:p>
        </w:tc>
        <w:tc>
          <w:tcPr>
            <w:tcW w:w="1180" w:type="dxa"/>
            <w:vAlign w:val="bottom"/>
            <w:gridSpan w:val="3"/>
            <w:vMerge w:val="restart"/>
          </w:tcPr>
          <w:p>
            <w:pPr>
              <w:jc w:val="center"/>
              <w:ind w:right="100"/>
              <w:spacing w:after="0"/>
              <w:rPr>
                <w:sz w:val="20"/>
                <w:szCs w:val="20"/>
                <w:color w:val="auto"/>
              </w:rPr>
            </w:pPr>
            <w:r>
              <w:rPr>
                <w:rFonts w:ascii="Arial" w:cs="Arial" w:eastAsia="Arial" w:hAnsi="Arial"/>
                <w:sz w:val="16"/>
                <w:szCs w:val="16"/>
                <w:b w:val="1"/>
                <w:bCs w:val="1"/>
                <w:color w:val="auto"/>
              </w:rPr>
              <w:t>Unit Change</w:t>
            </w:r>
          </w:p>
        </w:tc>
        <w:tc>
          <w:tcPr>
            <w:tcW w:w="118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6"/>
        </w:trPr>
        <w:tc>
          <w:tcPr>
            <w:tcW w:w="316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center"/>
              <w:ind w:right="19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center"/>
              <w:ind w:right="13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1180" w:type="dxa"/>
            <w:vAlign w:val="bottom"/>
            <w:gridSpan w:val="3"/>
            <w:vMerge w:val="continue"/>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Travel trailer</w:t>
            </w:r>
          </w:p>
        </w:tc>
        <w:tc>
          <w:tcPr>
            <w:tcW w:w="2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11,089</w:t>
            </w: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66.4 %</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3,537</w:t>
            </w:r>
          </w:p>
        </w:tc>
        <w:tc>
          <w:tcPr>
            <w:tcW w:w="12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60.3 %</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7,552</w:t>
            </w: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213.5 %</w:t>
            </w:r>
          </w:p>
        </w:tc>
        <w:tc>
          <w:tcPr>
            <w:tcW w:w="0" w:type="dxa"/>
            <w:vAlign w:val="bottom"/>
          </w:tcPr>
          <w:p>
            <w:pPr>
              <w:spacing w:after="0"/>
              <w:rPr>
                <w:sz w:val="1"/>
                <w:szCs w:val="1"/>
                <w:color w:val="auto"/>
              </w:rPr>
            </w:pPr>
          </w:p>
        </w:tc>
      </w:tr>
      <w:tr>
        <w:trPr>
          <w:trHeight w:val="213"/>
        </w:trPr>
        <w:tc>
          <w:tcPr>
            <w:tcW w:w="31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Fifth wheel</w:t>
            </w: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5,620</w:t>
            </w: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33.6 %</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2,324</w:t>
            </w:r>
          </w:p>
        </w:tc>
        <w:tc>
          <w:tcPr>
            <w:tcW w:w="12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39.7 %</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3,296</w:t>
            </w:r>
          </w:p>
        </w:tc>
        <w:tc>
          <w:tcPr>
            <w:tcW w:w="10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141.8 %</w:t>
            </w:r>
          </w:p>
        </w:tc>
        <w:tc>
          <w:tcPr>
            <w:tcW w:w="0" w:type="dxa"/>
            <w:vAlign w:val="bottom"/>
          </w:tcPr>
          <w:p>
            <w:pPr>
              <w:spacing w:after="0"/>
              <w:rPr>
                <w:sz w:val="1"/>
                <w:szCs w:val="1"/>
                <w:color w:val="auto"/>
              </w:rPr>
            </w:pPr>
          </w:p>
        </w:tc>
      </w:tr>
      <w:tr>
        <w:trPr>
          <w:trHeight w:val="238"/>
        </w:trPr>
        <w:tc>
          <w:tcPr>
            <w:tcW w:w="3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towables</w:t>
            </w:r>
          </w:p>
        </w:tc>
        <w:tc>
          <w:tcPr>
            <w:tcW w:w="28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16,709</w:t>
            </w: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5,861</w:t>
            </w:r>
          </w:p>
        </w:tc>
        <w:tc>
          <w:tcPr>
            <w:tcW w:w="1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10,848</w:t>
            </w:r>
          </w:p>
        </w:tc>
        <w:tc>
          <w:tcPr>
            <w:tcW w:w="1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185.1 %</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 w:lineRule="exact"/>
        <w:rPr>
          <w:sz w:val="20"/>
          <w:szCs w:val="20"/>
          <w:color w:val="auto"/>
        </w:rPr>
      </w:pPr>
    </w:p>
    <w:p>
      <w:pPr>
        <w:ind w:left="280" w:hanging="272"/>
        <w:spacing w:after="0"/>
        <w:tabs>
          <w:tab w:leader="none" w:pos="280" w:val="left"/>
        </w:tabs>
        <w:numPr>
          <w:ilvl w:val="0"/>
          <w:numId w:val="11"/>
        </w:numPr>
        <w:rPr>
          <w:rFonts w:ascii="Arial" w:cs="Arial" w:eastAsia="Arial" w:hAnsi="Arial"/>
          <w:sz w:val="21"/>
          <w:szCs w:val="21"/>
          <w:color w:val="auto"/>
          <w:vertAlign w:val="superscript"/>
        </w:rPr>
      </w:pPr>
      <w:r>
        <w:rPr>
          <w:rFonts w:ascii="Arial" w:cs="Arial" w:eastAsia="Arial" w:hAnsi="Arial"/>
          <w:sz w:val="14"/>
          <w:szCs w:val="14"/>
          <w:color w:val="auto"/>
        </w:rPr>
        <w:t>Average selling price excludes off-invoice dealer incentives.</w:t>
      </w:r>
    </w:p>
    <w:p>
      <w:pPr>
        <w:ind w:left="300" w:hanging="292"/>
        <w:spacing w:after="0" w:line="189" w:lineRule="auto"/>
        <w:tabs>
          <w:tab w:leader="none" w:pos="300" w:val="left"/>
        </w:tabs>
        <w:numPr>
          <w:ilvl w:val="0"/>
          <w:numId w:val="11"/>
        </w:numPr>
        <w:rPr>
          <w:rFonts w:ascii="Arial" w:cs="Arial" w:eastAsia="Arial" w:hAnsi="Arial"/>
          <w:sz w:val="19"/>
          <w:szCs w:val="19"/>
          <w:color w:val="auto"/>
          <w:vertAlign w:val="superscript"/>
        </w:rPr>
      </w:pPr>
      <w:r>
        <w:rPr>
          <w:rFonts w:ascii="Arial" w:cs="Arial" w:eastAsia="Arial" w:hAnsi="Arial"/>
          <w:sz w:val="13"/>
          <w:szCs w:val="13"/>
          <w:color w:val="auto"/>
        </w:rPr>
        <w:t>Percentages may not add due to rounding differences.</w:t>
      </w: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color w:val="auto"/>
        </w:rPr>
        <w:t>Net revenues increased primarily driven by unit growth.</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Adjusted EBITDA increased primarily due to operating leverage on an increase in unit sales, partially offset by higher operating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27" w:name="page28"/>
    <w:bookmarkEnd w:id="2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Motorhome</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an analysis of key changes in our Motorhome segment for the three months ended May 29, 2021 compared to the three months ended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May 30, 2020:</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1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4"/>
          </w:tcPr>
          <w:p>
            <w:pPr>
              <w:ind w:left="140"/>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gridSpan w:val="2"/>
          </w:tcPr>
          <w:p>
            <w:pPr>
              <w:jc w:val="center"/>
              <w:ind w:right="380"/>
              <w:spacing w:after="0" w:line="158" w:lineRule="exact"/>
              <w:rPr>
                <w:sz w:val="20"/>
                <w:szCs w:val="20"/>
                <w:color w:val="auto"/>
              </w:rPr>
            </w:pPr>
            <w:r>
              <w:rPr>
                <w:rFonts w:ascii="Arial" w:cs="Arial" w:eastAsia="Arial" w:hAnsi="Arial"/>
                <w:sz w:val="16"/>
                <w:szCs w:val="16"/>
                <w:b w:val="1"/>
                <w:bCs w:val="1"/>
                <w:color w:val="auto"/>
              </w:rPr>
              <w:t>May 29,</w:t>
            </w: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gridSpan w:val="2"/>
          </w:tcPr>
          <w:p>
            <w:pPr>
              <w:jc w:val="center"/>
              <w:ind w:right="360"/>
              <w:spacing w:after="0" w:line="158" w:lineRule="exact"/>
              <w:rPr>
                <w:sz w:val="20"/>
                <w:szCs w:val="20"/>
                <w:color w:val="auto"/>
              </w:rPr>
            </w:pPr>
            <w:r>
              <w:rPr>
                <w:rFonts w:ascii="Arial" w:cs="Arial" w:eastAsia="Arial" w:hAnsi="Arial"/>
                <w:sz w:val="16"/>
                <w:szCs w:val="16"/>
                <w:b w:val="1"/>
                <w:bCs w:val="1"/>
                <w:color w:val="auto"/>
              </w:rPr>
              <w:t>May 30,</w:t>
            </w: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180" w:type="dxa"/>
            <w:vAlign w:val="bottom"/>
          </w:tcPr>
          <w:p>
            <w:pPr>
              <w:ind w:left="20"/>
              <w:spacing w:after="0"/>
              <w:rPr>
                <w:sz w:val="20"/>
                <w:szCs w:val="20"/>
                <w:color w:val="auto"/>
              </w:rPr>
            </w:pPr>
            <w:r>
              <w:rPr>
                <w:rFonts w:ascii="Arial" w:cs="Arial" w:eastAsia="Arial" w:hAnsi="Arial"/>
                <w:sz w:val="14"/>
                <w:szCs w:val="14"/>
                <w:color w:val="auto"/>
              </w:rPr>
              <w:t>(in thousands, except ASP)</w:t>
            </w:r>
          </w:p>
        </w:tc>
        <w:tc>
          <w:tcPr>
            <w:tcW w:w="260" w:type="dxa"/>
            <w:vAlign w:val="bottom"/>
          </w:tcPr>
          <w:p>
            <w:pPr>
              <w:spacing w:after="0"/>
              <w:rPr>
                <w:sz w:val="18"/>
                <w:szCs w:val="18"/>
                <w:color w:val="auto"/>
              </w:rPr>
            </w:pPr>
          </w:p>
        </w:tc>
        <w:tc>
          <w:tcPr>
            <w:tcW w:w="1180" w:type="dxa"/>
            <w:vAlign w:val="bottom"/>
          </w:tcPr>
          <w:p>
            <w:pPr>
              <w:jc w:val="center"/>
              <w:ind w:right="17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 of Revenues</w:t>
            </w:r>
          </w:p>
        </w:tc>
        <w:tc>
          <w:tcPr>
            <w:tcW w:w="240" w:type="dxa"/>
            <w:vAlign w:val="bottom"/>
          </w:tcPr>
          <w:p>
            <w:pPr>
              <w:spacing w:after="0"/>
              <w:rPr>
                <w:sz w:val="18"/>
                <w:szCs w:val="18"/>
                <w:color w:val="auto"/>
              </w:rPr>
            </w:pPr>
          </w:p>
        </w:tc>
        <w:tc>
          <w:tcPr>
            <w:tcW w:w="1180" w:type="dxa"/>
            <w:vAlign w:val="bottom"/>
          </w:tcPr>
          <w:p>
            <w:pPr>
              <w:jc w:val="center"/>
              <w:ind w:right="13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 of Revenues</w:t>
            </w:r>
          </w:p>
        </w:tc>
        <w:tc>
          <w:tcPr>
            <w:tcW w:w="14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9"/>
              </w:rPr>
              <w:t>$ Change</w:t>
            </w:r>
          </w:p>
        </w:tc>
        <w:tc>
          <w:tcPr>
            <w:tcW w:w="1180" w:type="dxa"/>
            <w:vAlign w:val="bottom"/>
          </w:tcPr>
          <w:p>
            <w:pPr>
              <w:jc w:val="right"/>
              <w:ind w:right="11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0"/>
        </w:trPr>
        <w:tc>
          <w:tcPr>
            <w:tcW w:w="3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385,257</w:t>
            </w: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203,590</w:t>
            </w:r>
          </w:p>
        </w:tc>
        <w:tc>
          <w:tcPr>
            <w:tcW w:w="12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181,667</w:t>
            </w: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89.2 %</w:t>
            </w:r>
          </w:p>
        </w:tc>
        <w:tc>
          <w:tcPr>
            <w:tcW w:w="0" w:type="dxa"/>
            <w:vAlign w:val="bottom"/>
          </w:tcPr>
          <w:p>
            <w:pPr>
              <w:spacing w:after="0"/>
              <w:rPr>
                <w:sz w:val="1"/>
                <w:szCs w:val="1"/>
                <w:color w:val="auto"/>
              </w:rPr>
            </w:pPr>
          </w:p>
        </w:tc>
      </w:tr>
      <w:tr>
        <w:trPr>
          <w:trHeight w:val="213"/>
        </w:trPr>
        <w:tc>
          <w:tcPr>
            <w:tcW w:w="318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37,467</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9.7 %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(10,789)</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48,256</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447.3 %</w:t>
            </w:r>
          </w:p>
        </w:tc>
        <w:tc>
          <w:tcPr>
            <w:tcW w:w="0" w:type="dxa"/>
            <w:vAlign w:val="bottom"/>
          </w:tcPr>
          <w:p>
            <w:pPr>
              <w:spacing w:after="0"/>
              <w:rPr>
                <w:sz w:val="1"/>
                <w:szCs w:val="1"/>
                <w:color w:val="auto"/>
              </w:rPr>
            </w:pPr>
          </w:p>
        </w:tc>
      </w:tr>
      <w:tr>
        <w:trPr>
          <w:trHeight w:val="259"/>
        </w:trPr>
        <w:tc>
          <w:tcPr>
            <w:tcW w:w="31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73"/>
        </w:trPr>
        <w:tc>
          <w:tcPr>
            <w:tcW w:w="3180" w:type="dxa"/>
            <w:vAlign w:val="bottom"/>
          </w:tcPr>
          <w:p>
            <w:pPr>
              <w:ind w:left="20"/>
              <w:spacing w:after="0"/>
              <w:rPr>
                <w:sz w:val="20"/>
                <w:szCs w:val="20"/>
                <w:color w:val="auto"/>
              </w:rPr>
            </w:pPr>
            <w:r>
              <w:rPr>
                <w:rFonts w:ascii="Arial" w:cs="Arial" w:eastAsia="Arial" w:hAnsi="Arial"/>
                <w:sz w:val="32"/>
                <w:szCs w:val="32"/>
                <w:color w:val="auto"/>
                <w:vertAlign w:val="subscript"/>
              </w:rPr>
              <w:t>ASP</w:t>
            </w:r>
            <w:r>
              <w:rPr>
                <w:rFonts w:ascii="Arial" w:cs="Arial" w:eastAsia="Arial" w:hAnsi="Arial"/>
                <w:sz w:val="11"/>
                <w:szCs w:val="11"/>
                <w:color w:val="auto"/>
              </w:rPr>
              <w:t>(1)</w:t>
            </w:r>
          </w:p>
        </w:tc>
        <w:tc>
          <w:tcPr>
            <w:tcW w:w="2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138,810</w:t>
            </w: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131,609</w:t>
            </w: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7,201</w:t>
            </w:r>
          </w:p>
        </w:tc>
        <w:tc>
          <w:tcPr>
            <w:tcW w:w="1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5.5 %</w:t>
            </w:r>
          </w:p>
        </w:tc>
        <w:tc>
          <w:tcPr>
            <w:tcW w:w="0" w:type="dxa"/>
            <w:vAlign w:val="bottom"/>
          </w:tcPr>
          <w:p>
            <w:pPr>
              <w:spacing w:after="0"/>
              <w:rPr>
                <w:sz w:val="1"/>
                <w:szCs w:val="1"/>
                <w:color w:val="auto"/>
              </w:rPr>
            </w:pPr>
          </w:p>
        </w:tc>
      </w:tr>
      <w:tr>
        <w:trPr>
          <w:trHeight w:val="218"/>
        </w:trPr>
        <w:tc>
          <w:tcPr>
            <w:tcW w:w="31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4"/>
          </w:tcPr>
          <w:p>
            <w:pPr>
              <w:ind w:left="140"/>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1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Unit deliveries</w:t>
            </w:r>
          </w:p>
        </w:tc>
        <w:tc>
          <w:tcPr>
            <w:tcW w:w="260" w:type="dxa"/>
            <w:vAlign w:val="bottom"/>
          </w:tcPr>
          <w:p>
            <w:pPr>
              <w:spacing w:after="0"/>
              <w:rPr>
                <w:sz w:val="13"/>
                <w:szCs w:val="13"/>
                <w:color w:val="auto"/>
              </w:rPr>
            </w:pPr>
          </w:p>
        </w:tc>
        <w:tc>
          <w:tcPr>
            <w:tcW w:w="1280" w:type="dxa"/>
            <w:vAlign w:val="bottom"/>
            <w:gridSpan w:val="2"/>
          </w:tcPr>
          <w:p>
            <w:pPr>
              <w:jc w:val="center"/>
              <w:ind w:right="380"/>
              <w:spacing w:after="0" w:line="158" w:lineRule="exact"/>
              <w:rPr>
                <w:sz w:val="20"/>
                <w:szCs w:val="20"/>
                <w:color w:val="auto"/>
              </w:rPr>
            </w:pPr>
            <w:r>
              <w:rPr>
                <w:rFonts w:ascii="Arial" w:cs="Arial" w:eastAsia="Arial" w:hAnsi="Arial"/>
                <w:sz w:val="16"/>
                <w:szCs w:val="16"/>
                <w:b w:val="1"/>
                <w:bCs w:val="1"/>
                <w:color w:val="auto"/>
              </w:rPr>
              <w:t>May 29,</w:t>
            </w:r>
          </w:p>
        </w:tc>
        <w:tc>
          <w:tcPr>
            <w:tcW w:w="130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7"/>
              </w:rPr>
              <w:t>Product Mix</w:t>
            </w:r>
            <w:r>
              <w:rPr>
                <w:rFonts w:ascii="Arial" w:cs="Arial" w:eastAsia="Arial" w:hAnsi="Arial"/>
                <w:sz w:val="21"/>
                <w:szCs w:val="21"/>
                <w:b w:val="1"/>
                <w:bCs w:val="1"/>
                <w:color w:val="auto"/>
                <w:w w:val="97"/>
                <w:vertAlign w:val="superscript"/>
              </w:rPr>
              <w:t>(2)</w:t>
            </w:r>
          </w:p>
        </w:tc>
        <w:tc>
          <w:tcPr>
            <w:tcW w:w="240" w:type="dxa"/>
            <w:vAlign w:val="bottom"/>
          </w:tcPr>
          <w:p>
            <w:pPr>
              <w:spacing w:after="0"/>
              <w:rPr>
                <w:sz w:val="13"/>
                <w:szCs w:val="13"/>
                <w:color w:val="auto"/>
              </w:rPr>
            </w:pPr>
          </w:p>
        </w:tc>
        <w:tc>
          <w:tcPr>
            <w:tcW w:w="1300" w:type="dxa"/>
            <w:vAlign w:val="bottom"/>
            <w:gridSpan w:val="2"/>
          </w:tcPr>
          <w:p>
            <w:pPr>
              <w:jc w:val="center"/>
              <w:ind w:right="360"/>
              <w:spacing w:after="0" w:line="158" w:lineRule="exact"/>
              <w:rPr>
                <w:sz w:val="20"/>
                <w:szCs w:val="20"/>
                <w:color w:val="auto"/>
              </w:rPr>
            </w:pPr>
            <w:r>
              <w:rPr>
                <w:rFonts w:ascii="Arial" w:cs="Arial" w:eastAsia="Arial" w:hAnsi="Arial"/>
                <w:sz w:val="16"/>
                <w:szCs w:val="16"/>
                <w:b w:val="1"/>
                <w:bCs w:val="1"/>
                <w:color w:val="auto"/>
              </w:rPr>
              <w:t>May 30,</w:t>
            </w:r>
          </w:p>
        </w:tc>
        <w:tc>
          <w:tcPr>
            <w:tcW w:w="130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7"/>
              </w:rPr>
              <w:t>Product Mix</w:t>
            </w:r>
            <w:r>
              <w:rPr>
                <w:rFonts w:ascii="Arial" w:cs="Arial" w:eastAsia="Arial" w:hAnsi="Arial"/>
                <w:sz w:val="21"/>
                <w:szCs w:val="21"/>
                <w:b w:val="1"/>
                <w:bCs w:val="1"/>
                <w:color w:val="auto"/>
                <w:w w:val="97"/>
                <w:vertAlign w:val="superscript"/>
              </w:rPr>
              <w:t>(2)</w:t>
            </w:r>
          </w:p>
        </w:tc>
        <w:tc>
          <w:tcPr>
            <w:tcW w:w="1180" w:type="dxa"/>
            <w:vAlign w:val="bottom"/>
            <w:gridSpan w:val="3"/>
            <w:vMerge w:val="restart"/>
          </w:tcPr>
          <w:p>
            <w:pPr>
              <w:jc w:val="center"/>
              <w:ind w:right="100"/>
              <w:spacing w:after="0"/>
              <w:rPr>
                <w:sz w:val="20"/>
                <w:szCs w:val="20"/>
                <w:color w:val="auto"/>
              </w:rPr>
            </w:pPr>
            <w:r>
              <w:rPr>
                <w:rFonts w:ascii="Arial" w:cs="Arial" w:eastAsia="Arial" w:hAnsi="Arial"/>
                <w:sz w:val="16"/>
                <w:szCs w:val="16"/>
                <w:b w:val="1"/>
                <w:bCs w:val="1"/>
                <w:color w:val="auto"/>
              </w:rPr>
              <w:t>Unit Change</w:t>
            </w:r>
          </w:p>
        </w:tc>
        <w:tc>
          <w:tcPr>
            <w:tcW w:w="118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6"/>
        </w:trPr>
        <w:tc>
          <w:tcPr>
            <w:tcW w:w="318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center"/>
              <w:ind w:right="17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center"/>
              <w:ind w:right="13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1180" w:type="dxa"/>
            <w:vAlign w:val="bottom"/>
            <w:gridSpan w:val="3"/>
            <w:vMerge w:val="continue"/>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Class A</w:t>
            </w:r>
          </w:p>
        </w:tc>
        <w:tc>
          <w:tcPr>
            <w:tcW w:w="2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745</w:t>
            </w: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27.3 %</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428</w:t>
            </w:r>
          </w:p>
        </w:tc>
        <w:tc>
          <w:tcPr>
            <w:tcW w:w="12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27.4 %</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317</w:t>
            </w: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74.1 %</w:t>
            </w:r>
          </w:p>
        </w:tc>
        <w:tc>
          <w:tcPr>
            <w:tcW w:w="0" w:type="dxa"/>
            <w:vAlign w:val="bottom"/>
          </w:tcPr>
          <w:p>
            <w:pPr>
              <w:spacing w:after="0"/>
              <w:rPr>
                <w:sz w:val="1"/>
                <w:szCs w:val="1"/>
                <w:color w:val="auto"/>
              </w:rPr>
            </w:pPr>
          </w:p>
        </w:tc>
      </w:tr>
      <w:tr>
        <w:trPr>
          <w:trHeight w:val="213"/>
        </w:trPr>
        <w:tc>
          <w:tcPr>
            <w:tcW w:w="3180" w:type="dxa"/>
            <w:vAlign w:val="bottom"/>
          </w:tcPr>
          <w:p>
            <w:pPr>
              <w:ind w:left="20"/>
              <w:spacing w:after="0"/>
              <w:rPr>
                <w:sz w:val="20"/>
                <w:szCs w:val="20"/>
                <w:color w:val="auto"/>
              </w:rPr>
            </w:pPr>
            <w:r>
              <w:rPr>
                <w:rFonts w:ascii="Arial" w:cs="Arial" w:eastAsia="Arial" w:hAnsi="Arial"/>
                <w:sz w:val="16"/>
                <w:szCs w:val="16"/>
                <w:color w:val="auto"/>
              </w:rPr>
              <w:t>Class B</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1,384</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50.8 %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694</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44.4 %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690</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99.4 %</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Class C</w:t>
            </w: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598</w:t>
            </w:r>
          </w:p>
        </w:tc>
        <w:tc>
          <w:tcPr>
            <w:tcW w:w="10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21.9 %</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440</w:t>
            </w:r>
          </w:p>
        </w:tc>
        <w:tc>
          <w:tcPr>
            <w:tcW w:w="12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28.2 %</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w:t>
            </w:r>
          </w:p>
        </w:tc>
        <w:tc>
          <w:tcPr>
            <w:tcW w:w="10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35.9 %</w:t>
            </w:r>
          </w:p>
        </w:tc>
        <w:tc>
          <w:tcPr>
            <w:tcW w:w="0" w:type="dxa"/>
            <w:vAlign w:val="bottom"/>
          </w:tcPr>
          <w:p>
            <w:pPr>
              <w:spacing w:after="0"/>
              <w:rPr>
                <w:sz w:val="1"/>
                <w:szCs w:val="1"/>
                <w:color w:val="auto"/>
              </w:rPr>
            </w:pPr>
          </w:p>
        </w:tc>
      </w:tr>
      <w:tr>
        <w:trPr>
          <w:trHeight w:val="213"/>
        </w:trPr>
        <w:tc>
          <w:tcPr>
            <w:tcW w:w="3180" w:type="dxa"/>
            <w:vAlign w:val="bottom"/>
          </w:tcPr>
          <w:p>
            <w:pPr>
              <w:ind w:left="140"/>
              <w:spacing w:after="0"/>
              <w:rPr>
                <w:sz w:val="20"/>
                <w:szCs w:val="20"/>
                <w:color w:val="auto"/>
              </w:rPr>
            </w:pPr>
            <w:r>
              <w:rPr>
                <w:rFonts w:ascii="Arial" w:cs="Arial" w:eastAsia="Arial" w:hAnsi="Arial"/>
                <w:sz w:val="16"/>
                <w:szCs w:val="16"/>
                <w:color w:val="auto"/>
              </w:rPr>
              <w:t>Total motorhomes</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2,727</w:t>
            </w:r>
          </w:p>
        </w:tc>
        <w:tc>
          <w:tcPr>
            <w:tcW w:w="100" w:type="dxa"/>
            <w:vAlign w:val="bottom"/>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1,562</w:t>
            </w:r>
          </w:p>
        </w:tc>
        <w:tc>
          <w:tcPr>
            <w:tcW w:w="12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1,165</w:t>
            </w:r>
          </w:p>
        </w:tc>
        <w:tc>
          <w:tcPr>
            <w:tcW w:w="100" w:type="dxa"/>
            <w:vAlign w:val="bottom"/>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74.6 %</w:t>
            </w:r>
          </w:p>
        </w:tc>
        <w:tc>
          <w:tcPr>
            <w:tcW w:w="0" w:type="dxa"/>
            <w:vAlign w:val="bottom"/>
          </w:tcPr>
          <w:p>
            <w:pPr>
              <w:spacing w:after="0"/>
              <w:rPr>
                <w:sz w:val="1"/>
                <w:szCs w:val="1"/>
                <w:color w:val="auto"/>
              </w:rPr>
            </w:pPr>
          </w:p>
        </w:tc>
      </w:tr>
      <w:tr>
        <w:trPr>
          <w:trHeight w:val="21"/>
        </w:trPr>
        <w:tc>
          <w:tcPr>
            <w:tcW w:w="3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ind w:left="280" w:hanging="272"/>
        <w:spacing w:after="0"/>
        <w:tabs>
          <w:tab w:leader="none" w:pos="280" w:val="left"/>
        </w:tabs>
        <w:numPr>
          <w:ilvl w:val="0"/>
          <w:numId w:val="12"/>
        </w:numPr>
        <w:rPr>
          <w:rFonts w:ascii="Arial" w:cs="Arial" w:eastAsia="Arial" w:hAnsi="Arial"/>
          <w:sz w:val="21"/>
          <w:szCs w:val="21"/>
          <w:color w:val="auto"/>
          <w:vertAlign w:val="superscript"/>
        </w:rPr>
      </w:pPr>
      <w:r>
        <w:rPr>
          <w:rFonts w:ascii="Arial" w:cs="Arial" w:eastAsia="Arial" w:hAnsi="Arial"/>
          <w:sz w:val="14"/>
          <w:szCs w:val="14"/>
          <w:color w:val="auto"/>
        </w:rPr>
        <w:t>ASP excludes off-invoice dealer incentives.</w:t>
      </w:r>
    </w:p>
    <w:p>
      <w:pPr>
        <w:ind w:left="300" w:hanging="292"/>
        <w:spacing w:after="0" w:line="189" w:lineRule="auto"/>
        <w:tabs>
          <w:tab w:leader="none" w:pos="300" w:val="left"/>
        </w:tabs>
        <w:numPr>
          <w:ilvl w:val="0"/>
          <w:numId w:val="12"/>
        </w:numPr>
        <w:rPr>
          <w:rFonts w:ascii="Arial" w:cs="Arial" w:eastAsia="Arial" w:hAnsi="Arial"/>
          <w:sz w:val="19"/>
          <w:szCs w:val="19"/>
          <w:color w:val="auto"/>
          <w:vertAlign w:val="superscript"/>
        </w:rPr>
      </w:pPr>
      <w:r>
        <w:rPr>
          <w:rFonts w:ascii="Arial" w:cs="Arial" w:eastAsia="Arial" w:hAnsi="Arial"/>
          <w:sz w:val="13"/>
          <w:szCs w:val="13"/>
          <w:color w:val="auto"/>
        </w:rPr>
        <w:t>Percentages may not add due to rounding differences.</w:t>
      </w: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color w:val="auto"/>
        </w:rPr>
        <w:t>Net revenues increased primarily due to unit growth and increased pricing, including lower allowances, partially offset by unfavorable product mix.</w:t>
      </w:r>
    </w:p>
    <w:p>
      <w:pPr>
        <w:spacing w:after="0" w:line="235" w:lineRule="exact"/>
        <w:rPr>
          <w:sz w:val="20"/>
          <w:szCs w:val="20"/>
          <w:color w:val="auto"/>
        </w:rPr>
      </w:pPr>
    </w:p>
    <w:p>
      <w:pPr>
        <w:ind w:right="360"/>
        <w:spacing w:after="0" w:line="242" w:lineRule="auto"/>
        <w:rPr>
          <w:sz w:val="20"/>
          <w:szCs w:val="20"/>
          <w:color w:val="auto"/>
        </w:rPr>
      </w:pPr>
      <w:r>
        <w:rPr>
          <w:rFonts w:ascii="Arial" w:cs="Arial" w:eastAsia="Arial" w:hAnsi="Arial"/>
          <w:sz w:val="16"/>
          <w:szCs w:val="16"/>
          <w:color w:val="auto"/>
        </w:rPr>
        <w:t>Adjusted EBITDA increased primarily due to improved operating leverage on higher revenue and increased pricing, including lower allowances, partially offset by investments in the business and higher variable compensation expense throughout the segment.</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 w:right="359" w:bottom="1440" w:gutter="0" w:footer="0" w:header="0"/>
        </w:sectPr>
      </w:pPr>
    </w:p>
    <w:bookmarkStart w:id="28" w:name="page29"/>
    <w:bookmarkEnd w:id="2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of Operations - Nine Months Ended May 29, 2021 Compared to the Nine Months Ended May 30, 2020</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Consolidated Performance Summary</w:t>
      </w:r>
    </w:p>
    <w:p>
      <w:pPr>
        <w:spacing w:after="0" w:line="268" w:lineRule="exact"/>
        <w:rPr>
          <w:sz w:val="20"/>
          <w:szCs w:val="20"/>
          <w:color w:val="auto"/>
        </w:rPr>
      </w:pPr>
    </w:p>
    <w:p>
      <w:pPr>
        <w:ind w:right="320"/>
        <w:spacing w:after="0" w:line="260" w:lineRule="auto"/>
        <w:rPr>
          <w:sz w:val="20"/>
          <w:szCs w:val="20"/>
          <w:color w:val="auto"/>
        </w:rPr>
      </w:pPr>
      <w:r>
        <w:rPr>
          <w:rFonts w:ascii="Arial" w:cs="Arial" w:eastAsia="Arial" w:hAnsi="Arial"/>
          <w:sz w:val="16"/>
          <w:szCs w:val="16"/>
          <w:color w:val="auto"/>
        </w:rPr>
        <w:t>The following is an analysis of changes in key items included in the Consolidated Statements of Income (Loss) for the nine months ended May 29, 2021 compared to the nine months ended May 30, 2020:</w: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0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4"/>
          </w:tcPr>
          <w:p>
            <w:pPr>
              <w:ind w:left="240"/>
              <w:spacing w:after="0"/>
              <w:rPr>
                <w:sz w:val="20"/>
                <w:szCs w:val="20"/>
                <w:color w:val="auto"/>
              </w:rPr>
            </w:pPr>
            <w:r>
              <w:rPr>
                <w:rFonts w:ascii="Arial" w:cs="Arial" w:eastAsia="Arial" w:hAnsi="Arial"/>
                <w:sz w:val="16"/>
                <w:szCs w:val="16"/>
                <w:b w:val="1"/>
                <w:bCs w:val="1"/>
                <w:color w:val="auto"/>
              </w:rPr>
              <w:t>Nine Months Ended</w:t>
            </w: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r>
      <w:tr>
        <w:trPr>
          <w:trHeight w:val="212"/>
        </w:trPr>
        <w:tc>
          <w:tcPr>
            <w:tcW w:w="3080" w:type="dxa"/>
            <w:vAlign w:val="bottom"/>
          </w:tcPr>
          <w:p>
            <w:pPr>
              <w:ind w:left="20"/>
              <w:spacing w:after="0"/>
              <w:rPr>
                <w:sz w:val="20"/>
                <w:szCs w:val="20"/>
                <w:color w:val="auto"/>
              </w:rPr>
            </w:pPr>
            <w:r>
              <w:rPr>
                <w:rFonts w:ascii="Arial" w:cs="Arial" w:eastAsia="Arial" w:hAnsi="Arial"/>
                <w:sz w:val="14"/>
                <w:szCs w:val="14"/>
                <w:color w:val="auto"/>
              </w:rPr>
              <w:t>($ in thousands, except per share data)</w:t>
            </w:r>
          </w:p>
        </w:tc>
        <w:tc>
          <w:tcPr>
            <w:tcW w:w="140" w:type="dxa"/>
            <w:vAlign w:val="bottom"/>
          </w:tcPr>
          <w:p>
            <w:pPr>
              <w:spacing w:after="0"/>
              <w:rPr>
                <w:sz w:val="18"/>
                <w:szCs w:val="18"/>
                <w:color w:val="auto"/>
              </w:rPr>
            </w:pPr>
          </w:p>
        </w:tc>
        <w:tc>
          <w:tcPr>
            <w:tcW w:w="1320" w:type="dxa"/>
            <w:vAlign w:val="bottom"/>
            <w:gridSpan w:val="2"/>
          </w:tcPr>
          <w:p>
            <w:pPr>
              <w:ind w:left="40"/>
              <w:spacing w:after="0"/>
              <w:rPr>
                <w:sz w:val="20"/>
                <w:szCs w:val="20"/>
                <w:color w:val="auto"/>
              </w:rPr>
            </w:pPr>
            <w:r>
              <w:rPr>
                <w:rFonts w:ascii="Arial" w:cs="Arial" w:eastAsia="Arial" w:hAnsi="Arial"/>
                <w:sz w:val="16"/>
                <w:szCs w:val="16"/>
                <w:b w:val="1"/>
                <w:bCs w:val="1"/>
                <w:color w:val="auto"/>
              </w:rPr>
              <w:t>May 29, 2021</w:t>
            </w:r>
          </w:p>
        </w:tc>
        <w:tc>
          <w:tcPr>
            <w:tcW w:w="1420" w:type="dxa"/>
            <w:vAlign w:val="bottom"/>
            <w:gridSpan w:val="2"/>
          </w:tcPr>
          <w:p>
            <w:pPr>
              <w:ind w:left="20"/>
              <w:spacing w:after="0" w:line="213" w:lineRule="exact"/>
              <w:rPr>
                <w:sz w:val="20"/>
                <w:szCs w:val="20"/>
                <w:color w:val="auto"/>
              </w:rPr>
            </w:pPr>
            <w:r>
              <w:rPr>
                <w:rFonts w:ascii="Arial" w:cs="Arial" w:eastAsia="Arial" w:hAnsi="Arial"/>
                <w:sz w:val="16"/>
                <w:szCs w:val="16"/>
                <w:b w:val="1"/>
                <w:bCs w:val="1"/>
                <w:color w:val="auto"/>
              </w:rPr>
              <w:t>% of Revenues</w:t>
            </w:r>
            <w:r>
              <w:rPr>
                <w:rFonts w:ascii="Arial" w:cs="Arial" w:eastAsia="Arial" w:hAnsi="Arial"/>
                <w:sz w:val="21"/>
                <w:szCs w:val="21"/>
                <w:b w:val="1"/>
                <w:bCs w:val="1"/>
                <w:color w:val="auto"/>
                <w:vertAlign w:val="superscript"/>
              </w:rPr>
              <w:t>(1)</w:t>
            </w:r>
          </w:p>
        </w:tc>
        <w:tc>
          <w:tcPr>
            <w:tcW w:w="160" w:type="dxa"/>
            <w:vAlign w:val="bottom"/>
          </w:tcPr>
          <w:p>
            <w:pPr>
              <w:spacing w:after="0"/>
              <w:rPr>
                <w:sz w:val="18"/>
                <w:szCs w:val="18"/>
                <w:color w:val="auto"/>
              </w:rPr>
            </w:pPr>
          </w:p>
        </w:tc>
        <w:tc>
          <w:tcPr>
            <w:tcW w:w="1320" w:type="dxa"/>
            <w:vAlign w:val="bottom"/>
            <w:gridSpan w:val="2"/>
          </w:tcPr>
          <w:p>
            <w:pPr>
              <w:ind w:left="40"/>
              <w:spacing w:after="0"/>
              <w:rPr>
                <w:sz w:val="20"/>
                <w:szCs w:val="20"/>
                <w:color w:val="auto"/>
              </w:rPr>
            </w:pPr>
            <w:r>
              <w:rPr>
                <w:rFonts w:ascii="Arial" w:cs="Arial" w:eastAsia="Arial" w:hAnsi="Arial"/>
                <w:sz w:val="16"/>
                <w:szCs w:val="16"/>
                <w:b w:val="1"/>
                <w:bCs w:val="1"/>
                <w:color w:val="auto"/>
              </w:rPr>
              <w:t>May 30, 2020</w:t>
            </w:r>
          </w:p>
        </w:tc>
        <w:tc>
          <w:tcPr>
            <w:tcW w:w="1420" w:type="dxa"/>
            <w:vAlign w:val="bottom"/>
            <w:gridSpan w:val="2"/>
          </w:tcPr>
          <w:p>
            <w:pPr>
              <w:ind w:left="20"/>
              <w:spacing w:after="0" w:line="213" w:lineRule="exact"/>
              <w:rPr>
                <w:sz w:val="20"/>
                <w:szCs w:val="20"/>
                <w:color w:val="auto"/>
              </w:rPr>
            </w:pPr>
            <w:r>
              <w:rPr>
                <w:rFonts w:ascii="Arial" w:cs="Arial" w:eastAsia="Arial" w:hAnsi="Arial"/>
                <w:sz w:val="16"/>
                <w:szCs w:val="16"/>
                <w:b w:val="1"/>
                <w:bCs w:val="1"/>
                <w:color w:val="auto"/>
              </w:rPr>
              <w:t>% of Revenues</w:t>
            </w:r>
            <w:r>
              <w:rPr>
                <w:rFonts w:ascii="Arial" w:cs="Arial" w:eastAsia="Arial" w:hAnsi="Arial"/>
                <w:sz w:val="21"/>
                <w:szCs w:val="21"/>
                <w:b w:val="1"/>
                <w:bCs w:val="1"/>
                <w:color w:val="auto"/>
                <w:vertAlign w:val="superscript"/>
              </w:rPr>
              <w:t>(1)</w:t>
            </w:r>
          </w:p>
        </w:tc>
        <w:tc>
          <w:tcPr>
            <w:tcW w:w="2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gridSpan w:val="2"/>
          </w:tcPr>
          <w:p>
            <w:pPr>
              <w:ind w:left="20"/>
              <w:spacing w:after="0"/>
              <w:rPr>
                <w:sz w:val="20"/>
                <w:szCs w:val="20"/>
                <w:color w:val="auto"/>
              </w:rPr>
            </w:pPr>
            <w:r>
              <w:rPr>
                <w:rFonts w:ascii="Arial" w:cs="Arial" w:eastAsia="Arial" w:hAnsi="Arial"/>
                <w:sz w:val="16"/>
                <w:szCs w:val="16"/>
                <w:b w:val="1"/>
                <w:bCs w:val="1"/>
                <w:color w:val="auto"/>
              </w:rPr>
              <w:t>Change</w:t>
            </w:r>
          </w:p>
        </w:tc>
        <w:tc>
          <w:tcPr>
            <w:tcW w:w="1180" w:type="dxa"/>
            <w:vAlign w:val="bottom"/>
          </w:tcPr>
          <w:p>
            <w:pPr>
              <w:jc w:val="right"/>
              <w:ind w:right="119"/>
              <w:spacing w:after="0"/>
              <w:rPr>
                <w:sz w:val="20"/>
                <w:szCs w:val="20"/>
                <w:color w:val="auto"/>
              </w:rPr>
            </w:pPr>
            <w:r>
              <w:rPr>
                <w:rFonts w:ascii="Arial" w:cs="Arial" w:eastAsia="Arial" w:hAnsi="Arial"/>
                <w:sz w:val="16"/>
                <w:szCs w:val="16"/>
                <w:b w:val="1"/>
                <w:bCs w:val="1"/>
                <w:color w:val="auto"/>
              </w:rPr>
              <w:t>% Change</w:t>
            </w:r>
          </w:p>
        </w:tc>
      </w:tr>
      <w:tr>
        <w:trPr>
          <w:trHeight w:val="210"/>
        </w:trPr>
        <w:tc>
          <w:tcPr>
            <w:tcW w:w="30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2,593,754</w:t>
            </w:r>
          </w:p>
        </w:tc>
        <w:tc>
          <w:tcPr>
            <w:tcW w:w="10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1,617,726</w:t>
            </w:r>
          </w:p>
        </w:tc>
        <w:tc>
          <w:tcPr>
            <w:tcW w:w="10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976,028</w:t>
            </w: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60.3 %</w:t>
            </w:r>
          </w:p>
        </w:tc>
      </w:tr>
      <w:tr>
        <w:trPr>
          <w:trHeight w:val="213"/>
        </w:trPr>
        <w:tc>
          <w:tcPr>
            <w:tcW w:w="30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goods sold</w:t>
            </w: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2,130,556</w:t>
            </w:r>
          </w:p>
        </w:tc>
        <w:tc>
          <w:tcPr>
            <w:tcW w:w="10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82.1 %</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1,427,307</w:t>
            </w:r>
          </w:p>
        </w:tc>
        <w:tc>
          <w:tcPr>
            <w:tcW w:w="10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88.2 %</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703,249</w:t>
            </w:r>
          </w:p>
        </w:tc>
        <w:tc>
          <w:tcPr>
            <w:tcW w:w="10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49.3 %</w:t>
            </w:r>
          </w:p>
        </w:tc>
      </w:tr>
      <w:tr>
        <w:trPr>
          <w:trHeight w:val="212"/>
        </w:trPr>
        <w:tc>
          <w:tcPr>
            <w:tcW w:w="3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1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463,198</w:t>
            </w:r>
          </w:p>
        </w:tc>
        <w:tc>
          <w:tcPr>
            <w:tcW w:w="100" w:type="dxa"/>
            <w:vAlign w:val="bottom"/>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17.9 %</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190,419</w:t>
            </w:r>
          </w:p>
        </w:tc>
        <w:tc>
          <w:tcPr>
            <w:tcW w:w="100" w:type="dxa"/>
            <w:vAlign w:val="bottom"/>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11.8 %</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272,779</w:t>
            </w:r>
          </w:p>
        </w:tc>
        <w:tc>
          <w:tcPr>
            <w:tcW w:w="10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143.3 %</w:t>
            </w:r>
          </w:p>
        </w:tc>
      </w:tr>
      <w:tr>
        <w:trPr>
          <w:trHeight w:val="157"/>
        </w:trPr>
        <w:tc>
          <w:tcPr>
            <w:tcW w:w="3080" w:type="dxa"/>
            <w:vAlign w:val="bottom"/>
          </w:tcPr>
          <w:p>
            <w:pPr>
              <w:ind w:left="20"/>
              <w:spacing w:after="0" w:line="158" w:lineRule="exact"/>
              <w:rPr>
                <w:sz w:val="20"/>
                <w:szCs w:val="20"/>
                <w:color w:val="auto"/>
              </w:rPr>
            </w:pPr>
            <w:r>
              <w:rPr>
                <w:rFonts w:ascii="Arial" w:cs="Arial" w:eastAsia="Arial" w:hAnsi="Arial"/>
                <w:sz w:val="16"/>
                <w:szCs w:val="16"/>
                <w:color w:val="auto"/>
              </w:rPr>
              <w:t>Selling, general, and administrative</w:t>
            </w: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98"/>
        </w:trPr>
        <w:tc>
          <w:tcPr>
            <w:tcW w:w="3080" w:type="dxa"/>
            <w:vAlign w:val="bottom"/>
          </w:tcPr>
          <w:p>
            <w:pPr>
              <w:ind w:left="20"/>
              <w:spacing w:after="0"/>
              <w:rPr>
                <w:sz w:val="20"/>
                <w:szCs w:val="20"/>
                <w:color w:val="auto"/>
              </w:rPr>
            </w:pPr>
            <w:r>
              <w:rPr>
                <w:rFonts w:ascii="Arial" w:cs="Arial" w:eastAsia="Arial" w:hAnsi="Arial"/>
                <w:sz w:val="16"/>
                <w:szCs w:val="16"/>
                <w:color w:val="auto"/>
              </w:rPr>
              <w:t>expenses</w:t>
            </w: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165,001</w:t>
            </w:r>
          </w:p>
        </w:tc>
        <w:tc>
          <w:tcPr>
            <w:tcW w:w="1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6.4 %</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126,540</w:t>
            </w:r>
          </w:p>
        </w:tc>
        <w:tc>
          <w:tcPr>
            <w:tcW w:w="1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7.8 %</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38,461</w:t>
            </w:r>
          </w:p>
        </w:tc>
        <w:tc>
          <w:tcPr>
            <w:tcW w:w="1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30.4 %</w:t>
            </w:r>
          </w:p>
        </w:tc>
      </w:tr>
      <w:tr>
        <w:trPr>
          <w:trHeight w:val="216"/>
        </w:trPr>
        <w:tc>
          <w:tcPr>
            <w:tcW w:w="3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intangible assets</w:t>
            </w:r>
          </w:p>
        </w:tc>
        <w:tc>
          <w:tcPr>
            <w:tcW w:w="1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10,771</w:t>
            </w:r>
          </w:p>
        </w:tc>
        <w:tc>
          <w:tcPr>
            <w:tcW w:w="100" w:type="dxa"/>
            <w:vAlign w:val="bottom"/>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0.4 %</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18,514</w:t>
            </w:r>
          </w:p>
        </w:tc>
        <w:tc>
          <w:tcPr>
            <w:tcW w:w="100" w:type="dxa"/>
            <w:vAlign w:val="bottom"/>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1.1 %</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(7,743)</w:t>
            </w:r>
          </w:p>
        </w:tc>
        <w:tc>
          <w:tcPr>
            <w:tcW w:w="10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(41.8)%</w:t>
            </w:r>
          </w:p>
        </w:tc>
      </w:tr>
      <w:tr>
        <w:trPr>
          <w:trHeight w:val="210"/>
        </w:trPr>
        <w:tc>
          <w:tcPr>
            <w:tcW w:w="30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operating expenses</w:t>
            </w: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175,772</w:t>
            </w:r>
          </w:p>
        </w:tc>
        <w:tc>
          <w:tcPr>
            <w:tcW w:w="10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6.8 %</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145,054</w:t>
            </w:r>
          </w:p>
        </w:tc>
        <w:tc>
          <w:tcPr>
            <w:tcW w:w="10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9.0 %</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30,718</w:t>
            </w:r>
          </w:p>
        </w:tc>
        <w:tc>
          <w:tcPr>
            <w:tcW w:w="10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21.2 %</w:t>
            </w:r>
          </w:p>
        </w:tc>
      </w:tr>
      <w:tr>
        <w:trPr>
          <w:trHeight w:val="212"/>
        </w:trPr>
        <w:tc>
          <w:tcPr>
            <w:tcW w:w="3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287,426</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45,365</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2.8 %</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242,061</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533.6 %</w:t>
            </w:r>
          </w:p>
        </w:tc>
      </w:tr>
      <w:tr>
        <w:trPr>
          <w:trHeight w:val="213"/>
        </w:trPr>
        <w:tc>
          <w:tcPr>
            <w:tcW w:w="308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30,222</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1.2 %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23,140</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1.4 %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7,082</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30.6 %</w:t>
            </w:r>
          </w:p>
        </w:tc>
      </w:tr>
      <w:tr>
        <w:trPr>
          <w:trHeight w:val="216"/>
        </w:trPr>
        <w:tc>
          <w:tcPr>
            <w:tcW w:w="3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Non-operating income</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 %</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(460)</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 %</w:t>
            </w: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w:t>
            </w:r>
          </w:p>
        </w:tc>
      </w:tr>
      <w:tr>
        <w:trPr>
          <w:trHeight w:val="209"/>
        </w:trPr>
        <w:tc>
          <w:tcPr>
            <w:tcW w:w="3080" w:type="dxa"/>
            <w:vAlign w:val="bottom"/>
          </w:tcPr>
          <w:p>
            <w:pPr>
              <w:ind w:left="20"/>
              <w:spacing w:after="0"/>
              <w:rPr>
                <w:sz w:val="20"/>
                <w:szCs w:val="20"/>
                <w:color w:val="auto"/>
              </w:rPr>
            </w:pPr>
            <w:r>
              <w:rPr>
                <w:rFonts w:ascii="Arial" w:cs="Arial" w:eastAsia="Arial" w:hAnsi="Arial"/>
                <w:sz w:val="16"/>
                <w:szCs w:val="16"/>
                <w:color w:val="auto"/>
              </w:rPr>
              <w:t>Income before income taxes</w:t>
            </w: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257,514</w:t>
            </w:r>
          </w:p>
        </w:tc>
        <w:tc>
          <w:tcPr>
            <w:tcW w:w="100" w:type="dxa"/>
            <w:vAlign w:val="bottom"/>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9.9 %</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22,685</w:t>
            </w:r>
          </w:p>
        </w:tc>
        <w:tc>
          <w:tcPr>
            <w:tcW w:w="100" w:type="dxa"/>
            <w:vAlign w:val="bottom"/>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1.4 %</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234,829</w:t>
            </w:r>
          </w:p>
        </w:tc>
        <w:tc>
          <w:tcPr>
            <w:tcW w:w="100" w:type="dxa"/>
            <w:vAlign w:val="bottom"/>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1,035.2 %</w:t>
            </w:r>
          </w:p>
        </w:tc>
      </w:tr>
      <w:tr>
        <w:trPr>
          <w:trHeight w:val="216"/>
        </w:trPr>
        <w:tc>
          <w:tcPr>
            <w:tcW w:w="3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1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59,728</w:t>
            </w:r>
          </w:p>
        </w:tc>
        <w:tc>
          <w:tcPr>
            <w:tcW w:w="100" w:type="dxa"/>
            <w:vAlign w:val="bottom"/>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2.3 %</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3,702</w:t>
            </w:r>
          </w:p>
        </w:tc>
        <w:tc>
          <w:tcPr>
            <w:tcW w:w="100" w:type="dxa"/>
            <w:vAlign w:val="bottom"/>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0.2 %</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56,026</w:t>
            </w:r>
          </w:p>
        </w:tc>
        <w:tc>
          <w:tcPr>
            <w:tcW w:w="10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1,513.4 %</w:t>
            </w:r>
          </w:p>
        </w:tc>
      </w:tr>
      <w:tr>
        <w:trPr>
          <w:trHeight w:val="212"/>
        </w:trPr>
        <w:tc>
          <w:tcPr>
            <w:tcW w:w="308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197,786</w:t>
            </w:r>
          </w:p>
        </w:tc>
        <w:tc>
          <w:tcPr>
            <w:tcW w:w="10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7.6 %</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18,983</w:t>
            </w:r>
          </w:p>
        </w:tc>
        <w:tc>
          <w:tcPr>
            <w:tcW w:w="10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1.2 %</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178,803</w:t>
            </w:r>
          </w:p>
        </w:tc>
        <w:tc>
          <w:tcPr>
            <w:tcW w:w="100" w:type="dxa"/>
            <w:vAlign w:val="bottom"/>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941.9 %</w:t>
            </w:r>
          </w:p>
        </w:tc>
      </w:tr>
      <w:tr>
        <w:trPr>
          <w:trHeight w:val="20"/>
        </w:trPr>
        <w:tc>
          <w:tcPr>
            <w:tcW w:w="30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23"/>
        </w:trPr>
        <w:tc>
          <w:tcPr>
            <w:tcW w:w="3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13"/>
        </w:trPr>
        <w:tc>
          <w:tcPr>
            <w:tcW w:w="3080" w:type="dxa"/>
            <w:vAlign w:val="bottom"/>
          </w:tcPr>
          <w:p>
            <w:pPr>
              <w:ind w:left="20"/>
              <w:spacing w:after="0"/>
              <w:rPr>
                <w:sz w:val="20"/>
                <w:szCs w:val="20"/>
                <w:color w:val="auto"/>
              </w:rPr>
            </w:pPr>
            <w:r>
              <w:rPr>
                <w:rFonts w:ascii="Arial" w:cs="Arial" w:eastAsia="Arial" w:hAnsi="Arial"/>
                <w:sz w:val="16"/>
                <w:szCs w:val="16"/>
                <w:color w:val="auto"/>
              </w:rPr>
              <w:t>Diluted earnings per share</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5.83</w:t>
            </w: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0.57</w:t>
            </w: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5.26</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922.8 %</w:t>
            </w:r>
          </w:p>
        </w:tc>
      </w:tr>
      <w:tr>
        <w:trPr>
          <w:trHeight w:val="219"/>
        </w:trPr>
        <w:tc>
          <w:tcPr>
            <w:tcW w:w="3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Diluted average shares outstanding</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33,943</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33,289</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654</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2.0 %</w:t>
            </w:r>
          </w:p>
        </w:tc>
      </w:tr>
    </w:tbl>
    <w:p>
      <w:pPr>
        <w:spacing w:after="0" w:line="44" w:lineRule="exact"/>
        <w:rPr>
          <w:sz w:val="20"/>
          <w:szCs w:val="20"/>
          <w:color w:val="auto"/>
        </w:rPr>
      </w:pPr>
    </w:p>
    <w:p>
      <w:pPr>
        <w:ind w:left="180" w:hanging="172"/>
        <w:spacing w:after="0"/>
        <w:tabs>
          <w:tab w:leader="none" w:pos="180" w:val="left"/>
        </w:tabs>
        <w:numPr>
          <w:ilvl w:val="0"/>
          <w:numId w:val="13"/>
        </w:numPr>
        <w:rPr>
          <w:rFonts w:ascii="Arial" w:cs="Arial" w:eastAsia="Arial" w:hAnsi="Arial"/>
          <w:sz w:val="21"/>
          <w:szCs w:val="21"/>
          <w:b w:val="1"/>
          <w:bCs w:val="1"/>
          <w:color w:val="auto"/>
          <w:vertAlign w:val="superscript"/>
        </w:rPr>
      </w:pPr>
      <w:r>
        <w:rPr>
          <w:rFonts w:ascii="Arial" w:cs="Arial" w:eastAsia="Arial" w:hAnsi="Arial"/>
          <w:sz w:val="14"/>
          <w:szCs w:val="14"/>
          <w:color w:val="auto"/>
        </w:rPr>
        <w:t>Percentages may not add due to rounding differences.</w:t>
      </w:r>
    </w:p>
    <w:p>
      <w:pPr>
        <w:spacing w:after="0" w:line="216" w:lineRule="exact"/>
        <w:rPr>
          <w:sz w:val="20"/>
          <w:szCs w:val="20"/>
          <w:color w:val="auto"/>
        </w:rPr>
      </w:pPr>
    </w:p>
    <w:p>
      <w:pPr>
        <w:ind w:right="40"/>
        <w:spacing w:after="0" w:line="242" w:lineRule="auto"/>
        <w:rPr>
          <w:sz w:val="20"/>
          <w:szCs w:val="20"/>
          <w:color w:val="auto"/>
        </w:rPr>
      </w:pPr>
      <w:r>
        <w:rPr>
          <w:rFonts w:ascii="Arial" w:cs="Arial" w:eastAsia="Arial" w:hAnsi="Arial"/>
          <w:sz w:val="16"/>
          <w:szCs w:val="16"/>
          <w:color w:val="auto"/>
        </w:rPr>
        <w:t>Fiscal 2020 results were negatively impacted by the unprecedented series of events related to the COVID-19 pandemic which included the suspension of the Company's manufacturing operations as well as disruptions across its dealer network, supply chain and end consumers during most of the third quarter.</w:t>
      </w:r>
    </w:p>
    <w:p>
      <w:pPr>
        <w:spacing w:after="0" w:line="223" w:lineRule="exact"/>
        <w:rPr>
          <w:sz w:val="20"/>
          <w:szCs w:val="20"/>
          <w:color w:val="auto"/>
        </w:rPr>
      </w:pPr>
    </w:p>
    <w:p>
      <w:pPr>
        <w:ind w:right="340"/>
        <w:spacing w:after="0" w:line="242" w:lineRule="auto"/>
        <w:rPr>
          <w:sz w:val="20"/>
          <w:szCs w:val="20"/>
          <w:color w:val="auto"/>
        </w:rPr>
      </w:pPr>
      <w:r>
        <w:rPr>
          <w:rFonts w:ascii="Arial" w:cs="Arial" w:eastAsia="Arial" w:hAnsi="Arial"/>
          <w:sz w:val="16"/>
          <w:szCs w:val="16"/>
          <w:color w:val="auto"/>
        </w:rPr>
        <w:t>Net revenues increased primarily due to organic unit growth, the annualized impact from our Newmar acquisition, which took place in the first quarter of Fiscal 2020, and pricing actions, including lower allowances.</w:t>
      </w:r>
    </w:p>
    <w:p>
      <w:pPr>
        <w:spacing w:after="0" w:line="236" w:lineRule="exact"/>
        <w:rPr>
          <w:sz w:val="20"/>
          <w:szCs w:val="20"/>
          <w:color w:val="auto"/>
        </w:rPr>
      </w:pPr>
    </w:p>
    <w:p>
      <w:pPr>
        <w:ind w:right="580"/>
        <w:spacing w:after="0" w:line="260" w:lineRule="auto"/>
        <w:rPr>
          <w:sz w:val="20"/>
          <w:szCs w:val="20"/>
          <w:color w:val="auto"/>
        </w:rPr>
      </w:pPr>
      <w:r>
        <w:rPr>
          <w:rFonts w:ascii="Arial" w:cs="Arial" w:eastAsia="Arial" w:hAnsi="Arial"/>
          <w:sz w:val="16"/>
          <w:szCs w:val="16"/>
          <w:color w:val="auto"/>
        </w:rPr>
        <w:t>Gross profit as a percentage of revenue increased primarily due to improved leverage as a result of higher revenues, pricing actions, including lower allowances, and productivity initiatives.</w:t>
      </w:r>
    </w:p>
    <w:p>
      <w:pPr>
        <w:spacing w:after="0" w:line="222" w:lineRule="exact"/>
        <w:rPr>
          <w:sz w:val="20"/>
          <w:szCs w:val="20"/>
          <w:color w:val="auto"/>
        </w:rPr>
      </w:pPr>
    </w:p>
    <w:p>
      <w:pPr>
        <w:ind w:right="380"/>
        <w:spacing w:after="0" w:line="260" w:lineRule="auto"/>
        <w:rPr>
          <w:sz w:val="20"/>
          <w:szCs w:val="20"/>
          <w:color w:val="auto"/>
        </w:rPr>
      </w:pPr>
      <w:r>
        <w:rPr>
          <w:rFonts w:ascii="Arial" w:cs="Arial" w:eastAsia="Arial" w:hAnsi="Arial"/>
          <w:sz w:val="16"/>
          <w:szCs w:val="16"/>
          <w:color w:val="auto"/>
        </w:rPr>
        <w:t>Operating expenses increased primarily driven by an increase in enterprise-wide variable compensation, higher selling costs and a full year of Newmar operating costs, partially offset by prior year acquisition-related costs, a gain on sale of certain assets and lower Newmar amortization expense.</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Interest expense increased primarily due to a higher interest rate on the refinancing of our Term Loan in the fourth quarter of Fiscal 2020.</w:t>
      </w:r>
    </w:p>
    <w:p>
      <w:pPr>
        <w:spacing w:after="0" w:line="248" w:lineRule="exact"/>
        <w:rPr>
          <w:sz w:val="20"/>
          <w:szCs w:val="20"/>
          <w:color w:val="auto"/>
        </w:rPr>
      </w:pPr>
    </w:p>
    <w:p>
      <w:pPr>
        <w:ind w:right="220"/>
        <w:spacing w:after="0" w:line="260" w:lineRule="auto"/>
        <w:rPr>
          <w:sz w:val="20"/>
          <w:szCs w:val="20"/>
          <w:color w:val="auto"/>
        </w:rPr>
      </w:pPr>
      <w:r>
        <w:rPr>
          <w:rFonts w:ascii="Arial" w:cs="Arial" w:eastAsia="Arial" w:hAnsi="Arial"/>
          <w:sz w:val="16"/>
          <w:szCs w:val="16"/>
          <w:color w:val="auto"/>
        </w:rPr>
        <w:t>Our effective tax rate increased to 23.2% for the nine months ended May 29, 2021 compared to 16.3% for the nine months ended May 30, 2020 primarily due to consistent year-over-year tax credits on higher current year pretax income.</w:t>
      </w:r>
    </w:p>
    <w:p>
      <w:pPr>
        <w:spacing w:after="0" w:line="209" w:lineRule="exact"/>
        <w:rPr>
          <w:sz w:val="20"/>
          <w:szCs w:val="20"/>
          <w:color w:val="auto"/>
        </w:rPr>
      </w:pPr>
    </w:p>
    <w:p>
      <w:pPr>
        <w:ind w:right="20"/>
        <w:spacing w:after="0" w:line="242" w:lineRule="auto"/>
        <w:rPr>
          <w:sz w:val="20"/>
          <w:szCs w:val="20"/>
          <w:color w:val="auto"/>
        </w:rPr>
      </w:pPr>
      <w:r>
        <w:rPr>
          <w:rFonts w:ascii="Arial" w:cs="Arial" w:eastAsia="Arial" w:hAnsi="Arial"/>
          <w:sz w:val="16"/>
          <w:szCs w:val="16"/>
          <w:color w:val="auto"/>
        </w:rPr>
        <w:t>Net income and diluted earnings per share increased primarily due to leverage gained on higher revenues, partially offset by higher operating expenses and a higher effective tax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 w:right="399" w:bottom="1440" w:gutter="0" w:footer="0" w:header="0"/>
        </w:sectPr>
      </w:pPr>
    </w:p>
    <w:bookmarkStart w:id="29" w:name="page30"/>
    <w:bookmarkEnd w:id="2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Non-GAAP Reconciliation</w:t>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reconciles net income to consolidated EBITDA and Adjusted EBITDA for the nine months ended May 29, 2021 and May 30, 2020:</w:t>
      </w: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5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420" w:type="dxa"/>
            <w:vAlign w:val="bottom"/>
            <w:tcBorders>
              <w:bottom w:val="single" w:sz="8" w:color="auto"/>
            </w:tcBorders>
            <w:gridSpan w:val="4"/>
          </w:tcPr>
          <w:p>
            <w:pPr>
              <w:jc w:val="right"/>
              <w:ind w:right="999"/>
              <w:spacing w:after="0"/>
              <w:rPr>
                <w:sz w:val="20"/>
                <w:szCs w:val="20"/>
                <w:color w:val="auto"/>
              </w:rPr>
            </w:pPr>
            <w:r>
              <w:rPr>
                <w:rFonts w:ascii="Arial" w:cs="Arial" w:eastAsia="Arial" w:hAnsi="Arial"/>
                <w:sz w:val="16"/>
                <w:szCs w:val="16"/>
                <w:b w:val="1"/>
                <w:bCs w:val="1"/>
                <w:color w:val="auto"/>
              </w:rPr>
              <w:t>Nine Months Ended</w:t>
            </w:r>
          </w:p>
        </w:tc>
      </w:tr>
      <w:tr>
        <w:trPr>
          <w:trHeight w:val="212"/>
        </w:trPr>
        <w:tc>
          <w:tcPr>
            <w:tcW w:w="756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Pr>
          <w:p>
            <w:pPr>
              <w:spacing w:after="0"/>
              <w:rPr>
                <w:sz w:val="18"/>
                <w:szCs w:val="18"/>
                <w:color w:val="auto"/>
              </w:rPr>
            </w:pPr>
          </w:p>
        </w:tc>
        <w:tc>
          <w:tcPr>
            <w:tcW w:w="1640" w:type="dxa"/>
            <w:vAlign w:val="bottom"/>
            <w:gridSpan w:val="2"/>
          </w:tcPr>
          <w:p>
            <w:pPr>
              <w:ind w:left="140"/>
              <w:spacing w:after="0"/>
              <w:rPr>
                <w:sz w:val="20"/>
                <w:szCs w:val="20"/>
                <w:color w:val="auto"/>
              </w:rPr>
            </w:pPr>
            <w:r>
              <w:rPr>
                <w:rFonts w:ascii="Arial" w:cs="Arial" w:eastAsia="Arial" w:hAnsi="Arial"/>
                <w:sz w:val="16"/>
                <w:szCs w:val="16"/>
                <w:b w:val="1"/>
                <w:bCs w:val="1"/>
                <w:color w:val="auto"/>
              </w:rPr>
              <w:t>May 29, 2021</w:t>
            </w:r>
          </w:p>
        </w:tc>
        <w:tc>
          <w:tcPr>
            <w:tcW w:w="240" w:type="dxa"/>
            <w:vAlign w:val="bottom"/>
          </w:tcPr>
          <w:p>
            <w:pPr>
              <w:spacing w:after="0"/>
              <w:rPr>
                <w:sz w:val="18"/>
                <w:szCs w:val="18"/>
                <w:color w:val="auto"/>
              </w:rPr>
            </w:pPr>
          </w:p>
        </w:tc>
        <w:tc>
          <w:tcPr>
            <w:tcW w:w="1540" w:type="dxa"/>
            <w:vAlign w:val="bottom"/>
          </w:tcPr>
          <w:p>
            <w:pPr>
              <w:jc w:val="right"/>
              <w:ind w:right="319"/>
              <w:spacing w:after="0"/>
              <w:rPr>
                <w:sz w:val="20"/>
                <w:szCs w:val="20"/>
                <w:color w:val="auto"/>
              </w:rPr>
            </w:pPr>
            <w:r>
              <w:rPr>
                <w:rFonts w:ascii="Arial" w:cs="Arial" w:eastAsia="Arial" w:hAnsi="Arial"/>
                <w:sz w:val="16"/>
                <w:szCs w:val="16"/>
                <w:b w:val="1"/>
                <w:bCs w:val="1"/>
                <w:color w:val="auto"/>
              </w:rPr>
              <w:t>May 30, 2020</w:t>
            </w:r>
          </w:p>
        </w:tc>
      </w:tr>
      <w:tr>
        <w:trPr>
          <w:trHeight w:val="209"/>
        </w:trPr>
        <w:tc>
          <w:tcPr>
            <w:tcW w:w="75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197,786</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18,983</w:t>
            </w:r>
          </w:p>
        </w:tc>
      </w:tr>
      <w:tr>
        <w:trPr>
          <w:trHeight w:val="213"/>
        </w:trPr>
        <w:tc>
          <w:tcPr>
            <w:tcW w:w="756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30,222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23,140</w:t>
            </w:r>
          </w:p>
        </w:tc>
      </w:tr>
      <w:tr>
        <w:trPr>
          <w:trHeight w:val="219"/>
        </w:trPr>
        <w:tc>
          <w:tcPr>
            <w:tcW w:w="7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59,728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3,702</w:t>
            </w:r>
          </w:p>
        </w:tc>
      </w:tr>
      <w:tr>
        <w:trPr>
          <w:trHeight w:val="213"/>
        </w:trPr>
        <w:tc>
          <w:tcPr>
            <w:tcW w:w="7560" w:type="dxa"/>
            <w:vAlign w:val="bottom"/>
          </w:tcPr>
          <w:p>
            <w:pPr>
              <w:ind w:left="20"/>
              <w:spacing w:after="0"/>
              <w:rPr>
                <w:sz w:val="20"/>
                <w:szCs w:val="20"/>
                <w:color w:val="auto"/>
              </w:rPr>
            </w:pPr>
            <w:r>
              <w:rPr>
                <w:rFonts w:ascii="Arial" w:cs="Arial" w:eastAsia="Arial" w:hAnsi="Arial"/>
                <w:sz w:val="16"/>
                <w:szCs w:val="16"/>
                <w:color w:val="auto"/>
              </w:rPr>
              <w:t>Depreciation</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13,476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11,854</w:t>
            </w:r>
          </w:p>
        </w:tc>
      </w:tr>
      <w:tr>
        <w:trPr>
          <w:trHeight w:val="216"/>
        </w:trPr>
        <w:tc>
          <w:tcPr>
            <w:tcW w:w="7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w:t>
            </w:r>
          </w:p>
        </w:tc>
        <w:tc>
          <w:tcPr>
            <w:tcW w:w="26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10,771</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18,514</w:t>
            </w:r>
          </w:p>
        </w:tc>
      </w:tr>
      <w:tr>
        <w:trPr>
          <w:trHeight w:val="210"/>
        </w:trPr>
        <w:tc>
          <w:tcPr>
            <w:tcW w:w="7560" w:type="dxa"/>
            <w:vAlign w:val="bottom"/>
          </w:tcPr>
          <w:p>
            <w:pPr>
              <w:ind w:left="140"/>
              <w:spacing w:after="0"/>
              <w:rPr>
                <w:sz w:val="20"/>
                <w:szCs w:val="20"/>
                <w:color w:val="auto"/>
              </w:rPr>
            </w:pPr>
            <w:r>
              <w:rPr>
                <w:rFonts w:ascii="Arial" w:cs="Arial" w:eastAsia="Arial" w:hAnsi="Arial"/>
                <w:sz w:val="16"/>
                <w:szCs w:val="16"/>
                <w:color w:val="auto"/>
              </w:rPr>
              <w:t>EBITDA</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311,983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76,193</w:t>
            </w:r>
          </w:p>
        </w:tc>
      </w:tr>
      <w:tr>
        <w:trPr>
          <w:trHeight w:val="219"/>
        </w:trPr>
        <w:tc>
          <w:tcPr>
            <w:tcW w:w="7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Acquisition-related fair-value inventory step-up</w:t>
            </w:r>
          </w:p>
        </w:tc>
        <w:tc>
          <w:tcPr>
            <w:tcW w:w="26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4,810</w:t>
            </w:r>
          </w:p>
        </w:tc>
      </w:tr>
      <w:tr>
        <w:trPr>
          <w:trHeight w:val="213"/>
        </w:trPr>
        <w:tc>
          <w:tcPr>
            <w:tcW w:w="7560" w:type="dxa"/>
            <w:vAlign w:val="bottom"/>
          </w:tcPr>
          <w:p>
            <w:pPr>
              <w:ind w:left="20"/>
              <w:spacing w:after="0"/>
              <w:rPr>
                <w:sz w:val="20"/>
                <w:szCs w:val="20"/>
                <w:color w:val="auto"/>
              </w:rPr>
            </w:pPr>
            <w:r>
              <w:rPr>
                <w:rFonts w:ascii="Arial" w:cs="Arial" w:eastAsia="Arial" w:hAnsi="Arial"/>
                <w:sz w:val="16"/>
                <w:szCs w:val="16"/>
                <w:color w:val="auto"/>
              </w:rPr>
              <w:t>Acquisition-related costs</w:t>
            </w:r>
          </w:p>
        </w:tc>
        <w:tc>
          <w:tcPr>
            <w:tcW w:w="260" w:type="dxa"/>
            <w:vAlign w:val="bottom"/>
          </w:tcPr>
          <w:p>
            <w:pPr>
              <w:spacing w:after="0"/>
              <w:rPr>
                <w:sz w:val="18"/>
                <w:szCs w:val="18"/>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9,761</w:t>
            </w:r>
          </w:p>
        </w:tc>
      </w:tr>
      <w:tr>
        <w:trPr>
          <w:trHeight w:val="219"/>
        </w:trPr>
        <w:tc>
          <w:tcPr>
            <w:tcW w:w="7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Restructuring expenses</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1,247</w:t>
            </w:r>
          </w:p>
        </w:tc>
      </w:tr>
      <w:tr>
        <w:trPr>
          <w:trHeight w:val="213"/>
        </w:trPr>
        <w:tc>
          <w:tcPr>
            <w:tcW w:w="7560" w:type="dxa"/>
            <w:vAlign w:val="bottom"/>
          </w:tcPr>
          <w:p>
            <w:pPr>
              <w:ind w:left="20"/>
              <w:spacing w:after="0"/>
              <w:rPr>
                <w:sz w:val="20"/>
                <w:szCs w:val="20"/>
                <w:color w:val="auto"/>
              </w:rPr>
            </w:pPr>
            <w:r>
              <w:rPr>
                <w:rFonts w:ascii="Arial" w:cs="Arial" w:eastAsia="Arial" w:hAnsi="Arial"/>
                <w:sz w:val="16"/>
                <w:szCs w:val="16"/>
                <w:color w:val="auto"/>
              </w:rPr>
              <w:t>Gain on sale of property, plant and equipment</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(4,753)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7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Non-operating income</w:t>
            </w:r>
          </w:p>
        </w:tc>
        <w:tc>
          <w:tcPr>
            <w:tcW w:w="26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(310)</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(460)</w:t>
            </w:r>
          </w:p>
        </w:tc>
      </w:tr>
      <w:tr>
        <w:trPr>
          <w:trHeight w:val="207"/>
        </w:trPr>
        <w:tc>
          <w:tcPr>
            <w:tcW w:w="7560" w:type="dxa"/>
            <w:vAlign w:val="bottom"/>
          </w:tcPr>
          <w:p>
            <w:pPr>
              <w:ind w:left="140"/>
              <w:spacing w:after="0"/>
              <w:rPr>
                <w:sz w:val="20"/>
                <w:szCs w:val="20"/>
                <w:color w:val="auto"/>
              </w:rPr>
            </w:pPr>
            <w:r>
              <w:rPr>
                <w:rFonts w:ascii="Arial" w:cs="Arial" w:eastAsia="Arial" w:hAnsi="Arial"/>
                <w:sz w:val="16"/>
                <w:szCs w:val="16"/>
                <w:color w:val="auto"/>
              </w:rPr>
              <w:t>Adjusted EBITDA</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307,032</w:t>
            </w:r>
          </w:p>
        </w:tc>
        <w:tc>
          <w:tcPr>
            <w:tcW w:w="120" w:type="dxa"/>
            <w:vAlign w:val="bottom"/>
          </w:tcPr>
          <w:p>
            <w:pPr>
              <w:spacing w:after="0"/>
              <w:rPr>
                <w:sz w:val="17"/>
                <w:szCs w:val="17"/>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91,551</w:t>
            </w:r>
          </w:p>
        </w:tc>
      </w:tr>
    </w:tbl>
    <w:p>
      <w:pPr>
        <w:spacing w:after="0" w:line="3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Reportable Segment Performance Summary</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Towable</w:t>
      </w:r>
    </w:p>
    <w:p>
      <w:pPr>
        <w:spacing w:after="0" w:line="251" w:lineRule="exact"/>
        <w:rPr>
          <w:sz w:val="20"/>
          <w:szCs w:val="20"/>
          <w:color w:val="auto"/>
        </w:rPr>
      </w:pPr>
    </w:p>
    <w:p>
      <w:pPr>
        <w:ind w:right="200"/>
        <w:spacing w:after="0" w:line="242" w:lineRule="auto"/>
        <w:rPr>
          <w:sz w:val="20"/>
          <w:szCs w:val="20"/>
          <w:color w:val="auto"/>
        </w:rPr>
      </w:pPr>
      <w:r>
        <w:rPr>
          <w:rFonts w:ascii="Arial" w:cs="Arial" w:eastAsia="Arial" w:hAnsi="Arial"/>
          <w:sz w:val="16"/>
          <w:szCs w:val="16"/>
          <w:color w:val="auto"/>
        </w:rPr>
        <w:t>The following is an analysis of key changes in our Towable segment for the nine months ended May 29, 2021 compared to the nine months ended months ended May 30, 2020, and as of May 29, 2021 compared to May 30, 2020:</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4"/>
          </w:tcPr>
          <w:p>
            <w:pPr>
              <w:ind w:left="240"/>
              <w:spacing w:after="0"/>
              <w:rPr>
                <w:sz w:val="20"/>
                <w:szCs w:val="20"/>
                <w:color w:val="auto"/>
              </w:rPr>
            </w:pPr>
            <w:r>
              <w:rPr>
                <w:rFonts w:ascii="Arial" w:cs="Arial" w:eastAsia="Arial" w:hAnsi="Arial"/>
                <w:sz w:val="16"/>
                <w:szCs w:val="16"/>
                <w:b w:val="1"/>
                <w:bCs w:val="1"/>
                <w:color w:val="auto"/>
              </w:rPr>
              <w:t>Nine Months Ended</w:t>
            </w: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160" w:type="dxa"/>
            <w:vAlign w:val="bottom"/>
          </w:tcPr>
          <w:p>
            <w:pPr>
              <w:ind w:left="20"/>
              <w:spacing w:after="0"/>
              <w:rPr>
                <w:sz w:val="20"/>
                <w:szCs w:val="20"/>
                <w:color w:val="auto"/>
              </w:rPr>
            </w:pPr>
            <w:r>
              <w:rPr>
                <w:rFonts w:ascii="Arial" w:cs="Arial" w:eastAsia="Arial" w:hAnsi="Arial"/>
                <w:sz w:val="14"/>
                <w:szCs w:val="14"/>
                <w:color w:val="auto"/>
              </w:rPr>
              <w:t>(in thousands, except ASP)</w:t>
            </w:r>
          </w:p>
        </w:tc>
        <w:tc>
          <w:tcPr>
            <w:tcW w:w="180" w:type="dxa"/>
            <w:vAlign w:val="bottom"/>
          </w:tcPr>
          <w:p>
            <w:pPr>
              <w:spacing w:after="0"/>
              <w:rPr>
                <w:sz w:val="18"/>
                <w:szCs w:val="18"/>
                <w:color w:val="auto"/>
              </w:rPr>
            </w:pPr>
          </w:p>
        </w:tc>
        <w:tc>
          <w:tcPr>
            <w:tcW w:w="1280" w:type="dxa"/>
            <w:vAlign w:val="bottom"/>
          </w:tcPr>
          <w:p>
            <w:pPr>
              <w:jc w:val="right"/>
              <w:ind w:right="139"/>
              <w:spacing w:after="0"/>
              <w:rPr>
                <w:sz w:val="20"/>
                <w:szCs w:val="20"/>
                <w:color w:val="auto"/>
              </w:rPr>
            </w:pPr>
            <w:r>
              <w:rPr>
                <w:rFonts w:ascii="Arial" w:cs="Arial" w:eastAsia="Arial" w:hAnsi="Arial"/>
                <w:sz w:val="16"/>
                <w:szCs w:val="16"/>
                <w:b w:val="1"/>
                <w:bCs w:val="1"/>
                <w:color w:val="auto"/>
              </w:rPr>
              <w:t>May 29, 2021</w:t>
            </w:r>
          </w:p>
        </w:tc>
        <w:tc>
          <w:tcPr>
            <w:tcW w:w="120" w:type="dxa"/>
            <w:vAlign w:val="bottom"/>
          </w:tcPr>
          <w:p>
            <w:pPr>
              <w:spacing w:after="0"/>
              <w:rPr>
                <w:sz w:val="18"/>
                <w:szCs w:val="18"/>
                <w:color w:val="auto"/>
              </w:rPr>
            </w:pPr>
          </w:p>
        </w:tc>
        <w:tc>
          <w:tcPr>
            <w:tcW w:w="1280" w:type="dxa"/>
            <w:vAlign w:val="bottom"/>
            <w:gridSpan w:val="2"/>
          </w:tcPr>
          <w:p>
            <w:pPr>
              <w:ind w:left="20"/>
              <w:spacing w:after="0"/>
              <w:rPr>
                <w:sz w:val="20"/>
                <w:szCs w:val="20"/>
                <w:color w:val="auto"/>
              </w:rPr>
            </w:pPr>
            <w:r>
              <w:rPr>
                <w:rFonts w:ascii="Arial" w:cs="Arial" w:eastAsia="Arial" w:hAnsi="Arial"/>
                <w:sz w:val="16"/>
                <w:szCs w:val="16"/>
                <w:b w:val="1"/>
                <w:bCs w:val="1"/>
                <w:color w:val="auto"/>
              </w:rPr>
              <w:t>% of Revenues</w:t>
            </w:r>
          </w:p>
        </w:tc>
        <w:tc>
          <w:tcPr>
            <w:tcW w:w="180" w:type="dxa"/>
            <w:vAlign w:val="bottom"/>
          </w:tcPr>
          <w:p>
            <w:pPr>
              <w:spacing w:after="0"/>
              <w:rPr>
                <w:sz w:val="18"/>
                <w:szCs w:val="18"/>
                <w:color w:val="auto"/>
              </w:rPr>
            </w:pPr>
          </w:p>
        </w:tc>
        <w:tc>
          <w:tcPr>
            <w:tcW w:w="1280" w:type="dxa"/>
            <w:vAlign w:val="bottom"/>
          </w:tcPr>
          <w:p>
            <w:pPr>
              <w:jc w:val="right"/>
              <w:ind w:right="159"/>
              <w:spacing w:after="0"/>
              <w:rPr>
                <w:sz w:val="20"/>
                <w:szCs w:val="20"/>
                <w:color w:val="auto"/>
              </w:rPr>
            </w:pPr>
            <w:r>
              <w:rPr>
                <w:rFonts w:ascii="Arial" w:cs="Arial" w:eastAsia="Arial" w:hAnsi="Arial"/>
                <w:sz w:val="16"/>
                <w:szCs w:val="16"/>
                <w:b w:val="1"/>
                <w:bCs w:val="1"/>
                <w:color w:val="auto"/>
              </w:rPr>
              <w:t>May 30, 2020</w:t>
            </w:r>
          </w:p>
        </w:tc>
        <w:tc>
          <w:tcPr>
            <w:tcW w:w="100" w:type="dxa"/>
            <w:vAlign w:val="bottom"/>
          </w:tcPr>
          <w:p>
            <w:pPr>
              <w:spacing w:after="0"/>
              <w:rPr>
                <w:sz w:val="18"/>
                <w:szCs w:val="18"/>
                <w:color w:val="auto"/>
              </w:rPr>
            </w:pPr>
          </w:p>
        </w:tc>
        <w:tc>
          <w:tcPr>
            <w:tcW w:w="1300" w:type="dxa"/>
            <w:vAlign w:val="bottom"/>
            <w:gridSpan w:val="2"/>
          </w:tcPr>
          <w:p>
            <w:pPr>
              <w:ind w:left="20"/>
              <w:spacing w:after="0"/>
              <w:rPr>
                <w:sz w:val="20"/>
                <w:szCs w:val="20"/>
                <w:color w:val="auto"/>
              </w:rPr>
            </w:pPr>
            <w:r>
              <w:rPr>
                <w:rFonts w:ascii="Arial" w:cs="Arial" w:eastAsia="Arial" w:hAnsi="Arial"/>
                <w:sz w:val="16"/>
                <w:szCs w:val="16"/>
                <w:b w:val="1"/>
                <w:bCs w:val="1"/>
                <w:color w:val="auto"/>
              </w:rPr>
              <w:t>% of Revenues</w:t>
            </w:r>
          </w:p>
        </w:tc>
        <w:tc>
          <w:tcPr>
            <w:tcW w:w="14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9"/>
              </w:rPr>
              <w:t>$ Change</w:t>
            </w:r>
          </w:p>
        </w:tc>
        <w:tc>
          <w:tcPr>
            <w:tcW w:w="1180" w:type="dxa"/>
            <w:vAlign w:val="bottom"/>
          </w:tcPr>
          <w:p>
            <w:pPr>
              <w:jc w:val="right"/>
              <w:ind w:right="11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0"/>
        </w:trPr>
        <w:tc>
          <w:tcPr>
            <w:tcW w:w="3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1,449,934</w:t>
            </w:r>
          </w:p>
        </w:tc>
        <w:tc>
          <w:tcPr>
            <w:tcW w:w="12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813,611</w:t>
            </w: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636,323</w:t>
            </w: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78.2 %</w:t>
            </w:r>
          </w:p>
        </w:tc>
        <w:tc>
          <w:tcPr>
            <w:tcW w:w="0" w:type="dxa"/>
            <w:vAlign w:val="bottom"/>
          </w:tcPr>
          <w:p>
            <w:pPr>
              <w:spacing w:after="0"/>
              <w:rPr>
                <w:sz w:val="1"/>
                <w:szCs w:val="1"/>
                <w:color w:val="auto"/>
              </w:rPr>
            </w:pPr>
          </w:p>
        </w:tc>
      </w:tr>
      <w:tr>
        <w:trPr>
          <w:trHeight w:val="213"/>
        </w:trPr>
        <w:tc>
          <w:tcPr>
            <w:tcW w:w="316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205,639</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14.2 %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86,982</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10.7 %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118,657</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136.4 %</w:t>
            </w:r>
          </w:p>
        </w:tc>
        <w:tc>
          <w:tcPr>
            <w:tcW w:w="0" w:type="dxa"/>
            <w:vAlign w:val="bottom"/>
          </w:tcPr>
          <w:p>
            <w:pPr>
              <w:spacing w:after="0"/>
              <w:rPr>
                <w:sz w:val="1"/>
                <w:szCs w:val="1"/>
                <w:color w:val="auto"/>
              </w:rPr>
            </w:pPr>
          </w:p>
        </w:tc>
      </w:tr>
      <w:tr>
        <w:trPr>
          <w:trHeight w:val="260"/>
        </w:trPr>
        <w:tc>
          <w:tcPr>
            <w:tcW w:w="31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415"/>
        </w:trPr>
        <w:tc>
          <w:tcPr>
            <w:tcW w:w="3160" w:type="dxa"/>
            <w:vAlign w:val="bottom"/>
          </w:tcPr>
          <w:p>
            <w:pPr>
              <w:ind w:left="20"/>
              <w:spacing w:after="0"/>
              <w:rPr>
                <w:sz w:val="20"/>
                <w:szCs w:val="20"/>
                <w:color w:val="auto"/>
              </w:rPr>
            </w:pPr>
            <w:r>
              <w:rPr>
                <w:rFonts w:ascii="Arial" w:cs="Arial" w:eastAsia="Arial" w:hAnsi="Arial"/>
                <w:sz w:val="32"/>
                <w:szCs w:val="32"/>
                <w:color w:val="auto"/>
                <w:vertAlign w:val="subscript"/>
              </w:rPr>
              <w:t>ASP</w:t>
            </w:r>
            <w:r>
              <w:rPr>
                <w:rFonts w:ascii="Arial" w:cs="Arial" w:eastAsia="Arial" w:hAnsi="Arial"/>
                <w:sz w:val="11"/>
                <w:szCs w:val="11"/>
                <w:color w:val="auto"/>
              </w:rPr>
              <w:t>(1)</w:t>
            </w:r>
          </w:p>
        </w:tc>
        <w:tc>
          <w:tcPr>
            <w:tcW w:w="18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32,503</w:t>
            </w: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32,836</w:t>
            </w: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(333)</w:t>
            </w:r>
          </w:p>
        </w:tc>
        <w:tc>
          <w:tcPr>
            <w:tcW w:w="1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68"/>
        </w:trPr>
        <w:tc>
          <w:tcPr>
            <w:tcW w:w="316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2680" w:type="dxa"/>
            <w:vAlign w:val="bottom"/>
            <w:tcBorders>
              <w:bottom w:val="single" w:sz="8" w:color="auto"/>
            </w:tcBorders>
            <w:gridSpan w:val="4"/>
          </w:tcPr>
          <w:p>
            <w:pPr>
              <w:ind w:left="240"/>
              <w:spacing w:after="0"/>
              <w:rPr>
                <w:sz w:val="20"/>
                <w:szCs w:val="20"/>
                <w:color w:val="auto"/>
              </w:rPr>
            </w:pPr>
            <w:r>
              <w:rPr>
                <w:rFonts w:ascii="Arial" w:cs="Arial" w:eastAsia="Arial" w:hAnsi="Arial"/>
                <w:sz w:val="16"/>
                <w:szCs w:val="16"/>
                <w:b w:val="1"/>
                <w:bCs w:val="1"/>
                <w:color w:val="auto"/>
              </w:rPr>
              <w:t>Nine Months Ended</w:t>
            </w:r>
          </w:p>
        </w:tc>
        <w:tc>
          <w:tcPr>
            <w:tcW w:w="14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31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Unit deliveries</w:t>
            </w: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May 29, 2021</w:t>
            </w:r>
          </w:p>
        </w:tc>
        <w:tc>
          <w:tcPr>
            <w:tcW w:w="12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16"/>
                <w:szCs w:val="16"/>
                <w:b w:val="1"/>
                <w:bCs w:val="1"/>
                <w:color w:val="auto"/>
              </w:rPr>
              <w:t>Product Mix</w:t>
            </w:r>
            <w:r>
              <w:rPr>
                <w:rFonts w:ascii="Arial" w:cs="Arial" w:eastAsia="Arial" w:hAnsi="Arial"/>
                <w:sz w:val="21"/>
                <w:szCs w:val="21"/>
                <w:b w:val="1"/>
                <w:bCs w:val="1"/>
                <w:color w:val="auto"/>
                <w:vertAlign w:val="superscript"/>
              </w:rPr>
              <w:t>(2)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May 30, 2020</w:t>
            </w:r>
          </w:p>
        </w:tc>
        <w:tc>
          <w:tcPr>
            <w:tcW w:w="10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16"/>
                <w:szCs w:val="16"/>
                <w:b w:val="1"/>
                <w:bCs w:val="1"/>
                <w:color w:val="auto"/>
              </w:rPr>
              <w:t>Product Mix</w:t>
            </w:r>
            <w:r>
              <w:rPr>
                <w:rFonts w:ascii="Arial" w:cs="Arial" w:eastAsia="Arial" w:hAnsi="Arial"/>
                <w:sz w:val="21"/>
                <w:szCs w:val="21"/>
                <w:b w:val="1"/>
                <w:bCs w:val="1"/>
                <w:color w:val="auto"/>
                <w:vertAlign w:val="superscript"/>
              </w:rPr>
              <w:t>(2)</w:t>
            </w:r>
          </w:p>
        </w:tc>
        <w:tc>
          <w:tcPr>
            <w:tcW w:w="12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Unit Change</w:t>
            </w:r>
          </w:p>
        </w:tc>
        <w:tc>
          <w:tcPr>
            <w:tcW w:w="10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09"/>
        </w:trPr>
        <w:tc>
          <w:tcPr>
            <w:tcW w:w="3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Travel trailer</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29,125</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65.6 %</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15,319</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60.8 %</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13,806</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90.1 %</w:t>
            </w:r>
          </w:p>
        </w:tc>
        <w:tc>
          <w:tcPr>
            <w:tcW w:w="0" w:type="dxa"/>
            <w:vAlign w:val="bottom"/>
          </w:tcPr>
          <w:p>
            <w:pPr>
              <w:spacing w:after="0"/>
              <w:rPr>
                <w:sz w:val="1"/>
                <w:szCs w:val="1"/>
                <w:color w:val="auto"/>
              </w:rPr>
            </w:pPr>
          </w:p>
        </w:tc>
      </w:tr>
      <w:tr>
        <w:trPr>
          <w:trHeight w:val="213"/>
        </w:trPr>
        <w:tc>
          <w:tcPr>
            <w:tcW w:w="31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Fifth wheel</w:t>
            </w: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15,306</w:t>
            </w:r>
          </w:p>
        </w:tc>
        <w:tc>
          <w:tcPr>
            <w:tcW w:w="12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34.4 %</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9,874</w:t>
            </w:r>
          </w:p>
        </w:tc>
        <w:tc>
          <w:tcPr>
            <w:tcW w:w="10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39.2 %</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5,432</w:t>
            </w:r>
          </w:p>
        </w:tc>
        <w:tc>
          <w:tcPr>
            <w:tcW w:w="10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55.0 %</w:t>
            </w:r>
          </w:p>
        </w:tc>
        <w:tc>
          <w:tcPr>
            <w:tcW w:w="0" w:type="dxa"/>
            <w:vAlign w:val="bottom"/>
          </w:tcPr>
          <w:p>
            <w:pPr>
              <w:spacing w:after="0"/>
              <w:rPr>
                <w:sz w:val="1"/>
                <w:szCs w:val="1"/>
                <w:color w:val="auto"/>
              </w:rPr>
            </w:pPr>
          </w:p>
        </w:tc>
      </w:tr>
      <w:tr>
        <w:trPr>
          <w:trHeight w:val="233"/>
        </w:trPr>
        <w:tc>
          <w:tcPr>
            <w:tcW w:w="3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towables</w:t>
            </w:r>
          </w:p>
        </w:tc>
        <w:tc>
          <w:tcPr>
            <w:tcW w:w="18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44,431</w:t>
            </w:r>
          </w:p>
        </w:tc>
        <w:tc>
          <w:tcPr>
            <w:tcW w:w="1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25,193</w:t>
            </w:r>
          </w:p>
        </w:tc>
        <w:tc>
          <w:tcPr>
            <w:tcW w:w="1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19,238</w:t>
            </w:r>
          </w:p>
        </w:tc>
        <w:tc>
          <w:tcPr>
            <w:tcW w:w="1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76.4 %</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1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vMerge w:val="restart"/>
          </w:tcPr>
          <w:p>
            <w:pPr>
              <w:jc w:val="right"/>
              <w:ind w:right="159"/>
              <w:spacing w:after="0"/>
              <w:rPr>
                <w:sz w:val="20"/>
                <w:szCs w:val="20"/>
                <w:color w:val="auto"/>
              </w:rPr>
            </w:pPr>
            <w:r>
              <w:rPr>
                <w:rFonts w:ascii="Arial" w:cs="Arial" w:eastAsia="Arial" w:hAnsi="Arial"/>
                <w:sz w:val="16"/>
                <w:szCs w:val="16"/>
                <w:b w:val="1"/>
                <w:bCs w:val="1"/>
                <w:color w:val="auto"/>
              </w:rPr>
              <w:t>May 30, 2020</w:t>
            </w: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rPr>
              <w:t>Change</w:t>
            </w:r>
          </w:p>
        </w:tc>
        <w:tc>
          <w:tcPr>
            <w:tcW w:w="118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0"/>
        </w:trPr>
        <w:tc>
          <w:tcPr>
            <w:tcW w:w="3160" w:type="dxa"/>
            <w:vAlign w:val="bottom"/>
          </w:tcPr>
          <w:p>
            <w:pPr>
              <w:ind w:left="20"/>
              <w:spacing w:after="0"/>
              <w:rPr>
                <w:sz w:val="20"/>
                <w:szCs w:val="20"/>
                <w:color w:val="auto"/>
              </w:rPr>
            </w:pPr>
            <w:r>
              <w:rPr>
                <w:rFonts w:ascii="Arial" w:cs="Arial" w:eastAsia="Arial" w:hAnsi="Arial"/>
                <w:sz w:val="14"/>
                <w:szCs w:val="14"/>
                <w:color w:val="auto"/>
              </w:rPr>
              <w:t>(in thousands, except units)</w:t>
            </w:r>
          </w:p>
        </w:tc>
        <w:tc>
          <w:tcPr>
            <w:tcW w:w="180" w:type="dxa"/>
            <w:vAlign w:val="bottom"/>
          </w:tcPr>
          <w:p>
            <w:pPr>
              <w:spacing w:after="0"/>
              <w:rPr>
                <w:sz w:val="18"/>
                <w:szCs w:val="18"/>
                <w:color w:val="auto"/>
              </w:rPr>
            </w:pPr>
          </w:p>
        </w:tc>
        <w:tc>
          <w:tcPr>
            <w:tcW w:w="1280" w:type="dxa"/>
            <w:vAlign w:val="bottom"/>
          </w:tcPr>
          <w:p>
            <w:pPr>
              <w:jc w:val="right"/>
              <w:ind w:right="139"/>
              <w:spacing w:after="0"/>
              <w:rPr>
                <w:sz w:val="20"/>
                <w:szCs w:val="20"/>
                <w:color w:val="auto"/>
              </w:rPr>
            </w:pPr>
            <w:r>
              <w:rPr>
                <w:rFonts w:ascii="Arial" w:cs="Arial" w:eastAsia="Arial" w:hAnsi="Arial"/>
                <w:sz w:val="16"/>
                <w:szCs w:val="16"/>
                <w:b w:val="1"/>
                <w:bCs w:val="1"/>
                <w:color w:val="auto"/>
              </w:rPr>
              <w:t>May 29, 2021</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160" w:type="dxa"/>
            <w:vAlign w:val="bottom"/>
            <w:tcBorders>
              <w:top w:val="single" w:sz="8" w:color="auto"/>
            </w:tcBorders>
          </w:tcPr>
          <w:p>
            <w:pPr>
              <w:ind w:left="20"/>
              <w:spacing w:after="0" w:line="210" w:lineRule="exact"/>
              <w:rPr>
                <w:sz w:val="20"/>
                <w:szCs w:val="20"/>
                <w:color w:val="auto"/>
              </w:rPr>
            </w:pPr>
            <w:r>
              <w:rPr>
                <w:rFonts w:ascii="Arial" w:cs="Arial" w:eastAsia="Arial" w:hAnsi="Arial"/>
                <w:sz w:val="16"/>
                <w:szCs w:val="16"/>
                <w:b w:val="1"/>
                <w:bCs w:val="1"/>
                <w:color w:val="auto"/>
              </w:rPr>
              <w:t>Backlog</w:t>
            </w:r>
            <w:r>
              <w:rPr>
                <w:rFonts w:ascii="Arial" w:cs="Arial" w:eastAsia="Arial" w:hAnsi="Arial"/>
                <w:sz w:val="21"/>
                <w:szCs w:val="21"/>
                <w:b w:val="1"/>
                <w:bCs w:val="1"/>
                <w:color w:val="auto"/>
                <w:vertAlign w:val="superscript"/>
              </w:rPr>
              <w:t>(3)</w:t>
            </w: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Units</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46,646</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13,235</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33,411</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252.4 %</w:t>
            </w:r>
          </w:p>
        </w:tc>
        <w:tc>
          <w:tcPr>
            <w:tcW w:w="0" w:type="dxa"/>
            <w:vAlign w:val="bottom"/>
          </w:tcPr>
          <w:p>
            <w:pPr>
              <w:spacing w:after="0"/>
              <w:rPr>
                <w:sz w:val="1"/>
                <w:szCs w:val="1"/>
                <w:color w:val="auto"/>
              </w:rPr>
            </w:pPr>
          </w:p>
        </w:tc>
      </w:tr>
      <w:tr>
        <w:trPr>
          <w:trHeight w:val="213"/>
        </w:trPr>
        <w:tc>
          <w:tcPr>
            <w:tcW w:w="3160" w:type="dxa"/>
            <w:vAlign w:val="bottom"/>
          </w:tcPr>
          <w:p>
            <w:pPr>
              <w:ind w:left="400"/>
              <w:spacing w:after="0"/>
              <w:rPr>
                <w:sz w:val="20"/>
                <w:szCs w:val="20"/>
                <w:color w:val="auto"/>
              </w:rPr>
            </w:pPr>
            <w:r>
              <w:rPr>
                <w:rFonts w:ascii="Arial" w:cs="Arial" w:eastAsia="Arial" w:hAnsi="Arial"/>
                <w:sz w:val="16"/>
                <w:szCs w:val="16"/>
                <w:color w:val="auto"/>
              </w:rPr>
              <w:t>Dollars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1,522,069</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417,176</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1,104,893</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264.9 %</w:t>
            </w:r>
          </w:p>
        </w:tc>
        <w:tc>
          <w:tcPr>
            <w:tcW w:w="0" w:type="dxa"/>
            <w:vAlign w:val="bottom"/>
          </w:tcPr>
          <w:p>
            <w:pPr>
              <w:spacing w:after="0"/>
              <w:rPr>
                <w:sz w:val="1"/>
                <w:szCs w:val="1"/>
                <w:color w:val="auto"/>
              </w:rPr>
            </w:pPr>
          </w:p>
        </w:tc>
      </w:tr>
      <w:tr>
        <w:trPr>
          <w:trHeight w:val="219"/>
        </w:trPr>
        <w:tc>
          <w:tcPr>
            <w:tcW w:w="31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Dealer Inventory</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160" w:type="dxa"/>
            <w:vAlign w:val="bottom"/>
          </w:tcPr>
          <w:p>
            <w:pPr>
              <w:ind w:left="140"/>
              <w:spacing w:after="0"/>
              <w:rPr>
                <w:sz w:val="20"/>
                <w:szCs w:val="20"/>
                <w:color w:val="auto"/>
              </w:rPr>
            </w:pPr>
            <w:r>
              <w:rPr>
                <w:rFonts w:ascii="Arial" w:cs="Arial" w:eastAsia="Arial" w:hAnsi="Arial"/>
                <w:sz w:val="16"/>
                <w:szCs w:val="16"/>
                <w:color w:val="auto"/>
              </w:rPr>
              <w:t>Units</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11,647</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15,562</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(3,915)</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(25.2)%</w:t>
            </w:r>
          </w:p>
        </w:tc>
        <w:tc>
          <w:tcPr>
            <w:tcW w:w="0" w:type="dxa"/>
            <w:vAlign w:val="bottom"/>
          </w:tcPr>
          <w:p>
            <w:pPr>
              <w:spacing w:after="0"/>
              <w:rPr>
                <w:sz w:val="1"/>
                <w:szCs w:val="1"/>
                <w:color w:val="auto"/>
              </w:rPr>
            </w:pPr>
          </w:p>
        </w:tc>
      </w:tr>
    </w:tbl>
    <w:p>
      <w:pPr>
        <w:spacing w:after="0" w:line="74" w:lineRule="exact"/>
        <w:rPr>
          <w:sz w:val="20"/>
          <w:szCs w:val="20"/>
          <w:color w:val="auto"/>
        </w:rPr>
      </w:pPr>
    </w:p>
    <w:p>
      <w:pPr>
        <w:ind w:left="160" w:hanging="152"/>
        <w:spacing w:after="0"/>
        <w:tabs>
          <w:tab w:leader="none" w:pos="160" w:val="left"/>
        </w:tabs>
        <w:numPr>
          <w:ilvl w:val="0"/>
          <w:numId w:val="14"/>
        </w:numPr>
        <w:rPr>
          <w:rFonts w:ascii="Arial" w:cs="Arial" w:eastAsia="Arial" w:hAnsi="Arial"/>
          <w:sz w:val="18"/>
          <w:szCs w:val="18"/>
          <w:color w:val="auto"/>
          <w:vertAlign w:val="superscript"/>
        </w:rPr>
      </w:pPr>
      <w:r>
        <w:rPr>
          <w:rFonts w:ascii="Arial" w:cs="Arial" w:eastAsia="Arial" w:hAnsi="Arial"/>
          <w:sz w:val="12"/>
          <w:szCs w:val="12"/>
          <w:color w:val="auto"/>
        </w:rPr>
        <w:t>ASP excludes off-invoice dealer incentives.</w:t>
      </w:r>
    </w:p>
    <w:p>
      <w:pPr>
        <w:ind w:left="300" w:hanging="292"/>
        <w:spacing w:after="0" w:line="189" w:lineRule="auto"/>
        <w:tabs>
          <w:tab w:leader="none" w:pos="300" w:val="left"/>
        </w:tabs>
        <w:numPr>
          <w:ilvl w:val="0"/>
          <w:numId w:val="14"/>
        </w:numPr>
        <w:rPr>
          <w:rFonts w:ascii="Arial" w:cs="Arial" w:eastAsia="Arial" w:hAnsi="Arial"/>
          <w:sz w:val="19"/>
          <w:szCs w:val="19"/>
          <w:color w:val="auto"/>
          <w:vertAlign w:val="superscript"/>
        </w:rPr>
      </w:pPr>
      <w:r>
        <w:rPr>
          <w:rFonts w:ascii="Arial" w:cs="Arial" w:eastAsia="Arial" w:hAnsi="Arial"/>
          <w:sz w:val="13"/>
          <w:szCs w:val="13"/>
          <w:color w:val="auto"/>
        </w:rPr>
        <w:t>Percentages may not add due to rounding differences.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30" w:name="page31"/>
    <w:bookmarkEnd w:id="3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260" w:right="80" w:hanging="252"/>
        <w:spacing w:after="0" w:line="188" w:lineRule="auto"/>
        <w:tabs>
          <w:tab w:leader="none" w:pos="313" w:val="left"/>
        </w:tabs>
        <w:numPr>
          <w:ilvl w:val="0"/>
          <w:numId w:val="15"/>
        </w:numPr>
        <w:rPr>
          <w:rFonts w:ascii="Arial" w:cs="Arial" w:eastAsia="Arial" w:hAnsi="Arial"/>
          <w:sz w:val="23"/>
          <w:szCs w:val="23"/>
          <w:color w:val="auto"/>
          <w:vertAlign w:val="superscript"/>
        </w:rPr>
      </w:pPr>
      <w:r>
        <w:rPr>
          <w:rFonts w:ascii="Arial" w:cs="Arial" w:eastAsia="Arial" w:hAnsi="Arial"/>
          <w:sz w:val="14"/>
          <w:szCs w:val="14"/>
          <w:color w:val="auto"/>
        </w:rPr>
        <w:t>Our backlog includes all accepted orders from dealers to be shipped generally within the next six months. Orders in backlog can be cancelled or postponed at the option of the dealer at any time without penalty; therefore, backlog may not necessarily be an accurate measure of future sales.</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Net revenues increased primarily due to unit growth.</w:t>
      </w:r>
    </w:p>
    <w:p>
      <w:pPr>
        <w:spacing w:after="0" w:line="248" w:lineRule="exact"/>
        <w:rPr>
          <w:sz w:val="20"/>
          <w:szCs w:val="20"/>
          <w:color w:val="auto"/>
        </w:rPr>
      </w:pPr>
    </w:p>
    <w:p>
      <w:pPr>
        <w:ind w:right="780"/>
        <w:spacing w:after="0" w:line="260" w:lineRule="auto"/>
        <w:rPr>
          <w:sz w:val="20"/>
          <w:szCs w:val="20"/>
          <w:color w:val="auto"/>
        </w:rPr>
      </w:pPr>
      <w:r>
        <w:rPr>
          <w:rFonts w:ascii="Arial" w:cs="Arial" w:eastAsia="Arial" w:hAnsi="Arial"/>
          <w:sz w:val="16"/>
          <w:szCs w:val="16"/>
          <w:color w:val="auto"/>
        </w:rPr>
        <w:t>Adjusted EBITDA increased primarily due to an increase in unit sales and improved pricing, partially offset by higher selling expenses and variable compensation throughout the segment due to improved operating performance.</w:t>
      </w:r>
    </w:p>
    <w:p>
      <w:pPr>
        <w:spacing w:after="0" w:line="222" w:lineRule="exact"/>
        <w:rPr>
          <w:sz w:val="20"/>
          <w:szCs w:val="20"/>
          <w:color w:val="auto"/>
        </w:rPr>
      </w:pPr>
    </w:p>
    <w:p>
      <w:pPr>
        <w:ind w:right="220"/>
        <w:spacing w:after="0" w:line="260" w:lineRule="auto"/>
        <w:rPr>
          <w:sz w:val="20"/>
          <w:szCs w:val="20"/>
          <w:color w:val="auto"/>
        </w:rPr>
      </w:pPr>
      <w:r>
        <w:rPr>
          <w:rFonts w:ascii="Arial" w:cs="Arial" w:eastAsia="Arial" w:hAnsi="Arial"/>
          <w:sz w:val="16"/>
          <w:szCs w:val="16"/>
          <w:color w:val="auto"/>
        </w:rPr>
        <w:t>Backlog increased primarily due to the continued strong retail demand by consumers of RVs. As a result of this high retail demand, dealer inventory levels are lower, creating higher order backlog.</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Motorhome</w:t>
      </w:r>
    </w:p>
    <w:p>
      <w:pPr>
        <w:spacing w:after="0" w:line="251" w:lineRule="exact"/>
        <w:rPr>
          <w:sz w:val="20"/>
          <w:szCs w:val="20"/>
          <w:color w:val="auto"/>
        </w:rPr>
      </w:pPr>
    </w:p>
    <w:p>
      <w:pPr>
        <w:ind w:right="560"/>
        <w:spacing w:after="0" w:line="242" w:lineRule="auto"/>
        <w:rPr>
          <w:sz w:val="20"/>
          <w:szCs w:val="20"/>
          <w:color w:val="auto"/>
        </w:rPr>
      </w:pPr>
      <w:r>
        <w:rPr>
          <w:rFonts w:ascii="Arial" w:cs="Arial" w:eastAsia="Arial" w:hAnsi="Arial"/>
          <w:sz w:val="16"/>
          <w:szCs w:val="16"/>
          <w:color w:val="auto"/>
        </w:rPr>
        <w:t>The following is an analysis of key changes in our Motorhome segment for the nine months ended May 29, 2021 compared to the nine months ended months ended May 30, 2020, and as of May 29, 2021 compared to May 30, 2020:</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4"/>
          </w:tcPr>
          <w:p>
            <w:pPr>
              <w:ind w:left="260"/>
              <w:spacing w:after="0"/>
              <w:rPr>
                <w:sz w:val="20"/>
                <w:szCs w:val="20"/>
                <w:color w:val="auto"/>
              </w:rPr>
            </w:pPr>
            <w:r>
              <w:rPr>
                <w:rFonts w:ascii="Arial" w:cs="Arial" w:eastAsia="Arial" w:hAnsi="Arial"/>
                <w:sz w:val="16"/>
                <w:szCs w:val="16"/>
                <w:b w:val="1"/>
                <w:bCs w:val="1"/>
                <w:color w:val="auto"/>
              </w:rPr>
              <w:t>Nine Months Ended</w:t>
            </w: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r>
      <w:tr>
        <w:trPr>
          <w:trHeight w:val="213"/>
        </w:trPr>
        <w:tc>
          <w:tcPr>
            <w:tcW w:w="3200" w:type="dxa"/>
            <w:vAlign w:val="bottom"/>
          </w:tcPr>
          <w:p>
            <w:pPr>
              <w:ind w:left="20"/>
              <w:spacing w:after="0"/>
              <w:rPr>
                <w:sz w:val="20"/>
                <w:szCs w:val="20"/>
                <w:color w:val="auto"/>
              </w:rPr>
            </w:pPr>
            <w:r>
              <w:rPr>
                <w:rFonts w:ascii="Arial" w:cs="Arial" w:eastAsia="Arial" w:hAnsi="Arial"/>
                <w:sz w:val="14"/>
                <w:szCs w:val="14"/>
                <w:color w:val="auto"/>
              </w:rPr>
              <w:t>(in thousands, except ASP)</w:t>
            </w:r>
          </w:p>
        </w:tc>
        <w:tc>
          <w:tcPr>
            <w:tcW w:w="160" w:type="dxa"/>
            <w:vAlign w:val="bottom"/>
          </w:tcPr>
          <w:p>
            <w:pPr>
              <w:spacing w:after="0"/>
              <w:rPr>
                <w:sz w:val="18"/>
                <w:szCs w:val="18"/>
                <w:color w:val="auto"/>
              </w:rPr>
            </w:pPr>
          </w:p>
        </w:tc>
        <w:tc>
          <w:tcPr>
            <w:tcW w:w="1280" w:type="dxa"/>
            <w:vAlign w:val="bottom"/>
          </w:tcPr>
          <w:p>
            <w:pPr>
              <w:jc w:val="right"/>
              <w:ind w:right="139"/>
              <w:spacing w:after="0"/>
              <w:rPr>
                <w:sz w:val="20"/>
                <w:szCs w:val="20"/>
                <w:color w:val="auto"/>
              </w:rPr>
            </w:pPr>
            <w:r>
              <w:rPr>
                <w:rFonts w:ascii="Arial" w:cs="Arial" w:eastAsia="Arial" w:hAnsi="Arial"/>
                <w:sz w:val="16"/>
                <w:szCs w:val="16"/>
                <w:b w:val="1"/>
                <w:bCs w:val="1"/>
                <w:color w:val="auto"/>
              </w:rPr>
              <w:t>May 29, 2021</w:t>
            </w:r>
          </w:p>
        </w:tc>
        <w:tc>
          <w:tcPr>
            <w:tcW w:w="100" w:type="dxa"/>
            <w:vAlign w:val="bottom"/>
          </w:tcPr>
          <w:p>
            <w:pPr>
              <w:spacing w:after="0"/>
              <w:rPr>
                <w:sz w:val="18"/>
                <w:szCs w:val="18"/>
                <w:color w:val="auto"/>
              </w:rPr>
            </w:pPr>
          </w:p>
        </w:tc>
        <w:tc>
          <w:tcPr>
            <w:tcW w:w="1300" w:type="dxa"/>
            <w:vAlign w:val="bottom"/>
            <w:gridSpan w:val="2"/>
          </w:tcPr>
          <w:p>
            <w:pPr>
              <w:ind w:left="20"/>
              <w:spacing w:after="0"/>
              <w:rPr>
                <w:sz w:val="20"/>
                <w:szCs w:val="20"/>
                <w:color w:val="auto"/>
              </w:rPr>
            </w:pPr>
            <w:r>
              <w:rPr>
                <w:rFonts w:ascii="Arial" w:cs="Arial" w:eastAsia="Arial" w:hAnsi="Arial"/>
                <w:sz w:val="16"/>
                <w:szCs w:val="16"/>
                <w:b w:val="1"/>
                <w:bCs w:val="1"/>
                <w:color w:val="auto"/>
              </w:rPr>
              <w:t>% of Revenues</w:t>
            </w:r>
          </w:p>
        </w:tc>
        <w:tc>
          <w:tcPr>
            <w:tcW w:w="160" w:type="dxa"/>
            <w:vAlign w:val="bottom"/>
          </w:tcPr>
          <w:p>
            <w:pPr>
              <w:spacing w:after="0"/>
              <w:rPr>
                <w:sz w:val="18"/>
                <w:szCs w:val="18"/>
                <w:color w:val="auto"/>
              </w:rPr>
            </w:pPr>
          </w:p>
        </w:tc>
        <w:tc>
          <w:tcPr>
            <w:tcW w:w="1280" w:type="dxa"/>
            <w:vAlign w:val="bottom"/>
          </w:tcPr>
          <w:p>
            <w:pPr>
              <w:jc w:val="right"/>
              <w:ind w:right="139"/>
              <w:spacing w:after="0"/>
              <w:rPr>
                <w:sz w:val="20"/>
                <w:szCs w:val="20"/>
                <w:color w:val="auto"/>
              </w:rPr>
            </w:pPr>
            <w:r>
              <w:rPr>
                <w:rFonts w:ascii="Arial" w:cs="Arial" w:eastAsia="Arial" w:hAnsi="Arial"/>
                <w:sz w:val="16"/>
                <w:szCs w:val="16"/>
                <w:b w:val="1"/>
                <w:bCs w:val="1"/>
                <w:color w:val="auto"/>
              </w:rPr>
              <w:t>May 30, 2020</w:t>
            </w:r>
          </w:p>
        </w:tc>
        <w:tc>
          <w:tcPr>
            <w:tcW w:w="100" w:type="dxa"/>
            <w:vAlign w:val="bottom"/>
          </w:tcPr>
          <w:p>
            <w:pPr>
              <w:spacing w:after="0"/>
              <w:rPr>
                <w:sz w:val="18"/>
                <w:szCs w:val="18"/>
                <w:color w:val="auto"/>
              </w:rPr>
            </w:pPr>
          </w:p>
        </w:tc>
        <w:tc>
          <w:tcPr>
            <w:tcW w:w="1300" w:type="dxa"/>
            <w:vAlign w:val="bottom"/>
            <w:gridSpan w:val="2"/>
          </w:tcPr>
          <w:p>
            <w:pPr>
              <w:ind w:left="20"/>
              <w:spacing w:after="0"/>
              <w:rPr>
                <w:sz w:val="20"/>
                <w:szCs w:val="20"/>
                <w:color w:val="auto"/>
              </w:rPr>
            </w:pPr>
            <w:r>
              <w:rPr>
                <w:rFonts w:ascii="Arial" w:cs="Arial" w:eastAsia="Arial" w:hAnsi="Arial"/>
                <w:sz w:val="16"/>
                <w:szCs w:val="16"/>
                <w:b w:val="1"/>
                <w:bCs w:val="1"/>
                <w:color w:val="auto"/>
              </w:rPr>
              <w:t>% of Revenues</w:t>
            </w:r>
          </w:p>
        </w:tc>
        <w:tc>
          <w:tcPr>
            <w:tcW w:w="14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9"/>
              </w:rPr>
              <w:t>$ Change</w:t>
            </w:r>
          </w:p>
        </w:tc>
        <w:tc>
          <w:tcPr>
            <w:tcW w:w="1180" w:type="dxa"/>
            <w:vAlign w:val="bottom"/>
          </w:tcPr>
          <w:p>
            <w:pPr>
              <w:jc w:val="right"/>
              <w:ind w:right="119"/>
              <w:spacing w:after="0"/>
              <w:rPr>
                <w:sz w:val="20"/>
                <w:szCs w:val="20"/>
                <w:color w:val="auto"/>
              </w:rPr>
            </w:pPr>
            <w:r>
              <w:rPr>
                <w:rFonts w:ascii="Arial" w:cs="Arial" w:eastAsia="Arial" w:hAnsi="Arial"/>
                <w:sz w:val="16"/>
                <w:szCs w:val="16"/>
                <w:b w:val="1"/>
                <w:bCs w:val="1"/>
                <w:color w:val="auto"/>
              </w:rPr>
              <w:t>% Change</w:t>
            </w:r>
          </w:p>
        </w:tc>
      </w:tr>
      <w:tr>
        <w:trPr>
          <w:trHeight w:val="209"/>
        </w:trPr>
        <w:tc>
          <w:tcPr>
            <w:tcW w:w="3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1,090,221</w:t>
            </w: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755,023</w:t>
            </w: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335,198</w:t>
            </w: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44.4 %</w:t>
            </w:r>
          </w:p>
        </w:tc>
      </w:tr>
      <w:tr>
        <w:trPr>
          <w:trHeight w:val="213"/>
        </w:trPr>
        <w:tc>
          <w:tcPr>
            <w:tcW w:w="320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118,779</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10.9 %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13,488</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1.8 %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105,291</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780.6 %</w:t>
            </w:r>
          </w:p>
        </w:tc>
      </w:tr>
      <w:tr>
        <w:trPr>
          <w:trHeight w:val="259"/>
        </w:trPr>
        <w:tc>
          <w:tcPr>
            <w:tcW w:w="32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r>
      <w:tr>
        <w:trPr>
          <w:trHeight w:val="415"/>
        </w:trPr>
        <w:tc>
          <w:tcPr>
            <w:tcW w:w="3200" w:type="dxa"/>
            <w:vAlign w:val="bottom"/>
          </w:tcPr>
          <w:p>
            <w:pPr>
              <w:ind w:left="20"/>
              <w:spacing w:after="0"/>
              <w:rPr>
                <w:sz w:val="20"/>
                <w:szCs w:val="20"/>
                <w:color w:val="auto"/>
              </w:rPr>
            </w:pPr>
            <w:r>
              <w:rPr>
                <w:rFonts w:ascii="Arial" w:cs="Arial" w:eastAsia="Arial" w:hAnsi="Arial"/>
                <w:sz w:val="32"/>
                <w:szCs w:val="32"/>
                <w:color w:val="auto"/>
                <w:vertAlign w:val="subscript"/>
              </w:rPr>
              <w:t>ASP</w:t>
            </w:r>
            <w:r>
              <w:rPr>
                <w:rFonts w:ascii="Arial" w:cs="Arial" w:eastAsia="Arial" w:hAnsi="Arial"/>
                <w:sz w:val="11"/>
                <w:szCs w:val="11"/>
                <w:color w:val="auto"/>
              </w:rPr>
              <w:t>(1)</w:t>
            </w:r>
          </w:p>
        </w:tc>
        <w:tc>
          <w:tcPr>
            <w:tcW w:w="1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135,356</w:t>
            </w: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129,344</w:t>
            </w: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6,012</w:t>
            </w:r>
          </w:p>
        </w:tc>
        <w:tc>
          <w:tcPr>
            <w:tcW w:w="1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4.6 %</w:t>
            </w:r>
          </w:p>
        </w:tc>
      </w:tr>
      <w:tr>
        <w:trPr>
          <w:trHeight w:val="268"/>
        </w:trPr>
        <w:tc>
          <w:tcPr>
            <w:tcW w:w="320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2680" w:type="dxa"/>
            <w:vAlign w:val="bottom"/>
            <w:tcBorders>
              <w:bottom w:val="single" w:sz="8" w:color="auto"/>
            </w:tcBorders>
            <w:gridSpan w:val="4"/>
          </w:tcPr>
          <w:p>
            <w:pPr>
              <w:ind w:left="260"/>
              <w:spacing w:after="0"/>
              <w:rPr>
                <w:sz w:val="20"/>
                <w:szCs w:val="20"/>
                <w:color w:val="auto"/>
              </w:rPr>
            </w:pPr>
            <w:r>
              <w:rPr>
                <w:rFonts w:ascii="Arial" w:cs="Arial" w:eastAsia="Arial" w:hAnsi="Arial"/>
                <w:sz w:val="16"/>
                <w:szCs w:val="16"/>
                <w:b w:val="1"/>
                <w:bCs w:val="1"/>
                <w:color w:val="auto"/>
              </w:rPr>
              <w:t>Nine Months Ended</w:t>
            </w:r>
          </w:p>
        </w:tc>
        <w:tc>
          <w:tcPr>
            <w:tcW w:w="14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spacing w:after="0"/>
              <w:rPr>
                <w:sz w:val="23"/>
                <w:szCs w:val="23"/>
                <w:color w:val="auto"/>
              </w:rPr>
            </w:pPr>
          </w:p>
        </w:tc>
      </w:tr>
      <w:tr>
        <w:trPr>
          <w:trHeight w:val="215"/>
        </w:trPr>
        <w:tc>
          <w:tcPr>
            <w:tcW w:w="32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Unit deliveries</w:t>
            </w: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May 29, 2021</w:t>
            </w: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16"/>
                <w:szCs w:val="16"/>
                <w:b w:val="1"/>
                <w:bCs w:val="1"/>
                <w:color w:val="auto"/>
              </w:rPr>
              <w:t>Product Mix</w:t>
            </w:r>
            <w:r>
              <w:rPr>
                <w:rFonts w:ascii="Arial" w:cs="Arial" w:eastAsia="Arial" w:hAnsi="Arial"/>
                <w:sz w:val="21"/>
                <w:szCs w:val="21"/>
                <w:b w:val="1"/>
                <w:bCs w:val="1"/>
                <w:color w:val="auto"/>
                <w:vertAlign w:val="superscript"/>
              </w:rPr>
              <w:t>(2)</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May 30, 2020</w:t>
            </w:r>
          </w:p>
        </w:tc>
        <w:tc>
          <w:tcPr>
            <w:tcW w:w="10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16"/>
                <w:szCs w:val="16"/>
                <w:b w:val="1"/>
                <w:bCs w:val="1"/>
                <w:color w:val="auto"/>
              </w:rPr>
              <w:t>Product Mix</w:t>
            </w:r>
            <w:r>
              <w:rPr>
                <w:rFonts w:ascii="Arial" w:cs="Arial" w:eastAsia="Arial" w:hAnsi="Arial"/>
                <w:sz w:val="21"/>
                <w:szCs w:val="21"/>
                <w:b w:val="1"/>
                <w:bCs w:val="1"/>
                <w:color w:val="auto"/>
                <w:vertAlign w:val="superscript"/>
              </w:rPr>
              <w:t>(2)</w:t>
            </w:r>
          </w:p>
        </w:tc>
        <w:tc>
          <w:tcPr>
            <w:tcW w:w="12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Unit Change</w:t>
            </w:r>
          </w:p>
        </w:tc>
        <w:tc>
          <w:tcPr>
            <w:tcW w:w="10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 Change</w:t>
            </w:r>
          </w:p>
        </w:tc>
      </w:tr>
      <w:tr>
        <w:trPr>
          <w:trHeight w:val="210"/>
        </w:trPr>
        <w:tc>
          <w:tcPr>
            <w:tcW w:w="3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Class A</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2,047</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25.8 %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1,803</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31.0 %</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13.5 %</w:t>
            </w:r>
          </w:p>
        </w:tc>
      </w:tr>
      <w:tr>
        <w:trPr>
          <w:trHeight w:val="213"/>
        </w:trPr>
        <w:tc>
          <w:tcPr>
            <w:tcW w:w="3200" w:type="dxa"/>
            <w:vAlign w:val="bottom"/>
          </w:tcPr>
          <w:p>
            <w:pPr>
              <w:ind w:left="20"/>
              <w:spacing w:after="0"/>
              <w:rPr>
                <w:sz w:val="20"/>
                <w:szCs w:val="20"/>
                <w:color w:val="auto"/>
              </w:rPr>
            </w:pPr>
            <w:r>
              <w:rPr>
                <w:rFonts w:ascii="Arial" w:cs="Arial" w:eastAsia="Arial" w:hAnsi="Arial"/>
                <w:sz w:val="16"/>
                <w:szCs w:val="16"/>
                <w:color w:val="auto"/>
              </w:rPr>
              <w:t>Class B</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3,901</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49.1 %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2,287</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39.3 %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1,614</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70.6 %</w:t>
            </w:r>
          </w:p>
        </w:tc>
      </w:tr>
      <w:tr>
        <w:trPr>
          <w:trHeight w:val="216"/>
        </w:trPr>
        <w:tc>
          <w:tcPr>
            <w:tcW w:w="3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Class C</w:t>
            </w: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1,994</w:t>
            </w:r>
          </w:p>
        </w:tc>
        <w:tc>
          <w:tcPr>
            <w:tcW w:w="10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25.1 %</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1,734</w:t>
            </w:r>
          </w:p>
        </w:tc>
        <w:tc>
          <w:tcPr>
            <w:tcW w:w="10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29.7 %</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260</w:t>
            </w:r>
          </w:p>
        </w:tc>
        <w:tc>
          <w:tcPr>
            <w:tcW w:w="10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15.0 %</w:t>
            </w:r>
          </w:p>
        </w:tc>
      </w:tr>
      <w:tr>
        <w:trPr>
          <w:trHeight w:val="213"/>
        </w:trPr>
        <w:tc>
          <w:tcPr>
            <w:tcW w:w="3200" w:type="dxa"/>
            <w:vAlign w:val="bottom"/>
          </w:tcPr>
          <w:p>
            <w:pPr>
              <w:ind w:left="140"/>
              <w:spacing w:after="0"/>
              <w:rPr>
                <w:sz w:val="20"/>
                <w:szCs w:val="20"/>
                <w:color w:val="auto"/>
              </w:rPr>
            </w:pPr>
            <w:r>
              <w:rPr>
                <w:rFonts w:ascii="Arial" w:cs="Arial" w:eastAsia="Arial" w:hAnsi="Arial"/>
                <w:sz w:val="16"/>
                <w:szCs w:val="16"/>
                <w:color w:val="auto"/>
              </w:rPr>
              <w:t>Total motorhomes</w:t>
            </w: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7,942</w:t>
            </w:r>
          </w:p>
        </w:tc>
        <w:tc>
          <w:tcPr>
            <w:tcW w:w="10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5,824</w:t>
            </w:r>
          </w:p>
        </w:tc>
        <w:tc>
          <w:tcPr>
            <w:tcW w:w="100" w:type="dxa"/>
            <w:vAlign w:val="bottom"/>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2,118</w:t>
            </w:r>
          </w:p>
        </w:tc>
        <w:tc>
          <w:tcPr>
            <w:tcW w:w="100" w:type="dxa"/>
            <w:vAlign w:val="bottom"/>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36.4 %</w:t>
            </w:r>
          </w:p>
        </w:tc>
      </w:tr>
      <w:tr>
        <w:trPr>
          <w:trHeight w:val="20"/>
        </w:trPr>
        <w:tc>
          <w:tcPr>
            <w:tcW w:w="3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439"/>
        </w:trPr>
        <w:tc>
          <w:tcPr>
            <w:tcW w:w="3200" w:type="dxa"/>
            <w:vAlign w:val="bottom"/>
          </w:tcPr>
          <w:p>
            <w:pPr>
              <w:ind w:left="20"/>
              <w:spacing w:after="0"/>
              <w:rPr>
                <w:sz w:val="20"/>
                <w:szCs w:val="20"/>
                <w:color w:val="auto"/>
              </w:rPr>
            </w:pPr>
            <w:r>
              <w:rPr>
                <w:rFonts w:ascii="Arial" w:cs="Arial" w:eastAsia="Arial" w:hAnsi="Arial"/>
                <w:sz w:val="14"/>
                <w:szCs w:val="14"/>
                <w:color w:val="auto"/>
              </w:rPr>
              <w:t>(in thousands, except units)</w:t>
            </w:r>
          </w:p>
        </w:tc>
        <w:tc>
          <w:tcPr>
            <w:tcW w:w="160" w:type="dxa"/>
            <w:vAlign w:val="bottom"/>
          </w:tcPr>
          <w:p>
            <w:pPr>
              <w:spacing w:after="0"/>
              <w:rPr>
                <w:sz w:val="24"/>
                <w:szCs w:val="24"/>
                <w:color w:val="auto"/>
              </w:rPr>
            </w:pPr>
          </w:p>
        </w:tc>
        <w:tc>
          <w:tcPr>
            <w:tcW w:w="1280" w:type="dxa"/>
            <w:vAlign w:val="bottom"/>
          </w:tcPr>
          <w:p>
            <w:pPr>
              <w:jc w:val="right"/>
              <w:ind w:right="139"/>
              <w:spacing w:after="0"/>
              <w:rPr>
                <w:sz w:val="20"/>
                <w:szCs w:val="20"/>
                <w:color w:val="auto"/>
              </w:rPr>
            </w:pPr>
            <w:r>
              <w:rPr>
                <w:rFonts w:ascii="Arial" w:cs="Arial" w:eastAsia="Arial" w:hAnsi="Arial"/>
                <w:sz w:val="16"/>
                <w:szCs w:val="16"/>
                <w:b w:val="1"/>
                <w:bCs w:val="1"/>
                <w:color w:val="auto"/>
              </w:rPr>
              <w:t>May 29, 2021</w:t>
            </w: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jc w:val="right"/>
              <w:ind w:right="139"/>
              <w:spacing w:after="0"/>
              <w:rPr>
                <w:sz w:val="20"/>
                <w:szCs w:val="20"/>
                <w:color w:val="auto"/>
              </w:rPr>
            </w:pPr>
            <w:r>
              <w:rPr>
                <w:rFonts w:ascii="Arial" w:cs="Arial" w:eastAsia="Arial" w:hAnsi="Arial"/>
                <w:sz w:val="16"/>
                <w:szCs w:val="16"/>
                <w:b w:val="1"/>
                <w:bCs w:val="1"/>
                <w:color w:val="auto"/>
              </w:rPr>
              <w:t>May 30, 2020</w:t>
            </w: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Change</w:t>
            </w:r>
          </w:p>
        </w:tc>
        <w:tc>
          <w:tcPr>
            <w:tcW w:w="1180" w:type="dxa"/>
            <w:vAlign w:val="bottom"/>
          </w:tcPr>
          <w:p>
            <w:pPr>
              <w:jc w:val="right"/>
              <w:ind w:right="119"/>
              <w:spacing w:after="0"/>
              <w:rPr>
                <w:sz w:val="20"/>
                <w:szCs w:val="20"/>
                <w:color w:val="auto"/>
              </w:rPr>
            </w:pPr>
            <w:r>
              <w:rPr>
                <w:rFonts w:ascii="Arial" w:cs="Arial" w:eastAsia="Arial" w:hAnsi="Arial"/>
                <w:sz w:val="16"/>
                <w:szCs w:val="16"/>
                <w:b w:val="1"/>
                <w:bCs w:val="1"/>
                <w:color w:val="auto"/>
              </w:rPr>
              <w:t>% Change</w:t>
            </w:r>
          </w:p>
        </w:tc>
      </w:tr>
      <w:tr>
        <w:trPr>
          <w:trHeight w:val="210"/>
        </w:trPr>
        <w:tc>
          <w:tcPr>
            <w:tcW w:w="3200" w:type="dxa"/>
            <w:vAlign w:val="bottom"/>
            <w:tcBorders>
              <w:top w:val="single" w:sz="8" w:color="auto"/>
            </w:tcBorders>
          </w:tcPr>
          <w:p>
            <w:pPr>
              <w:ind w:left="20"/>
              <w:spacing w:after="0" w:line="210" w:lineRule="exact"/>
              <w:rPr>
                <w:sz w:val="20"/>
                <w:szCs w:val="20"/>
                <w:color w:val="auto"/>
              </w:rPr>
            </w:pPr>
            <w:r>
              <w:rPr>
                <w:rFonts w:ascii="Arial" w:cs="Arial" w:eastAsia="Arial" w:hAnsi="Arial"/>
                <w:sz w:val="16"/>
                <w:szCs w:val="16"/>
                <w:b w:val="1"/>
                <w:bCs w:val="1"/>
                <w:color w:val="auto"/>
              </w:rPr>
              <w:t>Backlog</w:t>
            </w:r>
            <w:r>
              <w:rPr>
                <w:rFonts w:ascii="Arial" w:cs="Arial" w:eastAsia="Arial" w:hAnsi="Arial"/>
                <w:sz w:val="21"/>
                <w:szCs w:val="21"/>
                <w:b w:val="1"/>
                <w:bCs w:val="1"/>
                <w:color w:val="auto"/>
                <w:vertAlign w:val="superscript"/>
              </w:rPr>
              <w:t>(3)</w:t>
            </w:r>
          </w:p>
        </w:tc>
        <w:tc>
          <w:tcPr>
            <w:tcW w:w="1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r>
      <w:tr>
        <w:trPr>
          <w:trHeight w:val="216"/>
        </w:trPr>
        <w:tc>
          <w:tcPr>
            <w:tcW w:w="3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Units</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18,145</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4,131</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14,014</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339.2 %</w:t>
            </w:r>
          </w:p>
        </w:tc>
      </w:tr>
      <w:tr>
        <w:trPr>
          <w:trHeight w:val="213"/>
        </w:trPr>
        <w:tc>
          <w:tcPr>
            <w:tcW w:w="3200" w:type="dxa"/>
            <w:vAlign w:val="bottom"/>
          </w:tcPr>
          <w:p>
            <w:pPr>
              <w:ind w:left="400"/>
              <w:spacing w:after="0"/>
              <w:rPr>
                <w:sz w:val="20"/>
                <w:szCs w:val="20"/>
                <w:color w:val="auto"/>
              </w:rPr>
            </w:pPr>
            <w:r>
              <w:rPr>
                <w:rFonts w:ascii="Arial" w:cs="Arial" w:eastAsia="Arial" w:hAnsi="Arial"/>
                <w:sz w:val="16"/>
                <w:szCs w:val="16"/>
                <w:color w:val="auto"/>
              </w:rPr>
              <w:t>Dollars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2,180,149</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515,035</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1,665,114</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323.3 %</w:t>
            </w:r>
          </w:p>
        </w:tc>
      </w:tr>
      <w:tr>
        <w:trPr>
          <w:trHeight w:val="219"/>
        </w:trPr>
        <w:tc>
          <w:tcPr>
            <w:tcW w:w="32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Dealer Inventory</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10"/>
        </w:trPr>
        <w:tc>
          <w:tcPr>
            <w:tcW w:w="3200" w:type="dxa"/>
            <w:vAlign w:val="bottom"/>
          </w:tcPr>
          <w:p>
            <w:pPr>
              <w:ind w:left="140"/>
              <w:spacing w:after="0"/>
              <w:rPr>
                <w:sz w:val="20"/>
                <w:szCs w:val="20"/>
                <w:color w:val="auto"/>
              </w:rPr>
            </w:pPr>
            <w:r>
              <w:rPr>
                <w:rFonts w:ascii="Arial" w:cs="Arial" w:eastAsia="Arial" w:hAnsi="Arial"/>
                <w:sz w:val="16"/>
                <w:szCs w:val="16"/>
                <w:color w:val="auto"/>
              </w:rPr>
              <w:t>Units</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2,429</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5,013</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(2,584)</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(51.5)%</w:t>
            </w:r>
          </w:p>
        </w:tc>
      </w:tr>
    </w:tbl>
    <w:p>
      <w:pPr>
        <w:spacing w:after="0" w:line="74" w:lineRule="exact"/>
        <w:rPr>
          <w:sz w:val="20"/>
          <w:szCs w:val="20"/>
          <w:color w:val="auto"/>
        </w:rPr>
      </w:pPr>
    </w:p>
    <w:p>
      <w:pPr>
        <w:ind w:left="160" w:hanging="152"/>
        <w:spacing w:after="0"/>
        <w:tabs>
          <w:tab w:leader="none" w:pos="160" w:val="left"/>
        </w:tabs>
        <w:numPr>
          <w:ilvl w:val="0"/>
          <w:numId w:val="16"/>
        </w:numPr>
        <w:rPr>
          <w:rFonts w:ascii="Arial" w:cs="Arial" w:eastAsia="Arial" w:hAnsi="Arial"/>
          <w:sz w:val="18"/>
          <w:szCs w:val="18"/>
          <w:color w:val="auto"/>
          <w:vertAlign w:val="superscript"/>
        </w:rPr>
      </w:pPr>
      <w:r>
        <w:rPr>
          <w:rFonts w:ascii="Arial" w:cs="Arial" w:eastAsia="Arial" w:hAnsi="Arial"/>
          <w:sz w:val="12"/>
          <w:szCs w:val="12"/>
          <w:color w:val="auto"/>
        </w:rPr>
        <w:t>ASP excludes off-invoice dealer incentives.</w:t>
      </w:r>
    </w:p>
    <w:p>
      <w:pPr>
        <w:ind w:left="300" w:hanging="292"/>
        <w:spacing w:after="0" w:line="187" w:lineRule="auto"/>
        <w:tabs>
          <w:tab w:leader="none" w:pos="300" w:val="left"/>
        </w:tabs>
        <w:numPr>
          <w:ilvl w:val="0"/>
          <w:numId w:val="16"/>
        </w:numPr>
        <w:rPr>
          <w:rFonts w:ascii="Arial" w:cs="Arial" w:eastAsia="Arial" w:hAnsi="Arial"/>
          <w:sz w:val="18"/>
          <w:szCs w:val="18"/>
          <w:color w:val="auto"/>
          <w:vertAlign w:val="superscript"/>
        </w:rPr>
      </w:pPr>
      <w:r>
        <w:rPr>
          <w:rFonts w:ascii="Arial" w:cs="Arial" w:eastAsia="Arial" w:hAnsi="Arial"/>
          <w:sz w:val="12"/>
          <w:szCs w:val="12"/>
          <w:color w:val="auto"/>
        </w:rPr>
        <w:t>Percentages may not add due to rounding differences.</w:t>
      </w:r>
    </w:p>
    <w:p>
      <w:pPr>
        <w:ind w:left="260" w:right="100" w:hanging="252"/>
        <w:spacing w:after="0" w:line="188" w:lineRule="auto"/>
        <w:tabs>
          <w:tab w:leader="none" w:pos="313" w:val="left"/>
        </w:tabs>
        <w:numPr>
          <w:ilvl w:val="0"/>
          <w:numId w:val="16"/>
        </w:numPr>
        <w:rPr>
          <w:rFonts w:ascii="Arial" w:cs="Arial" w:eastAsia="Arial" w:hAnsi="Arial"/>
          <w:sz w:val="23"/>
          <w:szCs w:val="23"/>
          <w:color w:val="auto"/>
          <w:vertAlign w:val="superscript"/>
        </w:rPr>
      </w:pPr>
      <w:r>
        <w:rPr>
          <w:rFonts w:ascii="Arial" w:cs="Arial" w:eastAsia="Arial" w:hAnsi="Arial"/>
          <w:sz w:val="14"/>
          <w:szCs w:val="14"/>
          <w:color w:val="auto"/>
        </w:rPr>
        <w:t>Backlog includes all accepted orders from dealers to be shipped generally within the next six months. Orders in backlog can be cancelled or postponed at the option of the dealer at any time without penalty; therefore, backlog may not necessarily be an accurate measure of future sales.</w:t>
      </w:r>
    </w:p>
    <w:p>
      <w:pPr>
        <w:spacing w:after="0" w:line="217" w:lineRule="exact"/>
        <w:rPr>
          <w:sz w:val="20"/>
          <w:szCs w:val="20"/>
          <w:color w:val="auto"/>
        </w:rPr>
      </w:pPr>
    </w:p>
    <w:p>
      <w:pPr>
        <w:ind w:right="280"/>
        <w:spacing w:after="0" w:line="242" w:lineRule="auto"/>
        <w:rPr>
          <w:sz w:val="20"/>
          <w:szCs w:val="20"/>
          <w:color w:val="auto"/>
        </w:rPr>
      </w:pPr>
      <w:r>
        <w:rPr>
          <w:rFonts w:ascii="Arial" w:cs="Arial" w:eastAsia="Arial" w:hAnsi="Arial"/>
          <w:sz w:val="16"/>
          <w:szCs w:val="16"/>
          <w:color w:val="auto"/>
        </w:rPr>
        <w:t>Net revenues increased primarily due to organic unit growth, our acquisition of Newmar in the first quarter of Fiscal 2020, and increased pricing, including allowances.</w:t>
      </w:r>
    </w:p>
    <w:p>
      <w:pPr>
        <w:spacing w:after="0" w:line="223" w:lineRule="exact"/>
        <w:rPr>
          <w:sz w:val="20"/>
          <w:szCs w:val="20"/>
          <w:color w:val="auto"/>
        </w:rPr>
      </w:pPr>
    </w:p>
    <w:p>
      <w:pPr>
        <w:ind w:right="260"/>
        <w:spacing w:after="0" w:line="242" w:lineRule="auto"/>
        <w:rPr>
          <w:sz w:val="20"/>
          <w:szCs w:val="20"/>
          <w:color w:val="auto"/>
        </w:rPr>
      </w:pPr>
      <w:r>
        <w:rPr>
          <w:rFonts w:ascii="Arial" w:cs="Arial" w:eastAsia="Arial" w:hAnsi="Arial"/>
          <w:sz w:val="16"/>
          <w:szCs w:val="16"/>
          <w:color w:val="auto"/>
        </w:rPr>
        <w:t>Adjusted EBITDA increased due to improved operating leverage as a result of higher revenue and pricing actions, including allowances, partially offset by higher variable compensation throughout the segment due to improved operating performance.</w:t>
      </w:r>
    </w:p>
    <w:p>
      <w:pPr>
        <w:spacing w:after="0" w:line="236" w:lineRule="exact"/>
        <w:rPr>
          <w:sz w:val="20"/>
          <w:szCs w:val="20"/>
          <w:color w:val="auto"/>
        </w:rPr>
      </w:pPr>
    </w:p>
    <w:p>
      <w:pPr>
        <w:ind w:right="280"/>
        <w:spacing w:after="0" w:line="260" w:lineRule="auto"/>
        <w:rPr>
          <w:sz w:val="20"/>
          <w:szCs w:val="20"/>
          <w:color w:val="auto"/>
        </w:rPr>
      </w:pPr>
      <w:r>
        <w:rPr>
          <w:rFonts w:ascii="Arial" w:cs="Arial" w:eastAsia="Arial" w:hAnsi="Arial"/>
          <w:sz w:val="16"/>
          <w:szCs w:val="16"/>
          <w:color w:val="auto"/>
        </w:rPr>
        <w:t>Backlog increased primarily due to the continued strong retail demand by consumers of RVs as a safe travel option during the COVID-19 pandemic. As a result of this high retail demand, dealer inventory levels are lower, creating higher order backlog.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31" w:name="page32"/>
    <w:bookmarkEnd w:id="3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Analysis of Financial Condition, Liquidity, and Resources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Cash Flows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our cash flows from operations: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20"/>
        <w:spacing w:after="0"/>
        <w:rPr>
          <w:sz w:val="20"/>
          <w:szCs w:val="20"/>
          <w:color w:val="auto"/>
        </w:rPr>
      </w:pPr>
      <w:r>
        <w:rPr>
          <w:rFonts w:ascii="Arial" w:cs="Arial" w:eastAsia="Arial" w:hAnsi="Arial"/>
          <w:sz w:val="14"/>
          <w:szCs w:val="14"/>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454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9" w:lineRule="exact"/>
        <w:rPr>
          <w:sz w:val="20"/>
          <w:szCs w:val="20"/>
          <w:color w:val="auto"/>
        </w:rPr>
      </w:pPr>
    </w:p>
    <w:p>
      <w:pPr>
        <w:ind w:left="20"/>
        <w:spacing w:after="0"/>
        <w:rPr>
          <w:sz w:val="20"/>
          <w:szCs w:val="20"/>
          <w:color w:val="auto"/>
        </w:rPr>
      </w:pPr>
      <w:r>
        <w:rPr>
          <w:rFonts w:ascii="Arial" w:cs="Arial" w:eastAsia="Arial" w:hAnsi="Arial"/>
          <w:sz w:val="16"/>
          <w:szCs w:val="16"/>
          <w:color w:val="auto"/>
        </w:rPr>
        <w:t>Total cash provided by (used in):</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Investing activities</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631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increase in cash and cash equivalents</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Operating Activities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940"/>
        <w:spacing w:after="0"/>
        <w:rPr>
          <w:sz w:val="20"/>
          <w:szCs w:val="20"/>
          <w:color w:val="auto"/>
        </w:rPr>
      </w:pPr>
      <w:r>
        <w:rPr>
          <w:rFonts w:ascii="Arial" w:cs="Arial" w:eastAsia="Arial" w:hAnsi="Arial"/>
          <w:sz w:val="16"/>
          <w:szCs w:val="16"/>
          <w:b w:val="1"/>
          <w:bCs w:val="1"/>
          <w:color w:val="auto"/>
        </w:rPr>
        <w:t>Nine Months Ended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gridSpan w:val="2"/>
          </w:tcPr>
          <w:p>
            <w:pPr>
              <w:ind w:left="200"/>
              <w:spacing w:after="0" w:line="161" w:lineRule="exact"/>
              <w:rPr>
                <w:sz w:val="20"/>
                <w:szCs w:val="20"/>
                <w:color w:val="auto"/>
              </w:rPr>
            </w:pPr>
            <w:r>
              <w:rPr>
                <w:rFonts w:ascii="Arial" w:cs="Arial" w:eastAsia="Arial" w:hAnsi="Arial"/>
                <w:sz w:val="16"/>
                <w:szCs w:val="16"/>
                <w:b w:val="1"/>
                <w:bCs w:val="1"/>
                <w:color w:val="auto"/>
              </w:rPr>
              <w:t>May 29,</w:t>
            </w:r>
          </w:p>
        </w:tc>
        <w:tc>
          <w:tcPr>
            <w:tcW w:w="32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jc w:val="center"/>
              <w:ind w:right="219"/>
              <w:spacing w:after="0" w:line="161" w:lineRule="exact"/>
              <w:rPr>
                <w:sz w:val="20"/>
                <w:szCs w:val="20"/>
                <w:color w:val="auto"/>
              </w:rPr>
            </w:pPr>
            <w:r>
              <w:rPr>
                <w:rFonts w:ascii="Arial" w:cs="Arial" w:eastAsia="Arial" w:hAnsi="Arial"/>
                <w:sz w:val="16"/>
                <w:szCs w:val="16"/>
                <w:b w:val="1"/>
                <w:bCs w:val="1"/>
                <w:color w:val="auto"/>
              </w:rPr>
              <w:t>May 30,</w:t>
            </w:r>
          </w:p>
        </w:tc>
      </w:tr>
      <w:tr>
        <w:trPr>
          <w:trHeight w:val="215"/>
        </w:trPr>
        <w:tc>
          <w:tcPr>
            <w:tcW w:w="320" w:type="dxa"/>
            <w:vAlign w:val="bottom"/>
          </w:tcPr>
          <w:p>
            <w:pPr>
              <w:spacing w:after="0"/>
              <w:rPr>
                <w:sz w:val="18"/>
                <w:szCs w:val="18"/>
                <w:color w:val="auto"/>
              </w:rPr>
            </w:pPr>
          </w:p>
        </w:tc>
        <w:tc>
          <w:tcPr>
            <w:tcW w:w="1320" w:type="dxa"/>
            <w:vAlign w:val="bottom"/>
          </w:tcPr>
          <w:p>
            <w:pPr>
              <w:jc w:val="right"/>
              <w:ind w:right="55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2020</w:t>
            </w:r>
          </w:p>
        </w:tc>
      </w:tr>
      <w:tr>
        <w:trPr>
          <w:trHeight w:val="420"/>
        </w:trPr>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147,954</w:t>
            </w:r>
          </w:p>
        </w:tc>
        <w:tc>
          <w:tcPr>
            <w:tcW w:w="100" w:type="dxa"/>
            <w:vAlign w:val="bottom"/>
          </w:tcPr>
          <w:p>
            <w:pPr>
              <w:spacing w:after="0"/>
              <w:rPr>
                <w:sz w:val="24"/>
                <w:szCs w:val="24"/>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320" w:type="dxa"/>
            <w:vAlign w:val="bottom"/>
          </w:tcPr>
          <w:p>
            <w:pPr>
              <w:jc w:val="center"/>
              <w:ind w:left="499"/>
              <w:spacing w:after="0"/>
              <w:rPr>
                <w:sz w:val="20"/>
                <w:szCs w:val="20"/>
                <w:color w:val="auto"/>
              </w:rPr>
            </w:pPr>
            <w:r>
              <w:rPr>
                <w:rFonts w:ascii="Arial" w:cs="Arial" w:eastAsia="Arial" w:hAnsi="Arial"/>
                <w:sz w:val="16"/>
                <w:szCs w:val="16"/>
                <w:color w:val="auto"/>
              </w:rPr>
              <w:t>162,437</w:t>
            </w:r>
          </w:p>
        </w:tc>
      </w:tr>
      <w:tr>
        <w:trPr>
          <w:trHeight w:val="216"/>
        </w:trPr>
        <w:tc>
          <w:tcPr>
            <w:tcW w:w="3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(11,370)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jc w:val="center"/>
              <w:ind w:left="499"/>
              <w:spacing w:after="0"/>
              <w:rPr>
                <w:sz w:val="20"/>
                <w:szCs w:val="20"/>
                <w:color w:val="auto"/>
              </w:rPr>
            </w:pPr>
            <w:r>
              <w:rPr>
                <w:rFonts w:ascii="Arial" w:cs="Arial" w:eastAsia="Arial" w:hAnsi="Arial"/>
                <w:sz w:val="16"/>
                <w:szCs w:val="16"/>
                <w:color w:val="auto"/>
              </w:rPr>
              <w:t>(289,406)</w:t>
            </w:r>
          </w:p>
        </w:tc>
      </w:tr>
      <w:tr>
        <w:trPr>
          <w:trHeight w:val="219"/>
        </w:trPr>
        <w:tc>
          <w:tcPr>
            <w:tcW w:w="3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(23,318)</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ind w:left="499"/>
              <w:spacing w:after="0"/>
              <w:rPr>
                <w:sz w:val="20"/>
                <w:szCs w:val="20"/>
                <w:color w:val="auto"/>
              </w:rPr>
            </w:pPr>
            <w:r>
              <w:rPr>
                <w:rFonts w:ascii="Arial" w:cs="Arial" w:eastAsia="Arial" w:hAnsi="Arial"/>
                <w:sz w:val="16"/>
                <w:szCs w:val="16"/>
                <w:color w:val="auto"/>
              </w:rPr>
              <w:t>242,018</w:t>
            </w:r>
          </w:p>
        </w:tc>
      </w:tr>
      <w:tr>
        <w:trPr>
          <w:trHeight w:val="209"/>
        </w:trPr>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113,266</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center"/>
              <w:ind w:left="499"/>
              <w:spacing w:after="0"/>
              <w:rPr>
                <w:sz w:val="20"/>
                <w:szCs w:val="20"/>
                <w:color w:val="auto"/>
              </w:rPr>
            </w:pPr>
            <w:r>
              <w:rPr>
                <w:rFonts w:ascii="Arial" w:cs="Arial" w:eastAsia="Arial" w:hAnsi="Arial"/>
                <w:sz w:val="16"/>
                <w:szCs w:val="16"/>
                <w:color w:val="auto"/>
              </w:rPr>
              <w:t>115,049</w:t>
            </w:r>
          </w:p>
        </w:tc>
      </w:tr>
      <w:tr>
        <w:trPr>
          <w:trHeight w:val="23"/>
        </w:trPr>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bl>
    <w:p>
      <w:pPr>
        <w:spacing w:after="0" w:line="514" w:lineRule="exact"/>
        <w:rPr>
          <w:sz w:val="20"/>
          <w:szCs w:val="20"/>
          <w:color w:val="auto"/>
        </w:rPr>
      </w:pPr>
    </w:p>
    <w:p>
      <w:pPr>
        <w:sectPr>
          <w:pgSz w:w="11900" w:h="16838" w:orient="portrait"/>
          <w:cols w:equalWidth="0" w:num="2">
            <w:col w:w="7140" w:space="720"/>
            <w:col w:w="3380"/>
          </w:cols>
          <w:pgMar w:left="320" w:top="141" w:right="339" w:bottom="1440" w:gutter="0" w:footer="0" w:header="0"/>
        </w:sectPr>
      </w:pPr>
    </w:p>
    <w:p>
      <w:pPr>
        <w:ind w:right="220"/>
        <w:spacing w:after="0" w:line="253" w:lineRule="auto"/>
        <w:rPr>
          <w:sz w:val="20"/>
          <w:szCs w:val="20"/>
          <w:color w:val="auto"/>
        </w:rPr>
      </w:pPr>
      <w:r>
        <w:rPr>
          <w:rFonts w:ascii="Arial" w:cs="Arial" w:eastAsia="Arial" w:hAnsi="Arial"/>
          <w:sz w:val="16"/>
          <w:szCs w:val="16"/>
          <w:color w:val="auto"/>
        </w:rPr>
        <w:t>Cash provided by operating activities decreased primarily due to investments in working capital to support current year revenue growth, including higher inventory to support customer demand, timing of accounts receivable invoicing/collections and payments on accounts payable, and higher enterprise-wide variable compensation, partially offset by higher profitability in the nine months ended May 29, 2021.</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Investing Activities</w:t>
      </w:r>
    </w:p>
    <w:p>
      <w:pPr>
        <w:spacing w:after="0" w:line="129"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Cash used in investing activities decreased primarily due to our acquisition of Newmar during the first quarter of Fiscal 2020 and proceeds received from the sale of property in Junction City, OR.</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Financing Activities</w:t>
      </w:r>
    </w:p>
    <w:p>
      <w:pPr>
        <w:spacing w:after="0" w:line="129" w:lineRule="exact"/>
        <w:rPr>
          <w:sz w:val="20"/>
          <w:szCs w:val="20"/>
          <w:color w:val="auto"/>
        </w:rPr>
      </w:pPr>
    </w:p>
    <w:p>
      <w:pPr>
        <w:jc w:val="both"/>
        <w:ind w:right="200"/>
        <w:spacing w:after="0" w:line="253" w:lineRule="auto"/>
        <w:rPr>
          <w:sz w:val="20"/>
          <w:szCs w:val="20"/>
          <w:color w:val="auto"/>
        </w:rPr>
      </w:pPr>
      <w:r>
        <w:rPr>
          <w:rFonts w:ascii="Arial" w:cs="Arial" w:eastAsia="Arial" w:hAnsi="Arial"/>
          <w:sz w:val="16"/>
          <w:szCs w:val="16"/>
          <w:color w:val="auto"/>
        </w:rPr>
        <w:t>Cash provided by financing activities switched to cash used in Fiscal 2021 primarily driven by financing of the Newmar acquisition in the prior year through the issuance of Convertible Notes and Warrants, partially offset by the purchase of a convertible bond hedge, and an increase in stock repurchases in the first quarter of Fiscal 2021.</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Debt and Capital</w:t>
      </w:r>
    </w:p>
    <w:p>
      <w:pPr>
        <w:spacing w:after="0" w:line="133" w:lineRule="exact"/>
        <w:rPr>
          <w:sz w:val="20"/>
          <w:szCs w:val="20"/>
          <w:color w:val="auto"/>
        </w:rPr>
      </w:pPr>
    </w:p>
    <w:p>
      <w:pPr>
        <w:ind w:right="620"/>
        <w:spacing w:after="0" w:line="260" w:lineRule="auto"/>
        <w:rPr>
          <w:sz w:val="20"/>
          <w:szCs w:val="20"/>
          <w:color w:val="auto"/>
        </w:rPr>
      </w:pPr>
      <w:r>
        <w:rPr>
          <w:rFonts w:ascii="Arial" w:cs="Arial" w:eastAsia="Arial" w:hAnsi="Arial"/>
          <w:sz w:val="16"/>
          <w:szCs w:val="16"/>
          <w:color w:val="auto"/>
        </w:rPr>
        <w:t>During the first quarter of Fiscal 2020, we issued Convertible Notes, which were partially used to fund the Newmar acquisition. Refer to Note 8 to the Consolidated Financial Statements included in Item 1 of Part I of this Quarterly Report on Form 10-Q for additional details.</w:t>
      </w:r>
    </w:p>
    <w:p>
      <w:pPr>
        <w:spacing w:after="0" w:line="222"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On July 8, 2020, we closed on our private offering (the "Senior Secured Notes Offering") of $300,000 in aggregate principal amount of 6.25% senior secured notes due 2028 (the "Senior Secured Notes"). The proceeds from the Senior Secured Notes were used to repay the remaining debt on the Term Loan and for general corporate purposes. Refer to Note 8 to the Consolidated Financial Statements included in Item 1 of Part I of this Quarterly Report on Form 10-Q for additional details.</w:t>
      </w:r>
    </w:p>
    <w:p>
      <w:pPr>
        <w:spacing w:after="0" w:line="229" w:lineRule="exact"/>
        <w:rPr>
          <w:sz w:val="20"/>
          <w:szCs w:val="20"/>
          <w:color w:val="auto"/>
        </w:rPr>
      </w:pPr>
    </w:p>
    <w:p>
      <w:pPr>
        <w:ind w:right="140"/>
        <w:spacing w:after="0" w:line="260" w:lineRule="auto"/>
        <w:rPr>
          <w:sz w:val="20"/>
          <w:szCs w:val="20"/>
          <w:color w:val="auto"/>
        </w:rPr>
      </w:pPr>
      <w:r>
        <w:rPr>
          <w:rFonts w:ascii="Arial" w:cs="Arial" w:eastAsia="Arial" w:hAnsi="Arial"/>
          <w:sz w:val="16"/>
          <w:szCs w:val="16"/>
          <w:color w:val="auto"/>
        </w:rPr>
        <w:t>We maintain a $192,500 asset-based revolving credit facility ("ABL Credit Facility") with a maturity date of October 22, 2024 subject to certain factors which may accelerate the maturity date. As of May 29, 2021, we had no borrowings against the ABL Credit Facility.</w:t>
      </w:r>
    </w:p>
    <w:p>
      <w:pPr>
        <w:spacing w:after="0" w:line="222" w:lineRule="exact"/>
        <w:rPr>
          <w:sz w:val="20"/>
          <w:szCs w:val="20"/>
          <w:color w:val="auto"/>
        </w:rPr>
      </w:pPr>
    </w:p>
    <w:p>
      <w:pPr>
        <w:ind w:right="300"/>
        <w:spacing w:after="0" w:line="260" w:lineRule="auto"/>
        <w:rPr>
          <w:sz w:val="20"/>
          <w:szCs w:val="20"/>
          <w:color w:val="auto"/>
        </w:rPr>
      </w:pPr>
      <w:r>
        <w:rPr>
          <w:rFonts w:ascii="Arial" w:cs="Arial" w:eastAsia="Arial" w:hAnsi="Arial"/>
          <w:sz w:val="16"/>
          <w:szCs w:val="16"/>
          <w:color w:val="auto"/>
        </w:rPr>
        <w:t>As of May 29, 2021, we had $405,841 in cash and cash equivalents and $192,500 in unused ABL Credit Facility. Our cash and cash equivalent balances consist of high quality, short-term money market instruments.</w:t>
      </w:r>
    </w:p>
    <w:p>
      <w:pPr>
        <w:spacing w:after="0" w:line="222"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We believe cash flow from operations, existing lines of credit, and access to debt and capital markets will be sufficient to meet our current liquidity needs, and we have committed liquidity and cash reserves in excess of our anticipated funding requirements. We evaluate the financial stability of the counterparties for the Convertible Notes, the Senior Secured Notes, and the ABL Credit Facility, and will continue to monitor counterparty risk on an on-going basis.</w:t>
      </w: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Other Financial Measures</w:t>
      </w:r>
    </w:p>
    <w:p>
      <w:pPr>
        <w:spacing w:after="0" w:line="133" w:lineRule="exact"/>
        <w:rPr>
          <w:sz w:val="20"/>
          <w:szCs w:val="20"/>
          <w:color w:val="auto"/>
        </w:rPr>
      </w:pPr>
    </w:p>
    <w:p>
      <w:pPr>
        <w:ind w:right="200"/>
        <w:spacing w:after="0" w:line="260" w:lineRule="auto"/>
        <w:rPr>
          <w:sz w:val="20"/>
          <w:szCs w:val="20"/>
          <w:color w:val="auto"/>
        </w:rPr>
      </w:pPr>
      <w:r>
        <w:rPr>
          <w:rFonts w:ascii="Arial" w:cs="Arial" w:eastAsia="Arial" w:hAnsi="Arial"/>
          <w:sz w:val="16"/>
          <w:szCs w:val="16"/>
          <w:color w:val="auto"/>
        </w:rPr>
        <w:t>Working capital at May 29, 2021 and August 29, 2020 was $613,007 and $413,220, respectively. We currently expect cash on hand, funds generated from operations, and the borrowing available under our ABL Credit Facility to be sufficient to cover both short-term and long-term operating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type w:val="continuous"/>
        </w:sectPr>
      </w:pPr>
    </w:p>
    <w:bookmarkStart w:id="32" w:name="page33"/>
    <w:bookmarkEnd w:id="3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Share Repurchases and Dividends</w:t>
      </w:r>
    </w:p>
    <w:p>
      <w:pPr>
        <w:spacing w:after="0" w:line="133" w:lineRule="exact"/>
        <w:rPr>
          <w:sz w:val="20"/>
          <w:szCs w:val="20"/>
          <w:color w:val="auto"/>
        </w:rPr>
      </w:pPr>
    </w:p>
    <w:p>
      <w:pPr>
        <w:ind w:right="160"/>
        <w:spacing w:after="0" w:line="253" w:lineRule="auto"/>
        <w:rPr>
          <w:sz w:val="20"/>
          <w:szCs w:val="20"/>
          <w:color w:val="auto"/>
        </w:rPr>
      </w:pPr>
      <w:r>
        <w:rPr>
          <w:rFonts w:ascii="Arial" w:cs="Arial" w:eastAsia="Arial" w:hAnsi="Arial"/>
          <w:sz w:val="16"/>
          <w:szCs w:val="16"/>
          <w:color w:val="auto"/>
        </w:rPr>
        <w:t>We repurchase our common stock and pay dividends pursuant to programs approved by our Board of Directors. Our long-term capital allocation strategy is to first fund operations and investments in growth, maintain a debt leverage ratio within our targeted zone, maintain reasonable liquidity, and then return excess cash over time to shareholders through dividends and share repurchases.</w:t>
      </w:r>
    </w:p>
    <w:p>
      <w:pPr>
        <w:spacing w:after="0" w:line="22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On October 14, 2020, our Board of Directors adopted, subject to shareholder approval, an amendment to the Company’s Articles of Incorporation to increase the number of authorized shares of common stock, par value $0.50 per share, by 60,000 shares to a total of 120,000 shares. This amendment was approved by the Company’s shareholders at the 2020 Annual Meeting of Shareholders on December 15, 2020. The amendment, along with an amended and restated Articles of Incorporation, were made effective upon filing with the Secretary of State of the State of Iowa on December 17, 2020.</w:t>
      </w:r>
    </w:p>
    <w:p>
      <w:pPr>
        <w:spacing w:after="0" w:line="229"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auto"/>
        </w:rPr>
        <w:t>On October 18, 2017, our Board of Directors authorized a share repurchase program in the amount of $70,000. There is no time restriction on the authorization. In the nine months ended May 29, 2021, we repurchased 204,000 shares of our own common stock at a cost of $10,004 under this authorization, and 38,000 shares at a cost of $2,105 to satisfy tax obligations on employee equity awards vested. We continually evaluate if share repurchases reflect a prudent use of our capital and, subject to compliance with our ABL Credit Facility and Senior Secured Notes, we may purchase shares in the future. At May 29, 2021, we have $58,761 remaining on our Board approved repurchase authorization.</w:t>
      </w:r>
    </w:p>
    <w:p>
      <w:pPr>
        <w:spacing w:after="0" w:line="230" w:lineRule="exact"/>
        <w:rPr>
          <w:sz w:val="20"/>
          <w:szCs w:val="20"/>
          <w:color w:val="auto"/>
        </w:rPr>
      </w:pPr>
    </w:p>
    <w:p>
      <w:pPr>
        <w:ind w:right="460"/>
        <w:spacing w:after="0" w:line="260" w:lineRule="auto"/>
        <w:rPr>
          <w:sz w:val="20"/>
          <w:szCs w:val="20"/>
          <w:color w:val="auto"/>
        </w:rPr>
      </w:pPr>
      <w:r>
        <w:rPr>
          <w:rFonts w:ascii="Arial" w:cs="Arial" w:eastAsia="Arial" w:hAnsi="Arial"/>
          <w:sz w:val="16"/>
          <w:szCs w:val="16"/>
          <w:color w:val="auto"/>
        </w:rPr>
        <w:t>On May 19, 2021, our Board of Directors approved a quarterly cash dividend of $0.12 per share payable on June 30, 2021, to common stockholders of record at the close of business on June 16, 2021.</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Contractual Obligations and Commercial Commitments</w:t>
      </w:r>
    </w:p>
    <w:p>
      <w:pPr>
        <w:spacing w:after="0" w:line="133"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There has been no material change in our contractual obligations since the end of Fiscal 2020. Refer to Note 8 to the Consolidated Financial Statements included in Item 1 of Part I of this Quarterly Report on Form 10-Q for additional details on the Convertible Notes and Senior Secured Notes. Additionally, see our Annual Report on Form 10-K for the fiscal year ended August 29, 2020 for additional information regarding our contractual obligations and commercial commitments.</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Policies</w:t>
      </w:r>
    </w:p>
    <w:p>
      <w:pPr>
        <w:spacing w:after="0" w:line="133" w:lineRule="exact"/>
        <w:rPr>
          <w:sz w:val="20"/>
          <w:szCs w:val="20"/>
          <w:color w:val="auto"/>
        </w:rPr>
      </w:pPr>
    </w:p>
    <w:p>
      <w:pPr>
        <w:ind w:right="180"/>
        <w:spacing w:after="0" w:line="251" w:lineRule="auto"/>
        <w:rPr>
          <w:sz w:val="20"/>
          <w:szCs w:val="20"/>
          <w:color w:val="auto"/>
        </w:rPr>
      </w:pPr>
      <w:r>
        <w:rPr>
          <w:rFonts w:ascii="Arial" w:cs="Arial" w:eastAsia="Arial" w:hAnsi="Arial"/>
          <w:sz w:val="16"/>
          <w:szCs w:val="16"/>
          <w:color w:val="auto"/>
        </w:rPr>
        <w:t xml:space="preserve">We describe our significant accounting policies in Note 1 to the Consolidated Financial Statements included in Item 8 of Part II of our Annual Report on Form 10-K for the fiscal year ended August 29, 2020. We discuss our critical accounting estimates in Item 7, </w:t>
      </w:r>
      <w:r>
        <w:rPr>
          <w:rFonts w:ascii="Arial" w:cs="Arial" w:eastAsia="Arial" w:hAnsi="Arial"/>
          <w:sz w:val="16"/>
          <w:szCs w:val="16"/>
          <w:i w:val="1"/>
          <w:iCs w:val="1"/>
          <w:color w:val="auto"/>
        </w:rPr>
        <w:t>Management's Discussion and Analysis of</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Financial Condition and Results of Operations </w:t>
      </w:r>
      <w:r>
        <w:rPr>
          <w:rFonts w:ascii="Arial" w:cs="Arial" w:eastAsia="Arial" w:hAnsi="Arial"/>
          <w:sz w:val="16"/>
          <w:szCs w:val="16"/>
          <w:color w:val="auto"/>
        </w:rPr>
        <w:t>, in our Annual Report on Form 10-K for the fiscal year ended August 29, 2020. There have been no material</w:t>
      </w:r>
      <w:r>
        <w:rPr>
          <w:rFonts w:ascii="Arial" w:cs="Arial" w:eastAsia="Arial" w:hAnsi="Arial"/>
          <w:sz w:val="16"/>
          <w:szCs w:val="16"/>
          <w:i w:val="1"/>
          <w:iCs w:val="1"/>
          <w:color w:val="auto"/>
        </w:rPr>
        <w:t xml:space="preserve"> </w:t>
      </w:r>
      <w:r>
        <w:rPr>
          <w:rFonts w:ascii="Arial" w:cs="Arial" w:eastAsia="Arial" w:hAnsi="Arial"/>
          <w:sz w:val="16"/>
          <w:szCs w:val="16"/>
          <w:color w:val="auto"/>
        </w:rPr>
        <w:t>changes to our significant accounting policies or critical accounting policies since the end of Fiscal 2020.</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Recently Issued Accounting Pronouncements</w:t>
      </w:r>
    </w:p>
    <w:p>
      <w:pPr>
        <w:spacing w:after="0" w:line="133" w:lineRule="exact"/>
        <w:rPr>
          <w:sz w:val="20"/>
          <w:szCs w:val="20"/>
          <w:color w:val="auto"/>
        </w:rPr>
      </w:pPr>
    </w:p>
    <w:p>
      <w:pPr>
        <w:ind w:right="460"/>
        <w:spacing w:after="0" w:line="260" w:lineRule="auto"/>
        <w:rPr>
          <w:sz w:val="20"/>
          <w:szCs w:val="20"/>
          <w:color w:val="auto"/>
        </w:rPr>
      </w:pPr>
      <w:r>
        <w:rPr>
          <w:rFonts w:ascii="Arial" w:cs="Arial" w:eastAsia="Arial" w:hAnsi="Arial"/>
          <w:sz w:val="16"/>
          <w:szCs w:val="16"/>
          <w:color w:val="auto"/>
        </w:rPr>
        <w:t>Information regarding new accounting pronouncements is include in Note 1 to the Consolidated Financial Statements included in Item 1 of Part I of this Quarterly Report on Form 10-Q.</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Safe Harbor Statement Under the Private Securities Litigation Reform Act</w:t>
      </w:r>
    </w:p>
    <w:p>
      <w:pPr>
        <w:spacing w:after="0" w:line="133" w:lineRule="exact"/>
        <w:rPr>
          <w:sz w:val="20"/>
          <w:szCs w:val="20"/>
          <w:color w:val="auto"/>
        </w:rPr>
      </w:pPr>
    </w:p>
    <w:p>
      <w:pPr>
        <w:spacing w:after="0" w:line="247" w:lineRule="auto"/>
        <w:rPr>
          <w:sz w:val="20"/>
          <w:szCs w:val="20"/>
          <w:color w:val="auto"/>
        </w:rPr>
      </w:pPr>
      <w:r>
        <w:rPr>
          <w:rFonts w:ascii="Arial" w:cs="Arial" w:eastAsia="Arial" w:hAnsi="Arial"/>
          <w:sz w:val="16"/>
          <w:szCs w:val="16"/>
          <w:color w:val="auto"/>
        </w:rPr>
        <w:t>Section 27A of the Securities Act of 1933, as amended (“Securities Act”), and Section 21E of the Securities Exchange Act of 1934, as amended (“Exchange Act”), provide a “safe harbor” for forward-looking statements to encourage companies to provide prospective information about their companies. With the exception of historical information, the matters discussed in this Quarterly Report on Form 10-Q are forward-looking statements and may be identified by the use of words such as "anticipate," "assume," "believe," "estimate," "expect," "guidance," "intend," "outlook," "plan," "project," and other words and terms of similar meaning. Such statements reflect our current views and estimates with respect to future market conditions, company performance and financial results, operational investments, business prospects, new strategies, the competitive environment, and other events. These statements are subject to certain risks and uncertainties that could cause actual results to differ materially from the potential results discussed in such forward-looking statements. Readers should review Item 1A of Part I of our Annual Report on Form 10-K for the fiscal year ended August 29, 2020, and Item 1A of Part II of this Quarterly Report on Form 10-Q, for a description of important factors that could cause our actual results to differ materially from those contemplated by the forward-looking statements made in this Quarterly Report on Form 10-Q. Among the factors that could cause actual results and outcomes to differ materially from those contained in such forward-looking statements are the following: competition and new product introductions by competitors; our ability to attract and retain qualified personnel; increases in market compensation rates; business or production disruptions; sales order cancellations; risk related to the terms of our credit agreements and compliance with debt covenants and leverage ratios; stock price volatility and share dilution; disruptions or unanticipated costs from facility expansions; availability of labor; a slowdown in the economy; low consumer confidence; the effect of global tensions; increases in interest rates; availability of credit; availability of financing for RV and marine dealers; impairment of goodwill; risk related to cyclicality and seasonality of our business; slower than anticipated sales of new or existing products; integration of operations relating to merger and acquisition activities generally; our acquisition of Newmar; the possibility that the Newmar acquisition may not perform as expected or may not result in earnings growth; difficulties and expenses related to integrating Newmar into our business; increased focus of management attention and</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33" w:name="page34"/>
    <w:bookmarkEnd w:id="3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80"/>
        <w:spacing w:after="0" w:line="247" w:lineRule="auto"/>
        <w:rPr>
          <w:sz w:val="20"/>
          <w:szCs w:val="20"/>
          <w:color w:val="auto"/>
        </w:rPr>
      </w:pPr>
      <w:r>
        <w:rPr>
          <w:rFonts w:ascii="Arial" w:cs="Arial" w:eastAsia="Arial" w:hAnsi="Arial"/>
          <w:sz w:val="16"/>
          <w:szCs w:val="16"/>
          <w:color w:val="auto"/>
        </w:rPr>
        <w:t>resources on the acquisition of Newmar; risks related to the Convertible Notes and Senior Secured Notes, including our ability to satisfy our obligations under the Convertible Notes and Senior Secured Notes; risks related to our Convertible Note hedge and warrant transactions; inadequate liquidity or capital resources; inventory and distribution channel management; our ability to innovate; our reliance on large dealer organizations; significant increase in repurchase obligations; availability and price of fuel; availability of chassis and other key component parts; increased material and component costs; exposure to warranty claims; ability to protect our intellectual property; exposure to product liability claims; dependence on information systems and web applications; any unexpected expenses related to the implementation of our ERP system; the duration and scope of the COVID-19 pandemic; actions governments, businesses, and individuals take in response to the COVID-19 pandemic, including mandatory business closures and restrictions of onsite commercial interactions; the impact of the pandemic and actions taken in response to the pandemic on regional economies and economic activity; the pace of recovery when the COVID-19 pandemic subsides; and general economic uncertainty in key markets and a worsening of domestic economic conditions or low levels of economic growth; risk related to data security; governmental regulation, including for climate change; risk related to anti-takeover provisions applicable to us; cyber-attacks and other factors. We caution that the foregoing list of important factors is not complete. Any forward-looking statements speak only as of the date they are made, and we assume no obligation to update any forward-looking statement that we may make.</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Quantitative and Qualitative Disclosures About Market Risk</w:t>
      </w:r>
    </w:p>
    <w:p>
      <w:pPr>
        <w:spacing w:after="0" w:line="133" w:lineRule="exact"/>
        <w:rPr>
          <w:sz w:val="20"/>
          <w:szCs w:val="20"/>
          <w:color w:val="auto"/>
        </w:rPr>
      </w:pPr>
    </w:p>
    <w:p>
      <w:pPr>
        <w:ind w:right="540"/>
        <w:spacing w:after="0" w:line="260" w:lineRule="auto"/>
        <w:rPr>
          <w:sz w:val="20"/>
          <w:szCs w:val="20"/>
          <w:color w:val="auto"/>
        </w:rPr>
      </w:pPr>
      <w:r>
        <w:rPr>
          <w:rFonts w:ascii="Arial" w:cs="Arial" w:eastAsia="Arial" w:hAnsi="Arial"/>
          <w:sz w:val="16"/>
          <w:szCs w:val="16"/>
          <w:color w:val="auto"/>
        </w:rPr>
        <w:t>The assets we maintain to fund deferred compensation have market risk, but we maintain a corresponding liability for these assets. The market risk is therefore borne by the participants in the deferred compensation program.</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Interest rate risk</w:t>
      </w:r>
    </w:p>
    <w:p>
      <w:pPr>
        <w:spacing w:after="0" w:line="133"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As of May 29, 2021, we have no interest rate swaps outstanding and the Term Loan, that had been subject to variable interest rates, was repaid in the fourth quarter of Fiscal 2020 using the proceeds from the Senior Secured Notes. The ABL is our only floating rate debt instrument which remains undrawn as of May 29, 2021.</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Evaluation of Disclosure Controls and Procedures</w:t>
      </w:r>
    </w:p>
    <w:p>
      <w:pPr>
        <w:spacing w:after="0" w:line="129" w:lineRule="exact"/>
        <w:rPr>
          <w:sz w:val="20"/>
          <w:szCs w:val="20"/>
          <w:color w:val="auto"/>
        </w:rPr>
      </w:pPr>
    </w:p>
    <w:p>
      <w:pPr>
        <w:jc w:val="both"/>
        <w:ind w:right="180"/>
        <w:spacing w:after="0" w:line="251" w:lineRule="auto"/>
        <w:rPr>
          <w:sz w:val="20"/>
          <w:szCs w:val="20"/>
          <w:color w:val="auto"/>
        </w:rPr>
      </w:pPr>
      <w:r>
        <w:rPr>
          <w:rFonts w:ascii="Arial" w:cs="Arial" w:eastAsia="Arial" w:hAnsi="Arial"/>
          <w:sz w:val="16"/>
          <w:szCs w:val="16"/>
          <w:color w:val="auto"/>
        </w:rPr>
        <w:t>Our management, under the supervision and with the participation of our Chief Executive Officer and Chief Financial Officer, evaluated the effectiveness of the design and operation of our disclosure controls and procedures (as defined in Rule 13a-15(e) under the Securities Exchange Act of 1934, as amended (the "Exchange Act")), as of the end of the period covered by this report (the "Evaluation Date"). Based on this evaluation, the Chief Executive Officer and Chief Financial Officer concluded that our disclosure controls and procedures were effective as of the Evaluation Date.</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Changes in Internal Control Over Financial Reporting</w:t>
      </w:r>
    </w:p>
    <w:p>
      <w:pPr>
        <w:spacing w:after="0" w:line="248"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During the third quarter of Fiscal 2021</w:t>
      </w:r>
      <w:r>
        <w:rPr>
          <w:rFonts w:ascii="Arial" w:cs="Arial" w:eastAsia="Arial" w:hAnsi="Arial"/>
          <w:sz w:val="17"/>
          <w:szCs w:val="17"/>
          <w:color w:val="auto"/>
        </w:rPr>
        <w:t>,</w:t>
      </w:r>
      <w:r>
        <w:rPr>
          <w:rFonts w:ascii="Arial" w:cs="Arial" w:eastAsia="Arial" w:hAnsi="Arial"/>
          <w:sz w:val="16"/>
          <w:szCs w:val="16"/>
          <w:color w:val="auto"/>
        </w:rPr>
        <w:t xml:space="preserve"> we implemented an ERP system within specific areas of certain operating segments which is expected to improve the efficiency of certain financial and related transaction processes. We have evaluated and tested the implementation of the ERP system for effect on our internal control over financial reporting. We have concluded, as part of our evaluation described in the above paragraphs, that the implementation of the ERP system in these circumstances has not materially affected our internal control over financial reporting.</w:t>
      </w:r>
    </w:p>
    <w:p>
      <w:pPr>
        <w:spacing w:after="0" w:line="220"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There were no other changes in our internal control over financial reporting that occurred during the third quarter of Fiscal 2021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34" w:name="page35"/>
    <w:bookmarkEnd w:id="3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II. OTHER INFORMATION</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Legal Proceedings</w:t>
      </w:r>
    </w:p>
    <w:p>
      <w:pPr>
        <w:spacing w:after="0" w:line="133" w:lineRule="exact"/>
        <w:rPr>
          <w:sz w:val="20"/>
          <w:szCs w:val="20"/>
          <w:color w:val="auto"/>
        </w:rPr>
      </w:pPr>
    </w:p>
    <w:p>
      <w:pPr>
        <w:ind w:right="380"/>
        <w:spacing w:after="0" w:line="260" w:lineRule="auto"/>
        <w:rPr>
          <w:sz w:val="20"/>
          <w:szCs w:val="20"/>
          <w:color w:val="auto"/>
        </w:rPr>
      </w:pPr>
      <w:r>
        <w:rPr>
          <w:rFonts w:ascii="Arial" w:cs="Arial" w:eastAsia="Arial" w:hAnsi="Arial"/>
          <w:sz w:val="16"/>
          <w:szCs w:val="16"/>
          <w:color w:val="auto"/>
        </w:rPr>
        <w:t>For a description of our legal proceedings, see Note 10 to the Consolidated Financial Statements included in Item 1 of Part I of this Quarterly Report on Form 10-Q.</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1A. Risk Factors</w:t>
      </w:r>
    </w:p>
    <w:p>
      <w:pPr>
        <w:spacing w:after="0" w:line="133" w:lineRule="exact"/>
        <w:rPr>
          <w:sz w:val="20"/>
          <w:szCs w:val="20"/>
          <w:color w:val="auto"/>
        </w:rPr>
      </w:pPr>
    </w:p>
    <w:p>
      <w:pPr>
        <w:ind w:right="260"/>
        <w:spacing w:after="0" w:line="260" w:lineRule="auto"/>
        <w:rPr>
          <w:sz w:val="20"/>
          <w:szCs w:val="20"/>
          <w:color w:val="auto"/>
        </w:rPr>
      </w:pPr>
      <w:r>
        <w:rPr>
          <w:rFonts w:ascii="Arial" w:cs="Arial" w:eastAsia="Arial" w:hAnsi="Arial"/>
          <w:sz w:val="16"/>
          <w:szCs w:val="16"/>
          <w:color w:val="auto"/>
        </w:rPr>
        <w:t>There have been no material changes from the risk factors previously disclosed in Item 1A of Part I of our Annual Report on Form 10-K for the fiscal year ended August 29, 2020.</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Unregistered Sales of Equity Securities and Use of Proceeds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(c) Stock Repurchases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Purchases of our common stock during each fiscal month of the third quarter of Fiscal 2021 are as follows: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60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Arial" w:cs="Arial" w:eastAsia="Arial" w:hAnsi="Arial"/>
                <w:sz w:val="16"/>
                <w:szCs w:val="16"/>
                <w:b w:val="1"/>
                <w:bCs w:val="1"/>
                <w:color w:val="auto"/>
              </w:rPr>
              <w:t>Total Number of</w:t>
            </w:r>
          </w:p>
        </w:tc>
        <w:tc>
          <w:tcPr>
            <w:tcW w:w="1400" w:type="dxa"/>
            <w:vAlign w:val="bottom"/>
            <w:gridSpan w:val="2"/>
            <w:vMerge w:val="restart"/>
          </w:tcPr>
          <w:p>
            <w:pPr>
              <w:ind w:left="160"/>
              <w:spacing w:after="0"/>
              <w:rPr>
                <w:sz w:val="20"/>
                <w:szCs w:val="20"/>
                <w:color w:val="auto"/>
              </w:rPr>
            </w:pPr>
            <w:r>
              <w:rPr>
                <w:rFonts w:ascii="Arial" w:cs="Arial" w:eastAsia="Arial" w:hAnsi="Arial"/>
                <w:sz w:val="16"/>
                <w:szCs w:val="16"/>
                <w:b w:val="1"/>
                <w:bCs w:val="1"/>
                <w:color w:val="auto"/>
              </w:rPr>
              <w:t>Average Price</w:t>
            </w:r>
          </w:p>
        </w:tc>
        <w:tc>
          <w:tcPr>
            <w:tcW w:w="28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Number of Shares Purchased as</w:t>
            </w:r>
          </w:p>
        </w:tc>
        <w:tc>
          <w:tcPr>
            <w:tcW w:w="140" w:type="dxa"/>
            <w:vAlign w:val="bottom"/>
          </w:tcPr>
          <w:p>
            <w:pPr>
              <w:spacing w:after="0"/>
              <w:rPr>
                <w:sz w:val="16"/>
                <w:szCs w:val="16"/>
                <w:color w:val="auto"/>
              </w:rPr>
            </w:pPr>
          </w:p>
        </w:tc>
        <w:tc>
          <w:tcPr>
            <w:tcW w:w="2620" w:type="dxa"/>
            <w:vAlign w:val="bottom"/>
          </w:tcPr>
          <w:p>
            <w:pPr>
              <w:jc w:val="right"/>
              <w:ind w:right="219"/>
              <w:spacing w:after="0"/>
              <w:rPr>
                <w:sz w:val="20"/>
                <w:szCs w:val="20"/>
                <w:color w:val="auto"/>
              </w:rPr>
            </w:pPr>
            <w:r>
              <w:rPr>
                <w:rFonts w:ascii="Arial" w:cs="Arial" w:eastAsia="Arial" w:hAnsi="Arial"/>
                <w:sz w:val="16"/>
                <w:szCs w:val="16"/>
                <w:b w:val="1"/>
                <w:bCs w:val="1"/>
                <w:color w:val="auto"/>
              </w:rPr>
              <w:t>Approximate Dollar Value of</w:t>
            </w:r>
          </w:p>
        </w:tc>
        <w:tc>
          <w:tcPr>
            <w:tcW w:w="0" w:type="dxa"/>
            <w:vAlign w:val="bottom"/>
          </w:tcPr>
          <w:p>
            <w:pPr>
              <w:spacing w:after="0"/>
              <w:rPr>
                <w:sz w:val="1"/>
                <w:szCs w:val="1"/>
                <w:color w:val="auto"/>
              </w:rPr>
            </w:pPr>
          </w:p>
        </w:tc>
      </w:tr>
      <w:tr>
        <w:trPr>
          <w:trHeight w:val="162"/>
        </w:trPr>
        <w:tc>
          <w:tcPr>
            <w:tcW w:w="26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Period</w:t>
            </w:r>
            <w:r>
              <w:rPr>
                <w:rFonts w:ascii="Arial" w:cs="Arial" w:eastAsia="Arial" w:hAnsi="Arial"/>
                <w:sz w:val="21"/>
                <w:szCs w:val="21"/>
                <w:b w:val="1"/>
                <w:bCs w:val="1"/>
                <w:color w:val="auto"/>
                <w:vertAlign w:val="superscript"/>
              </w:rPr>
              <w:t>(1)</w:t>
            </w:r>
          </w:p>
        </w:tc>
        <w:tc>
          <w:tcPr>
            <w:tcW w:w="15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Shares</w:t>
            </w:r>
          </w:p>
        </w:tc>
        <w:tc>
          <w:tcPr>
            <w:tcW w:w="1400" w:type="dxa"/>
            <w:vAlign w:val="bottom"/>
            <w:gridSpan w:val="2"/>
            <w:vMerge w:val="continue"/>
          </w:tcPr>
          <w:p>
            <w:pPr>
              <w:spacing w:after="0"/>
              <w:rPr>
                <w:sz w:val="14"/>
                <w:szCs w:val="14"/>
                <w:color w:val="auto"/>
              </w:rPr>
            </w:pPr>
          </w:p>
        </w:tc>
        <w:tc>
          <w:tcPr>
            <w:tcW w:w="288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rPr>
              <w:t>Part of Publicly Announced Plans</w:t>
            </w:r>
          </w:p>
        </w:tc>
        <w:tc>
          <w:tcPr>
            <w:tcW w:w="2760" w:type="dxa"/>
            <w:vAlign w:val="bottom"/>
            <w:gridSpan w:val="2"/>
          </w:tcPr>
          <w:p>
            <w:pPr>
              <w:ind w:left="20"/>
              <w:spacing w:after="0" w:line="162" w:lineRule="exact"/>
              <w:rPr>
                <w:sz w:val="20"/>
                <w:szCs w:val="20"/>
                <w:color w:val="auto"/>
              </w:rPr>
            </w:pPr>
            <w:r>
              <w:rPr>
                <w:rFonts w:ascii="Arial" w:cs="Arial" w:eastAsia="Arial" w:hAnsi="Arial"/>
                <w:sz w:val="16"/>
                <w:szCs w:val="16"/>
                <w:b w:val="1"/>
                <w:bCs w:val="1"/>
                <w:color w:val="auto"/>
              </w:rPr>
              <w:t>Shares That May Yet Be Purchased</w:t>
            </w:r>
          </w:p>
        </w:tc>
        <w:tc>
          <w:tcPr>
            <w:tcW w:w="0" w:type="dxa"/>
            <w:vAlign w:val="bottom"/>
          </w:tcPr>
          <w:p>
            <w:pPr>
              <w:spacing w:after="0"/>
              <w:rPr>
                <w:sz w:val="1"/>
                <w:szCs w:val="1"/>
                <w:color w:val="auto"/>
              </w:rPr>
            </w:pPr>
          </w:p>
        </w:tc>
      </w:tr>
      <w:tr>
        <w:trPr>
          <w:trHeight w:val="216"/>
        </w:trPr>
        <w:tc>
          <w:tcPr>
            <w:tcW w:w="2600" w:type="dxa"/>
            <w:vAlign w:val="bottom"/>
            <w:tcBorders>
              <w:bottom w:val="single" w:sz="8" w:color="auto"/>
            </w:tcBorders>
            <w:vMerge w:val="continue"/>
          </w:tcPr>
          <w:p>
            <w:pPr>
              <w:spacing w:after="0"/>
              <w:rPr>
                <w:sz w:val="18"/>
                <w:szCs w:val="18"/>
                <w:color w:val="auto"/>
              </w:rPr>
            </w:pPr>
          </w:p>
        </w:tc>
        <w:tc>
          <w:tcPr>
            <w:tcW w:w="1560" w:type="dxa"/>
            <w:vAlign w:val="bottom"/>
            <w:tcBorders>
              <w:bottom w:val="single" w:sz="8" w:color="auto"/>
            </w:tcBorders>
          </w:tcPr>
          <w:p>
            <w:pPr>
              <w:jc w:val="center"/>
              <w:spacing w:after="0" w:line="216" w:lineRule="exact"/>
              <w:rPr>
                <w:sz w:val="20"/>
                <w:szCs w:val="20"/>
                <w:color w:val="auto"/>
              </w:rPr>
            </w:pPr>
            <w:r>
              <w:rPr>
                <w:rFonts w:ascii="Arial" w:cs="Arial" w:eastAsia="Arial" w:hAnsi="Arial"/>
                <w:sz w:val="16"/>
                <w:szCs w:val="16"/>
                <w:b w:val="1"/>
                <w:bCs w:val="1"/>
                <w:color w:val="auto"/>
                <w:w w:val="97"/>
              </w:rPr>
              <w:t>Purchased</w:t>
            </w:r>
            <w:r>
              <w:rPr>
                <w:rFonts w:ascii="Arial" w:cs="Arial" w:eastAsia="Arial" w:hAnsi="Arial"/>
                <w:sz w:val="21"/>
                <w:szCs w:val="21"/>
                <w:b w:val="1"/>
                <w:bCs w:val="1"/>
                <w:color w:val="auto"/>
                <w:w w:val="97"/>
                <w:vertAlign w:val="superscript"/>
              </w:rPr>
              <w:t>(2)</w:t>
            </w:r>
          </w:p>
        </w:tc>
        <w:tc>
          <w:tcPr>
            <w:tcW w:w="1400" w:type="dxa"/>
            <w:vAlign w:val="bottom"/>
            <w:tcBorders>
              <w:bottom w:val="single" w:sz="8" w:color="auto"/>
            </w:tcBorders>
            <w:gridSpan w:val="2"/>
          </w:tcPr>
          <w:p>
            <w:pPr>
              <w:ind w:left="140"/>
              <w:spacing w:after="0"/>
              <w:rPr>
                <w:sz w:val="20"/>
                <w:szCs w:val="20"/>
                <w:color w:val="auto"/>
              </w:rPr>
            </w:pPr>
            <w:r>
              <w:rPr>
                <w:rFonts w:ascii="Arial" w:cs="Arial" w:eastAsia="Arial" w:hAnsi="Arial"/>
                <w:sz w:val="16"/>
                <w:szCs w:val="16"/>
                <w:b w:val="1"/>
                <w:bCs w:val="1"/>
                <w:color w:val="auto"/>
              </w:rPr>
              <w:t>Paid per Share</w:t>
            </w:r>
          </w:p>
        </w:tc>
        <w:tc>
          <w:tcPr>
            <w:tcW w:w="2880" w:type="dxa"/>
            <w:vAlign w:val="bottom"/>
            <w:tcBorders>
              <w:bottom w:val="single" w:sz="8" w:color="auto"/>
            </w:tcBorders>
            <w:gridSpan w:val="2"/>
          </w:tcPr>
          <w:p>
            <w:pPr>
              <w:jc w:val="center"/>
              <w:ind w:right="100"/>
              <w:spacing w:after="0" w:line="216" w:lineRule="exact"/>
              <w:rPr>
                <w:sz w:val="20"/>
                <w:szCs w:val="20"/>
                <w:color w:val="auto"/>
              </w:rPr>
            </w:pPr>
            <w:r>
              <w:rPr>
                <w:rFonts w:ascii="Arial" w:cs="Arial" w:eastAsia="Arial" w:hAnsi="Arial"/>
                <w:sz w:val="16"/>
                <w:szCs w:val="16"/>
                <w:b w:val="1"/>
                <w:bCs w:val="1"/>
                <w:color w:val="auto"/>
                <w:w w:val="97"/>
              </w:rPr>
              <w:t>or Programs</w:t>
            </w:r>
            <w:r>
              <w:rPr>
                <w:rFonts w:ascii="Arial" w:cs="Arial" w:eastAsia="Arial" w:hAnsi="Arial"/>
                <w:sz w:val="21"/>
                <w:szCs w:val="21"/>
                <w:b w:val="1"/>
                <w:bCs w:val="1"/>
                <w:color w:val="auto"/>
                <w:w w:val="97"/>
                <w:vertAlign w:val="superscript"/>
              </w:rPr>
              <w:t>(2)</w:t>
            </w:r>
          </w:p>
        </w:tc>
        <w:tc>
          <w:tcPr>
            <w:tcW w:w="14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tcPr>
          <w:p>
            <w:pPr>
              <w:jc w:val="right"/>
              <w:ind w:right="119"/>
              <w:spacing w:after="0" w:line="216" w:lineRule="exact"/>
              <w:rPr>
                <w:sz w:val="20"/>
                <w:szCs w:val="20"/>
                <w:color w:val="auto"/>
              </w:rPr>
            </w:pPr>
            <w:r>
              <w:rPr>
                <w:rFonts w:ascii="Arial" w:cs="Arial" w:eastAsia="Arial" w:hAnsi="Arial"/>
                <w:sz w:val="16"/>
                <w:szCs w:val="16"/>
                <w:b w:val="1"/>
                <w:bCs w:val="1"/>
                <w:color w:val="auto"/>
              </w:rPr>
              <w:t>Under the Plans or Programs</w:t>
            </w:r>
            <w:r>
              <w:rPr>
                <w:rFonts w:ascii="Arial" w:cs="Arial" w:eastAsia="Arial" w:hAnsi="Arial"/>
                <w:sz w:val="21"/>
                <w:szCs w:val="21"/>
                <w:b w:val="1"/>
                <w:bCs w:val="1"/>
                <w:color w:val="auto"/>
                <w:vertAlign w:val="superscript"/>
              </w:rPr>
              <w:t>(3)</w:t>
            </w:r>
          </w:p>
        </w:tc>
        <w:tc>
          <w:tcPr>
            <w:tcW w:w="0" w:type="dxa"/>
            <w:vAlign w:val="bottom"/>
          </w:tcPr>
          <w:p>
            <w:pPr>
              <w:spacing w:after="0"/>
              <w:rPr>
                <w:sz w:val="1"/>
                <w:szCs w:val="1"/>
                <w:color w:val="auto"/>
              </w:rPr>
            </w:pPr>
          </w:p>
        </w:tc>
      </w:tr>
      <w:tr>
        <w:trPr>
          <w:trHeight w:val="210"/>
        </w:trPr>
        <w:tc>
          <w:tcPr>
            <w:tcW w:w="2600" w:type="dxa"/>
            <w:vAlign w:val="bottom"/>
            <w:shd w:val="clear" w:color="auto" w:fill="BFE4FF"/>
          </w:tcPr>
          <w:p>
            <w:pPr>
              <w:ind w:left="20"/>
              <w:spacing w:after="0"/>
              <w:rPr>
                <w:sz w:val="20"/>
                <w:szCs w:val="20"/>
                <w:color w:val="auto"/>
              </w:rPr>
            </w:pPr>
            <w:r>
              <w:rPr>
                <w:rFonts w:ascii="Arial" w:cs="Arial" w:eastAsia="Arial" w:hAnsi="Arial"/>
                <w:sz w:val="16"/>
                <w:szCs w:val="16"/>
                <w:color w:val="auto"/>
              </w:rPr>
              <w:t>02/28/21 - 04/03/21</w:t>
            </w:r>
          </w:p>
        </w:tc>
        <w:tc>
          <w:tcPr>
            <w:tcW w:w="1560" w:type="dxa"/>
            <w:vAlign w:val="bottom"/>
            <w:shd w:val="clear" w:color="auto" w:fill="BFE4FF"/>
          </w:tcPr>
          <w:p>
            <w:pPr>
              <w:ind w:left="1320"/>
              <w:spacing w:after="0"/>
              <w:rPr>
                <w:sz w:val="20"/>
                <w:szCs w:val="20"/>
                <w:color w:val="auto"/>
              </w:rPr>
            </w:pPr>
            <w:r>
              <w:rPr>
                <w:rFonts w:ascii="Arial" w:cs="Arial" w:eastAsia="Arial" w:hAnsi="Arial"/>
                <w:sz w:val="16"/>
                <w:szCs w:val="16"/>
                <w:color w:val="auto"/>
              </w:rPr>
              <w:t>—</w:t>
            </w:r>
          </w:p>
        </w:tc>
        <w:tc>
          <w:tcPr>
            <w:tcW w:w="640" w:type="dxa"/>
            <w:vAlign w:val="bottom"/>
            <w:shd w:val="clear" w:color="auto" w:fill="BFE4FF"/>
          </w:tcPr>
          <w:p>
            <w:pPr>
              <w:ind w:left="120"/>
              <w:spacing w:after="0"/>
              <w:rPr>
                <w:sz w:val="20"/>
                <w:szCs w:val="20"/>
                <w:color w:val="auto"/>
              </w:rPr>
            </w:pPr>
            <w:r>
              <w:rPr>
                <w:rFonts w:ascii="Arial" w:cs="Arial" w:eastAsia="Arial" w:hAnsi="Arial"/>
                <w:sz w:val="16"/>
                <w:szCs w:val="16"/>
                <w:color w:val="auto"/>
              </w:rPr>
              <w:t>$</w:t>
            </w:r>
          </w:p>
        </w:tc>
        <w:tc>
          <w:tcPr>
            <w:tcW w:w="760" w:type="dxa"/>
            <w:vAlign w:val="bottom"/>
            <w:shd w:val="clear" w:color="auto" w:fill="BFE4FF"/>
          </w:tcPr>
          <w:p>
            <w:pPr>
              <w:ind w:left="420"/>
              <w:spacing w:after="0"/>
              <w:rPr>
                <w:sz w:val="20"/>
                <w:szCs w:val="20"/>
                <w:color w:val="auto"/>
              </w:rPr>
            </w:pPr>
            <w:r>
              <w:rPr>
                <w:rFonts w:ascii="Arial" w:cs="Arial" w:eastAsia="Arial" w:hAnsi="Arial"/>
                <w:sz w:val="16"/>
                <w:szCs w:val="16"/>
                <w:color w:val="auto"/>
              </w:rPr>
              <w:t>—</w:t>
            </w:r>
          </w:p>
        </w:tc>
        <w:tc>
          <w:tcPr>
            <w:tcW w:w="2880" w:type="dxa"/>
            <w:vAlign w:val="bottom"/>
            <w:gridSpan w:val="2"/>
            <w:shd w:val="clear" w:color="auto" w:fill="BFE4FF"/>
          </w:tcPr>
          <w:p>
            <w:pPr>
              <w:ind w:left="2540"/>
              <w:spacing w:after="0"/>
              <w:rPr>
                <w:sz w:val="20"/>
                <w:szCs w:val="20"/>
                <w:color w:val="auto"/>
              </w:rPr>
            </w:pPr>
            <w:r>
              <w:rPr>
                <w:rFonts w:ascii="Arial" w:cs="Arial" w:eastAsia="Arial" w:hAnsi="Arial"/>
                <w:sz w:val="16"/>
                <w:szCs w:val="16"/>
                <w:color w:val="auto"/>
              </w:rPr>
              <w:t>—</w:t>
            </w:r>
          </w:p>
        </w:tc>
        <w:tc>
          <w:tcPr>
            <w:tcW w:w="140" w:type="dxa"/>
            <w:vAlign w:val="bottom"/>
            <w:shd w:val="clear" w:color="auto" w:fill="BFE4FF"/>
          </w:tcPr>
          <w:p>
            <w:pPr>
              <w:ind w:left="20"/>
              <w:spacing w:after="0"/>
              <w:rPr>
                <w:sz w:val="20"/>
                <w:szCs w:val="20"/>
                <w:color w:val="auto"/>
              </w:rPr>
            </w:pPr>
            <w:r>
              <w:rPr>
                <w:rFonts w:ascii="Arial" w:cs="Arial" w:eastAsia="Arial" w:hAnsi="Arial"/>
                <w:sz w:val="16"/>
                <w:szCs w:val="16"/>
                <w:color w:val="auto"/>
              </w:rPr>
              <w:t>$</w:t>
            </w:r>
          </w:p>
        </w:tc>
        <w:tc>
          <w:tcPr>
            <w:tcW w:w="2620" w:type="dxa"/>
            <w:vAlign w:val="bottom"/>
            <w:shd w:val="clear" w:color="auto" w:fill="BFE4FF"/>
          </w:tcPr>
          <w:p>
            <w:pPr>
              <w:jc w:val="right"/>
              <w:spacing w:after="0"/>
              <w:rPr>
                <w:sz w:val="20"/>
                <w:szCs w:val="20"/>
                <w:color w:val="auto"/>
              </w:rPr>
            </w:pPr>
            <w:r>
              <w:rPr>
                <w:rFonts w:ascii="Arial" w:cs="Arial" w:eastAsia="Arial" w:hAnsi="Arial"/>
                <w:sz w:val="16"/>
                <w:szCs w:val="16"/>
                <w:color w:val="auto"/>
              </w:rPr>
              <w:t>58,761,000</w:t>
            </w:r>
          </w:p>
        </w:tc>
        <w:tc>
          <w:tcPr>
            <w:tcW w:w="0" w:type="dxa"/>
            <w:vAlign w:val="bottom"/>
          </w:tcPr>
          <w:p>
            <w:pPr>
              <w:spacing w:after="0"/>
              <w:rPr>
                <w:sz w:val="1"/>
                <w:szCs w:val="1"/>
                <w:color w:val="auto"/>
              </w:rPr>
            </w:pPr>
          </w:p>
        </w:tc>
      </w:tr>
      <w:tr>
        <w:trPr>
          <w:trHeight w:val="213"/>
        </w:trPr>
        <w:tc>
          <w:tcPr>
            <w:tcW w:w="2600" w:type="dxa"/>
            <w:vAlign w:val="bottom"/>
          </w:tcPr>
          <w:p>
            <w:pPr>
              <w:ind w:left="20"/>
              <w:spacing w:after="0"/>
              <w:rPr>
                <w:sz w:val="20"/>
                <w:szCs w:val="20"/>
                <w:color w:val="auto"/>
              </w:rPr>
            </w:pPr>
            <w:r>
              <w:rPr>
                <w:rFonts w:ascii="Arial" w:cs="Arial" w:eastAsia="Arial" w:hAnsi="Arial"/>
                <w:sz w:val="16"/>
                <w:szCs w:val="16"/>
                <w:color w:val="auto"/>
              </w:rPr>
              <w:t>04/04/21 - 05/01/21</w:t>
            </w:r>
          </w:p>
        </w:tc>
        <w:tc>
          <w:tcPr>
            <w:tcW w:w="1560" w:type="dxa"/>
            <w:vAlign w:val="bottom"/>
          </w:tcPr>
          <w:p>
            <w:pPr>
              <w:ind w:left="1320"/>
              <w:spacing w:after="0"/>
              <w:rPr>
                <w:sz w:val="20"/>
                <w:szCs w:val="20"/>
                <w:color w:val="auto"/>
              </w:rPr>
            </w:pPr>
            <w:r>
              <w:rPr>
                <w:rFonts w:ascii="Arial" w:cs="Arial" w:eastAsia="Arial" w:hAnsi="Arial"/>
                <w:sz w:val="16"/>
                <w:szCs w:val="16"/>
                <w:color w:val="auto"/>
              </w:rPr>
              <w:t>—</w:t>
            </w:r>
          </w:p>
        </w:tc>
        <w:tc>
          <w:tcPr>
            <w:tcW w:w="640" w:type="dxa"/>
            <w:vAlign w:val="bottom"/>
          </w:tcPr>
          <w:p>
            <w:pPr>
              <w:spacing w:after="0"/>
              <w:rPr>
                <w:sz w:val="18"/>
                <w:szCs w:val="18"/>
                <w:color w:val="auto"/>
              </w:rPr>
            </w:pPr>
          </w:p>
        </w:tc>
        <w:tc>
          <w:tcPr>
            <w:tcW w:w="760" w:type="dxa"/>
            <w:vAlign w:val="bottom"/>
          </w:tcPr>
          <w:p>
            <w:pPr>
              <w:ind w:left="420"/>
              <w:spacing w:after="0"/>
              <w:rPr>
                <w:sz w:val="20"/>
                <w:szCs w:val="20"/>
                <w:color w:val="auto"/>
              </w:rPr>
            </w:pPr>
            <w:r>
              <w:rPr>
                <w:rFonts w:ascii="Arial" w:cs="Arial" w:eastAsia="Arial" w:hAnsi="Arial"/>
                <w:sz w:val="16"/>
                <w:szCs w:val="16"/>
                <w:color w:val="auto"/>
              </w:rPr>
              <w:t>—</w:t>
            </w:r>
          </w:p>
        </w:tc>
        <w:tc>
          <w:tcPr>
            <w:tcW w:w="2880" w:type="dxa"/>
            <w:vAlign w:val="bottom"/>
            <w:gridSpan w:val="2"/>
          </w:tcPr>
          <w:p>
            <w:pPr>
              <w:ind w:left="25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2620" w:type="dxa"/>
            <w:vAlign w:val="bottom"/>
          </w:tcPr>
          <w:p>
            <w:pPr>
              <w:jc w:val="right"/>
              <w:spacing w:after="0"/>
              <w:rPr>
                <w:sz w:val="20"/>
                <w:szCs w:val="20"/>
                <w:color w:val="auto"/>
              </w:rPr>
            </w:pPr>
            <w:r>
              <w:rPr>
                <w:rFonts w:ascii="Arial" w:cs="Arial" w:eastAsia="Arial" w:hAnsi="Arial"/>
                <w:sz w:val="16"/>
                <w:szCs w:val="16"/>
                <w:color w:val="auto"/>
              </w:rPr>
              <w:t>58,761,000</w:t>
            </w:r>
          </w:p>
        </w:tc>
        <w:tc>
          <w:tcPr>
            <w:tcW w:w="0" w:type="dxa"/>
            <w:vAlign w:val="bottom"/>
          </w:tcPr>
          <w:p>
            <w:pPr>
              <w:spacing w:after="0"/>
              <w:rPr>
                <w:sz w:val="1"/>
                <w:szCs w:val="1"/>
                <w:color w:val="auto"/>
              </w:rPr>
            </w:pPr>
          </w:p>
        </w:tc>
      </w:tr>
      <w:tr>
        <w:trPr>
          <w:trHeight w:val="216"/>
        </w:trPr>
        <w:tc>
          <w:tcPr>
            <w:tcW w:w="2600" w:type="dxa"/>
            <w:vAlign w:val="bottom"/>
            <w:shd w:val="clear" w:color="auto" w:fill="BFE4FF"/>
          </w:tcPr>
          <w:p>
            <w:pPr>
              <w:ind w:left="20"/>
              <w:spacing w:after="0"/>
              <w:rPr>
                <w:sz w:val="20"/>
                <w:szCs w:val="20"/>
                <w:color w:val="auto"/>
              </w:rPr>
            </w:pPr>
            <w:r>
              <w:rPr>
                <w:rFonts w:ascii="Arial" w:cs="Arial" w:eastAsia="Arial" w:hAnsi="Arial"/>
                <w:sz w:val="16"/>
                <w:szCs w:val="16"/>
                <w:color w:val="auto"/>
              </w:rPr>
              <w:t>05/02/21 - 05/29/21</w:t>
            </w:r>
          </w:p>
        </w:tc>
        <w:tc>
          <w:tcPr>
            <w:tcW w:w="1560" w:type="dxa"/>
            <w:vAlign w:val="bottom"/>
            <w:tcBorders>
              <w:bottom w:val="single" w:sz="8" w:color="auto"/>
            </w:tcBorders>
            <w:shd w:val="clear" w:color="auto" w:fill="BFE4FF"/>
          </w:tcPr>
          <w:p>
            <w:pPr>
              <w:ind w:left="1320"/>
              <w:spacing w:after="0"/>
              <w:rPr>
                <w:sz w:val="20"/>
                <w:szCs w:val="20"/>
                <w:color w:val="auto"/>
              </w:rPr>
            </w:pPr>
            <w:r>
              <w:rPr>
                <w:rFonts w:ascii="Arial" w:cs="Arial" w:eastAsia="Arial" w:hAnsi="Arial"/>
                <w:sz w:val="16"/>
                <w:szCs w:val="16"/>
                <w:color w:val="auto"/>
              </w:rPr>
              <w:t>—</w:t>
            </w:r>
          </w:p>
        </w:tc>
        <w:tc>
          <w:tcPr>
            <w:tcW w:w="640" w:type="dxa"/>
            <w:vAlign w:val="bottom"/>
            <w:shd w:val="clear" w:color="auto" w:fill="BFE4FF"/>
          </w:tcPr>
          <w:p>
            <w:pPr>
              <w:spacing w:after="0"/>
              <w:rPr>
                <w:sz w:val="18"/>
                <w:szCs w:val="18"/>
                <w:color w:val="auto"/>
              </w:rPr>
            </w:pPr>
          </w:p>
        </w:tc>
        <w:tc>
          <w:tcPr>
            <w:tcW w:w="760" w:type="dxa"/>
            <w:vAlign w:val="bottom"/>
            <w:shd w:val="clear" w:color="auto" w:fill="BFE4FF"/>
          </w:tcPr>
          <w:p>
            <w:pPr>
              <w:ind w:left="420"/>
              <w:spacing w:after="0"/>
              <w:rPr>
                <w:sz w:val="20"/>
                <w:szCs w:val="20"/>
                <w:color w:val="auto"/>
              </w:rPr>
            </w:pPr>
            <w:r>
              <w:rPr>
                <w:rFonts w:ascii="Arial" w:cs="Arial" w:eastAsia="Arial" w:hAnsi="Arial"/>
                <w:sz w:val="16"/>
                <w:szCs w:val="16"/>
                <w:color w:val="auto"/>
              </w:rPr>
              <w:t>—</w:t>
            </w:r>
          </w:p>
        </w:tc>
        <w:tc>
          <w:tcPr>
            <w:tcW w:w="2760" w:type="dxa"/>
            <w:vAlign w:val="bottom"/>
            <w:tcBorders>
              <w:bottom w:val="single" w:sz="8" w:color="auto"/>
            </w:tcBorders>
            <w:shd w:val="clear" w:color="auto" w:fill="BFE4FF"/>
          </w:tcPr>
          <w:p>
            <w:pPr>
              <w:ind w:left="2540"/>
              <w:spacing w:after="0"/>
              <w:rPr>
                <w:sz w:val="20"/>
                <w:szCs w:val="20"/>
                <w:color w:val="auto"/>
              </w:rPr>
            </w:pPr>
            <w:r>
              <w:rPr>
                <w:rFonts w:ascii="Arial" w:cs="Arial" w:eastAsia="Arial" w:hAnsi="Arial"/>
                <w:sz w:val="16"/>
                <w:szCs w:val="16"/>
                <w:color w:val="auto"/>
              </w:rPr>
              <w:t>—</w:t>
            </w:r>
          </w:p>
        </w:tc>
        <w:tc>
          <w:tcPr>
            <w:tcW w:w="120" w:type="dxa"/>
            <w:vAlign w:val="bottom"/>
            <w:shd w:val="clear" w:color="auto" w:fill="BFE4FF"/>
          </w:tcPr>
          <w:p>
            <w:pPr>
              <w:spacing w:after="0"/>
              <w:rPr>
                <w:sz w:val="18"/>
                <w:szCs w:val="18"/>
                <w:color w:val="auto"/>
              </w:rPr>
            </w:pPr>
          </w:p>
        </w:tc>
        <w:tc>
          <w:tcPr>
            <w:tcW w:w="140" w:type="dxa"/>
            <w:vAlign w:val="bottom"/>
            <w:tcBorders>
              <w:bottom w:val="single" w:sz="8" w:color="auto"/>
            </w:tcBorders>
            <w:shd w:val="clear" w:color="auto" w:fill="BFE4FF"/>
          </w:tcPr>
          <w:p>
            <w:pPr>
              <w:spacing w:after="0"/>
              <w:rPr>
                <w:sz w:val="18"/>
                <w:szCs w:val="18"/>
                <w:color w:val="auto"/>
              </w:rPr>
            </w:pPr>
          </w:p>
        </w:tc>
        <w:tc>
          <w:tcPr>
            <w:tcW w:w="262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58,761,000</w:t>
            </w:r>
          </w:p>
        </w:tc>
        <w:tc>
          <w:tcPr>
            <w:tcW w:w="0" w:type="dxa"/>
            <w:vAlign w:val="bottom"/>
          </w:tcPr>
          <w:p>
            <w:pPr>
              <w:spacing w:after="0"/>
              <w:rPr>
                <w:sz w:val="1"/>
                <w:szCs w:val="1"/>
                <w:color w:val="auto"/>
              </w:rPr>
            </w:pPr>
          </w:p>
        </w:tc>
      </w:tr>
      <w:tr>
        <w:trPr>
          <w:trHeight w:val="212"/>
        </w:trPr>
        <w:tc>
          <w:tcPr>
            <w:tcW w:w="2600" w:type="dxa"/>
            <w:vAlign w:val="bottom"/>
          </w:tcPr>
          <w:p>
            <w:pPr>
              <w:ind w:left="140"/>
              <w:spacing w:after="0"/>
              <w:rPr>
                <w:sz w:val="20"/>
                <w:szCs w:val="20"/>
                <w:color w:val="auto"/>
              </w:rPr>
            </w:pPr>
            <w:r>
              <w:rPr>
                <w:rFonts w:ascii="Arial" w:cs="Arial" w:eastAsia="Arial" w:hAnsi="Arial"/>
                <w:sz w:val="16"/>
                <w:szCs w:val="16"/>
                <w:color w:val="auto"/>
              </w:rPr>
              <w:t>Total</w:t>
            </w:r>
          </w:p>
        </w:tc>
        <w:tc>
          <w:tcPr>
            <w:tcW w:w="1560" w:type="dxa"/>
            <w:vAlign w:val="bottom"/>
          </w:tcPr>
          <w:p>
            <w:pPr>
              <w:ind w:left="1320"/>
              <w:spacing w:after="0"/>
              <w:rPr>
                <w:sz w:val="20"/>
                <w:szCs w:val="20"/>
                <w:color w:val="auto"/>
              </w:rPr>
            </w:pPr>
            <w:r>
              <w:rPr>
                <w:rFonts w:ascii="Arial" w:cs="Arial" w:eastAsia="Arial" w:hAnsi="Arial"/>
                <w:sz w:val="16"/>
                <w:szCs w:val="16"/>
                <w:color w:val="auto"/>
              </w:rPr>
              <w:t>—</w:t>
            </w:r>
          </w:p>
        </w:tc>
        <w:tc>
          <w:tcPr>
            <w:tcW w:w="640" w:type="dxa"/>
            <w:vAlign w:val="bottom"/>
          </w:tcPr>
          <w:p>
            <w:pPr>
              <w:ind w:left="120"/>
              <w:spacing w:after="0"/>
              <w:rPr>
                <w:sz w:val="20"/>
                <w:szCs w:val="20"/>
                <w:color w:val="auto"/>
              </w:rPr>
            </w:pPr>
            <w:r>
              <w:rPr>
                <w:rFonts w:ascii="Arial" w:cs="Arial" w:eastAsia="Arial" w:hAnsi="Arial"/>
                <w:sz w:val="16"/>
                <w:szCs w:val="16"/>
                <w:color w:val="auto"/>
              </w:rPr>
              <w:t>$</w:t>
            </w:r>
          </w:p>
        </w:tc>
        <w:tc>
          <w:tcPr>
            <w:tcW w:w="760" w:type="dxa"/>
            <w:vAlign w:val="bottom"/>
          </w:tcPr>
          <w:p>
            <w:pPr>
              <w:ind w:left="420"/>
              <w:spacing w:after="0"/>
              <w:rPr>
                <w:sz w:val="20"/>
                <w:szCs w:val="20"/>
                <w:color w:val="auto"/>
              </w:rPr>
            </w:pPr>
            <w:r>
              <w:rPr>
                <w:rFonts w:ascii="Arial" w:cs="Arial" w:eastAsia="Arial" w:hAnsi="Arial"/>
                <w:sz w:val="16"/>
                <w:szCs w:val="16"/>
                <w:color w:val="auto"/>
              </w:rPr>
              <w:t>—</w:t>
            </w:r>
          </w:p>
        </w:tc>
        <w:tc>
          <w:tcPr>
            <w:tcW w:w="2880" w:type="dxa"/>
            <w:vAlign w:val="bottom"/>
            <w:gridSpan w:val="2"/>
          </w:tcPr>
          <w:p>
            <w:pPr>
              <w:ind w:left="2540"/>
              <w:spacing w:after="0"/>
              <w:rPr>
                <w:sz w:val="20"/>
                <w:szCs w:val="20"/>
                <w:color w:val="auto"/>
              </w:rPr>
            </w:pPr>
            <w:r>
              <w:rPr>
                <w:rFonts w:ascii="Arial" w:cs="Arial" w:eastAsia="Arial" w:hAnsi="Arial"/>
                <w:sz w:val="16"/>
                <w:szCs w:val="16"/>
                <w:color w:val="auto"/>
              </w:rPr>
              <w:t>—</w:t>
            </w: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2620" w:type="dxa"/>
            <w:vAlign w:val="bottom"/>
          </w:tcPr>
          <w:p>
            <w:pPr>
              <w:jc w:val="right"/>
              <w:spacing w:after="0"/>
              <w:rPr>
                <w:sz w:val="20"/>
                <w:szCs w:val="20"/>
                <w:color w:val="auto"/>
              </w:rPr>
            </w:pPr>
            <w:r>
              <w:rPr>
                <w:rFonts w:ascii="Arial" w:cs="Arial" w:eastAsia="Arial" w:hAnsi="Arial"/>
                <w:sz w:val="16"/>
                <w:szCs w:val="16"/>
                <w:color w:val="auto"/>
              </w:rPr>
              <w:t>58,761,000</w:t>
            </w:r>
          </w:p>
        </w:tc>
        <w:tc>
          <w:tcPr>
            <w:tcW w:w="0" w:type="dxa"/>
            <w:vAlign w:val="bottom"/>
          </w:tcPr>
          <w:p>
            <w:pPr>
              <w:spacing w:after="0"/>
              <w:rPr>
                <w:sz w:val="1"/>
                <w:szCs w:val="1"/>
                <w:color w:val="auto"/>
              </w:rPr>
            </w:pPr>
          </w:p>
        </w:tc>
      </w:tr>
      <w:tr>
        <w:trPr>
          <w:trHeight w:val="21"/>
        </w:trPr>
        <w:tc>
          <w:tcPr>
            <w:tcW w:w="260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ind w:left="260" w:hanging="252"/>
        <w:spacing w:after="0"/>
        <w:tabs>
          <w:tab w:leader="none" w:pos="260" w:val="left"/>
        </w:tabs>
        <w:numPr>
          <w:ilvl w:val="0"/>
          <w:numId w:val="17"/>
        </w:numPr>
        <w:rPr>
          <w:rFonts w:ascii="Arial" w:cs="Arial" w:eastAsia="Arial" w:hAnsi="Arial"/>
          <w:sz w:val="21"/>
          <w:szCs w:val="21"/>
          <w:color w:val="auto"/>
          <w:vertAlign w:val="superscript"/>
        </w:rPr>
      </w:pPr>
      <w:r>
        <w:rPr>
          <w:rFonts w:ascii="Arial" w:cs="Arial" w:eastAsia="Arial" w:hAnsi="Arial"/>
          <w:sz w:val="14"/>
          <w:szCs w:val="14"/>
          <w:color w:val="auto"/>
        </w:rPr>
        <w:t>Number of shares in the table are shown in whole numbers.</w:t>
      </w:r>
    </w:p>
    <w:p>
      <w:pPr>
        <w:ind w:left="260" w:right="140" w:hanging="252"/>
        <w:spacing w:after="0" w:line="193" w:lineRule="auto"/>
        <w:tabs>
          <w:tab w:leader="none" w:pos="305" w:val="left"/>
        </w:tabs>
        <w:numPr>
          <w:ilvl w:val="0"/>
          <w:numId w:val="17"/>
        </w:numPr>
        <w:rPr>
          <w:rFonts w:ascii="Arial" w:cs="Arial" w:eastAsia="Arial" w:hAnsi="Arial"/>
          <w:sz w:val="21"/>
          <w:szCs w:val="21"/>
          <w:color w:val="auto"/>
          <w:vertAlign w:val="superscript"/>
        </w:rPr>
      </w:pPr>
      <w:r>
        <w:rPr>
          <w:rFonts w:ascii="Arial" w:cs="Arial" w:eastAsia="Arial" w:hAnsi="Arial"/>
          <w:sz w:val="14"/>
          <w:szCs w:val="14"/>
          <w:color w:val="auto"/>
        </w:rPr>
        <w:t>Shares not purchased as part of a publicly announced program were repurchased from employees who vested in Company shares and elected to pay their payroll tax via the value of shares delivered as opposed to cash.</w:t>
      </w:r>
    </w:p>
    <w:p>
      <w:pPr>
        <w:ind w:left="300" w:hanging="292"/>
        <w:spacing w:after="0" w:line="189" w:lineRule="auto"/>
        <w:tabs>
          <w:tab w:leader="none" w:pos="300" w:val="left"/>
        </w:tabs>
        <w:numPr>
          <w:ilvl w:val="0"/>
          <w:numId w:val="17"/>
        </w:numPr>
        <w:rPr>
          <w:rFonts w:ascii="Arial" w:cs="Arial" w:eastAsia="Arial" w:hAnsi="Arial"/>
          <w:sz w:val="19"/>
          <w:szCs w:val="19"/>
          <w:color w:val="auto"/>
          <w:vertAlign w:val="superscript"/>
        </w:rPr>
      </w:pPr>
      <w:r>
        <w:rPr>
          <w:rFonts w:ascii="Arial" w:cs="Arial" w:eastAsia="Arial" w:hAnsi="Arial"/>
          <w:sz w:val="13"/>
          <w:szCs w:val="13"/>
          <w:color w:val="auto"/>
        </w:rPr>
        <w:t>Pursuant to a $70,000 share repurchase program authorized by our Board of Directors on October 18, 2017. There is no time restriction on the authorization.</w:t>
      </w:r>
    </w:p>
    <w:p>
      <w:pPr>
        <w:spacing w:after="0" w:line="230"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Our Senior Secured notes, as defined in Note 8 to the Consolidated Financial Statements included in Item 1 of Part I of this Quarterly Report on Form 10-Q, contains occurrence based restrictions that may limit our ability to make distributions or payments with respect to purchases of our common stock without consent of the lenders, except for limited purchases of our common stock from employees, in the event of a significant reduction in our EBITDA or in the event of a significant borrowing on our ABL Credit Facility.</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 w:right="379" w:bottom="1440" w:gutter="0" w:footer="0" w:header="0"/>
        </w:sectPr>
      </w:pPr>
    </w:p>
    <w:bookmarkStart w:id="35" w:name="page36"/>
    <w:bookmarkEnd w:id="35"/>
    <w:p>
      <w:pPr>
        <w:ind w:left="20"/>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20"/>
        <w:spacing w:after="0"/>
        <w:tabs>
          <w:tab w:leader="none" w:pos="700" w:val="left"/>
        </w:tabs>
        <w:rPr>
          <w:sz w:val="20"/>
          <w:szCs w:val="20"/>
          <w:color w:val="auto"/>
        </w:rPr>
      </w:pPr>
      <w:r>
        <w:rPr>
          <w:rFonts w:ascii="Arial" w:cs="Arial" w:eastAsia="Arial" w:hAnsi="Arial"/>
          <w:sz w:val="16"/>
          <w:szCs w:val="16"/>
          <w:b w:val="1"/>
          <w:bCs w:val="1"/>
          <w:color w:val="auto"/>
        </w:rPr>
        <w:t>Item 6.</w:t>
        <w:tab/>
        <w:t>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wp:posOffset>
            </wp:positionH>
            <wp:positionV relativeFrom="paragraph">
              <wp:posOffset>134620</wp:posOffset>
            </wp:positionV>
            <wp:extent cx="6635115" cy="2400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635115" cy="240030"/>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60" w:type="dxa"/>
            <w:vAlign w:val="bottom"/>
            <w:gridSpan w:val="4"/>
          </w:tcPr>
          <w:p>
            <w:pPr>
              <w:jc w:val="right"/>
              <w:ind w:right="840"/>
              <w:spacing w:after="0"/>
              <w:rPr>
                <w:rFonts w:ascii="Arial" w:cs="Arial" w:eastAsia="Arial" w:hAnsi="Arial"/>
                <w:sz w:val="16"/>
                <w:szCs w:val="16"/>
                <w:color w:val="0000FF"/>
                <w:w w:val="89"/>
              </w:rPr>
            </w:pPr>
            <w:hyperlink r:id="rId48">
              <w:r>
                <w:rPr>
                  <w:rFonts w:ascii="Arial" w:cs="Arial" w:eastAsia="Arial" w:hAnsi="Arial"/>
                  <w:sz w:val="16"/>
                  <w:szCs w:val="16"/>
                  <w:color w:val="0000FF"/>
                  <w:w w:val="89"/>
                </w:rPr>
                <w:t>3a.</w:t>
              </w:r>
            </w:hyperlink>
          </w:p>
        </w:tc>
        <w:tc>
          <w:tcPr>
            <w:tcW w:w="9520" w:type="dxa"/>
            <w:vAlign w:val="bottom"/>
            <w:gridSpan w:val="17"/>
          </w:tcPr>
          <w:p>
            <w:pPr>
              <w:spacing w:after="0"/>
              <w:rPr>
                <w:rFonts w:ascii="Arial" w:cs="Arial" w:eastAsia="Arial" w:hAnsi="Arial"/>
                <w:sz w:val="16"/>
                <w:szCs w:val="16"/>
                <w:color w:val="0000FF"/>
              </w:rPr>
            </w:pPr>
            <w:hyperlink r:id="rId48">
              <w:r>
                <w:rPr>
                  <w:rFonts w:ascii="Arial" w:cs="Arial" w:eastAsia="Arial" w:hAnsi="Arial"/>
                  <w:sz w:val="16"/>
                  <w:szCs w:val="16"/>
                  <w:color w:val="0000FF"/>
                </w:rPr>
                <w:t>Articles of Incorporation of the Registrant, as amended and restated on December 17, 2020 (incorporated by reference from Exhibit</w:t>
              </w:r>
            </w:hyperlink>
          </w:p>
        </w:tc>
      </w:tr>
      <w:tr>
        <w:trPr>
          <w:trHeight w:val="142"/>
        </w:trPr>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400" w:type="dxa"/>
            <w:vAlign w:val="bottom"/>
            <w:tcBorders>
              <w:top w:val="single" w:sz="8" w:color="0000FF"/>
            </w:tcBorders>
            <w:gridSpan w:val="15"/>
          </w:tcPr>
          <w:p>
            <w:pPr>
              <w:spacing w:after="0" w:line="142" w:lineRule="exact"/>
              <w:rPr>
                <w:rFonts w:ascii="Arial" w:cs="Arial" w:eastAsia="Arial" w:hAnsi="Arial"/>
                <w:sz w:val="16"/>
                <w:szCs w:val="16"/>
                <w:color w:val="0000FF"/>
              </w:rPr>
            </w:pPr>
            <w:hyperlink r:id="rId48">
              <w:r>
                <w:rPr>
                  <w:rFonts w:ascii="Arial" w:cs="Arial" w:eastAsia="Arial" w:hAnsi="Arial"/>
                  <w:sz w:val="16"/>
                  <w:szCs w:val="16"/>
                  <w:color w:val="0000FF"/>
                </w:rPr>
                <w:t>3a to the Registrant's Quarterly Report for the quarter ended November 28, 2020)</w:t>
              </w:r>
              <w:r>
                <w:rPr>
                  <w:rFonts w:ascii="Arial" w:cs="Arial" w:eastAsia="Arial" w:hAnsi="Arial"/>
                  <w:sz w:val="16"/>
                  <w:szCs w:val="16"/>
                  <w:u w:val="single" w:color="auto"/>
                  <w:color w:val="0000FF"/>
                </w:rPr>
                <w:t>.</w:t>
              </w:r>
            </w:hyperlink>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0"/>
        </w:trPr>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4"/>
        </w:trPr>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gridSpan w:val="4"/>
          </w:tcPr>
          <w:p>
            <w:pPr>
              <w:jc w:val="right"/>
              <w:ind w:right="840"/>
              <w:spacing w:after="0"/>
              <w:rPr>
                <w:rFonts w:ascii="Arial" w:cs="Arial" w:eastAsia="Arial" w:hAnsi="Arial"/>
                <w:sz w:val="16"/>
                <w:szCs w:val="16"/>
                <w:color w:val="0000FF"/>
                <w:w w:val="89"/>
              </w:rPr>
            </w:pPr>
            <w:hyperlink r:id="rId49">
              <w:r>
                <w:rPr>
                  <w:rFonts w:ascii="Arial" w:cs="Arial" w:eastAsia="Arial" w:hAnsi="Arial"/>
                  <w:sz w:val="16"/>
                  <w:szCs w:val="16"/>
                  <w:color w:val="0000FF"/>
                  <w:w w:val="89"/>
                </w:rPr>
                <w:t>3b.</w:t>
              </w:r>
            </w:hyperlink>
          </w:p>
        </w:tc>
        <w:tc>
          <w:tcPr>
            <w:tcW w:w="9520" w:type="dxa"/>
            <w:vAlign w:val="bottom"/>
            <w:gridSpan w:val="17"/>
          </w:tcPr>
          <w:p>
            <w:pPr>
              <w:spacing w:after="0"/>
              <w:rPr>
                <w:rFonts w:ascii="Arial" w:cs="Arial" w:eastAsia="Arial" w:hAnsi="Arial"/>
                <w:sz w:val="16"/>
                <w:szCs w:val="16"/>
                <w:color w:val="0000FF"/>
              </w:rPr>
            </w:pPr>
            <w:hyperlink r:id="rId49">
              <w:r>
                <w:rPr>
                  <w:rFonts w:ascii="Arial" w:cs="Arial" w:eastAsia="Arial" w:hAnsi="Arial"/>
                  <w:sz w:val="16"/>
                  <w:szCs w:val="16"/>
                  <w:color w:val="0000FF"/>
                </w:rPr>
                <w:t>Amended By-Laws of the Registrant (incorporated by reference from Exhibit 3.1 to the Registrant's Current Report on Form 8-K</w:t>
              </w:r>
            </w:hyperlink>
          </w:p>
        </w:tc>
      </w:tr>
      <w:tr>
        <w:trPr>
          <w:trHeight w:val="142"/>
        </w:trPr>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120" w:type="dxa"/>
            <w:vAlign w:val="bottom"/>
            <w:tcBorders>
              <w:top w:val="single" w:sz="8" w:color="0000FF"/>
            </w:tcBorders>
            <w:gridSpan w:val="12"/>
          </w:tcPr>
          <w:p>
            <w:pPr>
              <w:spacing w:after="0" w:line="142" w:lineRule="exact"/>
              <w:rPr>
                <w:rFonts w:ascii="Arial" w:cs="Arial" w:eastAsia="Arial" w:hAnsi="Arial"/>
                <w:sz w:val="16"/>
                <w:szCs w:val="16"/>
                <w:color w:val="0000FF"/>
              </w:rPr>
            </w:pPr>
            <w:hyperlink r:id="rId49">
              <w:r>
                <w:rPr>
                  <w:rFonts w:ascii="Arial" w:cs="Arial" w:eastAsia="Arial" w:hAnsi="Arial"/>
                  <w:sz w:val="16"/>
                  <w:szCs w:val="16"/>
                  <w:color w:val="0000FF"/>
                </w:rPr>
                <w:t>dated March 16, 2016)</w:t>
              </w:r>
            </w:hyperlink>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r>
      <w:tr>
        <w:trPr>
          <w:trHeight w:val="128"/>
        </w:trPr>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Borders>
              <w:top w:val="single" w:sz="8" w:color="0000FF"/>
            </w:tcBorders>
          </w:tcPr>
          <w:p>
            <w:pPr>
              <w:spacing w:after="0"/>
              <w:rPr>
                <w:sz w:val="11"/>
                <w:szCs w:val="11"/>
                <w:color w:val="auto"/>
              </w:rPr>
            </w:pPr>
          </w:p>
        </w:tc>
        <w:tc>
          <w:tcPr>
            <w:tcW w:w="700" w:type="dxa"/>
            <w:vAlign w:val="bottom"/>
            <w:tcBorders>
              <w:top w:val="single" w:sz="8" w:color="0000FF"/>
            </w:tcBorders>
          </w:tcPr>
          <w:p>
            <w:pPr>
              <w:spacing w:after="0"/>
              <w:rPr>
                <w:sz w:val="11"/>
                <w:szCs w:val="11"/>
                <w:color w:val="auto"/>
              </w:rPr>
            </w:pPr>
          </w:p>
        </w:tc>
        <w:tc>
          <w:tcPr>
            <w:tcW w:w="1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75"/>
        </w:trPr>
        <w:tc>
          <w:tcPr>
            <w:tcW w:w="360" w:type="dxa"/>
            <w:vAlign w:val="bottom"/>
            <w:gridSpan w:val="3"/>
          </w:tcPr>
          <w:p>
            <w:pPr>
              <w:jc w:val="right"/>
              <w:spacing w:after="0" w:line="175" w:lineRule="exact"/>
              <w:rPr>
                <w:rFonts w:ascii="Arial" w:cs="Arial" w:eastAsia="Arial" w:hAnsi="Arial"/>
                <w:sz w:val="16"/>
                <w:szCs w:val="16"/>
                <w:color w:val="0000FF"/>
              </w:rPr>
            </w:pPr>
            <w:hyperlink r:id="rId50">
              <w:r>
                <w:rPr>
                  <w:rFonts w:ascii="Arial" w:cs="Arial" w:eastAsia="Arial" w:hAnsi="Arial"/>
                  <w:sz w:val="16"/>
                  <w:szCs w:val="16"/>
                  <w:color w:val="0000FF"/>
                </w:rPr>
                <w:t>4.</w:t>
              </w:r>
            </w:hyperlink>
          </w:p>
        </w:tc>
        <w:tc>
          <w:tcPr>
            <w:tcW w:w="120" w:type="dxa"/>
            <w:vAlign w:val="bottom"/>
            <w:gridSpan w:val="2"/>
            <w:shd w:val="clear" w:color="auto" w:fill="CCEEFF"/>
          </w:tcPr>
          <w:p>
            <w:pPr>
              <w:jc w:val="right"/>
              <w:ind w:right="40"/>
              <w:spacing w:after="0"/>
              <w:rPr>
                <w:rFonts w:ascii="Arial" w:cs="Arial" w:eastAsia="Arial" w:hAnsi="Arial"/>
                <w:sz w:val="15"/>
                <w:szCs w:val="15"/>
                <w:u w:val="single" w:color="auto"/>
                <w:color w:val="0000FF"/>
                <w:w w:val="71"/>
              </w:rPr>
            </w:pPr>
            <w:hyperlink r:id="rId50">
              <w:r>
                <w:rPr>
                  <w:rFonts w:ascii="Arial" w:cs="Arial" w:eastAsia="Arial" w:hAnsi="Arial"/>
                  <w:sz w:val="15"/>
                  <w:szCs w:val="15"/>
                  <w:u w:val="single" w:color="auto"/>
                  <w:color w:val="0000FF"/>
                  <w:w w:val="71"/>
                </w:rPr>
                <w:t>1</w:t>
              </w:r>
            </w:hyperlink>
          </w:p>
        </w:tc>
        <w:tc>
          <w:tcPr>
            <w:tcW w:w="800" w:type="dxa"/>
            <w:vAlign w:val="bottom"/>
            <w:shd w:val="clear" w:color="auto" w:fill="CCEEFF"/>
          </w:tcPr>
          <w:p>
            <w:pPr>
              <w:spacing w:after="0"/>
              <w:rPr>
                <w:sz w:val="15"/>
                <w:szCs w:val="15"/>
                <w:color w:val="auto"/>
              </w:rPr>
            </w:pPr>
          </w:p>
        </w:tc>
        <w:tc>
          <w:tcPr>
            <w:tcW w:w="9520" w:type="dxa"/>
            <w:vAlign w:val="bottom"/>
            <w:gridSpan w:val="17"/>
            <w:shd w:val="clear" w:color="auto" w:fill="CCEEFF"/>
          </w:tcPr>
          <w:p>
            <w:pPr>
              <w:spacing w:after="0" w:line="175" w:lineRule="exact"/>
              <w:rPr>
                <w:rFonts w:ascii="Arial" w:cs="Arial" w:eastAsia="Arial" w:hAnsi="Arial"/>
                <w:sz w:val="16"/>
                <w:szCs w:val="16"/>
                <w:color w:val="0000FF"/>
              </w:rPr>
            </w:pPr>
            <w:hyperlink r:id="rId50">
              <w:r>
                <w:rPr>
                  <w:rFonts w:ascii="Arial" w:cs="Arial" w:eastAsia="Arial" w:hAnsi="Arial"/>
                  <w:sz w:val="16"/>
                  <w:szCs w:val="16"/>
                  <w:color w:val="0000FF"/>
                </w:rPr>
                <w:t>Indenture, dated November 1, 2019, by and between Winnebago Industries, Inc. and U.S. Bank National Association (incorporated</w:t>
              </w:r>
            </w:hyperlink>
          </w:p>
        </w:tc>
      </w:tr>
      <w:tr>
        <w:trPr>
          <w:trHeight w:val="142"/>
        </w:trPr>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CCEEFF"/>
            </w:tcBorders>
            <w:shd w:val="clear" w:color="auto" w:fill="CCEEFF"/>
          </w:tcPr>
          <w:p>
            <w:pPr>
              <w:spacing w:after="0"/>
              <w:rPr>
                <w:sz w:val="12"/>
                <w:szCs w:val="12"/>
                <w:color w:val="auto"/>
              </w:rPr>
            </w:pPr>
          </w:p>
        </w:tc>
        <w:tc>
          <w:tcPr>
            <w:tcW w:w="9360" w:type="dxa"/>
            <w:vAlign w:val="bottom"/>
            <w:tcBorders>
              <w:top w:val="single" w:sz="8" w:color="0000FF"/>
            </w:tcBorders>
            <w:gridSpan w:val="14"/>
            <w:shd w:val="clear" w:color="auto" w:fill="CCEEFF"/>
          </w:tcPr>
          <w:p>
            <w:pPr>
              <w:spacing w:after="0" w:line="142" w:lineRule="exact"/>
              <w:rPr>
                <w:rFonts w:ascii="Arial" w:cs="Arial" w:eastAsia="Arial" w:hAnsi="Arial"/>
                <w:sz w:val="16"/>
                <w:szCs w:val="16"/>
                <w:color w:val="0000FF"/>
              </w:rPr>
            </w:pPr>
            <w:hyperlink r:id="rId50">
              <w:r>
                <w:rPr>
                  <w:rFonts w:ascii="Arial" w:cs="Arial" w:eastAsia="Arial" w:hAnsi="Arial"/>
                  <w:sz w:val="16"/>
                  <w:szCs w:val="16"/>
                  <w:color w:val="0000FF"/>
                </w:rPr>
                <w:t>by reference from Exhibit 4.1 to the Registrant’s Current Report on Form 8-K dated October 29, 2019)</w:t>
              </w:r>
              <w:r>
                <w:rPr>
                  <w:rFonts w:ascii="Arial" w:cs="Arial" w:eastAsia="Arial" w:hAnsi="Arial"/>
                  <w:sz w:val="16"/>
                  <w:szCs w:val="16"/>
                  <w:u w:val="single" w:color="auto"/>
                  <w:color w:val="0000FF"/>
                </w:rPr>
                <w:t>.</w:t>
              </w:r>
            </w:hyperlink>
          </w:p>
        </w:tc>
        <w:tc>
          <w:tcPr>
            <w:tcW w:w="100" w:type="dxa"/>
            <w:vAlign w:val="bottom"/>
            <w:tcBorders>
              <w:top w:val="single" w:sz="8" w:color="CCEEFF"/>
            </w:tcBorders>
            <w:gridSpan w:val="2"/>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r>
      <w:tr>
        <w:trPr>
          <w:trHeight w:val="21"/>
        </w:trPr>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0000FF"/>
            </w:tcBorders>
            <w:shd w:val="clear" w:color="auto" w:fill="CCEEFF"/>
          </w:tcPr>
          <w:p>
            <w:pPr>
              <w:spacing w:after="0" w:line="20" w:lineRule="exact"/>
              <w:rPr>
                <w:sz w:val="1"/>
                <w:szCs w:val="1"/>
                <w:color w:val="auto"/>
              </w:rPr>
            </w:pPr>
          </w:p>
        </w:tc>
        <w:tc>
          <w:tcPr>
            <w:tcW w:w="700" w:type="dxa"/>
            <w:vAlign w:val="bottom"/>
            <w:tcBorders>
              <w:top w:val="single" w:sz="8" w:color="0000FF"/>
            </w:tcBorders>
            <w:shd w:val="clear" w:color="auto" w:fill="CCEEFF"/>
          </w:tcPr>
          <w:p>
            <w:pPr>
              <w:spacing w:after="0" w:line="20" w:lineRule="exact"/>
              <w:rPr>
                <w:sz w:val="1"/>
                <w:szCs w:val="1"/>
                <w:color w:val="auto"/>
              </w:rPr>
            </w:pPr>
          </w:p>
        </w:tc>
        <w:tc>
          <w:tcPr>
            <w:tcW w:w="19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5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1420" w:type="dxa"/>
            <w:vAlign w:val="bottom"/>
            <w:tcBorders>
              <w:top w:val="single" w:sz="8" w:color="0000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r>
        <w:trPr>
          <w:trHeight w:val="283"/>
        </w:trPr>
        <w:tc>
          <w:tcPr>
            <w:tcW w:w="480" w:type="dxa"/>
            <w:vAlign w:val="bottom"/>
            <w:gridSpan w:val="5"/>
          </w:tcPr>
          <w:p>
            <w:pPr>
              <w:jc w:val="right"/>
              <w:ind w:right="40"/>
              <w:spacing w:after="0"/>
              <w:rPr>
                <w:rFonts w:ascii="Arial" w:cs="Arial" w:eastAsia="Arial" w:hAnsi="Arial"/>
                <w:sz w:val="16"/>
                <w:szCs w:val="16"/>
                <w:color w:val="0000FF"/>
              </w:rPr>
            </w:pPr>
            <w:hyperlink r:id="rId50">
              <w:r>
                <w:rPr>
                  <w:rFonts w:ascii="Arial" w:cs="Arial" w:eastAsia="Arial" w:hAnsi="Arial"/>
                  <w:sz w:val="16"/>
                  <w:szCs w:val="16"/>
                  <w:color w:val="0000FF"/>
                </w:rPr>
                <w:t>4.</w:t>
              </w:r>
              <w:r>
                <w:rPr>
                  <w:rFonts w:ascii="Arial" w:cs="Arial" w:eastAsia="Arial" w:hAnsi="Arial"/>
                  <w:sz w:val="16"/>
                  <w:szCs w:val="16"/>
                  <w:u w:val="single" w:color="auto"/>
                  <w:color w:val="0000FF"/>
                </w:rPr>
                <w:t>2</w:t>
              </w:r>
            </w:hyperlink>
          </w:p>
        </w:tc>
        <w:tc>
          <w:tcPr>
            <w:tcW w:w="800" w:type="dxa"/>
            <w:vAlign w:val="bottom"/>
          </w:tcPr>
          <w:p>
            <w:pPr>
              <w:spacing w:after="0"/>
              <w:rPr>
                <w:sz w:val="24"/>
                <w:szCs w:val="24"/>
                <w:color w:val="auto"/>
              </w:rPr>
            </w:pPr>
          </w:p>
        </w:tc>
        <w:tc>
          <w:tcPr>
            <w:tcW w:w="9520" w:type="dxa"/>
            <w:vAlign w:val="bottom"/>
            <w:gridSpan w:val="17"/>
          </w:tcPr>
          <w:p>
            <w:pPr>
              <w:spacing w:after="0"/>
              <w:rPr>
                <w:rFonts w:ascii="Arial" w:cs="Arial" w:eastAsia="Arial" w:hAnsi="Arial"/>
                <w:sz w:val="16"/>
                <w:szCs w:val="16"/>
                <w:color w:val="0000FF"/>
              </w:rPr>
            </w:pPr>
            <w:hyperlink r:id="rId50">
              <w:r>
                <w:rPr>
                  <w:rFonts w:ascii="Arial" w:cs="Arial" w:eastAsia="Arial" w:hAnsi="Arial"/>
                  <w:sz w:val="16"/>
                  <w:szCs w:val="16"/>
                  <w:color w:val="0000FF"/>
                </w:rPr>
                <w:t>Form of 1.50% Convertible Senior Note due 2025 (included in Exhibit 4.1).</w:t>
              </w:r>
            </w:hyperlink>
          </w:p>
        </w:tc>
      </w:tr>
      <w:tr>
        <w:trPr>
          <w:trHeight w:val="291"/>
        </w:trPr>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40" w:type="dxa"/>
            <w:vAlign w:val="bottom"/>
            <w:tcBorders>
              <w:top w:val="single" w:sz="8" w:color="0000FF"/>
            </w:tcBorders>
          </w:tcPr>
          <w:p>
            <w:pPr>
              <w:spacing w:after="0"/>
              <w:rPr>
                <w:sz w:val="24"/>
                <w:szCs w:val="24"/>
                <w:color w:val="auto"/>
              </w:rPr>
            </w:pPr>
          </w:p>
        </w:tc>
        <w:tc>
          <w:tcPr>
            <w:tcW w:w="700" w:type="dxa"/>
            <w:vAlign w:val="bottom"/>
            <w:tcBorders>
              <w:top w:val="single" w:sz="8" w:color="0000FF"/>
            </w:tcBorders>
          </w:tcPr>
          <w:p>
            <w:pPr>
              <w:spacing w:after="0"/>
              <w:rPr>
                <w:sz w:val="24"/>
                <w:szCs w:val="24"/>
                <w:color w:val="auto"/>
              </w:rPr>
            </w:pPr>
          </w:p>
        </w:tc>
        <w:tc>
          <w:tcPr>
            <w:tcW w:w="19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5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5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75"/>
        </w:trPr>
        <w:tc>
          <w:tcPr>
            <w:tcW w:w="360" w:type="dxa"/>
            <w:vAlign w:val="bottom"/>
            <w:gridSpan w:val="3"/>
          </w:tcPr>
          <w:p>
            <w:pPr>
              <w:jc w:val="right"/>
              <w:spacing w:after="0" w:line="175" w:lineRule="exact"/>
              <w:rPr>
                <w:rFonts w:ascii="Arial" w:cs="Arial" w:eastAsia="Arial" w:hAnsi="Arial"/>
                <w:sz w:val="16"/>
                <w:szCs w:val="16"/>
                <w:color w:val="0000FF"/>
              </w:rPr>
            </w:pPr>
            <w:hyperlink r:id="rId51">
              <w:r>
                <w:rPr>
                  <w:rFonts w:ascii="Arial" w:cs="Arial" w:eastAsia="Arial" w:hAnsi="Arial"/>
                  <w:sz w:val="16"/>
                  <w:szCs w:val="16"/>
                  <w:color w:val="0000FF"/>
                </w:rPr>
                <w:t>4.</w:t>
              </w:r>
            </w:hyperlink>
          </w:p>
        </w:tc>
        <w:tc>
          <w:tcPr>
            <w:tcW w:w="120" w:type="dxa"/>
            <w:vAlign w:val="bottom"/>
            <w:gridSpan w:val="2"/>
            <w:shd w:val="clear" w:color="auto" w:fill="CCEEFF"/>
          </w:tcPr>
          <w:p>
            <w:pPr>
              <w:jc w:val="right"/>
              <w:ind w:right="40"/>
              <w:spacing w:after="0"/>
              <w:rPr>
                <w:rFonts w:ascii="Arial" w:cs="Arial" w:eastAsia="Arial" w:hAnsi="Arial"/>
                <w:sz w:val="15"/>
                <w:szCs w:val="15"/>
                <w:u w:val="single" w:color="auto"/>
                <w:color w:val="0000FF"/>
                <w:w w:val="71"/>
              </w:rPr>
            </w:pPr>
            <w:hyperlink r:id="rId51">
              <w:r>
                <w:rPr>
                  <w:rFonts w:ascii="Arial" w:cs="Arial" w:eastAsia="Arial" w:hAnsi="Arial"/>
                  <w:sz w:val="15"/>
                  <w:szCs w:val="15"/>
                  <w:u w:val="single" w:color="auto"/>
                  <w:color w:val="0000FF"/>
                  <w:w w:val="71"/>
                </w:rPr>
                <w:t>3</w:t>
              </w:r>
            </w:hyperlink>
          </w:p>
        </w:tc>
        <w:tc>
          <w:tcPr>
            <w:tcW w:w="800" w:type="dxa"/>
            <w:vAlign w:val="bottom"/>
            <w:shd w:val="clear" w:color="auto" w:fill="CCEEFF"/>
          </w:tcPr>
          <w:p>
            <w:pPr>
              <w:spacing w:after="0"/>
              <w:rPr>
                <w:sz w:val="15"/>
                <w:szCs w:val="15"/>
                <w:color w:val="auto"/>
              </w:rPr>
            </w:pPr>
          </w:p>
        </w:tc>
        <w:tc>
          <w:tcPr>
            <w:tcW w:w="9520" w:type="dxa"/>
            <w:vAlign w:val="bottom"/>
            <w:gridSpan w:val="17"/>
            <w:shd w:val="clear" w:color="auto" w:fill="CCEEFF"/>
          </w:tcPr>
          <w:p>
            <w:pPr>
              <w:spacing w:after="0" w:line="175" w:lineRule="exact"/>
              <w:rPr>
                <w:rFonts w:ascii="Arial" w:cs="Arial" w:eastAsia="Arial" w:hAnsi="Arial"/>
                <w:sz w:val="16"/>
                <w:szCs w:val="16"/>
                <w:color w:val="0000FF"/>
              </w:rPr>
            </w:pPr>
            <w:hyperlink r:id="rId51">
              <w:r>
                <w:rPr>
                  <w:rFonts w:ascii="Arial" w:cs="Arial" w:eastAsia="Arial" w:hAnsi="Arial"/>
                  <w:sz w:val="16"/>
                  <w:szCs w:val="16"/>
                  <w:color w:val="0000FF"/>
                </w:rPr>
                <w:t>Indenture, dated as of July 8, 2020, by and among Winnebago Industries, Inc., the guarantors named therein and U.S. Bank</w:t>
              </w:r>
            </w:hyperlink>
          </w:p>
        </w:tc>
      </w:tr>
      <w:tr>
        <w:trPr>
          <w:trHeight w:val="142"/>
        </w:trPr>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CCEEFF"/>
            </w:tcBorders>
            <w:shd w:val="clear" w:color="auto" w:fill="CCEEFF"/>
          </w:tcPr>
          <w:p>
            <w:pPr>
              <w:spacing w:after="0"/>
              <w:rPr>
                <w:sz w:val="12"/>
                <w:szCs w:val="12"/>
                <w:color w:val="auto"/>
              </w:rPr>
            </w:pPr>
          </w:p>
        </w:tc>
        <w:tc>
          <w:tcPr>
            <w:tcW w:w="8880" w:type="dxa"/>
            <w:vAlign w:val="bottom"/>
            <w:tcBorders>
              <w:top w:val="single" w:sz="8" w:color="0000FF"/>
            </w:tcBorders>
            <w:gridSpan w:val="11"/>
            <w:shd w:val="clear" w:color="auto" w:fill="CCEEFF"/>
          </w:tcPr>
          <w:p>
            <w:pPr>
              <w:spacing w:after="0" w:line="142" w:lineRule="exact"/>
              <w:rPr>
                <w:rFonts w:ascii="Arial" w:cs="Arial" w:eastAsia="Arial" w:hAnsi="Arial"/>
                <w:sz w:val="16"/>
                <w:szCs w:val="16"/>
                <w:color w:val="0000FF"/>
              </w:rPr>
            </w:pPr>
            <w:hyperlink r:id="rId51">
              <w:r>
                <w:rPr>
                  <w:rFonts w:ascii="Arial" w:cs="Arial" w:eastAsia="Arial" w:hAnsi="Arial"/>
                  <w:sz w:val="16"/>
                  <w:szCs w:val="16"/>
                  <w:color w:val="0000FF"/>
                </w:rPr>
                <w:t>National Association, as trustee (incorporated by reference from Exhibit 4.1 to the Registrant's Current Report on Form 8-K</w:t>
              </w:r>
            </w:hyperlink>
          </w:p>
        </w:tc>
        <w:tc>
          <w:tcPr>
            <w:tcW w:w="640" w:type="dxa"/>
            <w:vAlign w:val="bottom"/>
            <w:tcBorders>
              <w:top w:val="single" w:sz="8" w:color="CCEEFF"/>
            </w:tcBorders>
            <w:gridSpan w:val="6"/>
            <w:shd w:val="clear" w:color="auto" w:fill="CCEEFF"/>
          </w:tcPr>
          <w:p>
            <w:pPr>
              <w:spacing w:after="0" w:line="142" w:lineRule="exact"/>
              <w:rPr>
                <w:rFonts w:ascii="Arial" w:cs="Arial" w:eastAsia="Arial" w:hAnsi="Arial"/>
                <w:sz w:val="16"/>
                <w:szCs w:val="16"/>
                <w:color w:val="0000FF"/>
              </w:rPr>
            </w:pPr>
            <w:hyperlink r:id="rId51">
              <w:r>
                <w:rPr>
                  <w:rFonts w:ascii="Arial" w:cs="Arial" w:eastAsia="Arial" w:hAnsi="Arial"/>
                  <w:sz w:val="16"/>
                  <w:szCs w:val="16"/>
                  <w:color w:val="0000FF"/>
                </w:rPr>
                <w:t>dated</w:t>
              </w:r>
            </w:hyperlink>
          </w:p>
        </w:tc>
      </w:tr>
      <w:tr>
        <w:trPr>
          <w:trHeight w:val="142"/>
        </w:trPr>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CCEEFF"/>
            </w:tcBorders>
            <w:shd w:val="clear" w:color="auto" w:fill="CCEEFF"/>
          </w:tcPr>
          <w:p>
            <w:pPr>
              <w:spacing w:after="0"/>
              <w:rPr>
                <w:sz w:val="12"/>
                <w:szCs w:val="12"/>
                <w:color w:val="auto"/>
              </w:rPr>
            </w:pPr>
          </w:p>
        </w:tc>
        <w:tc>
          <w:tcPr>
            <w:tcW w:w="9240" w:type="dxa"/>
            <w:vAlign w:val="bottom"/>
            <w:tcBorders>
              <w:top w:val="single" w:sz="8" w:color="0000FF"/>
            </w:tcBorders>
            <w:gridSpan w:val="13"/>
            <w:shd w:val="clear" w:color="auto" w:fill="CCEEFF"/>
          </w:tcPr>
          <w:p>
            <w:pPr>
              <w:spacing w:after="0" w:line="142" w:lineRule="exact"/>
              <w:rPr>
                <w:rFonts w:ascii="Arial" w:cs="Arial" w:eastAsia="Arial" w:hAnsi="Arial"/>
                <w:sz w:val="16"/>
                <w:szCs w:val="16"/>
                <w:color w:val="0000FF"/>
              </w:rPr>
            </w:pPr>
            <w:hyperlink r:id="rId51">
              <w:r>
                <w:rPr>
                  <w:rFonts w:ascii="Arial" w:cs="Arial" w:eastAsia="Arial" w:hAnsi="Arial"/>
                  <w:sz w:val="16"/>
                  <w:szCs w:val="16"/>
                  <w:color w:val="0000FF"/>
                </w:rPr>
                <w:t>July 8, 2020)</w:t>
              </w:r>
              <w:r>
                <w:rPr>
                  <w:rFonts w:ascii="Arial" w:cs="Arial" w:eastAsia="Arial" w:hAnsi="Arial"/>
                  <w:sz w:val="16"/>
                  <w:szCs w:val="16"/>
                  <w:u w:val="single" w:color="auto"/>
                  <w:color w:val="0000FF"/>
                </w:rPr>
                <w:t>.</w:t>
              </w:r>
            </w:hyperlink>
          </w:p>
        </w:tc>
        <w:tc>
          <w:tcPr>
            <w:tcW w:w="220" w:type="dxa"/>
            <w:vAlign w:val="bottom"/>
            <w:tcBorders>
              <w:top w:val="single" w:sz="8" w:color="CCEEFF"/>
            </w:tcBorders>
            <w:gridSpan w:val="3"/>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r>
      <w:tr>
        <w:trPr>
          <w:trHeight w:val="20"/>
        </w:trPr>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0000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r>
        <w:trPr>
          <w:trHeight w:val="283"/>
        </w:trPr>
        <w:tc>
          <w:tcPr>
            <w:tcW w:w="480" w:type="dxa"/>
            <w:vAlign w:val="bottom"/>
            <w:gridSpan w:val="5"/>
          </w:tcPr>
          <w:p>
            <w:pPr>
              <w:jc w:val="right"/>
              <w:ind w:right="40"/>
              <w:spacing w:after="0"/>
              <w:rPr>
                <w:rFonts w:ascii="Arial" w:cs="Arial" w:eastAsia="Arial" w:hAnsi="Arial"/>
                <w:sz w:val="16"/>
                <w:szCs w:val="16"/>
                <w:color w:val="0000FF"/>
              </w:rPr>
            </w:pPr>
            <w:hyperlink r:id="rId51">
              <w:r>
                <w:rPr>
                  <w:rFonts w:ascii="Arial" w:cs="Arial" w:eastAsia="Arial" w:hAnsi="Arial"/>
                  <w:sz w:val="16"/>
                  <w:szCs w:val="16"/>
                  <w:color w:val="0000FF"/>
                </w:rPr>
                <w:t>4.</w:t>
              </w:r>
              <w:r>
                <w:rPr>
                  <w:rFonts w:ascii="Arial" w:cs="Arial" w:eastAsia="Arial" w:hAnsi="Arial"/>
                  <w:sz w:val="16"/>
                  <w:szCs w:val="16"/>
                  <w:u w:val="single" w:color="auto"/>
                  <w:color w:val="0000FF"/>
                </w:rPr>
                <w:t>4</w:t>
              </w:r>
            </w:hyperlink>
          </w:p>
        </w:tc>
        <w:tc>
          <w:tcPr>
            <w:tcW w:w="800" w:type="dxa"/>
            <w:vAlign w:val="bottom"/>
          </w:tcPr>
          <w:p>
            <w:pPr>
              <w:spacing w:after="0"/>
              <w:rPr>
                <w:sz w:val="24"/>
                <w:szCs w:val="24"/>
                <w:color w:val="auto"/>
              </w:rPr>
            </w:pPr>
          </w:p>
        </w:tc>
        <w:tc>
          <w:tcPr>
            <w:tcW w:w="9520" w:type="dxa"/>
            <w:vAlign w:val="bottom"/>
            <w:gridSpan w:val="17"/>
          </w:tcPr>
          <w:p>
            <w:pPr>
              <w:spacing w:after="0"/>
              <w:rPr>
                <w:rFonts w:ascii="Arial" w:cs="Arial" w:eastAsia="Arial" w:hAnsi="Arial"/>
                <w:sz w:val="16"/>
                <w:szCs w:val="16"/>
                <w:color w:val="0000FF"/>
              </w:rPr>
            </w:pPr>
            <w:hyperlink r:id="rId51">
              <w:r>
                <w:rPr>
                  <w:rFonts w:ascii="Arial" w:cs="Arial" w:eastAsia="Arial" w:hAnsi="Arial"/>
                  <w:sz w:val="16"/>
                  <w:szCs w:val="16"/>
                  <w:color w:val="0000FF"/>
                </w:rPr>
                <w:t>Form of 6.250% Senior Secured Note due 2028 (included in Exhibit 4.3)</w:t>
              </w:r>
            </w:hyperlink>
          </w:p>
        </w:tc>
      </w:tr>
      <w:tr>
        <w:trPr>
          <w:trHeight w:val="291"/>
        </w:trPr>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40" w:type="dxa"/>
            <w:vAlign w:val="bottom"/>
            <w:tcBorders>
              <w:top w:val="single" w:sz="8" w:color="0000FF"/>
            </w:tcBorders>
          </w:tcPr>
          <w:p>
            <w:pPr>
              <w:spacing w:after="0"/>
              <w:rPr>
                <w:sz w:val="24"/>
                <w:szCs w:val="24"/>
                <w:color w:val="auto"/>
              </w:rPr>
            </w:pPr>
          </w:p>
        </w:tc>
        <w:tc>
          <w:tcPr>
            <w:tcW w:w="700" w:type="dxa"/>
            <w:vAlign w:val="bottom"/>
            <w:tcBorders>
              <w:top w:val="single" w:sz="8" w:color="0000FF"/>
            </w:tcBorders>
          </w:tcPr>
          <w:p>
            <w:pPr>
              <w:spacing w:after="0"/>
              <w:rPr>
                <w:sz w:val="24"/>
                <w:szCs w:val="24"/>
                <w:color w:val="auto"/>
              </w:rPr>
            </w:pPr>
          </w:p>
        </w:tc>
        <w:tc>
          <w:tcPr>
            <w:tcW w:w="19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580" w:type="dxa"/>
            <w:vAlign w:val="bottom"/>
            <w:tcBorders>
              <w:top w:val="single" w:sz="8" w:color="0000FF"/>
            </w:tcBorders>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76"/>
        </w:trPr>
        <w:tc>
          <w:tcPr>
            <w:tcW w:w="360" w:type="dxa"/>
            <w:vAlign w:val="bottom"/>
            <w:gridSpan w:val="3"/>
          </w:tcPr>
          <w:p>
            <w:pPr>
              <w:jc w:val="right"/>
              <w:spacing w:after="0" w:line="175" w:lineRule="exact"/>
              <w:rPr>
                <w:rFonts w:ascii="Arial" w:cs="Arial" w:eastAsia="Arial" w:hAnsi="Arial"/>
                <w:sz w:val="16"/>
                <w:szCs w:val="16"/>
                <w:color w:val="0000FF"/>
              </w:rPr>
            </w:pPr>
            <w:hyperlink w:anchor="page38">
              <w:r>
                <w:rPr>
                  <w:rFonts w:ascii="Arial" w:cs="Arial" w:eastAsia="Arial" w:hAnsi="Arial"/>
                  <w:sz w:val="16"/>
                  <w:szCs w:val="16"/>
                  <w:color w:val="0000FF"/>
                </w:rPr>
                <w:t>31.</w:t>
              </w:r>
            </w:hyperlink>
          </w:p>
        </w:tc>
        <w:tc>
          <w:tcPr>
            <w:tcW w:w="920" w:type="dxa"/>
            <w:vAlign w:val="bottom"/>
            <w:gridSpan w:val="3"/>
            <w:shd w:val="clear" w:color="auto" w:fill="CCEEFF"/>
          </w:tcPr>
          <w:p>
            <w:pPr>
              <w:jc w:val="right"/>
              <w:ind w:right="800"/>
              <w:spacing w:after="0" w:line="175" w:lineRule="exact"/>
              <w:rPr>
                <w:rFonts w:ascii="Arial" w:cs="Arial" w:eastAsia="Arial" w:hAnsi="Arial"/>
                <w:sz w:val="16"/>
                <w:szCs w:val="16"/>
                <w:u w:val="single" w:color="auto"/>
                <w:color w:val="0000FF"/>
              </w:rPr>
            </w:pPr>
            <w:hyperlink w:anchor="page38">
              <w:r>
                <w:rPr>
                  <w:rFonts w:ascii="Arial" w:cs="Arial" w:eastAsia="Arial" w:hAnsi="Arial"/>
                  <w:sz w:val="16"/>
                  <w:szCs w:val="16"/>
                  <w:u w:val="single" w:color="auto"/>
                  <w:color w:val="0000FF"/>
                </w:rPr>
                <w:t>1</w:t>
              </w:r>
            </w:hyperlink>
          </w:p>
        </w:tc>
        <w:tc>
          <w:tcPr>
            <w:tcW w:w="9520" w:type="dxa"/>
            <w:vAlign w:val="bottom"/>
            <w:gridSpan w:val="17"/>
            <w:shd w:val="clear" w:color="auto" w:fill="CCEEFF"/>
          </w:tcPr>
          <w:p>
            <w:pPr>
              <w:spacing w:after="0" w:line="175" w:lineRule="exact"/>
              <w:rPr>
                <w:rFonts w:ascii="Arial" w:cs="Arial" w:eastAsia="Arial" w:hAnsi="Arial"/>
                <w:sz w:val="16"/>
                <w:szCs w:val="16"/>
                <w:color w:val="0000FF"/>
              </w:rPr>
            </w:pPr>
            <w:hyperlink w:anchor="page38">
              <w:r>
                <w:rPr>
                  <w:rFonts w:ascii="Arial" w:cs="Arial" w:eastAsia="Arial" w:hAnsi="Arial"/>
                  <w:sz w:val="16"/>
                  <w:szCs w:val="16"/>
                  <w:color w:val="0000FF"/>
                </w:rPr>
                <w:t xml:space="preserve">Certification by the Chief Executive Officer pursuant to Section 302 of the Sarbanes-Oxley Act of 2002 </w:t>
              </w:r>
            </w:hyperlink>
            <w:r>
              <w:rPr>
                <w:rFonts w:ascii="Arial" w:cs="Arial" w:eastAsia="Arial" w:hAnsi="Arial"/>
                <w:sz w:val="16"/>
                <w:szCs w:val="16"/>
                <w:color w:val="0000FF"/>
              </w:rPr>
              <w:t xml:space="preserve">(filed </w:t>
            </w:r>
            <w:hyperlink w:anchor="page38">
              <w:r>
                <w:rPr>
                  <w:rFonts w:ascii="Arial" w:cs="Arial" w:eastAsia="Arial" w:hAnsi="Arial"/>
                  <w:sz w:val="16"/>
                  <w:szCs w:val="16"/>
                  <w:color w:val="0000FF"/>
                </w:rPr>
                <w:t>herewith)</w:t>
              </w:r>
            </w:hyperlink>
            <w:r>
              <w:rPr>
                <w:rFonts w:ascii="Arial" w:cs="Arial" w:eastAsia="Arial" w:hAnsi="Arial"/>
                <w:sz w:val="16"/>
                <w:szCs w:val="16"/>
                <w:color w:val="000000"/>
              </w:rPr>
              <w:t>.</w:t>
            </w:r>
          </w:p>
        </w:tc>
      </w:tr>
      <w:tr>
        <w:trPr>
          <w:trHeight w:val="183"/>
        </w:trPr>
        <w:tc>
          <w:tcPr>
            <w:tcW w:w="160" w:type="dxa"/>
            <w:vAlign w:val="bottom"/>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shd w:val="clear" w:color="auto" w:fill="CCEEFF"/>
          </w:tcPr>
          <w:p>
            <w:pPr>
              <w:spacing w:after="0"/>
              <w:rPr>
                <w:sz w:val="15"/>
                <w:szCs w:val="15"/>
                <w:color w:val="auto"/>
              </w:rPr>
            </w:pPr>
          </w:p>
        </w:tc>
        <w:tc>
          <w:tcPr>
            <w:tcW w:w="40" w:type="dxa"/>
            <w:vAlign w:val="bottom"/>
            <w:tcBorders>
              <w:top w:val="single" w:sz="8" w:color="0000FF"/>
            </w:tcBorders>
            <w:shd w:val="clear" w:color="auto" w:fill="CCEEFF"/>
          </w:tcPr>
          <w:p>
            <w:pPr>
              <w:spacing w:after="0"/>
              <w:rPr>
                <w:sz w:val="15"/>
                <w:szCs w:val="15"/>
                <w:color w:val="auto"/>
              </w:rPr>
            </w:pPr>
          </w:p>
        </w:tc>
        <w:tc>
          <w:tcPr>
            <w:tcW w:w="80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0000FF"/>
            </w:tcBorders>
            <w:shd w:val="clear" w:color="auto" w:fill="CCEEFF"/>
          </w:tcPr>
          <w:p>
            <w:pPr>
              <w:spacing w:after="0"/>
              <w:rPr>
                <w:sz w:val="15"/>
                <w:szCs w:val="15"/>
                <w:color w:val="auto"/>
              </w:rPr>
            </w:pPr>
          </w:p>
        </w:tc>
        <w:tc>
          <w:tcPr>
            <w:tcW w:w="700" w:type="dxa"/>
            <w:vAlign w:val="bottom"/>
            <w:tcBorders>
              <w:top w:val="single" w:sz="8" w:color="0000FF"/>
            </w:tcBorders>
            <w:shd w:val="clear" w:color="auto" w:fill="CCEEFF"/>
          </w:tcPr>
          <w:p>
            <w:pPr>
              <w:spacing w:after="0"/>
              <w:rPr>
                <w:sz w:val="15"/>
                <w:szCs w:val="15"/>
                <w:color w:val="auto"/>
              </w:rPr>
            </w:pPr>
          </w:p>
        </w:tc>
        <w:tc>
          <w:tcPr>
            <w:tcW w:w="1920" w:type="dxa"/>
            <w:vAlign w:val="bottom"/>
            <w:tcBorders>
              <w:top w:val="single" w:sz="8" w:color="0000FF"/>
            </w:tcBorders>
            <w:shd w:val="clear" w:color="auto" w:fill="CCEEFF"/>
          </w:tcPr>
          <w:p>
            <w:pPr>
              <w:spacing w:after="0"/>
              <w:rPr>
                <w:sz w:val="15"/>
                <w:szCs w:val="15"/>
                <w:color w:val="auto"/>
              </w:rPr>
            </w:pPr>
          </w:p>
        </w:tc>
        <w:tc>
          <w:tcPr>
            <w:tcW w:w="20" w:type="dxa"/>
            <w:vAlign w:val="bottom"/>
            <w:tcBorders>
              <w:top w:val="single" w:sz="8" w:color="0000FF"/>
            </w:tcBorders>
            <w:shd w:val="clear" w:color="auto" w:fill="CCEEFF"/>
          </w:tcPr>
          <w:p>
            <w:pPr>
              <w:spacing w:after="0"/>
              <w:rPr>
                <w:sz w:val="15"/>
                <w:szCs w:val="15"/>
                <w:color w:val="auto"/>
              </w:rPr>
            </w:pPr>
          </w:p>
        </w:tc>
        <w:tc>
          <w:tcPr>
            <w:tcW w:w="1580" w:type="dxa"/>
            <w:vAlign w:val="bottom"/>
            <w:tcBorders>
              <w:top w:val="single" w:sz="8" w:color="0000FF"/>
            </w:tcBorders>
            <w:shd w:val="clear" w:color="auto" w:fill="CCEEFF"/>
          </w:tcPr>
          <w:p>
            <w:pPr>
              <w:spacing w:after="0"/>
              <w:rPr>
                <w:sz w:val="15"/>
                <w:szCs w:val="15"/>
                <w:color w:val="auto"/>
              </w:rPr>
            </w:pPr>
          </w:p>
        </w:tc>
        <w:tc>
          <w:tcPr>
            <w:tcW w:w="160" w:type="dxa"/>
            <w:vAlign w:val="bottom"/>
            <w:tcBorders>
              <w:top w:val="single" w:sz="8" w:color="0000FF"/>
            </w:tcBorders>
            <w:shd w:val="clear" w:color="auto" w:fill="CCEEFF"/>
          </w:tcPr>
          <w:p>
            <w:pPr>
              <w:spacing w:after="0"/>
              <w:rPr>
                <w:sz w:val="15"/>
                <w:szCs w:val="15"/>
                <w:color w:val="auto"/>
              </w:rPr>
            </w:pPr>
          </w:p>
        </w:tc>
        <w:tc>
          <w:tcPr>
            <w:tcW w:w="540" w:type="dxa"/>
            <w:vAlign w:val="bottom"/>
            <w:tcBorders>
              <w:top w:val="single" w:sz="8" w:color="0000FF"/>
            </w:tcBorders>
            <w:shd w:val="clear" w:color="auto" w:fill="CCEEFF"/>
          </w:tcPr>
          <w:p>
            <w:pPr>
              <w:spacing w:after="0"/>
              <w:rPr>
                <w:sz w:val="15"/>
                <w:szCs w:val="15"/>
                <w:color w:val="auto"/>
              </w:rPr>
            </w:pPr>
          </w:p>
        </w:tc>
        <w:tc>
          <w:tcPr>
            <w:tcW w:w="1420" w:type="dxa"/>
            <w:vAlign w:val="bottom"/>
            <w:tcBorders>
              <w:top w:val="single" w:sz="8" w:color="0000FF"/>
            </w:tcBorders>
            <w:shd w:val="clear" w:color="auto" w:fill="CCEEFF"/>
          </w:tcPr>
          <w:p>
            <w:pPr>
              <w:spacing w:after="0"/>
              <w:rPr>
                <w:sz w:val="15"/>
                <w:szCs w:val="15"/>
                <w:color w:val="auto"/>
              </w:rPr>
            </w:pPr>
          </w:p>
        </w:tc>
        <w:tc>
          <w:tcPr>
            <w:tcW w:w="1140" w:type="dxa"/>
            <w:vAlign w:val="bottom"/>
            <w:tcBorders>
              <w:top w:val="single" w:sz="8" w:color="0000FF"/>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283"/>
        </w:trPr>
        <w:tc>
          <w:tcPr>
            <w:tcW w:w="1280" w:type="dxa"/>
            <w:vAlign w:val="bottom"/>
            <w:gridSpan w:val="6"/>
          </w:tcPr>
          <w:p>
            <w:pPr>
              <w:jc w:val="right"/>
              <w:ind w:right="800"/>
              <w:spacing w:after="0"/>
              <w:rPr>
                <w:rFonts w:ascii="Arial" w:cs="Arial" w:eastAsia="Arial" w:hAnsi="Arial"/>
                <w:sz w:val="16"/>
                <w:szCs w:val="16"/>
                <w:color w:val="0000FF"/>
              </w:rPr>
            </w:pPr>
            <w:hyperlink w:anchor="page39">
              <w:r>
                <w:rPr>
                  <w:rFonts w:ascii="Arial" w:cs="Arial" w:eastAsia="Arial" w:hAnsi="Arial"/>
                  <w:sz w:val="16"/>
                  <w:szCs w:val="16"/>
                  <w:color w:val="0000FF"/>
                </w:rPr>
                <w:t>31.</w:t>
              </w:r>
              <w:r>
                <w:rPr>
                  <w:rFonts w:ascii="Arial" w:cs="Arial" w:eastAsia="Arial" w:hAnsi="Arial"/>
                  <w:sz w:val="16"/>
                  <w:szCs w:val="16"/>
                  <w:u w:val="single" w:color="auto"/>
                  <w:color w:val="0000FF"/>
                </w:rPr>
                <w:t>2</w:t>
              </w:r>
            </w:hyperlink>
          </w:p>
        </w:tc>
        <w:tc>
          <w:tcPr>
            <w:tcW w:w="9520" w:type="dxa"/>
            <w:vAlign w:val="bottom"/>
            <w:gridSpan w:val="17"/>
          </w:tcPr>
          <w:p>
            <w:pPr>
              <w:spacing w:after="0"/>
              <w:rPr>
                <w:rFonts w:ascii="Arial" w:cs="Arial" w:eastAsia="Arial" w:hAnsi="Arial"/>
                <w:sz w:val="16"/>
                <w:szCs w:val="16"/>
                <w:color w:val="0000FF"/>
              </w:rPr>
            </w:pPr>
            <w:hyperlink w:anchor="page39">
              <w:r>
                <w:rPr>
                  <w:rFonts w:ascii="Arial" w:cs="Arial" w:eastAsia="Arial" w:hAnsi="Arial"/>
                  <w:sz w:val="16"/>
                  <w:szCs w:val="16"/>
                  <w:color w:val="0000FF"/>
                </w:rPr>
                <w:t>Certification by the Chief Financial Officer pursuant to Section 302 of the Sarbanes-Oxley Act of 2002 (filed herewith).</w:t>
              </w:r>
            </w:hyperlink>
          </w:p>
        </w:tc>
      </w:tr>
      <w:tr>
        <w:trPr>
          <w:trHeight w:val="291"/>
        </w:trPr>
        <w:tc>
          <w:tcPr>
            <w:tcW w:w="160" w:type="dxa"/>
            <w:vAlign w:val="bottom"/>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800" w:type="dxa"/>
            <w:vAlign w:val="bottom"/>
          </w:tcPr>
          <w:p>
            <w:pPr>
              <w:spacing w:after="0"/>
              <w:rPr>
                <w:sz w:val="24"/>
                <w:szCs w:val="24"/>
                <w:color w:val="auto"/>
              </w:rPr>
            </w:pPr>
          </w:p>
        </w:tc>
        <w:tc>
          <w:tcPr>
            <w:tcW w:w="940" w:type="dxa"/>
            <w:vAlign w:val="bottom"/>
            <w:tcBorders>
              <w:top w:val="single" w:sz="8" w:color="0000FF"/>
            </w:tcBorders>
          </w:tcPr>
          <w:p>
            <w:pPr>
              <w:spacing w:after="0"/>
              <w:rPr>
                <w:sz w:val="24"/>
                <w:szCs w:val="24"/>
                <w:color w:val="auto"/>
              </w:rPr>
            </w:pPr>
          </w:p>
        </w:tc>
        <w:tc>
          <w:tcPr>
            <w:tcW w:w="700" w:type="dxa"/>
            <w:vAlign w:val="bottom"/>
            <w:tcBorders>
              <w:top w:val="single" w:sz="8" w:color="0000FF"/>
            </w:tcBorders>
          </w:tcPr>
          <w:p>
            <w:pPr>
              <w:spacing w:after="0"/>
              <w:rPr>
                <w:sz w:val="24"/>
                <w:szCs w:val="24"/>
                <w:color w:val="auto"/>
              </w:rPr>
            </w:pPr>
          </w:p>
        </w:tc>
        <w:tc>
          <w:tcPr>
            <w:tcW w:w="19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5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1420" w:type="dxa"/>
            <w:vAlign w:val="bottom"/>
            <w:tcBorders>
              <w:top w:val="single" w:sz="8" w:color="0000FF"/>
            </w:tcBorders>
          </w:tcPr>
          <w:p>
            <w:pPr>
              <w:spacing w:after="0"/>
              <w:rPr>
                <w:sz w:val="24"/>
                <w:szCs w:val="24"/>
                <w:color w:val="auto"/>
              </w:rPr>
            </w:pPr>
          </w:p>
        </w:tc>
        <w:tc>
          <w:tcPr>
            <w:tcW w:w="1140" w:type="dxa"/>
            <w:vAlign w:val="bottom"/>
            <w:tcBorders>
              <w:top w:val="single" w:sz="8" w:color="0000FF"/>
            </w:tcBorders>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75"/>
        </w:trPr>
        <w:tc>
          <w:tcPr>
            <w:tcW w:w="360" w:type="dxa"/>
            <w:vAlign w:val="bottom"/>
            <w:gridSpan w:val="3"/>
          </w:tcPr>
          <w:p>
            <w:pPr>
              <w:jc w:val="right"/>
              <w:spacing w:after="0" w:line="175" w:lineRule="exact"/>
              <w:rPr>
                <w:rFonts w:ascii="Arial" w:cs="Arial" w:eastAsia="Arial" w:hAnsi="Arial"/>
                <w:sz w:val="16"/>
                <w:szCs w:val="16"/>
                <w:color w:val="0000FF"/>
              </w:rPr>
            </w:pPr>
            <w:hyperlink w:anchor="page40">
              <w:r>
                <w:rPr>
                  <w:rFonts w:ascii="Arial" w:cs="Arial" w:eastAsia="Arial" w:hAnsi="Arial"/>
                  <w:sz w:val="16"/>
                  <w:szCs w:val="16"/>
                  <w:color w:val="0000FF"/>
                </w:rPr>
                <w:t>32.</w:t>
              </w:r>
            </w:hyperlink>
          </w:p>
        </w:tc>
        <w:tc>
          <w:tcPr>
            <w:tcW w:w="920" w:type="dxa"/>
            <w:vAlign w:val="bottom"/>
            <w:gridSpan w:val="3"/>
            <w:shd w:val="clear" w:color="auto" w:fill="CCEEFF"/>
          </w:tcPr>
          <w:p>
            <w:pPr>
              <w:jc w:val="right"/>
              <w:ind w:right="800"/>
              <w:spacing w:after="0" w:line="175" w:lineRule="exact"/>
              <w:rPr>
                <w:rFonts w:ascii="Arial" w:cs="Arial" w:eastAsia="Arial" w:hAnsi="Arial"/>
                <w:sz w:val="16"/>
                <w:szCs w:val="16"/>
                <w:u w:val="single" w:color="auto"/>
                <w:color w:val="0000FF"/>
              </w:rPr>
            </w:pPr>
            <w:hyperlink w:anchor="page40">
              <w:r>
                <w:rPr>
                  <w:rFonts w:ascii="Arial" w:cs="Arial" w:eastAsia="Arial" w:hAnsi="Arial"/>
                  <w:sz w:val="16"/>
                  <w:szCs w:val="16"/>
                  <w:u w:val="single" w:color="auto"/>
                  <w:color w:val="0000FF"/>
                </w:rPr>
                <w:t>1</w:t>
              </w:r>
            </w:hyperlink>
          </w:p>
        </w:tc>
        <w:tc>
          <w:tcPr>
            <w:tcW w:w="9520" w:type="dxa"/>
            <w:vAlign w:val="bottom"/>
            <w:gridSpan w:val="17"/>
            <w:shd w:val="clear" w:color="auto" w:fill="CCEEFF"/>
          </w:tcPr>
          <w:p>
            <w:pPr>
              <w:spacing w:after="0" w:line="175" w:lineRule="exact"/>
              <w:rPr>
                <w:rFonts w:ascii="Arial" w:cs="Arial" w:eastAsia="Arial" w:hAnsi="Arial"/>
                <w:sz w:val="16"/>
                <w:szCs w:val="16"/>
                <w:color w:val="0000FF"/>
              </w:rPr>
            </w:pPr>
            <w:hyperlink w:anchor="page40">
              <w:r>
                <w:rPr>
                  <w:rFonts w:ascii="Arial" w:cs="Arial" w:eastAsia="Arial" w:hAnsi="Arial"/>
                  <w:sz w:val="16"/>
                  <w:szCs w:val="16"/>
                  <w:color w:val="0000FF"/>
                </w:rPr>
                <w:t>Certification by the Chief Executive Officer pursuant to 18 U.S.C. Section 1350, as adopted pursuant to Section 906 of the</w:t>
              </w:r>
            </w:hyperlink>
          </w:p>
        </w:tc>
      </w:tr>
      <w:tr>
        <w:trPr>
          <w:trHeight w:val="163"/>
        </w:trPr>
        <w:tc>
          <w:tcPr>
            <w:tcW w:w="160" w:type="dxa"/>
            <w:vAlign w:val="bottom"/>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80" w:type="dxa"/>
            <w:vAlign w:val="bottom"/>
            <w:tcBorders>
              <w:top w:val="single" w:sz="8" w:color="0000FF"/>
              <w:bottom w:val="single" w:sz="8" w:color="CCEEFF"/>
            </w:tcBorders>
            <w:shd w:val="clear" w:color="auto" w:fill="CCEEFF"/>
          </w:tcPr>
          <w:p>
            <w:pPr>
              <w:spacing w:after="0"/>
              <w:rPr>
                <w:sz w:val="14"/>
                <w:szCs w:val="14"/>
                <w:color w:val="auto"/>
              </w:rPr>
            </w:pPr>
          </w:p>
        </w:tc>
        <w:tc>
          <w:tcPr>
            <w:tcW w:w="40" w:type="dxa"/>
            <w:vAlign w:val="bottom"/>
            <w:tcBorders>
              <w:top w:val="single" w:sz="8" w:color="0000FF"/>
              <w:bottom w:val="single" w:sz="8" w:color="CCEEFF"/>
            </w:tcBorders>
            <w:shd w:val="clear" w:color="auto" w:fill="CCEEFF"/>
          </w:tcPr>
          <w:p>
            <w:pPr>
              <w:spacing w:after="0"/>
              <w:rPr>
                <w:sz w:val="14"/>
                <w:szCs w:val="14"/>
                <w:color w:val="auto"/>
              </w:rPr>
            </w:pPr>
          </w:p>
        </w:tc>
        <w:tc>
          <w:tcPr>
            <w:tcW w:w="800" w:type="dxa"/>
            <w:vAlign w:val="bottom"/>
            <w:tcBorders>
              <w:top w:val="single" w:sz="8" w:color="CCEEFF"/>
              <w:bottom w:val="single" w:sz="8" w:color="CCEEFF"/>
            </w:tcBorders>
            <w:shd w:val="clear" w:color="auto" w:fill="CCEEFF"/>
          </w:tcPr>
          <w:p>
            <w:pPr>
              <w:spacing w:after="0"/>
              <w:rPr>
                <w:sz w:val="14"/>
                <w:szCs w:val="14"/>
                <w:color w:val="auto"/>
              </w:rPr>
            </w:pPr>
          </w:p>
        </w:tc>
        <w:tc>
          <w:tcPr>
            <w:tcW w:w="3560" w:type="dxa"/>
            <w:vAlign w:val="bottom"/>
            <w:tcBorders>
              <w:top w:val="single" w:sz="8" w:color="0000FF"/>
              <w:bottom w:val="single" w:sz="8" w:color="0000FF"/>
            </w:tcBorders>
            <w:gridSpan w:val="3"/>
            <w:shd w:val="clear" w:color="auto" w:fill="CCEEFF"/>
          </w:tcPr>
          <w:p>
            <w:pPr>
              <w:spacing w:after="0" w:line="142" w:lineRule="exact"/>
              <w:rPr>
                <w:rFonts w:ascii="Arial" w:cs="Arial" w:eastAsia="Arial" w:hAnsi="Arial"/>
                <w:sz w:val="16"/>
                <w:szCs w:val="16"/>
                <w:color w:val="0000FF"/>
              </w:rPr>
            </w:pPr>
            <w:hyperlink w:anchor="page40">
              <w:r>
                <w:rPr>
                  <w:rFonts w:ascii="Arial" w:cs="Arial" w:eastAsia="Arial" w:hAnsi="Arial"/>
                  <w:sz w:val="16"/>
                  <w:szCs w:val="16"/>
                  <w:color w:val="0000FF"/>
                </w:rPr>
                <w:t>Sarbanes-Oxley Act of 2002 (furnished herewith).</w:t>
              </w:r>
            </w:hyperlink>
          </w:p>
        </w:tc>
        <w:tc>
          <w:tcPr>
            <w:tcW w:w="5180" w:type="dxa"/>
            <w:vAlign w:val="bottom"/>
            <w:tcBorders>
              <w:top w:val="single" w:sz="8" w:color="0000FF"/>
              <w:bottom w:val="single" w:sz="8" w:color="CCEEFF"/>
            </w:tcBorders>
            <w:gridSpan w:val="7"/>
            <w:shd w:val="clear" w:color="auto" w:fill="CCEEFF"/>
          </w:tcPr>
          <w:p>
            <w:pPr>
              <w:spacing w:after="0"/>
              <w:rPr>
                <w:sz w:val="14"/>
                <w:szCs w:val="14"/>
                <w:color w:val="auto"/>
              </w:rPr>
            </w:pPr>
          </w:p>
        </w:tc>
        <w:tc>
          <w:tcPr>
            <w:tcW w:w="720" w:type="dxa"/>
            <w:vAlign w:val="bottom"/>
            <w:tcBorders>
              <w:top w:val="single" w:sz="8" w:color="CCEEFF"/>
              <w:bottom w:val="single" w:sz="8" w:color="CCEEFF"/>
            </w:tcBorders>
            <w:gridSpan w:val="6"/>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283"/>
        </w:trPr>
        <w:tc>
          <w:tcPr>
            <w:tcW w:w="1280" w:type="dxa"/>
            <w:vAlign w:val="bottom"/>
            <w:gridSpan w:val="6"/>
          </w:tcPr>
          <w:p>
            <w:pPr>
              <w:jc w:val="right"/>
              <w:ind w:right="800"/>
              <w:spacing w:after="0"/>
              <w:rPr>
                <w:rFonts w:ascii="Arial" w:cs="Arial" w:eastAsia="Arial" w:hAnsi="Arial"/>
                <w:sz w:val="16"/>
                <w:szCs w:val="16"/>
                <w:color w:val="0000FF"/>
              </w:rPr>
            </w:pPr>
            <w:hyperlink w:anchor="page41">
              <w:r>
                <w:rPr>
                  <w:rFonts w:ascii="Arial" w:cs="Arial" w:eastAsia="Arial" w:hAnsi="Arial"/>
                  <w:sz w:val="16"/>
                  <w:szCs w:val="16"/>
                  <w:color w:val="0000FF"/>
                </w:rPr>
                <w:t>32.</w:t>
              </w:r>
              <w:r>
                <w:rPr>
                  <w:rFonts w:ascii="Arial" w:cs="Arial" w:eastAsia="Arial" w:hAnsi="Arial"/>
                  <w:sz w:val="16"/>
                  <w:szCs w:val="16"/>
                  <w:u w:val="single" w:color="auto"/>
                  <w:color w:val="0000FF"/>
                </w:rPr>
                <w:t>2</w:t>
              </w:r>
            </w:hyperlink>
          </w:p>
        </w:tc>
        <w:tc>
          <w:tcPr>
            <w:tcW w:w="9520" w:type="dxa"/>
            <w:vAlign w:val="bottom"/>
            <w:gridSpan w:val="17"/>
          </w:tcPr>
          <w:p>
            <w:pPr>
              <w:spacing w:after="0"/>
              <w:rPr>
                <w:rFonts w:ascii="Arial" w:cs="Arial" w:eastAsia="Arial" w:hAnsi="Arial"/>
                <w:sz w:val="16"/>
                <w:szCs w:val="16"/>
                <w:color w:val="0000FF"/>
              </w:rPr>
            </w:pPr>
            <w:hyperlink w:anchor="page41">
              <w:r>
                <w:rPr>
                  <w:rFonts w:ascii="Arial" w:cs="Arial" w:eastAsia="Arial" w:hAnsi="Arial"/>
                  <w:sz w:val="16"/>
                  <w:szCs w:val="16"/>
                  <w:color w:val="0000FF"/>
                </w:rPr>
                <w:t>Certification by the Chief Financial Officer pursuant to 18 U.S.C. Section 1350, as adopted pursuant to Section 906 of the Sarbanes-</w:t>
              </w:r>
            </w:hyperlink>
          </w:p>
        </w:tc>
      </w:tr>
      <w:tr>
        <w:trPr>
          <w:trHeight w:val="142"/>
        </w:trPr>
        <w:tc>
          <w:tcPr>
            <w:tcW w:w="160" w:type="dxa"/>
            <w:vAlign w:val="bottom"/>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800" w:type="dxa"/>
            <w:vAlign w:val="bottom"/>
          </w:tcPr>
          <w:p>
            <w:pPr>
              <w:spacing w:after="0"/>
              <w:rPr>
                <w:sz w:val="12"/>
                <w:szCs w:val="12"/>
                <w:color w:val="auto"/>
              </w:rPr>
            </w:pPr>
          </w:p>
        </w:tc>
        <w:tc>
          <w:tcPr>
            <w:tcW w:w="9460" w:type="dxa"/>
            <w:vAlign w:val="bottom"/>
            <w:tcBorders>
              <w:top w:val="single" w:sz="8" w:color="0000FF"/>
            </w:tcBorders>
            <w:gridSpan w:val="16"/>
          </w:tcPr>
          <w:p>
            <w:pPr>
              <w:spacing w:after="0" w:line="142" w:lineRule="exact"/>
              <w:rPr>
                <w:rFonts w:ascii="Arial" w:cs="Arial" w:eastAsia="Arial" w:hAnsi="Arial"/>
                <w:sz w:val="16"/>
                <w:szCs w:val="16"/>
                <w:color w:val="0000FF"/>
              </w:rPr>
            </w:pPr>
            <w:hyperlink w:anchor="page41">
              <w:r>
                <w:rPr>
                  <w:rFonts w:ascii="Arial" w:cs="Arial" w:eastAsia="Arial" w:hAnsi="Arial"/>
                  <w:sz w:val="16"/>
                  <w:szCs w:val="16"/>
                  <w:color w:val="0000FF"/>
                </w:rPr>
                <w:t>Oxley Act of (furnished 2002 (furnished herewith).</w:t>
              </w:r>
            </w:hyperlink>
          </w:p>
        </w:tc>
        <w:tc>
          <w:tcPr>
            <w:tcW w:w="60" w:type="dxa"/>
            <w:vAlign w:val="bottom"/>
          </w:tcPr>
          <w:p>
            <w:pPr>
              <w:spacing w:after="0"/>
              <w:rPr>
                <w:sz w:val="12"/>
                <w:szCs w:val="12"/>
                <w:color w:val="auto"/>
              </w:rPr>
            </w:pPr>
          </w:p>
        </w:tc>
      </w:tr>
      <w:tr>
        <w:trPr>
          <w:trHeight w:val="128"/>
        </w:trPr>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Borders>
              <w:top w:val="single" w:sz="8" w:color="0000FF"/>
            </w:tcBorders>
          </w:tcPr>
          <w:p>
            <w:pPr>
              <w:spacing w:after="0"/>
              <w:rPr>
                <w:sz w:val="11"/>
                <w:szCs w:val="11"/>
                <w:color w:val="auto"/>
              </w:rPr>
            </w:pPr>
          </w:p>
        </w:tc>
        <w:tc>
          <w:tcPr>
            <w:tcW w:w="700" w:type="dxa"/>
            <w:vAlign w:val="bottom"/>
            <w:tcBorders>
              <w:top w:val="single" w:sz="8" w:color="0000FF"/>
            </w:tcBorders>
          </w:tcPr>
          <w:p>
            <w:pPr>
              <w:spacing w:after="0"/>
              <w:rPr>
                <w:sz w:val="11"/>
                <w:szCs w:val="11"/>
                <w:color w:val="auto"/>
              </w:rPr>
            </w:pPr>
          </w:p>
        </w:tc>
        <w:tc>
          <w:tcPr>
            <w:tcW w:w="19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1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77"/>
        </w:trPr>
        <w:tc>
          <w:tcPr>
            <w:tcW w:w="360" w:type="dxa"/>
            <w:vAlign w:val="bottom"/>
            <w:gridSpan w:val="3"/>
          </w:tcPr>
          <w:p>
            <w:pPr>
              <w:jc w:val="right"/>
              <w:spacing w:after="0" w:line="178" w:lineRule="exact"/>
              <w:rPr>
                <w:sz w:val="20"/>
                <w:szCs w:val="20"/>
                <w:color w:val="auto"/>
              </w:rPr>
            </w:pPr>
            <w:r>
              <w:rPr>
                <w:rFonts w:ascii="Arial" w:cs="Arial" w:eastAsia="Arial" w:hAnsi="Arial"/>
                <w:sz w:val="16"/>
                <w:szCs w:val="16"/>
                <w:color w:val="auto"/>
              </w:rPr>
              <w:t>101.</w:t>
            </w:r>
          </w:p>
        </w:tc>
        <w:tc>
          <w:tcPr>
            <w:tcW w:w="920" w:type="dxa"/>
            <w:vAlign w:val="bottom"/>
            <w:gridSpan w:val="3"/>
            <w:shd w:val="clear" w:color="auto" w:fill="CCEEFF"/>
          </w:tcPr>
          <w:p>
            <w:pPr>
              <w:spacing w:after="0" w:line="178" w:lineRule="exact"/>
              <w:rPr>
                <w:sz w:val="20"/>
                <w:szCs w:val="20"/>
                <w:color w:val="auto"/>
              </w:rPr>
            </w:pPr>
            <w:r>
              <w:rPr>
                <w:rFonts w:ascii="Arial" w:cs="Arial" w:eastAsia="Arial" w:hAnsi="Arial"/>
                <w:sz w:val="16"/>
                <w:szCs w:val="16"/>
                <w:color w:val="auto"/>
              </w:rPr>
              <w:t>INS</w:t>
            </w:r>
          </w:p>
        </w:tc>
        <w:tc>
          <w:tcPr>
            <w:tcW w:w="9520" w:type="dxa"/>
            <w:vAlign w:val="bottom"/>
            <w:gridSpan w:val="17"/>
            <w:shd w:val="clear" w:color="auto" w:fill="CCEEFF"/>
          </w:tcPr>
          <w:p>
            <w:pPr>
              <w:spacing w:after="0" w:line="178" w:lineRule="exact"/>
              <w:rPr>
                <w:sz w:val="20"/>
                <w:szCs w:val="20"/>
                <w:color w:val="auto"/>
              </w:rPr>
            </w:pPr>
            <w:r>
              <w:rPr>
                <w:rFonts w:ascii="Arial" w:cs="Arial" w:eastAsia="Arial" w:hAnsi="Arial"/>
                <w:sz w:val="16"/>
                <w:szCs w:val="16"/>
                <w:color w:val="auto"/>
              </w:rPr>
              <w:t>XBRL Instance Document - the instance document does not appear in the Interactive Data File because its XBRL tags are</w:t>
            </w:r>
          </w:p>
        </w:tc>
      </w:tr>
      <w:tr>
        <w:trPr>
          <w:trHeight w:val="201"/>
        </w:trPr>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9520" w:type="dxa"/>
            <w:vAlign w:val="bottom"/>
            <w:gridSpan w:val="17"/>
            <w:shd w:val="clear" w:color="auto" w:fill="CCEEFF"/>
          </w:tcPr>
          <w:p>
            <w:pPr>
              <w:spacing w:after="0"/>
              <w:rPr>
                <w:sz w:val="20"/>
                <w:szCs w:val="20"/>
                <w:color w:val="auto"/>
              </w:rPr>
            </w:pPr>
            <w:r>
              <w:rPr>
                <w:rFonts w:ascii="Arial" w:cs="Arial" w:eastAsia="Arial" w:hAnsi="Arial"/>
                <w:sz w:val="16"/>
                <w:szCs w:val="16"/>
                <w:color w:val="auto"/>
              </w:rPr>
              <w:t>embedded within the Inline XBRL document (furnished herewith).</w:t>
            </w:r>
          </w:p>
        </w:tc>
      </w:tr>
      <w:tr>
        <w:trPr>
          <w:trHeight w:val="318"/>
        </w:trPr>
        <w:tc>
          <w:tcPr>
            <w:tcW w:w="1280" w:type="dxa"/>
            <w:vAlign w:val="bottom"/>
            <w:gridSpan w:val="6"/>
          </w:tcPr>
          <w:p>
            <w:pPr>
              <w:spacing w:after="0"/>
              <w:rPr>
                <w:sz w:val="20"/>
                <w:szCs w:val="20"/>
                <w:color w:val="auto"/>
              </w:rPr>
            </w:pPr>
            <w:r>
              <w:rPr>
                <w:rFonts w:ascii="Arial" w:cs="Arial" w:eastAsia="Arial" w:hAnsi="Arial"/>
                <w:sz w:val="16"/>
                <w:szCs w:val="16"/>
                <w:color w:val="auto"/>
              </w:rPr>
              <w:t>101.SCH</w:t>
            </w:r>
          </w:p>
        </w:tc>
        <w:tc>
          <w:tcPr>
            <w:tcW w:w="9520" w:type="dxa"/>
            <w:vAlign w:val="bottom"/>
            <w:gridSpan w:val="17"/>
          </w:tcPr>
          <w:p>
            <w:pPr>
              <w:spacing w:after="0"/>
              <w:rPr>
                <w:sz w:val="20"/>
                <w:szCs w:val="20"/>
                <w:color w:val="auto"/>
              </w:rPr>
            </w:pPr>
            <w:r>
              <w:rPr>
                <w:rFonts w:ascii="Arial" w:cs="Arial" w:eastAsia="Arial" w:hAnsi="Arial"/>
                <w:sz w:val="16"/>
                <w:szCs w:val="16"/>
                <w:color w:val="auto"/>
              </w:rPr>
              <w:t>Inline XBRL Taxonomy Extension Schema Document (furnished herewith).</w:t>
            </w:r>
          </w:p>
        </w:tc>
      </w:tr>
      <w:tr>
        <w:trPr>
          <w:trHeight w:val="114"/>
        </w:trPr>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gridSpan w:val="2"/>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920" w:type="dxa"/>
            <w:vAlign w:val="bottom"/>
          </w:tcPr>
          <w:p>
            <w:pPr>
              <w:spacing w:after="0"/>
              <w:rPr>
                <w:sz w:val="9"/>
                <w:szCs w:val="9"/>
                <w:color w:val="auto"/>
              </w:rPr>
            </w:pPr>
          </w:p>
        </w:tc>
        <w:tc>
          <w:tcPr>
            <w:tcW w:w="2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216"/>
        </w:trPr>
        <w:tc>
          <w:tcPr>
            <w:tcW w:w="360" w:type="dxa"/>
            <w:vAlign w:val="bottom"/>
            <w:gridSpan w:val="3"/>
          </w:tcPr>
          <w:p>
            <w:pPr>
              <w:spacing w:after="0"/>
              <w:rPr>
                <w:sz w:val="20"/>
                <w:szCs w:val="20"/>
                <w:color w:val="auto"/>
              </w:rPr>
            </w:pPr>
            <w:r>
              <w:rPr>
                <w:rFonts w:ascii="Arial" w:cs="Arial" w:eastAsia="Arial" w:hAnsi="Arial"/>
                <w:sz w:val="16"/>
                <w:szCs w:val="16"/>
                <w:color w:val="auto"/>
              </w:rPr>
              <w:t>101.</w:t>
            </w:r>
          </w:p>
        </w:tc>
        <w:tc>
          <w:tcPr>
            <w:tcW w:w="9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CAL</w:t>
            </w:r>
          </w:p>
        </w:tc>
        <w:tc>
          <w:tcPr>
            <w:tcW w:w="9520" w:type="dxa"/>
            <w:vAlign w:val="bottom"/>
            <w:gridSpan w:val="17"/>
            <w:shd w:val="clear" w:color="auto" w:fill="CCEEFF"/>
          </w:tcPr>
          <w:p>
            <w:pPr>
              <w:spacing w:after="0"/>
              <w:rPr>
                <w:sz w:val="20"/>
                <w:szCs w:val="20"/>
                <w:color w:val="auto"/>
              </w:rPr>
            </w:pPr>
            <w:r>
              <w:rPr>
                <w:rFonts w:ascii="Arial" w:cs="Arial" w:eastAsia="Arial" w:hAnsi="Arial"/>
                <w:sz w:val="16"/>
                <w:szCs w:val="16"/>
                <w:color w:val="auto"/>
              </w:rPr>
              <w:t>Inline XBRL Taxonomy Calculation Linkbase Document (furnished herewith).</w:t>
            </w:r>
          </w:p>
        </w:tc>
      </w:tr>
      <w:tr>
        <w:trPr>
          <w:trHeight w:val="318"/>
        </w:trPr>
        <w:tc>
          <w:tcPr>
            <w:tcW w:w="1280" w:type="dxa"/>
            <w:vAlign w:val="bottom"/>
            <w:gridSpan w:val="6"/>
          </w:tcPr>
          <w:p>
            <w:pPr>
              <w:spacing w:after="0"/>
              <w:rPr>
                <w:sz w:val="20"/>
                <w:szCs w:val="20"/>
                <w:color w:val="auto"/>
              </w:rPr>
            </w:pPr>
            <w:r>
              <w:rPr>
                <w:rFonts w:ascii="Arial" w:cs="Arial" w:eastAsia="Arial" w:hAnsi="Arial"/>
                <w:sz w:val="16"/>
                <w:szCs w:val="16"/>
                <w:color w:val="auto"/>
              </w:rPr>
              <w:t>101.DEF</w:t>
            </w:r>
          </w:p>
        </w:tc>
        <w:tc>
          <w:tcPr>
            <w:tcW w:w="9520" w:type="dxa"/>
            <w:vAlign w:val="bottom"/>
            <w:gridSpan w:val="17"/>
          </w:tcPr>
          <w:p>
            <w:pPr>
              <w:spacing w:after="0"/>
              <w:rPr>
                <w:sz w:val="20"/>
                <w:szCs w:val="20"/>
                <w:color w:val="auto"/>
              </w:rPr>
            </w:pPr>
            <w:r>
              <w:rPr>
                <w:rFonts w:ascii="Arial" w:cs="Arial" w:eastAsia="Arial" w:hAnsi="Arial"/>
                <w:sz w:val="16"/>
                <w:szCs w:val="16"/>
                <w:color w:val="auto"/>
              </w:rPr>
              <w:t>Inline XBRL Taxonomy Extension Definition Linkbase Document (furnished herewith).</w:t>
            </w:r>
          </w:p>
        </w:tc>
      </w:tr>
      <w:tr>
        <w:trPr>
          <w:trHeight w:val="114"/>
        </w:trPr>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gridSpan w:val="2"/>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920" w:type="dxa"/>
            <w:vAlign w:val="bottom"/>
          </w:tcPr>
          <w:p>
            <w:pPr>
              <w:spacing w:after="0"/>
              <w:rPr>
                <w:sz w:val="9"/>
                <w:szCs w:val="9"/>
                <w:color w:val="auto"/>
              </w:rPr>
            </w:pPr>
          </w:p>
        </w:tc>
        <w:tc>
          <w:tcPr>
            <w:tcW w:w="2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216"/>
        </w:trPr>
        <w:tc>
          <w:tcPr>
            <w:tcW w:w="360" w:type="dxa"/>
            <w:vAlign w:val="bottom"/>
            <w:gridSpan w:val="3"/>
          </w:tcPr>
          <w:p>
            <w:pPr>
              <w:ind w:left="20"/>
              <w:spacing w:after="0"/>
              <w:rPr>
                <w:sz w:val="20"/>
                <w:szCs w:val="20"/>
                <w:color w:val="auto"/>
              </w:rPr>
            </w:pPr>
            <w:r>
              <w:rPr>
                <w:rFonts w:ascii="Arial" w:cs="Arial" w:eastAsia="Arial" w:hAnsi="Arial"/>
                <w:sz w:val="16"/>
                <w:szCs w:val="16"/>
                <w:color w:val="auto"/>
              </w:rPr>
              <w:t>101.</w:t>
            </w:r>
          </w:p>
        </w:tc>
        <w:tc>
          <w:tcPr>
            <w:tcW w:w="9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LAB</w:t>
            </w:r>
          </w:p>
        </w:tc>
        <w:tc>
          <w:tcPr>
            <w:tcW w:w="9520" w:type="dxa"/>
            <w:vAlign w:val="bottom"/>
            <w:gridSpan w:val="17"/>
            <w:shd w:val="clear" w:color="auto" w:fill="CCEEFF"/>
          </w:tcPr>
          <w:p>
            <w:pPr>
              <w:spacing w:after="0"/>
              <w:rPr>
                <w:sz w:val="20"/>
                <w:szCs w:val="20"/>
                <w:color w:val="auto"/>
              </w:rPr>
            </w:pPr>
            <w:r>
              <w:rPr>
                <w:rFonts w:ascii="Arial" w:cs="Arial" w:eastAsia="Arial" w:hAnsi="Arial"/>
                <w:sz w:val="16"/>
                <w:szCs w:val="16"/>
                <w:color w:val="auto"/>
              </w:rPr>
              <w:t>Inline XBRL Taxonomy Label Linkbase Document (furnished herewith).</w:t>
            </w:r>
          </w:p>
        </w:tc>
      </w:tr>
      <w:tr>
        <w:trPr>
          <w:trHeight w:val="318"/>
        </w:trPr>
        <w:tc>
          <w:tcPr>
            <w:tcW w:w="1280" w:type="dxa"/>
            <w:vAlign w:val="bottom"/>
            <w:gridSpan w:val="6"/>
          </w:tcPr>
          <w:p>
            <w:pPr>
              <w:spacing w:after="0"/>
              <w:rPr>
                <w:sz w:val="20"/>
                <w:szCs w:val="20"/>
                <w:color w:val="auto"/>
              </w:rPr>
            </w:pPr>
            <w:r>
              <w:rPr>
                <w:rFonts w:ascii="Arial" w:cs="Arial" w:eastAsia="Arial" w:hAnsi="Arial"/>
                <w:sz w:val="16"/>
                <w:szCs w:val="16"/>
                <w:color w:val="auto"/>
              </w:rPr>
              <w:t>101.PRE</w:t>
            </w:r>
          </w:p>
        </w:tc>
        <w:tc>
          <w:tcPr>
            <w:tcW w:w="9520" w:type="dxa"/>
            <w:vAlign w:val="bottom"/>
            <w:gridSpan w:val="17"/>
          </w:tcPr>
          <w:p>
            <w:pPr>
              <w:spacing w:after="0"/>
              <w:rPr>
                <w:sz w:val="20"/>
                <w:szCs w:val="20"/>
                <w:color w:val="auto"/>
              </w:rPr>
            </w:pPr>
            <w:r>
              <w:rPr>
                <w:rFonts w:ascii="Arial" w:cs="Arial" w:eastAsia="Arial" w:hAnsi="Arial"/>
                <w:sz w:val="16"/>
                <w:szCs w:val="16"/>
                <w:color w:val="auto"/>
              </w:rPr>
              <w:t>Inline XBRL Taxonomy Presentation Linkbase Document (furnished herewith).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wp:posOffset>
            </wp:positionH>
            <wp:positionV relativeFrom="paragraph">
              <wp:posOffset>72390</wp:posOffset>
            </wp:positionV>
            <wp:extent cx="6635115" cy="2400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2">
                      <a:extLst>
                        <a:ext uri="{28A0092B-C50C-407E-A947-70E740481C1C}"/>
                      </a:extLst>
                    </a:blip>
                    <a:srcRect/>
                    <a:stretch>
                      <a:fillRect/>
                    </a:stretch>
                  </pic:blipFill>
                  <pic:spPr bwMode="auto">
                    <a:xfrm>
                      <a:off x="0" y="0"/>
                      <a:ext cx="6635115" cy="240030"/>
                    </a:xfrm>
                    <a:prstGeom prst="rect">
                      <a:avLst/>
                    </a:prstGeom>
                    <a:noFill/>
                  </pic:spPr>
                </pic:pic>
              </a:graphicData>
            </a:graphic>
          </wp:anchor>
        </w:drawing>
      </w:r>
    </w:p>
    <w:p>
      <w:pPr>
        <w:spacing w:after="0" w:line="109" w:lineRule="exact"/>
        <w:rPr>
          <w:sz w:val="20"/>
          <w:szCs w:val="20"/>
          <w:color w:val="auto"/>
        </w:rPr>
      </w:pPr>
    </w:p>
    <w:p>
      <w:pPr>
        <w:ind w:left="1280" w:hanging="1090"/>
        <w:spacing w:after="0"/>
        <w:tabs>
          <w:tab w:leader="none" w:pos="12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Cover Page Interactive Data File (formatted in Inline XBRL and contained in Exhibit 101) (furnished herewith).</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95" w:lineRule="exact"/>
        <w:rPr>
          <w:rFonts w:ascii="Arial" w:cs="Arial" w:eastAsia="Arial" w:hAnsi="Arial"/>
          <w:sz w:val="16"/>
          <w:szCs w:val="16"/>
          <w:color w:val="auto"/>
        </w:rPr>
      </w:pPr>
    </w:p>
    <w:p>
      <w:pPr>
        <w:ind w:left="5560"/>
        <w:spacing w:after="0"/>
        <w:rPr>
          <w:rFonts w:ascii="Arial" w:cs="Arial" w:eastAsia="Arial" w:hAnsi="Arial"/>
          <w:sz w:val="16"/>
          <w:szCs w:val="16"/>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00" w:top="141" w:right="799" w:bottom="1440" w:gutter="0" w:footer="0" w:header="0"/>
        </w:sectPr>
      </w:pPr>
    </w:p>
    <w:bookmarkStart w:id="36" w:name="page37"/>
    <w:bookmarkEnd w:id="3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299"/>
        <w:spacing w:after="0"/>
        <w:rPr>
          <w:sz w:val="20"/>
          <w:szCs w:val="20"/>
          <w:color w:val="auto"/>
        </w:rPr>
      </w:pPr>
      <w:r>
        <w:rPr>
          <w:rFonts w:ascii="Arial" w:cs="Arial" w:eastAsia="Arial" w:hAnsi="Arial"/>
          <w:sz w:val="16"/>
          <w:szCs w:val="16"/>
          <w:b w:val="1"/>
          <w:bCs w:val="1"/>
          <w:color w:val="auto"/>
        </w:rPr>
        <w:t>SIGNATURES</w:t>
      </w:r>
    </w:p>
    <w:p>
      <w:pPr>
        <w:spacing w:after="0" w:line="187" w:lineRule="exact"/>
        <w:rPr>
          <w:sz w:val="20"/>
          <w:szCs w:val="20"/>
          <w:color w:val="auto"/>
        </w:rPr>
      </w:pPr>
    </w:p>
    <w:p>
      <w:pPr>
        <w:ind w:right="660"/>
        <w:spacing w:after="0" w:line="260"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20"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54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7440" w:type="dxa"/>
            <w:vAlign w:val="bottom"/>
            <w:gridSpan w:val="2"/>
          </w:tcPr>
          <w:p>
            <w:pPr>
              <w:ind w:left="1760"/>
              <w:spacing w:after="0"/>
              <w:rPr>
                <w:sz w:val="20"/>
                <w:szCs w:val="20"/>
                <w:color w:val="auto"/>
              </w:rPr>
            </w:pPr>
            <w:r>
              <w:rPr>
                <w:rFonts w:ascii="Arial" w:cs="Arial" w:eastAsia="Arial" w:hAnsi="Arial"/>
                <w:sz w:val="16"/>
                <w:szCs w:val="16"/>
                <w:color w:val="auto"/>
              </w:rPr>
              <w:t>WINNEBAGO INDUSTRIES, INC.</w:t>
            </w:r>
          </w:p>
        </w:tc>
      </w:tr>
      <w:tr>
        <w:trPr>
          <w:trHeight w:val="435"/>
        </w:trPr>
        <w:tc>
          <w:tcPr>
            <w:tcW w:w="540" w:type="dxa"/>
            <w:vAlign w:val="bottom"/>
          </w:tcPr>
          <w:p>
            <w:pPr>
              <w:spacing w:after="0"/>
              <w:rPr>
                <w:sz w:val="20"/>
                <w:szCs w:val="20"/>
                <w:color w:val="auto"/>
              </w:rPr>
            </w:pPr>
            <w:r>
              <w:rPr>
                <w:rFonts w:ascii="Arial" w:cs="Arial" w:eastAsia="Arial" w:hAnsi="Arial"/>
                <w:sz w:val="16"/>
                <w:szCs w:val="16"/>
                <w:color w:val="auto"/>
              </w:rPr>
              <w:t>Date:</w:t>
            </w:r>
          </w:p>
        </w:tc>
        <w:tc>
          <w:tcPr>
            <w:tcW w:w="2940" w:type="dxa"/>
            <w:vAlign w:val="bottom"/>
          </w:tcPr>
          <w:p>
            <w:pPr>
              <w:ind w:left="160"/>
              <w:spacing w:after="0"/>
              <w:rPr>
                <w:sz w:val="20"/>
                <w:szCs w:val="20"/>
                <w:color w:val="auto"/>
              </w:rPr>
            </w:pPr>
            <w:r>
              <w:rPr>
                <w:rFonts w:ascii="Arial" w:cs="Arial" w:eastAsia="Arial" w:hAnsi="Arial"/>
                <w:sz w:val="16"/>
                <w:szCs w:val="16"/>
                <w:color w:val="auto"/>
              </w:rPr>
              <w:t>June 23, 2021</w:t>
            </w:r>
          </w:p>
        </w:tc>
        <w:tc>
          <w:tcPr>
            <w:tcW w:w="7440" w:type="dxa"/>
            <w:vAlign w:val="bottom"/>
            <w:gridSpan w:val="2"/>
          </w:tcPr>
          <w:p>
            <w:pPr>
              <w:ind w:left="1760"/>
              <w:spacing w:after="0"/>
              <w:rPr>
                <w:sz w:val="20"/>
                <w:szCs w:val="20"/>
                <w:color w:val="auto"/>
              </w:rPr>
            </w:pPr>
            <w:r>
              <w:rPr>
                <w:rFonts w:ascii="Arial" w:cs="Arial" w:eastAsia="Arial" w:hAnsi="Arial"/>
                <w:sz w:val="16"/>
                <w:szCs w:val="16"/>
                <w:color w:val="auto"/>
              </w:rPr>
              <w:t xml:space="preserve">By:   </w:t>
            </w:r>
            <w:r>
              <w:rPr>
                <w:rFonts w:ascii="Arial" w:cs="Arial" w:eastAsia="Arial" w:hAnsi="Arial"/>
                <w:sz w:val="16"/>
                <w:szCs w:val="16"/>
                <w:i w:val="1"/>
                <w:iCs w:val="1"/>
                <w:color w:val="auto"/>
              </w:rPr>
              <w:t>/s/ Michael J. Happe</w:t>
            </w:r>
          </w:p>
        </w:tc>
      </w:tr>
      <w:tr>
        <w:trPr>
          <w:trHeight w:val="260"/>
        </w:trPr>
        <w:tc>
          <w:tcPr>
            <w:tcW w:w="540" w:type="dxa"/>
            <w:vAlign w:val="bottom"/>
          </w:tcPr>
          <w:p>
            <w:pPr>
              <w:spacing w:after="0"/>
              <w:rPr>
                <w:sz w:val="22"/>
                <w:szCs w:val="22"/>
                <w:color w:val="auto"/>
              </w:rPr>
            </w:pPr>
          </w:p>
        </w:tc>
        <w:tc>
          <w:tcPr>
            <w:tcW w:w="2940" w:type="dxa"/>
            <w:vAlign w:val="bottom"/>
          </w:tcPr>
          <w:p>
            <w:pPr>
              <w:spacing w:after="0"/>
              <w:rPr>
                <w:sz w:val="22"/>
                <w:szCs w:val="22"/>
                <w:color w:val="auto"/>
              </w:rPr>
            </w:pPr>
          </w:p>
        </w:tc>
        <w:tc>
          <w:tcPr>
            <w:tcW w:w="2180" w:type="dxa"/>
            <w:vAlign w:val="bottom"/>
          </w:tcPr>
          <w:p>
            <w:pPr>
              <w:spacing w:after="0"/>
              <w:rPr>
                <w:sz w:val="22"/>
                <w:szCs w:val="22"/>
                <w:color w:val="auto"/>
              </w:rPr>
            </w:pPr>
          </w:p>
        </w:tc>
        <w:tc>
          <w:tcPr>
            <w:tcW w:w="52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Michael J. Happe</w:t>
            </w:r>
          </w:p>
        </w:tc>
      </w:tr>
      <w:tr>
        <w:trPr>
          <w:trHeight w:val="270"/>
        </w:trPr>
        <w:tc>
          <w:tcPr>
            <w:tcW w:w="540" w:type="dxa"/>
            <w:vAlign w:val="bottom"/>
          </w:tcPr>
          <w:p>
            <w:pPr>
              <w:spacing w:after="0"/>
              <w:rPr>
                <w:sz w:val="23"/>
                <w:szCs w:val="23"/>
                <w:color w:val="auto"/>
              </w:rPr>
            </w:pPr>
          </w:p>
        </w:tc>
        <w:tc>
          <w:tcPr>
            <w:tcW w:w="2940" w:type="dxa"/>
            <w:vAlign w:val="bottom"/>
          </w:tcPr>
          <w:p>
            <w:pPr>
              <w:spacing w:after="0"/>
              <w:rPr>
                <w:sz w:val="23"/>
                <w:szCs w:val="23"/>
                <w:color w:val="auto"/>
              </w:rPr>
            </w:pPr>
          </w:p>
        </w:tc>
        <w:tc>
          <w:tcPr>
            <w:tcW w:w="2180" w:type="dxa"/>
            <w:vAlign w:val="bottom"/>
          </w:tcPr>
          <w:p>
            <w:pPr>
              <w:spacing w:after="0"/>
              <w:rPr>
                <w:sz w:val="23"/>
                <w:szCs w:val="23"/>
                <w:color w:val="auto"/>
              </w:rPr>
            </w:pPr>
          </w:p>
        </w:tc>
        <w:tc>
          <w:tcPr>
            <w:tcW w:w="5260" w:type="dxa"/>
            <w:vAlign w:val="bottom"/>
          </w:tcPr>
          <w:p>
            <w:pPr>
              <w:ind w:left="20"/>
              <w:spacing w:after="0"/>
              <w:rPr>
                <w:sz w:val="20"/>
                <w:szCs w:val="20"/>
                <w:color w:val="auto"/>
              </w:rPr>
            </w:pPr>
            <w:r>
              <w:rPr>
                <w:rFonts w:ascii="Arial" w:cs="Arial" w:eastAsia="Arial" w:hAnsi="Arial"/>
                <w:sz w:val="16"/>
                <w:szCs w:val="16"/>
                <w:color w:val="auto"/>
              </w:rPr>
              <w:t>Chief Executive Officer, President</w:t>
            </w:r>
          </w:p>
        </w:tc>
      </w:tr>
      <w:tr>
        <w:trPr>
          <w:trHeight w:val="216"/>
        </w:trPr>
        <w:tc>
          <w:tcPr>
            <w:tcW w:w="5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5260" w:type="dxa"/>
            <w:vAlign w:val="bottom"/>
          </w:tcPr>
          <w:p>
            <w:pPr>
              <w:ind w:left="20"/>
              <w:spacing w:after="0"/>
              <w:rPr>
                <w:sz w:val="20"/>
                <w:szCs w:val="20"/>
                <w:color w:val="auto"/>
              </w:rPr>
            </w:pPr>
            <w:r>
              <w:rPr>
                <w:rFonts w:ascii="Arial" w:cs="Arial" w:eastAsia="Arial" w:hAnsi="Arial"/>
                <w:sz w:val="16"/>
                <w:szCs w:val="16"/>
                <w:color w:val="auto"/>
              </w:rPr>
              <w:t>(Principal Executive Officer)</w:t>
            </w:r>
          </w:p>
        </w:tc>
      </w:tr>
      <w:tr>
        <w:trPr>
          <w:trHeight w:val="435"/>
        </w:trPr>
        <w:tc>
          <w:tcPr>
            <w:tcW w:w="540" w:type="dxa"/>
            <w:vAlign w:val="bottom"/>
          </w:tcPr>
          <w:p>
            <w:pPr>
              <w:spacing w:after="0"/>
              <w:rPr>
                <w:sz w:val="20"/>
                <w:szCs w:val="20"/>
                <w:color w:val="auto"/>
              </w:rPr>
            </w:pPr>
            <w:r>
              <w:rPr>
                <w:rFonts w:ascii="Arial" w:cs="Arial" w:eastAsia="Arial" w:hAnsi="Arial"/>
                <w:sz w:val="16"/>
                <w:szCs w:val="16"/>
                <w:color w:val="auto"/>
              </w:rPr>
              <w:t>Date:</w:t>
            </w:r>
          </w:p>
        </w:tc>
        <w:tc>
          <w:tcPr>
            <w:tcW w:w="2940" w:type="dxa"/>
            <w:vAlign w:val="bottom"/>
          </w:tcPr>
          <w:p>
            <w:pPr>
              <w:ind w:left="160"/>
              <w:spacing w:after="0"/>
              <w:rPr>
                <w:sz w:val="20"/>
                <w:szCs w:val="20"/>
                <w:color w:val="auto"/>
              </w:rPr>
            </w:pPr>
            <w:r>
              <w:rPr>
                <w:rFonts w:ascii="Arial" w:cs="Arial" w:eastAsia="Arial" w:hAnsi="Arial"/>
                <w:sz w:val="16"/>
                <w:szCs w:val="16"/>
                <w:color w:val="auto"/>
              </w:rPr>
              <w:t>June 23, 2021</w:t>
            </w:r>
          </w:p>
        </w:tc>
        <w:tc>
          <w:tcPr>
            <w:tcW w:w="7440" w:type="dxa"/>
            <w:vAlign w:val="bottom"/>
            <w:gridSpan w:val="2"/>
          </w:tcPr>
          <w:p>
            <w:pPr>
              <w:ind w:left="1760"/>
              <w:spacing w:after="0"/>
              <w:rPr>
                <w:sz w:val="20"/>
                <w:szCs w:val="20"/>
                <w:color w:val="auto"/>
              </w:rPr>
            </w:pPr>
            <w:r>
              <w:rPr>
                <w:rFonts w:ascii="Arial" w:cs="Arial" w:eastAsia="Arial" w:hAnsi="Arial"/>
                <w:sz w:val="16"/>
                <w:szCs w:val="16"/>
                <w:color w:val="auto"/>
              </w:rPr>
              <w:t xml:space="preserve">By:   </w:t>
            </w:r>
            <w:r>
              <w:rPr>
                <w:rFonts w:ascii="Arial" w:cs="Arial" w:eastAsia="Arial" w:hAnsi="Arial"/>
                <w:sz w:val="16"/>
                <w:szCs w:val="16"/>
                <w:i w:val="1"/>
                <w:iCs w:val="1"/>
                <w:color w:val="auto"/>
              </w:rPr>
              <w:t>/s/ Bryan L. Hughes</w:t>
            </w:r>
          </w:p>
        </w:tc>
      </w:tr>
      <w:tr>
        <w:trPr>
          <w:trHeight w:val="207"/>
        </w:trPr>
        <w:tc>
          <w:tcPr>
            <w:tcW w:w="54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52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Bryan L. Hughes</w:t>
            </w:r>
          </w:p>
        </w:tc>
      </w:tr>
      <w:tr>
        <w:trPr>
          <w:trHeight w:val="216"/>
        </w:trPr>
        <w:tc>
          <w:tcPr>
            <w:tcW w:w="5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5260" w:type="dxa"/>
            <w:vAlign w:val="bottom"/>
          </w:tcPr>
          <w:p>
            <w:pPr>
              <w:ind w:left="20"/>
              <w:spacing w:after="0"/>
              <w:rPr>
                <w:sz w:val="20"/>
                <w:szCs w:val="20"/>
                <w:color w:val="auto"/>
              </w:rPr>
            </w:pPr>
            <w:r>
              <w:rPr>
                <w:rFonts w:ascii="Arial" w:cs="Arial" w:eastAsia="Arial" w:hAnsi="Arial"/>
                <w:sz w:val="16"/>
                <w:szCs w:val="16"/>
                <w:color w:val="auto"/>
              </w:rPr>
              <w:t>Chief Financial Officer and Senior Vice President</w:t>
            </w:r>
          </w:p>
        </w:tc>
      </w:tr>
      <w:tr>
        <w:trPr>
          <w:trHeight w:val="216"/>
        </w:trPr>
        <w:tc>
          <w:tcPr>
            <w:tcW w:w="5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5260" w:type="dxa"/>
            <w:vAlign w:val="bottom"/>
          </w:tcPr>
          <w:p>
            <w:pPr>
              <w:ind w:left="20"/>
              <w:spacing w:after="0"/>
              <w:rPr>
                <w:sz w:val="20"/>
                <w:szCs w:val="20"/>
                <w:color w:val="auto"/>
              </w:rPr>
            </w:pPr>
            <w:r>
              <w:rPr>
                <w:rFonts w:ascii="Arial" w:cs="Arial" w:eastAsia="Arial" w:hAnsi="Arial"/>
                <w:sz w:val="16"/>
                <w:szCs w:val="16"/>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299"/>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0940"/>
          </w:cols>
          <w:pgMar w:left="320" w:top="141" w:right="639" w:bottom="1440" w:gutter="0" w:footer="0" w:header="0"/>
        </w:sectPr>
      </w:pPr>
    </w:p>
    <w:bookmarkStart w:id="37" w:name="page38"/>
    <w:bookmarkEnd w:id="37"/>
    <w:p>
      <w:pPr>
        <w:jc w:val="right"/>
        <w:spacing w:after="0"/>
        <w:rPr>
          <w:sz w:val="20"/>
          <w:szCs w:val="20"/>
          <w:color w:val="auto"/>
        </w:rPr>
      </w:pPr>
      <w:r>
        <w:rPr>
          <w:rFonts w:ascii="Arial" w:cs="Arial" w:eastAsia="Arial" w:hAnsi="Arial"/>
          <w:sz w:val="16"/>
          <w:szCs w:val="16"/>
          <w:b w:val="1"/>
          <w:bCs w:val="1"/>
          <w:color w:val="auto"/>
        </w:rPr>
        <w:t>Exhibit 31.1</w:t>
      </w: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CERTIFICATION BY CHIEF EXECUTIVE OFFICER</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 SECTION 302</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 THE SARBANES-OXLEY ACT OF 2002</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I, Michael J. Happe, Chief Executive Officer of Winnebago Industries, Inc., certify that:</w:t>
      </w:r>
    </w:p>
    <w:p>
      <w:pPr>
        <w:spacing w:after="0" w:line="248"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Winnebago Industries, Inc. (the "Registrant");</w:t>
      </w:r>
    </w:p>
    <w:p>
      <w:pPr>
        <w:spacing w:after="0" w:line="248" w:lineRule="exact"/>
        <w:rPr>
          <w:rFonts w:ascii="Arial" w:cs="Arial" w:eastAsia="Arial" w:hAnsi="Arial"/>
          <w:sz w:val="16"/>
          <w:szCs w:val="16"/>
          <w:color w:val="auto"/>
        </w:rPr>
      </w:pPr>
    </w:p>
    <w:p>
      <w:pPr>
        <w:jc w:val="both"/>
        <w:ind w:left="340" w:right="440" w:hanging="332"/>
        <w:spacing w:after="0" w:line="253" w:lineRule="auto"/>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8" w:lineRule="exact"/>
        <w:rPr>
          <w:rFonts w:ascii="Arial" w:cs="Arial" w:eastAsia="Arial" w:hAnsi="Arial"/>
          <w:sz w:val="16"/>
          <w:szCs w:val="16"/>
          <w:color w:val="auto"/>
        </w:rPr>
      </w:pPr>
    </w:p>
    <w:p>
      <w:pPr>
        <w:ind w:left="340" w:right="20" w:hanging="332"/>
        <w:spacing w:after="0" w:line="260" w:lineRule="auto"/>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2" w:lineRule="exact"/>
        <w:rPr>
          <w:rFonts w:ascii="Arial" w:cs="Arial" w:eastAsia="Arial" w:hAnsi="Arial"/>
          <w:sz w:val="16"/>
          <w:szCs w:val="16"/>
          <w:color w:val="auto"/>
        </w:rPr>
      </w:pPr>
    </w:p>
    <w:p>
      <w:pPr>
        <w:ind w:left="340" w:right="180" w:hanging="332"/>
        <w:spacing w:after="0" w:line="253" w:lineRule="auto"/>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8" w:lineRule="exact"/>
        <w:rPr>
          <w:rFonts w:ascii="Arial" w:cs="Arial" w:eastAsia="Arial" w:hAnsi="Arial"/>
          <w:sz w:val="16"/>
          <w:szCs w:val="16"/>
          <w:color w:val="auto"/>
        </w:rPr>
      </w:pPr>
    </w:p>
    <w:p>
      <w:pPr>
        <w:ind w:left="660" w:right="300" w:hanging="328"/>
        <w:spacing w:after="0" w:line="253" w:lineRule="auto"/>
        <w:tabs>
          <w:tab w:leader="none" w:pos="660" w:val="left"/>
        </w:tabs>
        <w:numPr>
          <w:ilvl w:val="1"/>
          <w:numId w:val="19"/>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8" w:lineRule="exact"/>
        <w:rPr>
          <w:rFonts w:ascii="Arial" w:cs="Arial" w:eastAsia="Arial" w:hAnsi="Arial"/>
          <w:sz w:val="16"/>
          <w:szCs w:val="16"/>
          <w:color w:val="auto"/>
        </w:rPr>
      </w:pPr>
    </w:p>
    <w:p>
      <w:pPr>
        <w:ind w:left="660" w:right="20" w:hanging="328"/>
        <w:spacing w:after="0" w:line="253" w:lineRule="auto"/>
        <w:tabs>
          <w:tab w:leader="none" w:pos="660" w:val="left"/>
        </w:tabs>
        <w:numPr>
          <w:ilvl w:val="1"/>
          <w:numId w:val="19"/>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8" w:lineRule="exact"/>
        <w:rPr>
          <w:rFonts w:ascii="Arial" w:cs="Arial" w:eastAsia="Arial" w:hAnsi="Arial"/>
          <w:sz w:val="16"/>
          <w:szCs w:val="16"/>
          <w:color w:val="auto"/>
        </w:rPr>
      </w:pPr>
    </w:p>
    <w:p>
      <w:pPr>
        <w:jc w:val="both"/>
        <w:ind w:left="660" w:right="820" w:hanging="328"/>
        <w:spacing w:after="0" w:line="260" w:lineRule="auto"/>
        <w:tabs>
          <w:tab w:leader="none" w:pos="651" w:val="left"/>
        </w:tabs>
        <w:numPr>
          <w:ilvl w:val="1"/>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2" w:lineRule="exact"/>
        <w:rPr>
          <w:rFonts w:ascii="Arial" w:cs="Arial" w:eastAsia="Arial" w:hAnsi="Arial"/>
          <w:sz w:val="16"/>
          <w:szCs w:val="16"/>
          <w:color w:val="auto"/>
        </w:rPr>
      </w:pPr>
    </w:p>
    <w:p>
      <w:pPr>
        <w:ind w:left="660" w:hanging="328"/>
        <w:spacing w:after="0" w:line="253" w:lineRule="auto"/>
        <w:tabs>
          <w:tab w:leader="none" w:pos="660" w:val="left"/>
        </w:tabs>
        <w:numPr>
          <w:ilvl w:val="1"/>
          <w:numId w:val="1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8" w:lineRule="exact"/>
        <w:rPr>
          <w:rFonts w:ascii="Arial" w:cs="Arial" w:eastAsia="Arial" w:hAnsi="Arial"/>
          <w:sz w:val="16"/>
          <w:szCs w:val="16"/>
          <w:color w:val="auto"/>
        </w:rPr>
      </w:pPr>
    </w:p>
    <w:p>
      <w:pPr>
        <w:ind w:left="340" w:right="440" w:hanging="332"/>
        <w:spacing w:after="0" w:line="260" w:lineRule="auto"/>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222" w:lineRule="exact"/>
        <w:rPr>
          <w:rFonts w:ascii="Arial" w:cs="Arial" w:eastAsia="Arial" w:hAnsi="Arial"/>
          <w:sz w:val="16"/>
          <w:szCs w:val="16"/>
          <w:color w:val="auto"/>
        </w:rPr>
      </w:pPr>
    </w:p>
    <w:p>
      <w:pPr>
        <w:ind w:left="660" w:right="60" w:hanging="328"/>
        <w:spacing w:after="0" w:line="260" w:lineRule="auto"/>
        <w:tabs>
          <w:tab w:leader="none" w:pos="660" w:val="left"/>
        </w:tabs>
        <w:numPr>
          <w:ilvl w:val="1"/>
          <w:numId w:val="1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2" w:lineRule="exact"/>
        <w:rPr>
          <w:rFonts w:ascii="Arial" w:cs="Arial" w:eastAsia="Arial" w:hAnsi="Arial"/>
          <w:sz w:val="16"/>
          <w:szCs w:val="16"/>
          <w:color w:val="auto"/>
        </w:rPr>
      </w:pPr>
    </w:p>
    <w:p>
      <w:pPr>
        <w:ind w:left="660" w:right="360" w:hanging="328"/>
        <w:spacing w:after="0" w:line="260" w:lineRule="auto"/>
        <w:tabs>
          <w:tab w:leader="none" w:pos="660" w:val="left"/>
        </w:tabs>
        <w:numPr>
          <w:ilvl w:val="1"/>
          <w:numId w:val="19"/>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47" w:lineRule="exact"/>
        <w:rPr>
          <w:sz w:val="20"/>
          <w:szCs w:val="20"/>
          <w:color w:val="auto"/>
        </w:rPr>
      </w:pPr>
    </w:p>
    <w:p>
      <w:pPr>
        <w:ind w:left="680"/>
        <w:spacing w:after="0"/>
        <w:tabs>
          <w:tab w:leader="none" w:pos="1560" w:val="left"/>
          <w:tab w:leader="none" w:pos="642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June 23, 2021</w:t>
      </w:r>
      <w:r>
        <w:rPr>
          <w:sz w:val="20"/>
          <w:szCs w:val="20"/>
          <w:color w:val="auto"/>
        </w:rPr>
        <w:tab/>
      </w:r>
      <w:r>
        <w:rPr>
          <w:rFonts w:ascii="Arial" w:cs="Arial" w:eastAsia="Arial" w:hAnsi="Arial"/>
          <w:sz w:val="16"/>
          <w:szCs w:val="16"/>
          <w:i w:val="1"/>
          <w:iCs w:val="1"/>
          <w:color w:val="auto"/>
        </w:rPr>
        <w:t>/s/ Michael J. Happe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20955</wp:posOffset>
            </wp:positionV>
            <wp:extent cx="254571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4">
                      <a:extLst>
                        <a:ext uri="{28A0092B-C50C-407E-A947-70E740481C1C}"/>
                      </a:extLst>
                    </a:blip>
                    <a:srcRect/>
                    <a:stretch>
                      <a:fillRect/>
                    </a:stretch>
                  </pic:blipFill>
                  <pic:spPr bwMode="auto">
                    <a:xfrm>
                      <a:off x="0" y="0"/>
                      <a:ext cx="2545715" cy="8255"/>
                    </a:xfrm>
                    <a:prstGeom prst="rect">
                      <a:avLst/>
                    </a:prstGeom>
                    <a:noFill/>
                  </pic:spPr>
                </pic:pic>
              </a:graphicData>
            </a:graphic>
          </wp:anchor>
        </w:drawing>
      </w:r>
    </w:p>
    <w:p>
      <w:pPr>
        <w:spacing w:after="0" w:line="96" w:lineRule="exact"/>
        <w:rPr>
          <w:sz w:val="20"/>
          <w:szCs w:val="20"/>
          <w:color w:val="auto"/>
        </w:rPr>
      </w:pPr>
    </w:p>
    <w:p>
      <w:pPr>
        <w:ind w:left="6440"/>
        <w:spacing w:after="0"/>
        <w:rPr>
          <w:sz w:val="20"/>
          <w:szCs w:val="20"/>
          <w:color w:val="auto"/>
        </w:rPr>
      </w:pPr>
      <w:r>
        <w:rPr>
          <w:rFonts w:ascii="Arial" w:cs="Arial" w:eastAsia="Arial" w:hAnsi="Arial"/>
          <w:sz w:val="16"/>
          <w:szCs w:val="16"/>
          <w:color w:val="auto"/>
        </w:rPr>
        <w:t>Michael J. Happe</w:t>
      </w:r>
    </w:p>
    <w:p>
      <w:pPr>
        <w:spacing w:after="0" w:line="86" w:lineRule="exact"/>
        <w:rPr>
          <w:sz w:val="20"/>
          <w:szCs w:val="20"/>
          <w:color w:val="auto"/>
        </w:rPr>
      </w:pPr>
    </w:p>
    <w:p>
      <w:pPr>
        <w:ind w:left="6440"/>
        <w:spacing w:after="0"/>
        <w:rPr>
          <w:sz w:val="20"/>
          <w:szCs w:val="20"/>
          <w:color w:val="auto"/>
        </w:rPr>
      </w:pPr>
      <w:r>
        <w:rPr>
          <w:rFonts w:ascii="Arial" w:cs="Arial" w:eastAsia="Arial" w:hAnsi="Arial"/>
          <w:sz w:val="16"/>
          <w:szCs w:val="16"/>
          <w:color w:val="auto"/>
        </w:rPr>
        <w:t>Chief Executive Officer, President</w:t>
      </w:r>
    </w:p>
    <w:p>
      <w:pPr>
        <w:sectPr>
          <w:pgSz w:w="11900" w:h="16838" w:orient="portrait"/>
          <w:cols w:equalWidth="0" w:num="1">
            <w:col w:w="11240"/>
          </w:cols>
          <w:pgMar w:left="320" w:top="891"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16"/>
          <w:szCs w:val="16"/>
          <w:b w:val="1"/>
          <w:bCs w:val="1"/>
          <w:color w:val="auto"/>
        </w:rPr>
        <w:t>Exhibit 31.2</w:t>
      </w:r>
    </w:p>
    <w:p>
      <w:pPr>
        <w:spacing w:after="0" w:line="25" w:lineRule="exact"/>
        <w:rPr>
          <w:sz w:val="20"/>
          <w:szCs w:val="20"/>
          <w:color w:val="auto"/>
        </w:rPr>
      </w:pPr>
    </w:p>
    <w:p>
      <w:pPr>
        <w:ind w:left="3760"/>
        <w:spacing w:after="0"/>
        <w:rPr>
          <w:sz w:val="20"/>
          <w:szCs w:val="20"/>
          <w:color w:val="auto"/>
        </w:rPr>
      </w:pPr>
      <w:r>
        <w:rPr>
          <w:rFonts w:ascii="Arial" w:cs="Arial" w:eastAsia="Arial" w:hAnsi="Arial"/>
          <w:sz w:val="16"/>
          <w:szCs w:val="16"/>
          <w:b w:val="1"/>
          <w:bCs w:val="1"/>
          <w:color w:val="auto"/>
        </w:rPr>
        <w:t>CERTIFICATION BY CHIEF FINANCIAL OFFICER</w:t>
      </w:r>
    </w:p>
    <w:p>
      <w:pPr>
        <w:spacing w:after="0" w:line="5" w:lineRule="exact"/>
        <w:rPr>
          <w:sz w:val="20"/>
          <w:szCs w:val="20"/>
          <w:color w:val="auto"/>
        </w:rPr>
      </w:pPr>
    </w:p>
    <w:p>
      <w:pPr>
        <w:ind w:left="3940"/>
        <w:spacing w:after="0"/>
        <w:rPr>
          <w:sz w:val="20"/>
          <w:szCs w:val="20"/>
          <w:color w:val="auto"/>
        </w:rPr>
      </w:pPr>
      <w:r>
        <w:rPr>
          <w:rFonts w:ascii="Arial" w:cs="Arial" w:eastAsia="Arial" w:hAnsi="Arial"/>
          <w:sz w:val="16"/>
          <w:szCs w:val="16"/>
          <w:b w:val="1"/>
          <w:bCs w:val="1"/>
          <w:color w:val="auto"/>
        </w:rPr>
        <w:t>AS ADOPTED PURSUANT TO SECTION 302</w:t>
      </w:r>
    </w:p>
    <w:p>
      <w:pPr>
        <w:spacing w:after="0" w:line="5" w:lineRule="exact"/>
        <w:rPr>
          <w:sz w:val="20"/>
          <w:szCs w:val="20"/>
          <w:color w:val="auto"/>
        </w:rPr>
      </w:pPr>
    </w:p>
    <w:p>
      <w:pPr>
        <w:ind w:left="4020"/>
        <w:spacing w:after="0"/>
        <w:rPr>
          <w:sz w:val="20"/>
          <w:szCs w:val="20"/>
          <w:color w:val="auto"/>
        </w:rPr>
      </w:pPr>
      <w:r>
        <w:rPr>
          <w:rFonts w:ascii="Arial" w:cs="Arial" w:eastAsia="Arial" w:hAnsi="Arial"/>
          <w:sz w:val="16"/>
          <w:szCs w:val="16"/>
          <w:b w:val="1"/>
          <w:bCs w:val="1"/>
          <w:color w:val="auto"/>
        </w:rPr>
        <w:t>OF THE SARBANES-OXLEY ACT OF 2002</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I, Bryan L. Hughes, Chief Financial Officer of Winnebago Industries, Inc., certify that:</w:t>
      </w:r>
    </w:p>
    <w:p>
      <w:pPr>
        <w:spacing w:after="0" w:line="248" w:lineRule="exact"/>
        <w:rPr>
          <w:sz w:val="20"/>
          <w:szCs w:val="20"/>
          <w:color w:val="auto"/>
        </w:rPr>
      </w:pPr>
    </w:p>
    <w:p>
      <w:pPr>
        <w:ind w:left="340" w:hanging="332"/>
        <w:spacing w:after="0"/>
        <w:tabs>
          <w:tab w:leader="none" w:pos="3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Winnebago Industries, Inc. (the "Registrant");</w:t>
      </w:r>
    </w:p>
    <w:p>
      <w:pPr>
        <w:spacing w:after="0" w:line="248" w:lineRule="exact"/>
        <w:rPr>
          <w:rFonts w:ascii="Arial" w:cs="Arial" w:eastAsia="Arial" w:hAnsi="Arial"/>
          <w:sz w:val="16"/>
          <w:szCs w:val="16"/>
          <w:color w:val="auto"/>
        </w:rPr>
      </w:pPr>
    </w:p>
    <w:p>
      <w:pPr>
        <w:jc w:val="both"/>
        <w:ind w:left="340" w:right="440" w:hanging="332"/>
        <w:spacing w:after="0" w:line="253" w:lineRule="auto"/>
        <w:tabs>
          <w:tab w:leader="none" w:pos="3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8" w:lineRule="exact"/>
        <w:rPr>
          <w:rFonts w:ascii="Arial" w:cs="Arial" w:eastAsia="Arial" w:hAnsi="Arial"/>
          <w:sz w:val="16"/>
          <w:szCs w:val="16"/>
          <w:color w:val="auto"/>
        </w:rPr>
      </w:pPr>
    </w:p>
    <w:p>
      <w:pPr>
        <w:ind w:left="340" w:right="20" w:hanging="332"/>
        <w:spacing w:after="0" w:line="260" w:lineRule="auto"/>
        <w:tabs>
          <w:tab w:leader="none" w:pos="3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2" w:lineRule="exact"/>
        <w:rPr>
          <w:rFonts w:ascii="Arial" w:cs="Arial" w:eastAsia="Arial" w:hAnsi="Arial"/>
          <w:sz w:val="16"/>
          <w:szCs w:val="16"/>
          <w:color w:val="auto"/>
        </w:rPr>
      </w:pPr>
    </w:p>
    <w:p>
      <w:pPr>
        <w:ind w:left="340" w:right="180" w:hanging="332"/>
        <w:spacing w:after="0" w:line="253" w:lineRule="auto"/>
        <w:tabs>
          <w:tab w:leader="none" w:pos="3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8" w:lineRule="exact"/>
        <w:rPr>
          <w:rFonts w:ascii="Arial" w:cs="Arial" w:eastAsia="Arial" w:hAnsi="Arial"/>
          <w:sz w:val="16"/>
          <w:szCs w:val="16"/>
          <w:color w:val="auto"/>
        </w:rPr>
      </w:pPr>
    </w:p>
    <w:p>
      <w:pPr>
        <w:ind w:left="660" w:right="300" w:hanging="328"/>
        <w:spacing w:after="0" w:line="253" w:lineRule="auto"/>
        <w:tabs>
          <w:tab w:leader="none" w:pos="660" w:val="left"/>
        </w:tabs>
        <w:numPr>
          <w:ilvl w:val="1"/>
          <w:numId w:val="2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8" w:lineRule="exact"/>
        <w:rPr>
          <w:rFonts w:ascii="Arial" w:cs="Arial" w:eastAsia="Arial" w:hAnsi="Arial"/>
          <w:sz w:val="16"/>
          <w:szCs w:val="16"/>
          <w:color w:val="auto"/>
        </w:rPr>
      </w:pPr>
    </w:p>
    <w:p>
      <w:pPr>
        <w:ind w:left="660" w:right="20" w:hanging="328"/>
        <w:spacing w:after="0" w:line="253" w:lineRule="auto"/>
        <w:tabs>
          <w:tab w:leader="none" w:pos="660" w:val="left"/>
        </w:tabs>
        <w:numPr>
          <w:ilvl w:val="1"/>
          <w:numId w:val="20"/>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8" w:lineRule="exact"/>
        <w:rPr>
          <w:rFonts w:ascii="Arial" w:cs="Arial" w:eastAsia="Arial" w:hAnsi="Arial"/>
          <w:sz w:val="16"/>
          <w:szCs w:val="16"/>
          <w:color w:val="auto"/>
        </w:rPr>
      </w:pPr>
    </w:p>
    <w:p>
      <w:pPr>
        <w:jc w:val="both"/>
        <w:ind w:left="660" w:right="820" w:hanging="328"/>
        <w:spacing w:after="0" w:line="260" w:lineRule="auto"/>
        <w:tabs>
          <w:tab w:leader="none" w:pos="651" w:val="left"/>
        </w:tabs>
        <w:numPr>
          <w:ilvl w:val="1"/>
          <w:numId w:val="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2" w:lineRule="exact"/>
        <w:rPr>
          <w:rFonts w:ascii="Arial" w:cs="Arial" w:eastAsia="Arial" w:hAnsi="Arial"/>
          <w:sz w:val="16"/>
          <w:szCs w:val="16"/>
          <w:color w:val="auto"/>
        </w:rPr>
      </w:pPr>
    </w:p>
    <w:p>
      <w:pPr>
        <w:ind w:left="660" w:hanging="328"/>
        <w:spacing w:after="0" w:line="253" w:lineRule="auto"/>
        <w:tabs>
          <w:tab w:leader="none" w:pos="660" w:val="left"/>
        </w:tabs>
        <w:numPr>
          <w:ilvl w:val="1"/>
          <w:numId w:val="2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8" w:lineRule="exact"/>
        <w:rPr>
          <w:rFonts w:ascii="Arial" w:cs="Arial" w:eastAsia="Arial" w:hAnsi="Arial"/>
          <w:sz w:val="16"/>
          <w:szCs w:val="16"/>
          <w:color w:val="auto"/>
        </w:rPr>
      </w:pPr>
    </w:p>
    <w:p>
      <w:pPr>
        <w:ind w:left="340" w:right="440" w:hanging="332"/>
        <w:spacing w:after="0" w:line="260" w:lineRule="auto"/>
        <w:tabs>
          <w:tab w:leader="none" w:pos="3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222" w:lineRule="exact"/>
        <w:rPr>
          <w:rFonts w:ascii="Arial" w:cs="Arial" w:eastAsia="Arial" w:hAnsi="Arial"/>
          <w:sz w:val="16"/>
          <w:szCs w:val="16"/>
          <w:color w:val="auto"/>
        </w:rPr>
      </w:pPr>
    </w:p>
    <w:p>
      <w:pPr>
        <w:ind w:left="660" w:right="60" w:hanging="328"/>
        <w:spacing w:after="0" w:line="260" w:lineRule="auto"/>
        <w:tabs>
          <w:tab w:leader="none" w:pos="660" w:val="left"/>
        </w:tabs>
        <w:numPr>
          <w:ilvl w:val="1"/>
          <w:numId w:val="2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2" w:lineRule="exact"/>
        <w:rPr>
          <w:rFonts w:ascii="Arial" w:cs="Arial" w:eastAsia="Arial" w:hAnsi="Arial"/>
          <w:sz w:val="16"/>
          <w:szCs w:val="16"/>
          <w:color w:val="auto"/>
        </w:rPr>
      </w:pPr>
    </w:p>
    <w:p>
      <w:pPr>
        <w:ind w:left="660" w:right="360" w:hanging="328"/>
        <w:spacing w:after="0" w:line="260" w:lineRule="auto"/>
        <w:tabs>
          <w:tab w:leader="none" w:pos="660" w:val="left"/>
        </w:tabs>
        <w:numPr>
          <w:ilvl w:val="1"/>
          <w:numId w:val="20"/>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47" w:lineRule="exact"/>
        <w:rPr>
          <w:sz w:val="20"/>
          <w:szCs w:val="20"/>
          <w:color w:val="auto"/>
        </w:rPr>
      </w:pPr>
    </w:p>
    <w:p>
      <w:pPr>
        <w:ind w:left="1140"/>
        <w:spacing w:after="0"/>
        <w:tabs>
          <w:tab w:leader="none" w:pos="1760" w:val="left"/>
          <w:tab w:leader="none" w:pos="6480" w:val="left"/>
        </w:tabs>
        <w:rPr>
          <w:sz w:val="20"/>
          <w:szCs w:val="20"/>
          <w:color w:val="auto"/>
        </w:rPr>
      </w:pPr>
      <w:r>
        <w:rPr>
          <w:rFonts w:ascii="Arial" w:cs="Arial" w:eastAsia="Arial" w:hAnsi="Arial"/>
          <w:sz w:val="16"/>
          <w:szCs w:val="16"/>
          <w:color w:val="auto"/>
        </w:rPr>
        <w:t>Date:</w:t>
        <w:tab/>
        <w:t>June 23, 2021</w:t>
      </w:r>
      <w:r>
        <w:rPr>
          <w:sz w:val="20"/>
          <w:szCs w:val="20"/>
          <w:color w:val="auto"/>
        </w:rPr>
        <w:tab/>
      </w:r>
      <w:r>
        <w:rPr>
          <w:rFonts w:ascii="Arial" w:cs="Arial" w:eastAsia="Arial" w:hAnsi="Arial"/>
          <w:sz w:val="16"/>
          <w:szCs w:val="16"/>
          <w:i w:val="1"/>
          <w:iCs w:val="1"/>
          <w:color w:val="auto"/>
        </w:rPr>
        <w:t>/s/ Bryan L. Hughes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4119880</wp:posOffset>
            </wp:positionH>
            <wp:positionV relativeFrom="paragraph">
              <wp:posOffset>20955</wp:posOffset>
            </wp:positionV>
            <wp:extent cx="245999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5">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42" w:lineRule="exact"/>
        <w:rPr>
          <w:sz w:val="20"/>
          <w:szCs w:val="20"/>
          <w:color w:val="auto"/>
        </w:rPr>
      </w:pPr>
    </w:p>
    <w:p>
      <w:pPr>
        <w:ind w:left="6500"/>
        <w:spacing w:after="0"/>
        <w:rPr>
          <w:sz w:val="20"/>
          <w:szCs w:val="20"/>
          <w:color w:val="auto"/>
        </w:rPr>
      </w:pPr>
      <w:r>
        <w:rPr>
          <w:rFonts w:ascii="Arial" w:cs="Arial" w:eastAsia="Arial" w:hAnsi="Arial"/>
          <w:sz w:val="16"/>
          <w:szCs w:val="16"/>
          <w:color w:val="auto"/>
        </w:rPr>
        <w:t>Bryan L. Hughes</w:t>
      </w:r>
    </w:p>
    <w:p>
      <w:pPr>
        <w:spacing w:after="0" w:line="32" w:lineRule="exact"/>
        <w:rPr>
          <w:sz w:val="20"/>
          <w:szCs w:val="20"/>
          <w:color w:val="auto"/>
        </w:rPr>
      </w:pPr>
    </w:p>
    <w:p>
      <w:pPr>
        <w:ind w:left="6500"/>
        <w:spacing w:after="0"/>
        <w:rPr>
          <w:sz w:val="20"/>
          <w:szCs w:val="20"/>
          <w:color w:val="auto"/>
        </w:rPr>
      </w:pPr>
      <w:r>
        <w:rPr>
          <w:rFonts w:ascii="Arial" w:cs="Arial" w:eastAsia="Arial" w:hAnsi="Arial"/>
          <w:sz w:val="16"/>
          <w:szCs w:val="16"/>
          <w:color w:val="auto"/>
        </w:rPr>
        <w:t>Senior Vice President, Chief Financial Officer</w:t>
      </w:r>
    </w:p>
    <w:p>
      <w:pPr>
        <w:sectPr>
          <w:pgSz w:w="11900" w:h="16838" w:orient="portrait"/>
          <w:cols w:equalWidth="0" w:num="1">
            <w:col w:w="11240"/>
          </w:cols>
          <w:pgMar w:left="320" w:top="891"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16"/>
          <w:szCs w:val="16"/>
          <w:b w:val="1"/>
          <w:bCs w:val="1"/>
          <w:color w:val="auto"/>
        </w:rPr>
        <w:t>Exhibit 32.1</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CERTIFICATION BY CHIEF EXECUTIVE OFFICER</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 SECTION 906</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 THE SARBANES-OXLEY ACT OF 2002</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Pursuant to 18 U.S.C. Section 1350, as adopted pursuant to Section 906 of the Sarbanes-Oxley Act of 2002, I, Michael J. Happe, Chief Executive Officer of</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Winnebago Industries, Inc. (the "Company"), hereby certify that to my knowledge:</w:t>
      </w:r>
    </w:p>
    <w:p>
      <w:pPr>
        <w:spacing w:after="0" w:line="248" w:lineRule="exact"/>
        <w:rPr>
          <w:sz w:val="20"/>
          <w:szCs w:val="20"/>
          <w:color w:val="auto"/>
        </w:rPr>
      </w:pPr>
    </w:p>
    <w:p>
      <w:pPr>
        <w:ind w:left="660" w:right="160" w:hanging="328"/>
        <w:spacing w:after="0" w:line="260" w:lineRule="auto"/>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Quarterly Report on Form 10-Q for the fiscal quarter ended May 29, 2021 (the "Report") of the Company, fully complies with the requirements of Section 13(a) or 15(d) of the Securities Exchange Act of 1934, and</w:t>
      </w:r>
    </w:p>
    <w:p>
      <w:pPr>
        <w:spacing w:after="0" w:line="222" w:lineRule="exact"/>
        <w:rPr>
          <w:rFonts w:ascii="Arial" w:cs="Arial" w:eastAsia="Arial" w:hAnsi="Arial"/>
          <w:sz w:val="16"/>
          <w:szCs w:val="16"/>
          <w:color w:val="auto"/>
        </w:rPr>
      </w:pPr>
    </w:p>
    <w:p>
      <w:pPr>
        <w:ind w:left="660" w:hanging="328"/>
        <w:spacing w:after="0"/>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information contained in this Report fairly presents, in all material respects, the financial condition and results of operations of the Company.</w:t>
      </w:r>
    </w:p>
    <w:p>
      <w:pPr>
        <w:spacing w:after="0" w:line="273" w:lineRule="exact"/>
        <w:rPr>
          <w:sz w:val="20"/>
          <w:szCs w:val="20"/>
          <w:color w:val="auto"/>
        </w:rPr>
      </w:pPr>
    </w:p>
    <w:p>
      <w:pPr>
        <w:ind w:left="720"/>
        <w:spacing w:after="0"/>
        <w:tabs>
          <w:tab w:leader="none" w:pos="1540" w:val="left"/>
          <w:tab w:leader="none" w:pos="670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June 23, 2021</w:t>
      </w:r>
      <w:r>
        <w:rPr>
          <w:sz w:val="20"/>
          <w:szCs w:val="20"/>
          <w:color w:val="auto"/>
        </w:rPr>
        <w:tab/>
      </w:r>
      <w:r>
        <w:rPr>
          <w:rFonts w:ascii="Arial" w:cs="Arial" w:eastAsia="Arial" w:hAnsi="Arial"/>
          <w:sz w:val="16"/>
          <w:szCs w:val="16"/>
          <w:i w:val="1"/>
          <w:iCs w:val="1"/>
          <w:color w:val="auto"/>
        </w:rPr>
        <w:t>/s/ Michael J. Happe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4257040</wp:posOffset>
            </wp:positionH>
            <wp:positionV relativeFrom="paragraph">
              <wp:posOffset>20955</wp:posOffset>
            </wp:positionV>
            <wp:extent cx="270065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6">
                      <a:extLst>
                        <a:ext uri="{28A0092B-C50C-407E-A947-70E740481C1C}"/>
                      </a:extLst>
                    </a:blip>
                    <a:srcRect/>
                    <a:stretch>
                      <a:fillRect/>
                    </a:stretch>
                  </pic:blipFill>
                  <pic:spPr bwMode="auto">
                    <a:xfrm>
                      <a:off x="0" y="0"/>
                      <a:ext cx="2700655" cy="8890"/>
                    </a:xfrm>
                    <a:prstGeom prst="rect">
                      <a:avLst/>
                    </a:prstGeom>
                    <a:noFill/>
                  </pic:spPr>
                </pic:pic>
              </a:graphicData>
            </a:graphic>
          </wp:anchor>
        </w:drawing>
      </w:r>
    </w:p>
    <w:p>
      <w:pPr>
        <w:spacing w:after="0" w:line="96" w:lineRule="exact"/>
        <w:rPr>
          <w:sz w:val="20"/>
          <w:szCs w:val="20"/>
          <w:color w:val="auto"/>
        </w:rPr>
      </w:pPr>
    </w:p>
    <w:p>
      <w:pPr>
        <w:ind w:left="6720"/>
        <w:spacing w:after="0"/>
        <w:rPr>
          <w:sz w:val="20"/>
          <w:szCs w:val="20"/>
          <w:color w:val="auto"/>
        </w:rPr>
      </w:pPr>
      <w:r>
        <w:rPr>
          <w:rFonts w:ascii="Arial" w:cs="Arial" w:eastAsia="Arial" w:hAnsi="Arial"/>
          <w:sz w:val="16"/>
          <w:szCs w:val="16"/>
          <w:color w:val="auto"/>
        </w:rPr>
        <w:t>Michael J. Happe</w:t>
      </w:r>
    </w:p>
    <w:p>
      <w:pPr>
        <w:spacing w:after="0" w:line="86" w:lineRule="exact"/>
        <w:rPr>
          <w:sz w:val="20"/>
          <w:szCs w:val="20"/>
          <w:color w:val="auto"/>
        </w:rPr>
      </w:pPr>
    </w:p>
    <w:p>
      <w:pPr>
        <w:ind w:left="6720"/>
        <w:spacing w:after="0"/>
        <w:rPr>
          <w:sz w:val="20"/>
          <w:szCs w:val="20"/>
          <w:color w:val="auto"/>
        </w:rPr>
      </w:pPr>
      <w:r>
        <w:rPr>
          <w:rFonts w:ascii="Arial" w:cs="Arial" w:eastAsia="Arial" w:hAnsi="Arial"/>
          <w:sz w:val="16"/>
          <w:szCs w:val="16"/>
          <w:color w:val="auto"/>
        </w:rPr>
        <w:t>Chief Executive Officer, President</w:t>
      </w:r>
    </w:p>
    <w:p>
      <w:pPr>
        <w:sectPr>
          <w:pgSz w:w="11900" w:h="16838" w:orient="portrait"/>
          <w:cols w:equalWidth="0" w:num="1">
            <w:col w:w="11240"/>
          </w:cols>
          <w:pgMar w:left="320" w:top="891" w:right="339" w:bottom="1440" w:gutter="0" w:footer="0" w:header="0"/>
        </w:sectPr>
      </w:pPr>
    </w:p>
    <w:bookmarkStart w:id="40" w:name="page41"/>
    <w:bookmarkEnd w:id="40"/>
    <w:p>
      <w:pPr>
        <w:jc w:val="right"/>
        <w:spacing w:after="0"/>
        <w:rPr>
          <w:sz w:val="20"/>
          <w:szCs w:val="20"/>
          <w:color w:val="auto"/>
        </w:rPr>
      </w:pPr>
      <w:r>
        <w:rPr>
          <w:rFonts w:ascii="Arial" w:cs="Arial" w:eastAsia="Arial" w:hAnsi="Arial"/>
          <w:sz w:val="16"/>
          <w:szCs w:val="16"/>
          <w:b w:val="1"/>
          <w:bCs w:val="1"/>
          <w:color w:val="auto"/>
        </w:rPr>
        <w:t>Exhibit 32.2</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CERTIFICATION BY CHIEF FINANCIAL OFFICER</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 SECTION 906</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 THE SARBANES-OXLEY ACT OF 2002</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Pursuant to 18 U.S.C. Section 1350, as adopted pursuant to Section 906 of the Sarbanes-Oxley Act of 2002, I, Bryan L. Hughes, Chief Financial Officer of</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Winnebago Industries, Inc. (the "Company"), hereby certify that to my knowledge:</w:t>
      </w:r>
    </w:p>
    <w:p>
      <w:pPr>
        <w:spacing w:after="0" w:line="248" w:lineRule="exact"/>
        <w:rPr>
          <w:sz w:val="20"/>
          <w:szCs w:val="20"/>
          <w:color w:val="auto"/>
        </w:rPr>
      </w:pPr>
    </w:p>
    <w:p>
      <w:pPr>
        <w:ind w:left="660" w:right="160" w:hanging="328"/>
        <w:spacing w:after="0" w:line="260" w:lineRule="auto"/>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Quarterly Report on Form 10-Q for the fiscal quarter ended May 29, 2021 (the "Report") of the Company, fully complies with the requirements of Section 13(a) or 15(d) of the Securities Exchange Act of 1934, and</w:t>
      </w:r>
    </w:p>
    <w:p>
      <w:pPr>
        <w:spacing w:after="0" w:line="222" w:lineRule="exact"/>
        <w:rPr>
          <w:rFonts w:ascii="Arial" w:cs="Arial" w:eastAsia="Arial" w:hAnsi="Arial"/>
          <w:sz w:val="16"/>
          <w:szCs w:val="16"/>
          <w:color w:val="auto"/>
        </w:rPr>
      </w:pPr>
    </w:p>
    <w:p>
      <w:pPr>
        <w:ind w:left="660" w:hanging="328"/>
        <w:spacing w:after="0"/>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information contained in this Report fairly presents, in all material respects, the financial condition and results of operations of the Company.</w:t>
      </w:r>
    </w:p>
    <w:p>
      <w:pPr>
        <w:spacing w:after="0" w:line="273" w:lineRule="exact"/>
        <w:rPr>
          <w:sz w:val="20"/>
          <w:szCs w:val="20"/>
          <w:color w:val="auto"/>
        </w:rPr>
      </w:pPr>
    </w:p>
    <w:p>
      <w:pPr>
        <w:ind w:left="700"/>
        <w:spacing w:after="0"/>
        <w:tabs>
          <w:tab w:leader="none" w:pos="1400" w:val="left"/>
          <w:tab w:leader="none" w:pos="656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June 23, 2021</w:t>
      </w:r>
      <w:r>
        <w:rPr>
          <w:sz w:val="20"/>
          <w:szCs w:val="20"/>
          <w:color w:val="auto"/>
        </w:rPr>
        <w:tab/>
      </w:r>
      <w:r>
        <w:rPr>
          <w:rFonts w:ascii="Arial" w:cs="Arial" w:eastAsia="Arial" w:hAnsi="Arial"/>
          <w:sz w:val="16"/>
          <w:szCs w:val="16"/>
          <w:i w:val="1"/>
          <w:iCs w:val="1"/>
          <w:color w:val="auto"/>
        </w:rPr>
        <w:t>/s/ Bryan L. Hughes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20955</wp:posOffset>
            </wp:positionV>
            <wp:extent cx="269176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7">
                      <a:extLst>
                        <a:ext uri="{28A0092B-C50C-407E-A947-70E740481C1C}"/>
                      </a:extLst>
                    </a:blip>
                    <a:srcRect/>
                    <a:stretch>
                      <a:fillRect/>
                    </a:stretch>
                  </pic:blipFill>
                  <pic:spPr bwMode="auto">
                    <a:xfrm>
                      <a:off x="0" y="0"/>
                      <a:ext cx="2691765" cy="8890"/>
                    </a:xfrm>
                    <a:prstGeom prst="rect">
                      <a:avLst/>
                    </a:prstGeom>
                    <a:noFill/>
                  </pic:spPr>
                </pic:pic>
              </a:graphicData>
            </a:graphic>
          </wp:anchor>
        </w:drawing>
      </w:r>
    </w:p>
    <w:p>
      <w:pPr>
        <w:spacing w:after="0" w:line="42" w:lineRule="exact"/>
        <w:rPr>
          <w:sz w:val="20"/>
          <w:szCs w:val="20"/>
          <w:color w:val="auto"/>
        </w:rPr>
      </w:pPr>
    </w:p>
    <w:p>
      <w:pPr>
        <w:ind w:left="6580"/>
        <w:spacing w:after="0"/>
        <w:rPr>
          <w:sz w:val="20"/>
          <w:szCs w:val="20"/>
          <w:color w:val="auto"/>
        </w:rPr>
      </w:pPr>
      <w:r>
        <w:rPr>
          <w:rFonts w:ascii="Arial" w:cs="Arial" w:eastAsia="Arial" w:hAnsi="Arial"/>
          <w:sz w:val="16"/>
          <w:szCs w:val="16"/>
          <w:color w:val="auto"/>
        </w:rPr>
        <w:t>Bryan L. Hughes</w:t>
      </w:r>
    </w:p>
    <w:p>
      <w:pPr>
        <w:spacing w:after="0" w:line="32" w:lineRule="exact"/>
        <w:rPr>
          <w:sz w:val="20"/>
          <w:szCs w:val="20"/>
          <w:color w:val="auto"/>
        </w:rPr>
      </w:pPr>
    </w:p>
    <w:p>
      <w:pPr>
        <w:ind w:left="6580"/>
        <w:spacing w:after="0"/>
        <w:rPr>
          <w:sz w:val="20"/>
          <w:szCs w:val="20"/>
          <w:color w:val="auto"/>
        </w:rPr>
      </w:pPr>
      <w:r>
        <w:rPr>
          <w:rFonts w:ascii="Arial" w:cs="Arial" w:eastAsia="Arial" w:hAnsi="Arial"/>
          <w:sz w:val="16"/>
          <w:szCs w:val="16"/>
          <w:color w:val="auto"/>
        </w:rPr>
        <w:t>Senior Vice President, Chief Financial Officer</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1)"/>
      <w:numFmt w:val="decimal"/>
      <w:start w:val="1"/>
    </w:lvl>
  </w:abstractNum>
  <w:abstractNum w:abstractNumId="2">
    <w:nsid w:val="140E0F76"/>
    <w:multiLevelType w:val="hybridMultilevel"/>
    <w:lvl w:ilvl="0">
      <w:lvlJc w:val="left"/>
      <w:lvlText w:val="(%1)"/>
      <w:numFmt w:val="decimal"/>
      <w:start w:val="1"/>
    </w:lvl>
  </w:abstractNum>
  <w:abstractNum w:abstractNumId="3">
    <w:nsid w:val="3352255A"/>
    <w:multiLevelType w:val="hybridMultilevel"/>
    <w:lvl w:ilvl="0">
      <w:lvlJc w:val="left"/>
      <w:lvlText w:val="%1."/>
      <w:numFmt w:val="decimal"/>
      <w:start w:val="1"/>
    </w:lvl>
  </w:abstractNum>
  <w:abstractNum w:abstractNumId="4">
    <w:nsid w:val="109CF92E"/>
    <w:multiLevelType w:val="hybridMultilevel"/>
    <w:lvl w:ilvl="0">
      <w:lvlJc w:val="left"/>
      <w:lvlText w:val="(%1)"/>
      <w:numFmt w:val="decimal"/>
      <w:start w:val="1"/>
    </w:lvl>
  </w:abstractNum>
  <w:abstractNum w:abstractNumId="5">
    <w:nsid w:val="DED7263"/>
    <w:multiLevelType w:val="hybridMultilevel"/>
    <w:lvl w:ilvl="0">
      <w:lvlJc w:val="left"/>
      <w:lvlText w:val="•"/>
      <w:numFmt w:val="bullet"/>
      <w:start w:val="1"/>
    </w:lvl>
  </w:abstractNum>
  <w:abstractNum w:abstractNumId="6">
    <w:nsid w:val="7FDCC233"/>
    <w:multiLevelType w:val="hybridMultilevel"/>
    <w:lvl w:ilvl="0">
      <w:lvlJc w:val="left"/>
      <w:lvlText w:val="(%1)"/>
      <w:numFmt w:val="decimal"/>
      <w:start w:val="1"/>
    </w:lvl>
  </w:abstractNum>
  <w:abstractNum w:abstractNumId="7">
    <w:nsid w:val="1BEFD79F"/>
    <w:multiLevelType w:val="hybridMultilevel"/>
    <w:lvl w:ilvl="0">
      <w:lvlJc w:val="left"/>
      <w:lvlText w:val="(%1)"/>
      <w:numFmt w:val="decimal"/>
      <w:start w:val="1"/>
    </w:lvl>
  </w:abstractNum>
  <w:abstractNum w:abstractNumId="8">
    <w:nsid w:val="41A7C4C9"/>
    <w:multiLevelType w:val="hybridMultilevel"/>
    <w:lvl w:ilvl="0">
      <w:lvlJc w:val="left"/>
      <w:lvlText w:val="(%1)"/>
      <w:numFmt w:val="decimal"/>
      <w:start w:val="1"/>
    </w:lvl>
  </w:abstractNum>
  <w:abstractNum w:abstractNumId="9">
    <w:nsid w:val="6B68079A"/>
    <w:multiLevelType w:val="hybridMultilevel"/>
    <w:lvl w:ilvl="0">
      <w:lvlJc w:val="left"/>
      <w:lvlText w:val="(%1)"/>
      <w:numFmt w:val="decimal"/>
      <w:start w:val="1"/>
    </w:lvl>
  </w:abstractNum>
  <w:abstractNum w:abstractNumId="10">
    <w:nsid w:val="4E6AFB66"/>
    <w:multiLevelType w:val="hybridMultilevel"/>
    <w:lvl w:ilvl="0">
      <w:lvlJc w:val="left"/>
      <w:lvlText w:val="(%1)"/>
      <w:numFmt w:val="decimal"/>
      <w:start w:val="1"/>
    </w:lvl>
  </w:abstractNum>
  <w:abstractNum w:abstractNumId="11">
    <w:nsid w:val="25E45D32"/>
    <w:multiLevelType w:val="hybridMultilevel"/>
    <w:lvl w:ilvl="0">
      <w:lvlJc w:val="left"/>
      <w:lvlText w:val="(%1)"/>
      <w:numFmt w:val="decimal"/>
      <w:start w:val="1"/>
    </w:lvl>
  </w:abstractNum>
  <w:abstractNum w:abstractNumId="12">
    <w:nsid w:val="519B500D"/>
    <w:multiLevelType w:val="hybridMultilevel"/>
    <w:lvl w:ilvl="0">
      <w:lvlJc w:val="left"/>
      <w:lvlText w:val="(%1)"/>
      <w:numFmt w:val="decimal"/>
      <w:start w:val="1"/>
    </w:lvl>
  </w:abstractNum>
  <w:abstractNum w:abstractNumId="13">
    <w:nsid w:val="431BD7B7"/>
    <w:multiLevelType w:val="hybridMultilevel"/>
    <w:lvl w:ilvl="0">
      <w:lvlJc w:val="left"/>
      <w:lvlText w:val="(%1)"/>
      <w:numFmt w:val="decimal"/>
      <w:start w:val="1"/>
    </w:lvl>
  </w:abstractNum>
  <w:abstractNum w:abstractNumId="14">
    <w:nsid w:val="3F2DBA31"/>
    <w:multiLevelType w:val="hybridMultilevel"/>
    <w:lvl w:ilvl="0">
      <w:lvlJc w:val="left"/>
      <w:lvlText w:val="(%1)"/>
      <w:numFmt w:val="decimal"/>
      <w:start w:val="3"/>
    </w:lvl>
  </w:abstractNum>
  <w:abstractNum w:abstractNumId="15">
    <w:nsid w:val="7C83E458"/>
    <w:multiLevelType w:val="hybridMultilevel"/>
    <w:lvl w:ilvl="0">
      <w:lvlJc w:val="left"/>
      <w:lvlText w:val="(%1)"/>
      <w:numFmt w:val="decimal"/>
      <w:start w:val="1"/>
    </w:lvl>
  </w:abstractNum>
  <w:abstractNum w:abstractNumId="16">
    <w:nsid w:val="257130A3"/>
    <w:multiLevelType w:val="hybridMultilevel"/>
    <w:lvl w:ilvl="0">
      <w:lvlJc w:val="left"/>
      <w:lvlText w:val="(%1)"/>
      <w:numFmt w:val="decimal"/>
      <w:start w:val="1"/>
    </w:lvl>
  </w:abstractNum>
  <w:abstractNum w:abstractNumId="17">
    <w:nsid w:val="62BBD95A"/>
    <w:multiLevelType w:val="hybridMultilevel"/>
    <w:lvl w:ilvl="0">
      <w:lvlJc w:val="left"/>
      <w:lvlText w:val="%1"/>
      <w:numFmt w:val="decimal"/>
      <w:start w:val="104"/>
    </w:lvl>
  </w:abstractNum>
  <w:abstractNum w:abstractNumId="18">
    <w:nsid w:val="436C6125"/>
    <w:multiLevelType w:val="hybridMultilevel"/>
    <w:lvl w:ilvl="0">
      <w:lvlJc w:val="left"/>
      <w:lvlText w:val="%1."/>
      <w:numFmt w:val="decimal"/>
      <w:start w:val="1"/>
    </w:lvl>
    <w:lvl w:ilvl="1">
      <w:lvlJc w:val="left"/>
      <w:lvlText w:val="%2."/>
      <w:numFmt w:val="lowerLetter"/>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lowerLetter"/>
      <w:start w:val="1"/>
    </w:lvl>
  </w:abstractNum>
  <w:abstractNum w:abstractNumId="21">
    <w:nsid w:val="721DA317"/>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52" Type="http://schemas.openxmlformats.org/officeDocument/2006/relationships/image" Target="media/image41.png"/><Relationship Id="rId53" Type="http://schemas.openxmlformats.org/officeDocument/2006/relationships/image" Target="media/image42.png"/><Relationship Id="rId54" Type="http://schemas.openxmlformats.org/officeDocument/2006/relationships/image" Target="media/image43.png"/><Relationship Id="rId55" Type="http://schemas.openxmlformats.org/officeDocument/2006/relationships/image" Target="media/image44.png"/><Relationship Id="rId56" Type="http://schemas.openxmlformats.org/officeDocument/2006/relationships/image" Target="media/image45.png"/><Relationship Id="rId57" Type="http://schemas.openxmlformats.org/officeDocument/2006/relationships/image" Target="media/image46.png"/><Relationship Id="rId48" Type="http://schemas.openxmlformats.org/officeDocument/2006/relationships/hyperlink" Target="https://www.sec.gov/Archives/edgar/data/107687/000010768720000050/wgo-coverpageforrestatedar.htm" TargetMode="External"/><Relationship Id="rId49" Type="http://schemas.openxmlformats.org/officeDocument/2006/relationships/hyperlink" Target="http://www.sec.gov/Archives/edgar/data/107687/000010768716000075/exh31by-lawsasamended3x16x.htm" TargetMode="External"/><Relationship Id="rId50" Type="http://schemas.openxmlformats.org/officeDocument/2006/relationships/hyperlink" Target="http://www.sec.gov/Archives/edgar/data/107687/000110465919059604/a19-21005_2ex4d1.htm" TargetMode="External"/><Relationship Id="rId51" Type="http://schemas.openxmlformats.org/officeDocument/2006/relationships/hyperlink" Target="https://www.sec.gov/Archives/edgar/data/107687/000110465920082433/tm2024371d1_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2021-06-23T15:09:44Z</dcterms:created>
  <dcterms:modified xsi:type="dcterms:W3CDTF">2021-06-23T15:09:44Z</dcterms:modified>
</cp:coreProperties>
</file>