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November 26, 2016</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143510</wp:posOffset>
            </wp:positionV>
            <wp:extent cx="3327400"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91"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55"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December 28, 2016 was 31,582,687.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 w:name="page2"/>
    <w:bookmarkEnd w:id="1"/>
    <w:p>
      <w:pPr>
        <w:jc w:val="center"/>
        <w:ind w:left="880"/>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ind w:left="880"/>
        <w:spacing w:after="0"/>
        <w:rPr>
          <w:sz w:val="20"/>
          <w:szCs w:val="20"/>
          <w:color w:val="auto"/>
        </w:rPr>
      </w:pPr>
      <w:r>
        <w:rPr>
          <w:rFonts w:ascii="Arial" w:cs="Arial" w:eastAsia="Arial" w:hAnsi="Arial"/>
          <w:sz w:val="22"/>
          <w:szCs w:val="22"/>
          <w:b w:val="1"/>
          <w:bCs w:val="1"/>
          <w:color w:val="auto"/>
        </w:rPr>
        <w:t>Table of Contents</w:t>
      </w:r>
    </w:p>
    <w:p>
      <w:pPr>
        <w:spacing w:after="0" w:line="377"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Glossary</w:t>
        </w:r>
      </w:hyperlink>
    </w:p>
    <w:p>
      <w:pPr>
        <w:spacing w:after="0" w:line="336" w:lineRule="exact"/>
        <w:rPr>
          <w:sz w:val="20"/>
          <w:szCs w:val="20"/>
          <w:color w:val="auto"/>
        </w:rPr>
      </w:pPr>
    </w:p>
    <w:p>
      <w:pPr>
        <w:spacing w:after="0"/>
        <w:tabs>
          <w:tab w:leader="none" w:pos="900" w:val="left"/>
        </w:tabs>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PART I</w:t>
        </w:r>
      </w:hyperlink>
      <w:r>
        <w:rPr>
          <w:rFonts w:ascii="Arial" w:cs="Arial" w:eastAsia="Arial" w:hAnsi="Arial"/>
          <w:sz w:val="16"/>
          <w:szCs w:val="16"/>
          <w:b w:val="1"/>
          <w:bCs w:val="1"/>
          <w:u w:val="single" w:color="auto"/>
          <w:color w:val="0000EE"/>
        </w:rPr>
        <w:tab/>
      </w:r>
      <w:hyperlink w:anchor="page4">
        <w:r>
          <w:rPr>
            <w:rFonts w:ascii="Arial" w:cs="Arial" w:eastAsia="Arial" w:hAnsi="Arial"/>
            <w:sz w:val="16"/>
            <w:szCs w:val="16"/>
            <w:b w:val="1"/>
            <w:bCs w:val="1"/>
            <w:u w:val="single" w:color="auto"/>
            <w:color w:val="0000EE"/>
          </w:rPr>
          <w:t>FINANCIAL INFORMATION</w:t>
        </w:r>
      </w:hyperlink>
    </w:p>
    <w:p>
      <w:pPr>
        <w:spacing w:after="0" w:line="79" w:lineRule="exact"/>
        <w:rPr>
          <w:sz w:val="20"/>
          <w:szCs w:val="20"/>
          <w:color w:val="auto"/>
        </w:rPr>
      </w:pPr>
    </w:p>
    <w:p>
      <w:pPr>
        <w:ind w:left="920" w:right="4660" w:hanging="1161"/>
        <w:spacing w:after="0" w:line="35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Item 1.</w:t>
      </w:r>
      <w:r>
        <w:rPr>
          <w:sz w:val="20"/>
          <w:szCs w:val="20"/>
          <w:color w:val="auto"/>
        </w:rPr>
        <w:tab/>
      </w:r>
      <w:hyperlink w:anchor="page4">
        <w:r>
          <w:rPr>
            <w:rFonts w:ascii="Arial" w:cs="Arial" w:eastAsia="Arial" w:hAnsi="Arial"/>
            <w:sz w:val="16"/>
            <w:szCs w:val="16"/>
            <w:u w:val="single" w:color="auto"/>
            <w:color w:val="0000EE"/>
          </w:rPr>
          <w:t>Condensed Consolidated Financial Statements (Unaudited)</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Consolidated Statements of Income and Comprehensive Income</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Consolidated Balance Sheets</w:t>
        </w:r>
      </w:hyperlink>
    </w:p>
    <w:p>
      <w:pPr>
        <w:spacing w:after="0" w:line="1" w:lineRule="exact"/>
        <w:rPr>
          <w:rFonts w:ascii="Arial" w:cs="Arial" w:eastAsia="Arial" w:hAnsi="Arial"/>
          <w:sz w:val="16"/>
          <w:szCs w:val="16"/>
          <w:u w:val="single" w:color="auto"/>
          <w:color w:val="0000EE"/>
        </w:rPr>
      </w:pPr>
    </w:p>
    <w:p>
      <w:pPr>
        <w:ind w:left="116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Consolidated Statements of Cash Flows</w:t>
        </w:r>
      </w:hyperlink>
    </w:p>
    <w:p>
      <w:pPr>
        <w:spacing w:after="0" w:line="86" w:lineRule="exact"/>
        <w:rPr>
          <w:rFonts w:ascii="Arial" w:cs="Arial" w:eastAsia="Arial" w:hAnsi="Arial"/>
          <w:sz w:val="16"/>
          <w:szCs w:val="16"/>
          <w:u w:val="single" w:color="auto"/>
          <w:color w:val="0000EE"/>
        </w:rPr>
      </w:pPr>
    </w:p>
    <w:p>
      <w:pPr>
        <w:ind w:left="116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Notes to Condensed Consolidated Financial Statements</w:t>
        </w:r>
      </w:hyperlink>
    </w:p>
    <w:p>
      <w:pPr>
        <w:spacing w:after="0" w:line="62" w:lineRule="exact"/>
        <w:rPr>
          <w:rFonts w:ascii="Arial" w:cs="Arial" w:eastAsia="Arial" w:hAnsi="Arial"/>
          <w:sz w:val="16"/>
          <w:szCs w:val="16"/>
          <w:u w:val="single" w:color="auto"/>
          <w:color w:val="0000EE"/>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tcBorders>
              <w:bottom w:val="single" w:sz="8" w:color="0000EE"/>
            </w:tcBorders>
            <w:gridSpan w:val="13"/>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1: Basis of Presentation</w:t>
              </w:r>
            </w:hyperlink>
          </w:p>
        </w:tc>
        <w:tc>
          <w:tcPr>
            <w:tcW w:w="3800" w:type="dxa"/>
            <w:vAlign w:val="bottom"/>
            <w:gridSpan w:val="10"/>
          </w:tcPr>
          <w:p>
            <w:pPr>
              <w:spacing w:after="0"/>
              <w:rPr>
                <w:sz w:val="16"/>
                <w:szCs w:val="16"/>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 2: Business Combination, Goodwill and Other Intangible Assets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0" w:type="dxa"/>
            <w:vAlign w:val="bottom"/>
            <w:tcBorders>
              <w:top w:val="single" w:sz="8" w:color="0000EE"/>
              <w:bottom w:val="single" w:sz="8" w:color="0000EE"/>
            </w:tcBorders>
            <w:gridSpan w:val="11"/>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3: Business Segments</w:t>
              </w:r>
            </w:hyperlink>
          </w:p>
        </w:tc>
        <w:tc>
          <w:tcPr>
            <w:tcW w:w="2920" w:type="dxa"/>
            <w:vAlign w:val="bottom"/>
            <w:tcBorders>
              <w:top w:val="single" w:sz="8" w:color="0000EE"/>
            </w:tcBorders>
            <w:gridSpan w:val="11"/>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4: Concentration Risk</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40" w:type="dxa"/>
            <w:vAlign w:val="bottom"/>
            <w:tcBorders>
              <w:bottom w:val="single" w:sz="8" w:color="0000EE"/>
            </w:tcBorders>
            <w:gridSpan w:val="19"/>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5: Investments and Fair Value Measurements</w:t>
              </w:r>
            </w:hyperlink>
          </w:p>
        </w:tc>
        <w:tc>
          <w:tcPr>
            <w:tcW w:w="2260" w:type="dxa"/>
            <w:vAlign w:val="bottom"/>
            <w:gridSpan w:val="4"/>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6"/>
                <w:szCs w:val="16"/>
                <w:color w:val="0000EE"/>
                <w:w w:val="99"/>
              </w:rPr>
            </w:pPr>
            <w:hyperlink w:anchor="page14">
              <w:r>
                <w:rPr>
                  <w:rFonts w:ascii="Arial" w:cs="Arial" w:eastAsia="Arial" w:hAnsi="Arial"/>
                  <w:sz w:val="16"/>
                  <w:szCs w:val="16"/>
                  <w:color w:val="0000EE"/>
                  <w:w w:val="99"/>
                </w:rPr>
                <w:t>Note 6: Inventories</w:t>
              </w:r>
            </w:hyperlink>
          </w:p>
        </w:tc>
        <w:tc>
          <w:tcPr>
            <w:tcW w:w="4540" w:type="dxa"/>
            <w:vAlign w:val="bottom"/>
            <w:gridSpan w:val="16"/>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60" w:type="dxa"/>
            <w:vAlign w:val="bottom"/>
            <w:tcBorders>
              <w:bottom w:val="single" w:sz="8" w:color="0000EE"/>
            </w:tcBorders>
            <w:gridSpan w:val="15"/>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Note 7: Property, Plant and Equipment</w:t>
              </w:r>
            </w:hyperlink>
          </w:p>
        </w:tc>
        <w:tc>
          <w:tcPr>
            <w:tcW w:w="3140" w:type="dxa"/>
            <w:vAlign w:val="bottom"/>
            <w:gridSpan w:val="8"/>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4">
              <w:r>
                <w:rPr>
                  <w:rFonts w:ascii="Arial" w:cs="Arial" w:eastAsia="Arial" w:hAnsi="Arial"/>
                  <w:sz w:val="16"/>
                  <w:szCs w:val="16"/>
                  <w:color w:val="0000EE"/>
                  <w:w w:val="99"/>
                </w:rPr>
                <w:t>Note 8: Warranty</w:t>
              </w:r>
            </w:hyperlink>
          </w:p>
        </w:tc>
        <w:tc>
          <w:tcPr>
            <w:tcW w:w="4680" w:type="dxa"/>
            <w:vAlign w:val="bottom"/>
            <w:gridSpan w:val="19"/>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Note 9: Long-Term Debt</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Note 10: Employee and Retiree Benefits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80" w:type="dxa"/>
            <w:vAlign w:val="bottom"/>
            <w:tcBorders>
              <w:top w:val="single" w:sz="8" w:color="0000EE"/>
            </w:tcBorders>
            <w:gridSpan w:val="17"/>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Note 11: Shareholders' Equity</w:t>
              </w:r>
            </w:hyperlink>
          </w:p>
        </w:tc>
        <w:tc>
          <w:tcPr>
            <w:tcW w:w="3020" w:type="dxa"/>
            <w:vAlign w:val="bottom"/>
            <w:gridSpan w:val="6"/>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Note 12: Contingent Liabilities and Commitments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13: Income Taxes</w:t>
              </w:r>
            </w:hyperlink>
          </w:p>
        </w:tc>
        <w:tc>
          <w:tcPr>
            <w:tcW w:w="1780" w:type="dxa"/>
            <w:vAlign w:val="bottom"/>
            <w:tcBorders>
              <w:top w:val="single" w:sz="8" w:color="0000EE"/>
            </w:tcBorders>
            <w:gridSpan w:val="10"/>
          </w:tcPr>
          <w:p>
            <w:pPr>
              <w:spacing w:after="0"/>
              <w:rPr>
                <w:sz w:val="21"/>
                <w:szCs w:val="21"/>
                <w:color w:val="auto"/>
              </w:rPr>
            </w:pPr>
          </w:p>
        </w:tc>
        <w:tc>
          <w:tcPr>
            <w:tcW w:w="2400" w:type="dxa"/>
            <w:vAlign w:val="bottom"/>
            <w:gridSpan w:val="5"/>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14: Earnings Per Share</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60" w:type="dxa"/>
            <w:vAlign w:val="bottom"/>
            <w:tcBorders>
              <w:bottom w:val="single" w:sz="8" w:color="0000EE"/>
            </w:tcBorders>
            <w:gridSpan w:val="16"/>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15: Comprehensive Income (Loss)</w:t>
              </w:r>
            </w:hyperlink>
          </w:p>
        </w:tc>
        <w:tc>
          <w:tcPr>
            <w:tcW w:w="3040" w:type="dxa"/>
            <w:vAlign w:val="bottom"/>
            <w:gridSpan w:val="7"/>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80" w:type="dxa"/>
            <w:vAlign w:val="bottom"/>
            <w:tcBorders>
              <w:bottom w:val="single" w:sz="8" w:color="0000EE"/>
            </w:tcBorders>
            <w:gridSpan w:val="10"/>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Note 16: Subsequent Event</w:t>
              </w:r>
            </w:hyperlink>
          </w:p>
        </w:tc>
        <w:tc>
          <w:tcPr>
            <w:tcW w:w="3920" w:type="dxa"/>
            <w:vAlign w:val="bottom"/>
            <w:gridSpan w:val="13"/>
          </w:tcPr>
          <w:p>
            <w:pPr>
              <w:spacing w:after="0"/>
              <w:rPr>
                <w:sz w:val="21"/>
                <w:szCs w:val="2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6360" w:type="dxa"/>
            <w:vAlign w:val="bottom"/>
            <w:tcBorders>
              <w:bottom w:val="single" w:sz="8" w:color="0000EE"/>
            </w:tcBorders>
            <w:gridSpan w:val="24"/>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EE"/>
            </w:tcBorders>
            <w:gridSpan w:val="21"/>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Quantitative and Qualitative Disclosures About Market Risk</w:t>
              </w:r>
            </w:hyperlink>
          </w:p>
        </w:tc>
        <w:tc>
          <w:tcPr>
            <w:tcW w:w="2120" w:type="dxa"/>
            <w:vAlign w:val="bottom"/>
            <w:gridSpan w:val="3"/>
          </w:tcPr>
          <w:p>
            <w:pPr>
              <w:spacing w:after="0"/>
              <w:rPr>
                <w:sz w:val="19"/>
                <w:szCs w:val="19"/>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6360" w:type="dxa"/>
            <w:vAlign w:val="bottom"/>
            <w:gridSpan w:val="24"/>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tcPr>
          <w:p>
            <w:pPr>
              <w:spacing w:after="0"/>
              <w:rPr>
                <w:rFonts w:ascii="Arial" w:cs="Arial" w:eastAsia="Arial" w:hAnsi="Arial"/>
                <w:sz w:val="16"/>
                <w:szCs w:val="16"/>
                <w:b w:val="1"/>
                <w:bCs w:val="1"/>
                <w:color w:val="0000EE"/>
                <w:w w:val="94"/>
              </w:rPr>
            </w:pPr>
            <w:hyperlink w:anchor="page29">
              <w:r>
                <w:rPr>
                  <w:rFonts w:ascii="Arial" w:cs="Arial" w:eastAsia="Arial" w:hAnsi="Arial"/>
                  <w:sz w:val="16"/>
                  <w:szCs w:val="16"/>
                  <w:b w:val="1"/>
                  <w:bCs w:val="1"/>
                  <w:color w:val="0000EE"/>
                  <w:w w:val="94"/>
                </w:rPr>
                <w:t>PART II</w:t>
              </w:r>
            </w:hyperlink>
          </w:p>
        </w:tc>
        <w:tc>
          <w:tcPr>
            <w:tcW w:w="36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6"/>
          </w:tcPr>
          <w:p>
            <w:pPr>
              <w:spacing w:after="0"/>
              <w:rPr>
                <w:rFonts w:ascii="Arial" w:cs="Arial" w:eastAsia="Arial" w:hAnsi="Arial"/>
                <w:sz w:val="16"/>
                <w:szCs w:val="16"/>
                <w:b w:val="1"/>
                <w:bCs w:val="1"/>
                <w:color w:val="0000EE"/>
                <w:w w:val="99"/>
              </w:rPr>
            </w:pPr>
            <w:hyperlink w:anchor="page29">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4580" w:type="dxa"/>
            <w:vAlign w:val="bottom"/>
            <w:gridSpan w:val="17"/>
          </w:tcPr>
          <w:p>
            <w:pPr>
              <w:spacing w:after="0"/>
              <w:rPr>
                <w:sz w:val="24"/>
                <w:szCs w:val="24"/>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29">
              <w:r>
                <w:rPr>
                  <w:rFonts w:ascii="Arial" w:cs="Arial" w:eastAsia="Arial" w:hAnsi="Arial"/>
                  <w:sz w:val="16"/>
                  <w:szCs w:val="16"/>
                  <w:color w:val="0000EE"/>
                  <w:w w:val="99"/>
                </w:rPr>
                <w:t>Legal Proceedings</w:t>
              </w:r>
            </w:hyperlink>
          </w:p>
        </w:tc>
        <w:tc>
          <w:tcPr>
            <w:tcW w:w="5020" w:type="dxa"/>
            <w:vAlign w:val="bottom"/>
            <w:gridSpan w:val="20"/>
          </w:tcPr>
          <w:p>
            <w:pPr>
              <w:spacing w:after="0"/>
              <w:rPr>
                <w:sz w:val="21"/>
                <w:szCs w:val="21"/>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30">
              <w:r>
                <w:rPr>
                  <w:rFonts w:ascii="Arial" w:cs="Arial" w:eastAsia="Arial" w:hAnsi="Arial"/>
                  <w:sz w:val="16"/>
                  <w:szCs w:val="16"/>
                  <w:color w:val="0000EE"/>
                  <w:w w:val="98"/>
                </w:rPr>
                <w:t>Risk Factors</w:t>
              </w:r>
            </w:hyperlink>
          </w:p>
        </w:tc>
        <w:tc>
          <w:tcPr>
            <w:tcW w:w="5460" w:type="dxa"/>
            <w:vAlign w:val="bottom"/>
            <w:gridSpan w:val="21"/>
          </w:tcPr>
          <w:p>
            <w:pPr>
              <w:spacing w:after="0"/>
              <w:rPr>
                <w:sz w:val="19"/>
                <w:szCs w:val="19"/>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6360" w:type="dxa"/>
            <w:vAlign w:val="bottom"/>
            <w:gridSpan w:val="24"/>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Unregistered Sales of Equity Securities and Use of Proceeds</w:t>
              </w:r>
            </w:hyperlink>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4360" w:type="dxa"/>
            <w:vAlign w:val="bottom"/>
            <w:tcBorders>
              <w:top w:val="single" w:sz="8" w:color="0000EE"/>
            </w:tcBorders>
            <w:gridSpan w:val="22"/>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Exhibits</w:t>
              </w:r>
            </w:hyperlink>
          </w:p>
        </w:tc>
        <w:tc>
          <w:tcPr>
            <w:tcW w:w="2000" w:type="dxa"/>
            <w:vAlign w:val="bottom"/>
            <w:gridSpan w:val="2"/>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2">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4</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6</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9</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6">
        <w:r>
          <w:rPr>
            <w:rFonts w:ascii="Arial" w:cs="Arial" w:eastAsia="Arial" w:hAnsi="Arial"/>
            <w:sz w:val="16"/>
            <w:szCs w:val="16"/>
            <w:color w:val="0000EE"/>
          </w:rPr>
          <w:t>14</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7">
        <w:r>
          <w:rPr>
            <w:rFonts w:ascii="Arial" w:cs="Arial" w:eastAsia="Arial" w:hAnsi="Arial"/>
            <w:sz w:val="16"/>
            <w:szCs w:val="16"/>
            <w:color w:val="0000EE"/>
          </w:rPr>
          <w:t>15</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7">
        <w:r>
          <w:rPr>
            <w:rFonts w:ascii="Arial" w:cs="Arial" w:eastAsia="Arial" w:hAnsi="Arial"/>
            <w:sz w:val="16"/>
            <w:szCs w:val="16"/>
            <w:color w:val="0000EE"/>
          </w:rPr>
          <w:t>15</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9">
        <w:r>
          <w:rPr>
            <w:rFonts w:ascii="Arial" w:cs="Arial" w:eastAsia="Arial" w:hAnsi="Arial"/>
            <w:sz w:val="16"/>
            <w:szCs w:val="16"/>
            <w:color w:val="0000EE"/>
          </w:rPr>
          <w:t>27</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9">
        <w:r>
          <w:rPr>
            <w:rFonts w:ascii="Arial" w:cs="Arial" w:eastAsia="Arial" w:hAnsi="Arial"/>
            <w:sz w:val="16"/>
            <w:szCs w:val="16"/>
            <w:color w:val="0000EE"/>
          </w:rPr>
          <w:t>27</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color w:val="0000EE"/>
        </w:rPr>
      </w:pPr>
      <w:hyperlink w:anchor="page29">
        <w:r>
          <w:rPr>
            <w:rFonts w:ascii="Arial" w:cs="Arial" w:eastAsia="Arial" w:hAnsi="Arial"/>
            <w:sz w:val="16"/>
            <w:szCs w:val="16"/>
            <w:color w:val="0000EE"/>
          </w:rPr>
          <w:t>27</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0">
        <w:r>
          <w:rPr>
            <w:rFonts w:ascii="Arial" w:cs="Arial" w:eastAsia="Arial" w:hAnsi="Arial"/>
            <w:sz w:val="16"/>
            <w:szCs w:val="16"/>
            <w:color w:val="0000EE"/>
          </w:rPr>
          <w:t>28</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0">
        <w:r>
          <w:rPr>
            <w:rFonts w:ascii="Arial" w:cs="Arial" w:eastAsia="Arial" w:hAnsi="Arial"/>
            <w:sz w:val="16"/>
            <w:szCs w:val="16"/>
            <w:color w:val="0000EE"/>
          </w:rPr>
          <w:t>28</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p>
      <w:pPr>
        <w:spacing w:after="0" w:line="356" w:lineRule="exact"/>
        <w:rPr>
          <w:sz w:val="20"/>
          <w:szCs w:val="20"/>
          <w:color w:val="auto"/>
        </w:rPr>
      </w:pPr>
    </w:p>
    <w:p>
      <w:pPr>
        <w:spacing w:after="0"/>
        <w:rPr>
          <w:rFonts w:ascii="Arial" w:cs="Arial" w:eastAsia="Arial" w:hAnsi="Arial"/>
          <w:sz w:val="16"/>
          <w:szCs w:val="16"/>
          <w:color w:val="0000EE"/>
        </w:rPr>
      </w:pPr>
      <w:hyperlink w:anchor="page32">
        <w:r>
          <w:rPr>
            <w:rFonts w:ascii="Arial" w:cs="Arial" w:eastAsia="Arial" w:hAnsi="Arial"/>
            <w:sz w:val="16"/>
            <w:szCs w:val="16"/>
            <w:color w:val="0000EE"/>
          </w:rPr>
          <w:t>30</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Credit Agreement dated as of November 8, 2016 among Winnebago Industries, Inc., Winnebago of Indiana, LLC,</w:t>
            </w:r>
          </w:p>
        </w:tc>
        <w:tc>
          <w:tcPr>
            <w:tcW w:w="0" w:type="dxa"/>
            <w:vAlign w:val="bottom"/>
          </w:tcPr>
          <w:p>
            <w:pPr>
              <w:spacing w:after="0"/>
              <w:rPr>
                <w:sz w:val="1"/>
                <w:szCs w:val="1"/>
                <w:color w:val="auto"/>
              </w:rPr>
            </w:pPr>
          </w:p>
        </w:tc>
      </w:tr>
      <w:tr>
        <w:trPr>
          <w:trHeight w:val="214"/>
        </w:trPr>
        <w:tc>
          <w:tcPr>
            <w:tcW w:w="2520" w:type="dxa"/>
            <w:vAlign w:val="bottom"/>
            <w:shd w:val="clear" w:color="auto" w:fill="CCEEFF"/>
          </w:tcPr>
          <w:p>
            <w:pPr>
              <w:spacing w:after="0"/>
              <w:rPr>
                <w:sz w:val="18"/>
                <w:szCs w:val="18"/>
                <w:color w:val="auto"/>
              </w:rPr>
            </w:pP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Grand Design RV, LLC, the Other Loan Parties thereto and JPMorgan Chase Bank, N.A. as Administrative Agent</w:t>
            </w:r>
          </w:p>
        </w:tc>
        <w:tc>
          <w:tcPr>
            <w:tcW w:w="0" w:type="dxa"/>
            <w:vAlign w:val="bottom"/>
          </w:tcPr>
          <w:p>
            <w:pPr>
              <w:spacing w:after="0"/>
              <w:rPr>
                <w:sz w:val="1"/>
                <w:szCs w:val="1"/>
                <w:color w:val="auto"/>
              </w:rPr>
            </w:pPr>
          </w:p>
        </w:tc>
      </w:tr>
      <w:tr>
        <w:trPr>
          <w:trHeight w:val="233"/>
        </w:trPr>
        <w:tc>
          <w:tcPr>
            <w:tcW w:w="2520" w:type="dxa"/>
            <w:vAlign w:val="bottom"/>
          </w:tcPr>
          <w:p>
            <w:pPr>
              <w:ind w:left="40"/>
              <w:spacing w:after="0"/>
              <w:rPr>
                <w:sz w:val="20"/>
                <w:szCs w:val="20"/>
                <w:color w:val="auto"/>
              </w:rPr>
            </w:pPr>
            <w:r>
              <w:rPr>
                <w:rFonts w:ascii="Arial" w:cs="Arial" w:eastAsia="Arial" w:hAnsi="Arial"/>
                <w:sz w:val="16"/>
                <w:szCs w:val="16"/>
                <w:color w:val="auto"/>
              </w:rPr>
              <w:t>AOCI</w:t>
            </w:r>
          </w:p>
        </w:tc>
        <w:tc>
          <w:tcPr>
            <w:tcW w:w="8900" w:type="dxa"/>
            <w:vAlign w:val="bottom"/>
          </w:tcPr>
          <w:p>
            <w:pPr>
              <w:ind w:left="48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2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Credit Agreement</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w:t>
            </w:r>
          </w:p>
        </w:tc>
        <w:tc>
          <w:tcPr>
            <w:tcW w:w="0" w:type="dxa"/>
            <w:vAlign w:val="bottom"/>
          </w:tcPr>
          <w:p>
            <w:pPr>
              <w:spacing w:after="0"/>
              <w:rPr>
                <w:sz w:val="1"/>
                <w:szCs w:val="1"/>
                <w:color w:val="auto"/>
              </w:rPr>
            </w:pPr>
          </w:p>
        </w:tc>
      </w:tr>
      <w:tr>
        <w:trPr>
          <w:trHeight w:val="195"/>
        </w:trPr>
        <w:tc>
          <w:tcPr>
            <w:tcW w:w="2520" w:type="dxa"/>
            <w:vAlign w:val="bottom"/>
            <w:shd w:val="clear" w:color="auto" w:fill="CCEEFF"/>
          </w:tcPr>
          <w:p>
            <w:pPr>
              <w:spacing w:after="0"/>
              <w:rPr>
                <w:sz w:val="16"/>
                <w:szCs w:val="16"/>
                <w:color w:val="auto"/>
              </w:rPr>
            </w:pP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LLC, as Borrowers, and Wells Fargo Capital Finance, as Agent; terminated on November 8, 2016</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ASC</w:t>
            </w:r>
          </w:p>
        </w:tc>
        <w:tc>
          <w:tcPr>
            <w:tcW w:w="8900" w:type="dxa"/>
            <w:vAlign w:val="bottom"/>
          </w:tcPr>
          <w:p>
            <w:pPr>
              <w:ind w:left="48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ASU</w:t>
            </w:r>
          </w:p>
        </w:tc>
        <w:tc>
          <w:tcPr>
            <w:tcW w:w="8900" w:type="dxa"/>
            <w:vAlign w:val="bottom"/>
          </w:tcPr>
          <w:p>
            <w:pPr>
              <w:ind w:left="48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Credit Facility</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Collective reference to the ABL and Term Loan</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EBITDA</w:t>
            </w:r>
          </w:p>
        </w:tc>
        <w:tc>
          <w:tcPr>
            <w:tcW w:w="8900" w:type="dxa"/>
            <w:vAlign w:val="bottom"/>
          </w:tcPr>
          <w:p>
            <w:pPr>
              <w:ind w:left="480"/>
              <w:spacing w:after="0"/>
              <w:rPr>
                <w:sz w:val="20"/>
                <w:szCs w:val="20"/>
                <w:color w:val="auto"/>
              </w:rPr>
            </w:pPr>
            <w:r>
              <w:rPr>
                <w:rFonts w:ascii="Arial" w:cs="Arial" w:eastAsia="Arial" w:hAnsi="Arial"/>
                <w:sz w:val="16"/>
                <w:szCs w:val="16"/>
                <w:color w:val="auto"/>
              </w:rPr>
              <w:t>Earnings Before Income Taxes, Depreciation and Amortization</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EPS</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ERP</w:t>
            </w:r>
          </w:p>
        </w:tc>
        <w:tc>
          <w:tcPr>
            <w:tcW w:w="8900" w:type="dxa"/>
            <w:vAlign w:val="bottom"/>
          </w:tcPr>
          <w:p>
            <w:pPr>
              <w:ind w:left="48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FIFO</w:t>
            </w:r>
          </w:p>
        </w:tc>
        <w:tc>
          <w:tcPr>
            <w:tcW w:w="8900" w:type="dxa"/>
            <w:vAlign w:val="bottom"/>
          </w:tcPr>
          <w:p>
            <w:pPr>
              <w:ind w:left="48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Grand Design</w:t>
            </w:r>
          </w:p>
        </w:tc>
        <w:tc>
          <w:tcPr>
            <w:tcW w:w="8900" w:type="dxa"/>
            <w:vAlign w:val="bottom"/>
          </w:tcPr>
          <w:p>
            <w:pPr>
              <w:ind w:left="480"/>
              <w:spacing w:after="0"/>
              <w:rPr>
                <w:sz w:val="20"/>
                <w:szCs w:val="20"/>
                <w:color w:val="auto"/>
              </w:rPr>
            </w:pPr>
            <w:r>
              <w:rPr>
                <w:rFonts w:ascii="Arial" w:cs="Arial" w:eastAsia="Arial" w:hAnsi="Arial"/>
                <w:sz w:val="16"/>
                <w:szCs w:val="16"/>
                <w:color w:val="auto"/>
              </w:rPr>
              <w:t>Grand Design RV, LLC</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IT</w:t>
            </w:r>
          </w:p>
        </w:tc>
        <w:tc>
          <w:tcPr>
            <w:tcW w:w="8900" w:type="dxa"/>
            <w:vAlign w:val="bottom"/>
          </w:tcPr>
          <w:p>
            <w:pPr>
              <w:ind w:left="480"/>
              <w:spacing w:after="0"/>
              <w:rPr>
                <w:sz w:val="20"/>
                <w:szCs w:val="20"/>
                <w:color w:val="auto"/>
              </w:rPr>
            </w:pPr>
            <w:r>
              <w:rPr>
                <w:rFonts w:ascii="Arial" w:cs="Arial" w:eastAsia="Arial" w:hAnsi="Arial"/>
                <w:sz w:val="16"/>
                <w:szCs w:val="16"/>
                <w:color w:val="auto"/>
              </w:rPr>
              <w:t>Information Technology</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LIBOR</w:t>
            </w:r>
          </w:p>
        </w:tc>
        <w:tc>
          <w:tcPr>
            <w:tcW w:w="8900" w:type="dxa"/>
            <w:vAlign w:val="bottom"/>
          </w:tcPr>
          <w:p>
            <w:pPr>
              <w:ind w:left="48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Business segment including motorhomes and other related manufactured products</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NMF</w:t>
            </w:r>
          </w:p>
        </w:tc>
        <w:tc>
          <w:tcPr>
            <w:tcW w:w="8900" w:type="dxa"/>
            <w:vAlign w:val="bottom"/>
          </w:tcPr>
          <w:p>
            <w:pPr>
              <w:ind w:left="48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NYFRB</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New York Federal Reserve Bank</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NYSE</w:t>
            </w:r>
          </w:p>
        </w:tc>
        <w:tc>
          <w:tcPr>
            <w:tcW w:w="8900" w:type="dxa"/>
            <w:vAlign w:val="bottom"/>
          </w:tcPr>
          <w:p>
            <w:pPr>
              <w:ind w:left="48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RV</w:t>
            </w:r>
          </w:p>
        </w:tc>
        <w:tc>
          <w:tcPr>
            <w:tcW w:w="8900" w:type="dxa"/>
            <w:vAlign w:val="bottom"/>
          </w:tcPr>
          <w:p>
            <w:pPr>
              <w:ind w:left="48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SPA</w:t>
            </w:r>
          </w:p>
        </w:tc>
        <w:tc>
          <w:tcPr>
            <w:tcW w:w="8900" w:type="dxa"/>
            <w:vAlign w:val="bottom"/>
          </w:tcPr>
          <w:p>
            <w:pPr>
              <w:ind w:left="480"/>
              <w:spacing w:after="0"/>
              <w:rPr>
                <w:sz w:val="20"/>
                <w:szCs w:val="20"/>
                <w:color w:val="auto"/>
              </w:rPr>
            </w:pPr>
            <w:r>
              <w:rPr>
                <w:rFonts w:ascii="Arial" w:cs="Arial" w:eastAsia="Arial" w:hAnsi="Arial"/>
                <w:sz w:val="16"/>
                <w:szCs w:val="16"/>
                <w:color w:val="auto"/>
              </w:rPr>
              <w:t>Securities Purchase Agreement dated October 2, 2016</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74"/>
        </w:trPr>
        <w:tc>
          <w:tcPr>
            <w:tcW w:w="2520" w:type="dxa"/>
            <w:vAlign w:val="bottom"/>
            <w:vMerge w:val="continue"/>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vMerge w:val="restart"/>
          </w:tcPr>
          <w:p>
            <w:pPr>
              <w:ind w:left="40"/>
              <w:spacing w:after="0"/>
              <w:rPr>
                <w:sz w:val="20"/>
                <w:szCs w:val="20"/>
                <w:color w:val="auto"/>
              </w:rPr>
            </w:pPr>
            <w:r>
              <w:rPr>
                <w:rFonts w:ascii="Arial" w:cs="Arial" w:eastAsia="Arial" w:hAnsi="Arial"/>
                <w:sz w:val="16"/>
                <w:szCs w:val="16"/>
                <w:color w:val="auto"/>
              </w:rPr>
              <w:t>SERP</w:t>
            </w:r>
          </w:p>
        </w:tc>
        <w:tc>
          <w:tcPr>
            <w:tcW w:w="8900" w:type="dxa"/>
            <w:vAlign w:val="bottom"/>
          </w:tcPr>
          <w:p>
            <w:pPr>
              <w:ind w:left="48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64"/>
        </w:trPr>
        <w:tc>
          <w:tcPr>
            <w:tcW w:w="2520" w:type="dxa"/>
            <w:vAlign w:val="bottom"/>
            <w:vMerge w:val="continue"/>
          </w:tcPr>
          <w:p>
            <w:pPr>
              <w:spacing w:after="0"/>
              <w:rPr>
                <w:sz w:val="5"/>
                <w:szCs w:val="5"/>
                <w:color w:val="auto"/>
              </w:rPr>
            </w:pPr>
          </w:p>
        </w:tc>
        <w:tc>
          <w:tcPr>
            <w:tcW w:w="8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520" w:type="dxa"/>
            <w:vAlign w:val="bottom"/>
          </w:tcPr>
          <w:p>
            <w:pPr>
              <w:ind w:left="40"/>
              <w:spacing w:after="0"/>
              <w:rPr>
                <w:sz w:val="20"/>
                <w:szCs w:val="20"/>
                <w:color w:val="auto"/>
              </w:rPr>
            </w:pPr>
            <w:r>
              <w:rPr>
                <w:rFonts w:ascii="Arial" w:cs="Arial" w:eastAsia="Arial" w:hAnsi="Arial"/>
                <w:sz w:val="16"/>
                <w:szCs w:val="16"/>
                <w:color w:val="auto"/>
              </w:rPr>
              <w:t>Term Loan</w:t>
            </w:r>
          </w:p>
        </w:tc>
        <w:tc>
          <w:tcPr>
            <w:tcW w:w="8900" w:type="dxa"/>
            <w:vAlign w:val="bottom"/>
          </w:tcPr>
          <w:p>
            <w:pPr>
              <w:ind w:left="480"/>
              <w:spacing w:after="0"/>
              <w:rPr>
                <w:sz w:val="20"/>
                <w:szCs w:val="20"/>
                <w:color w:val="auto"/>
              </w:rPr>
            </w:pPr>
            <w:r>
              <w:rPr>
                <w:rFonts w:ascii="Arial" w:cs="Arial" w:eastAsia="Arial" w:hAnsi="Arial"/>
                <w:sz w:val="16"/>
                <w:szCs w:val="16"/>
                <w:color w:val="auto"/>
              </w:rPr>
              <w:t>Loan Agreement dated as of November 8, 2016 among Winnebago Industries, Inc., Octavius Corporation, the other</w:t>
            </w: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6"/>
                <w:szCs w:val="16"/>
                <w:color w:val="auto"/>
              </w:rPr>
            </w:pPr>
          </w:p>
        </w:tc>
        <w:tc>
          <w:tcPr>
            <w:tcW w:w="8900" w:type="dxa"/>
            <w:vAlign w:val="bottom"/>
          </w:tcPr>
          <w:p>
            <w:pPr>
              <w:ind w:left="480"/>
              <w:spacing w:after="0"/>
              <w:rPr>
                <w:sz w:val="20"/>
                <w:szCs w:val="20"/>
                <w:color w:val="auto"/>
              </w:rPr>
            </w:pPr>
            <w:r>
              <w:rPr>
                <w:rFonts w:ascii="Arial" w:cs="Arial" w:eastAsia="Arial" w:hAnsi="Arial"/>
                <w:sz w:val="16"/>
                <w:szCs w:val="16"/>
                <w:color w:val="auto"/>
              </w:rPr>
              <w:t>loan parties thereto and JPMorgan Chase Bank, N.A. as Administrative Agent</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Business segment including products which are not motorized and are towable by another vehicle</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40"/>
              <w:spacing w:after="0"/>
              <w:rPr>
                <w:sz w:val="20"/>
                <w:szCs w:val="20"/>
                <w:color w:val="auto"/>
              </w:rPr>
            </w:pPr>
            <w:r>
              <w:rPr>
                <w:rFonts w:ascii="Arial" w:cs="Arial" w:eastAsia="Arial" w:hAnsi="Arial"/>
                <w:sz w:val="16"/>
                <w:szCs w:val="16"/>
                <w:color w:val="auto"/>
              </w:rPr>
              <w:t>US</w:t>
            </w:r>
          </w:p>
        </w:tc>
        <w:tc>
          <w:tcPr>
            <w:tcW w:w="8900" w:type="dxa"/>
            <w:vAlign w:val="bottom"/>
          </w:tcPr>
          <w:p>
            <w:pPr>
              <w:ind w:left="4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8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45"/>
        </w:trPr>
        <w:tc>
          <w:tcPr>
            <w:tcW w:w="2520" w:type="dxa"/>
            <w:vAlign w:val="bottom"/>
          </w:tcPr>
          <w:p>
            <w:pPr>
              <w:spacing w:after="0"/>
              <w:rPr>
                <w:sz w:val="24"/>
                <w:szCs w:val="24"/>
                <w:color w:val="auto"/>
              </w:rPr>
            </w:pPr>
          </w:p>
        </w:tc>
        <w:tc>
          <w:tcPr>
            <w:tcW w:w="8900" w:type="dxa"/>
            <w:vAlign w:val="bottom"/>
          </w:tcPr>
          <w:p>
            <w:pPr>
              <w:ind w:left="3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ind w:right="5520"/>
        <w:spacing w:after="0" w:line="260" w:lineRule="auto"/>
        <w:rPr>
          <w:sz w:val="20"/>
          <w:szCs w:val="20"/>
          <w:color w:val="auto"/>
        </w:rPr>
      </w:pPr>
      <w:r>
        <w:rPr>
          <w:rFonts w:ascii="Arial" w:cs="Arial" w:eastAsia="Arial" w:hAnsi="Arial"/>
          <w:sz w:val="16"/>
          <w:szCs w:val="16"/>
          <w:b w:val="1"/>
          <w:bCs w:val="1"/>
          <w:color w:val="auto"/>
        </w:rPr>
        <w:t>Condensed Consolidated Statements of Income and Comprehensive Income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26,</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r>
      <w:tr>
        <w:trPr>
          <w:trHeight w:val="25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245,308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214,223</w:t>
            </w:r>
          </w:p>
        </w:tc>
      </w:tr>
      <w:tr>
        <w:trPr>
          <w:trHeight w:val="264"/>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216,433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188,974</w:t>
            </w:r>
          </w:p>
        </w:tc>
      </w:tr>
      <w:tr>
        <w:trPr>
          <w:trHeight w:val="25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28,875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25,249</w:t>
            </w:r>
          </w:p>
        </w:tc>
      </w:tr>
      <w:tr>
        <w:trPr>
          <w:trHeight w:val="254"/>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5,015</w:t>
            </w:r>
          </w:p>
        </w:tc>
      </w:tr>
      <w:tr>
        <w:trPr>
          <w:trHeight w:val="260"/>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9,906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8,820</w:t>
            </w:r>
          </w:p>
        </w:tc>
      </w:tr>
      <w:tr>
        <w:trPr>
          <w:trHeight w:val="28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(12,813)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(1,345)</w:t>
            </w:r>
          </w:p>
        </w:tc>
      </w:tr>
      <w:tr>
        <w:trPr>
          <w:trHeight w:val="260"/>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5,462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50"/>
        </w:trPr>
        <w:tc>
          <w:tcPr>
            <w:tcW w:w="77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10,476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12,490</w:t>
            </w:r>
          </w:p>
        </w:tc>
      </w:tr>
      <w:tr>
        <w:trPr>
          <w:trHeight w:val="25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18,399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12,759</w:t>
            </w: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(135)</w:t>
            </w:r>
          </w:p>
        </w:tc>
      </w:tr>
      <w:tr>
        <w:trPr>
          <w:trHeight w:val="247"/>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17,358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12,894</w:t>
            </w:r>
          </w:p>
        </w:tc>
      </w:tr>
      <w:tr>
        <w:trPr>
          <w:trHeight w:val="273"/>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5,620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4,336</w:t>
            </w:r>
          </w:p>
        </w:tc>
      </w:tr>
      <w:tr>
        <w:trPr>
          <w:trHeight w:val="28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11,738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8,558</w:t>
            </w:r>
          </w:p>
        </w:tc>
      </w:tr>
      <w:tr>
        <w:trPr>
          <w:trHeight w:val="281"/>
        </w:trPr>
        <w:tc>
          <w:tcPr>
            <w:tcW w:w="7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0.32</w:t>
            </w:r>
          </w:p>
        </w:tc>
      </w:tr>
      <w:tr>
        <w:trPr>
          <w:trHeight w:val="260"/>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0.32</w:t>
            </w:r>
          </w:p>
        </w:tc>
      </w:tr>
      <w:tr>
        <w:trPr>
          <w:trHeight w:val="307"/>
        </w:trPr>
        <w:tc>
          <w:tcPr>
            <w:tcW w:w="7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27,836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26,976</w:t>
            </w:r>
          </w:p>
        </w:tc>
      </w:tr>
      <w:tr>
        <w:trPr>
          <w:trHeight w:val="260"/>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27,969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27,067</w:t>
            </w:r>
          </w:p>
        </w:tc>
      </w:tr>
      <w:tr>
        <w:trPr>
          <w:trHeight w:val="307"/>
        </w:trPr>
        <w:tc>
          <w:tcPr>
            <w:tcW w:w="7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Dividends paid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0.10</w:t>
            </w:r>
          </w:p>
        </w:tc>
      </w:tr>
      <w:tr>
        <w:trPr>
          <w:trHeight w:val="307"/>
        </w:trPr>
        <w:tc>
          <w:tcPr>
            <w:tcW w:w="7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11,738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8,558</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18"/>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4"/>
        </w:trPr>
        <w:tc>
          <w:tcPr>
            <w:tcW w:w="7720" w:type="dxa"/>
            <w:vAlign w:val="bottom"/>
            <w:gridSpan w:val="2"/>
          </w:tcPr>
          <w:p>
            <w:pPr>
              <w:ind w:left="360"/>
              <w:spacing w:after="0"/>
              <w:rPr>
                <w:sz w:val="20"/>
                <w:szCs w:val="20"/>
                <w:color w:val="auto"/>
              </w:rPr>
            </w:pPr>
            <w:r>
              <w:rPr>
                <w:rFonts w:ascii="Arial" w:cs="Arial" w:eastAsia="Arial" w:hAnsi="Arial"/>
                <w:sz w:val="16"/>
                <w:szCs w:val="16"/>
                <w:color w:val="auto"/>
              </w:rPr>
              <w:t>(net of tax of $7,914 and $653)</w:t>
            </w:r>
          </w:p>
        </w:tc>
        <w:tc>
          <w:tcPr>
            <w:tcW w:w="240" w:type="dxa"/>
            <w:vAlign w:val="bottom"/>
          </w:tcPr>
          <w:p>
            <w:pPr>
              <w:spacing w:after="0"/>
              <w:rPr>
                <w:sz w:val="17"/>
                <w:szCs w:val="17"/>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(12,858)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(1,060)</w:t>
            </w:r>
          </w:p>
        </w:tc>
      </w:tr>
      <w:tr>
        <w:trPr>
          <w:trHeight w:val="228"/>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4"/>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$3,036 and $142)</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4,932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231</w:t>
            </w:r>
          </w:p>
        </w:tc>
      </w:tr>
      <w:tr>
        <w:trPr>
          <w:trHeight w:val="218"/>
        </w:trPr>
        <w:tc>
          <w:tcPr>
            <w:tcW w:w="7720" w:type="dxa"/>
            <w:vAlign w:val="bottom"/>
            <w:gridSpan w:val="2"/>
          </w:tcPr>
          <w:p>
            <w:pPr>
              <w:ind w:left="280"/>
              <w:spacing w:after="0"/>
              <w:rPr>
                <w:sz w:val="20"/>
                <w:szCs w:val="20"/>
                <w:color w:val="auto"/>
              </w:rPr>
            </w:pPr>
            <w:r>
              <w:rPr>
                <w:rFonts w:ascii="Arial" w:cs="Arial" w:eastAsia="Arial" w:hAnsi="Arial"/>
                <w:sz w:val="16"/>
                <w:szCs w:val="16"/>
                <w:color w:val="auto"/>
              </w:rPr>
              <w:t>Plan amendment</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8"/>
        </w:trPr>
        <w:tc>
          <w:tcPr>
            <w:tcW w:w="772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(net of tax of $2,402 and $10,895)</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3,903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17,701</w:t>
            </w:r>
          </w:p>
        </w:tc>
      </w:tr>
      <w:tr>
        <w:trPr>
          <w:trHeight w:val="250"/>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(4,023)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16,872</w:t>
            </w:r>
          </w:p>
        </w:tc>
      </w:tr>
      <w:tr>
        <w:trPr>
          <w:trHeight w:val="24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7,715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25,430</w:t>
            </w: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November 26,</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2016</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25,584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85,583</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($238 and $278)</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81,762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66,184</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155,446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122,522</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10,561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6,300</w:t>
            </w:r>
          </w:p>
        </w:tc>
      </w:tr>
      <w:tr>
        <w:trPr>
          <w:trHeight w:val="25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273,353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280,589</w:t>
            </w:r>
          </w:p>
        </w:tc>
      </w:tr>
      <w:tr>
        <w:trPr>
          <w:trHeight w:val="247"/>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21"/>
                <w:szCs w:val="21"/>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66,703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55,931</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251,210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80"/>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251,049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Investment in life insurance</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26,653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26,492</w:t>
            </w:r>
          </w:p>
        </w:tc>
      </w:tr>
      <w:tr>
        <w:trPr>
          <w:trHeight w:val="280"/>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7,706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18,753</w:t>
            </w:r>
          </w:p>
        </w:tc>
      </w:tr>
      <w:tr>
        <w:trPr>
          <w:trHeight w:val="264"/>
        </w:trPr>
        <w:tc>
          <w:tcPr>
            <w:tcW w:w="7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6,021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7,725</w:t>
            </w:r>
          </w:p>
        </w:tc>
      </w:tr>
      <w:tr>
        <w:trPr>
          <w:trHeight w:val="240"/>
        </w:trPr>
        <w:tc>
          <w:tcPr>
            <w:tcW w:w="7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882,695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390,718</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50,971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44,134</w:t>
            </w:r>
          </w:p>
        </w:tc>
      </w:tr>
      <w:tr>
        <w:trPr>
          <w:trHeight w:val="263"/>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7,578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8"/>
                <w:szCs w:val="18"/>
                <w:color w:val="auto"/>
              </w:rPr>
              <w:t>—</w:t>
            </w:r>
          </w:p>
        </w:tc>
      </w:tr>
      <w:tr>
        <w:trPr>
          <w:trHeight w:val="277"/>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3,541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20,452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19,699</w:t>
            </w:r>
          </w:p>
        </w:tc>
      </w:tr>
      <w:tr>
        <w:trPr>
          <w:trHeight w:val="260"/>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Product warranties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24,551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12,412</w:t>
            </w: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Self-insurance</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6,037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5,812</w:t>
            </w:r>
          </w:p>
        </w:tc>
      </w:tr>
      <w:tr>
        <w:trPr>
          <w:trHeight w:val="260"/>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Accrued loss on repurchases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1,340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881</w:t>
            </w:r>
          </w:p>
        </w:tc>
      </w:tr>
      <w:tr>
        <w:trPr>
          <w:trHeight w:val="28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Promotional</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8,078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4,756</w:t>
            </w:r>
          </w:p>
        </w:tc>
      </w:tr>
      <w:tr>
        <w:trPr>
          <w:trHeight w:val="264"/>
        </w:trPr>
        <w:tc>
          <w:tcPr>
            <w:tcW w:w="728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5,919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5,236</w:t>
            </w:r>
          </w:p>
        </w:tc>
      </w:tr>
      <w:tr>
        <w:trPr>
          <w:trHeight w:val="257"/>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128,467</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92,949</w:t>
            </w:r>
          </w:p>
        </w:tc>
      </w:tr>
      <w:tr>
        <w:trPr>
          <w:trHeight w:val="254"/>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Non-current liabilities:</w:t>
            </w: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Long-term debt, less current maturities</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334,742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2,066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2,461</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compensation and postretirement health care benefits, net of current portion</w:t>
            </w:r>
          </w:p>
        </w:tc>
        <w:tc>
          <w:tcPr>
            <w:tcW w:w="26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19,961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26,949</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356,769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29,410</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2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18"/>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Capital stock common, par value $0.50;</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4"/>
        </w:trPr>
        <w:tc>
          <w:tcPr>
            <w:tcW w:w="7280" w:type="dxa"/>
            <w:vAlign w:val="bottom"/>
            <w:gridSpan w:val="2"/>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60" w:type="dxa"/>
            <w:vAlign w:val="bottom"/>
          </w:tcPr>
          <w:p>
            <w:pPr>
              <w:spacing w:after="0"/>
              <w:rPr>
                <w:sz w:val="17"/>
                <w:szCs w:val="17"/>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78,941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32,717</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629,099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620,546</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10,975</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Treasury stock, at cost (20,230 and 24,875 shares)</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(343,421)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(421,767)</w:t>
            </w:r>
          </w:p>
        </w:tc>
      </w:tr>
      <w:tr>
        <w:trPr>
          <w:trHeight w:val="250"/>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397,459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268,359</w:t>
            </w:r>
          </w:p>
        </w:tc>
      </w:tr>
      <w:tr>
        <w:trPr>
          <w:trHeight w:val="240"/>
        </w:trPr>
        <w:tc>
          <w:tcPr>
            <w:tcW w:w="7280" w:type="dxa"/>
            <w:vAlign w:val="bottom"/>
            <w:gridSpan w:val="2"/>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882,695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390,718</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21"/>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9"/>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5"/>
        </w:trPr>
        <w:tc>
          <w:tcPr>
            <w:tcW w:w="772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126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26,</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77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11,738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8,558</w:t>
            </w:r>
          </w:p>
        </w:tc>
      </w:tr>
      <w:tr>
        <w:trPr>
          <w:trHeight w:val="28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1,370</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Amortization of debt issuance costs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 (income)</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(90)</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623</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382</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(12,471)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(777)</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(295)</w:t>
            </w: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(17,923)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(24,109)</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16,080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7,366</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8,200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1,254</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(7,977)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(1,375)</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(970)</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(8,063)</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(3,109)</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tcPr>
          <w:p>
            <w:pPr>
              <w:spacing w:after="0"/>
              <w:rPr>
                <w:sz w:val="22"/>
                <w:szCs w:val="22"/>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5</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(394,835)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Proceeds from life insurance</w:t>
            </w:r>
          </w:p>
        </w:tc>
        <w:tc>
          <w:tcPr>
            <w:tcW w:w="240" w:type="dxa"/>
            <w:vAlign w:val="bottom"/>
          </w:tcPr>
          <w:p>
            <w:pPr>
              <w:spacing w:after="0"/>
              <w:rPr>
                <w:sz w:val="22"/>
                <w:szCs w:val="22"/>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295</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(220)</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(397,496)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(3,029)</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(705)</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Payments of cash dividends</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(3,185)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(2,730)</w:t>
            </w: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of debt issuance costs</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(10,758)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Borrowings on credit facility</w:t>
            </w: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353,000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w:t>
            </w:r>
          </w:p>
        </w:tc>
      </w:tr>
      <w:tr>
        <w:trPr>
          <w:trHeight w:val="25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337,647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(3,426)</w:t>
            </w:r>
          </w:p>
        </w:tc>
      </w:tr>
      <w:tr>
        <w:trPr>
          <w:trHeight w:val="284"/>
        </w:trPr>
        <w:tc>
          <w:tcPr>
            <w:tcW w:w="1260" w:type="dxa"/>
            <w:vAlign w:val="bottom"/>
            <w:shd w:val="clear" w:color="auto" w:fill="CCEEFF"/>
          </w:tcPr>
          <w:p>
            <w:pPr>
              <w:spacing w:after="0"/>
              <w:rPr>
                <w:sz w:val="24"/>
                <w:szCs w:val="24"/>
                <w:color w:val="auto"/>
              </w:rPr>
            </w:pPr>
          </w:p>
        </w:tc>
        <w:tc>
          <w:tcPr>
            <w:tcW w:w="6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(59,999)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color w:val="auto"/>
              </w:rPr>
              <w:t>(14,518)</w:t>
            </w:r>
          </w:p>
        </w:tc>
      </w:tr>
      <w:tr>
        <w:trPr>
          <w:trHeight w:val="273"/>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85,583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70,239</w:t>
            </w:r>
          </w:p>
        </w:tc>
      </w:tr>
      <w:tr>
        <w:trPr>
          <w:trHeight w:val="28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25,584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55,721</w:t>
            </w:r>
          </w:p>
        </w:tc>
      </w:tr>
      <w:tr>
        <w:trPr>
          <w:trHeight w:val="267"/>
        </w:trPr>
        <w:tc>
          <w:tcPr>
            <w:tcW w:w="1260" w:type="dxa"/>
            <w:vAlign w:val="bottom"/>
            <w:shd w:val="clear" w:color="auto" w:fill="CCEEFF"/>
          </w:tcPr>
          <w:p>
            <w:pPr>
              <w:spacing w:after="0"/>
              <w:rPr>
                <w:sz w:val="23"/>
                <w:szCs w:val="23"/>
                <w:color w:val="auto"/>
              </w:rPr>
            </w:pPr>
          </w:p>
        </w:tc>
        <w:tc>
          <w:tcPr>
            <w:tcW w:w="6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Supplement cash flow disclosure:</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2,675</w:t>
            </w:r>
          </w:p>
        </w:tc>
      </w:tr>
      <w:tr>
        <w:trPr>
          <w:trHeight w:val="260"/>
        </w:trPr>
        <w:tc>
          <w:tcPr>
            <w:tcW w:w="7720" w:type="dxa"/>
            <w:vAlign w:val="bottom"/>
            <w:gridSpan w:val="2"/>
          </w:tcPr>
          <w:p>
            <w:pPr>
              <w:ind w:left="40"/>
              <w:spacing w:after="0"/>
              <w:rPr>
                <w:sz w:val="20"/>
                <w:szCs w:val="20"/>
                <w:color w:val="auto"/>
              </w:rPr>
            </w:pPr>
            <w:r>
              <w:rPr>
                <w:rFonts w:ascii="Arial" w:cs="Arial" w:eastAsia="Arial" w:hAnsi="Arial"/>
                <w:sz w:val="16"/>
                <w:szCs w:val="16"/>
                <w:color w:val="auto"/>
              </w:rPr>
              <w:t>Non-cash transactions:</w:t>
            </w: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Issuance of Winnebago common stock for acquisition of business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124,066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51"/>
        </w:trPr>
        <w:tc>
          <w:tcPr>
            <w:tcW w:w="7720" w:type="dxa"/>
            <w:vAlign w:val="bottom"/>
            <w:gridSpan w:val="2"/>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826</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subsidiaries, as appropriate in the context.</w:t>
      </w:r>
    </w:p>
    <w:p>
      <w:pPr>
        <w:spacing w:after="0" w:line="169"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GAAP for interim financial information and with the instructions to Form 10-Q and Article 10 of Regulation S-X. As permitted under those rules, certain footnotes or other financial information that are normally required by GAAP can be condensed or omitted. In our opinion, the accompanying unaudited condensed consolidated financial statements contain all adjustments, consisting of normal recurring accruals, necessary to present fairly our consolidated financial position as of November 26, 2016 and the consolidated results of income and comprehensive income and consolidated cash flows for the first three months of Fiscal 2017 and 2016. The consolidated statement of income and comprehensive income for the first three months of Fiscal 2017 is not necessarily indicative of the results to be expected for the full year. These interim financial statements should be read in conjunction with the audited consolidated financial statements and notes thereto appearing in our Annual Report on Form 10-K for the fiscal year ended August 27, 2016.</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2017 and Fiscal 2016 are 52-week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Indefinite-Lived Intangible Assets</w:t>
      </w:r>
    </w:p>
    <w:p>
      <w:pPr>
        <w:spacing w:after="0" w:line="2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Goodwill resulted primarily from the Grand Design business combination and represents the excess of the purchase price over the fair value of tangible assets and identifiable intangible assets and liabilities assumed. Annually in the fourth quarter, or if conditions indicate an interim review is necessary, we assess qualitative factors to determine if it is more likely than not that the fair value of a reporting unit is less than its carrying amount and if it is necessary to perform the quantitative two-step goodwill impairment test. If we perform the quantitative test, we compare the carrying value of the reporting unit to an estimate of the reporting unit’s fair value to identify potential impairment. The estimate of the reporting unit’s fair value is determined by weighting a discounted cash flow model and a market-related model using current industry information that involve significant unobservable inputs (Level 3 inputs). In determining the estimated future cash flow, we consider and apply certain estimates and judgments, including current and projected future levels of income based on management’s plans, business trends, prospects and market and economic conditions and market-participant considerations. If the estimated fair value of the reporting unit is less than the carrying value, a second step is performed to determine the amount of the potential goodwill impairment. If impaired, goodwill is written down to its estimated implied fair value.</w:t>
      </w:r>
    </w:p>
    <w:p>
      <w:pPr>
        <w:spacing w:after="0" w:line="17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of November 26, 2016, we had an indefinite-lived intangible asset for trade name of $148.0 million, from the Grand Design acquisition. Annually in the fourth quarter, or if conditions indicate an interim review is necessary, we assess qualitative factors to determine if it is more likely than not that the fair value of an indefinite-lived intangible asset is less than its carrying amount. If we perform a quantitative test, projections regarding estimated discounted future cash flows and other factors are made to determine if impairment has occurred. These assumptions require significant judgment and actual results may differ from assumed and estimated amounts. If we conclude that there has been impairment, we will write down the carrying value of the asset to its fair value.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Intangible and Long-Lived Assets</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Long-lived assets, which include property, plant and equipment, and definite-lived intangible assets, primarily the dealer network, are assessed for impairment whenever events or changes in circumstances indicate the carrying amount of the asset may not be recoverable. The impairment testing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dealer network is amortized over its estimated useful life of 12 years. The reasonableness of the useful lives of this asset and other long-lived assets is regularly evaluated.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loss for the period ended November 26, 2016 for goodwill, indefinite-lived intangible, or long-lived assets.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25"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incurred $0.8 million of costs related to our revolving credit agreement that are being amortized on a straight-line basis over the five year term of the agreement. We incurred $10.0 million of costs related to the Term Loan that are being amortized on a straight-line basis (which is not materially different from an effective interest method) over the seven year term of the agreement. If early principal payments are made on the Term Loan, a proportional portion of the unamortized issuance costs will be expensed.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In August 2015, the FASB deferred the effective date of this standard by one year, which would become effective retrospectively or on a modified retrospective basis for fiscal years beginning after December 15, 2017 (our Fiscal 2019). We are currently evaluating the impact on our consolidated financial statements.</w:t>
      </w:r>
    </w:p>
    <w:p>
      <w:pPr>
        <w:spacing w:after="0" w:line="160"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 - Imputation of Interest (Topic 835)</w:t>
      </w:r>
      <w:r>
        <w:rPr>
          <w:rFonts w:ascii="Arial" w:cs="Arial" w:eastAsia="Arial" w:hAnsi="Arial"/>
          <w:sz w:val="16"/>
          <w:szCs w:val="16"/>
          <w:color w:val="auto"/>
        </w:rPr>
        <w:t>, which requires that debt issuance costs related to a recognized debt liability be presented in the balance sheet as a direct deduction from the carrying amount of that debt liability. We adopted the standard during the first quarter of FY 2017 and, accordingly have presented unamortized debt issuance costs of $1.4 million as a direct reduction of Current maturities of long-term debt and $9.3 million as a direct reduction of Long-term debt, less current maturities on the Consolidated Balance Sheet as of November 26, 2016.</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xml:space="preserve">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 inventory method is unchanged. ASU 2015-11 will become effective prospectively for fiscal years beginning after December 15, 2016 (our Fiscal 2018). We are currently evaluating the impact of this ASU on our consolidated financial statements and do not expect adoption to have a material impact.</w:t>
      </w:r>
    </w:p>
    <w:p>
      <w:pPr>
        <w:spacing w:after="0" w:line="15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to simplify the accounting for measurement-period adjustments in a business combination. Under the new standard, an acquirer must recognize adjustments to provisional amounts in a business combination in the reporting period in which the adjustment amounts are determined, rather than retrospectively adjusting the provisional amounts recognized at the acquisition date with a corresponding adjustment to goodwill as under current guidance. ASU 2015-16 is effective prospectively for fiscal years, and the interim periods within those years, beginning after December 15, 2015 (our Fiscal 2017). We adopted this standard on August 28, 2016 and there was no impact from this standard for the three months ended November 26, 2016.</w:t>
      </w:r>
    </w:p>
    <w:p>
      <w:pPr>
        <w:spacing w:after="0" w:line="16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an entity to recognize both assets and liabilities arising from financing and operating leases, along with additional qualitative and quantitative disclosures. The new standard is effective retrospectively or on a modified retrospective basis for fiscal years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simplifies several aspects of the accounting for employee share-based payment transactions, including the accounting for the related income taxes, forfeitures, statutory tax withholding requirements and classification in the statement of cash flows. ASU 2016-09 is effective for annual reporting periods beginning after December 15, 2016 (our Fiscal 2018), including interim periods within those annual reporting periods. Early adoption is permitted. We are currently evaluating the impact of this ASU on our consolidated financial statements and do not expect adoption to have a material impact.</w:t>
      </w:r>
    </w:p>
    <w:p>
      <w:pPr>
        <w:spacing w:after="0" w:line="157"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ASU 2016-15 is effective retrospectively for annual reporting periods beginning after December 15, 2017 (our Fiscal 2019), including interim periods within those annual reporting periods. Early adoption is permitted. We are currently evaluating the impact of this ASU on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 Goodwill and Other Intangible Assets</w:t>
      </w:r>
    </w:p>
    <w:p>
      <w:pPr>
        <w:spacing w:after="0" w:line="22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acquired 100% of the ownership interests of Grand Design on November 8, 2016 in accordance with the Securities Purchase Agreement for an aggregate purchase price of $520.6 million, which was paid in cash and Winnebago shares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c>
          <w:tcPr>
            <w:tcW w:w="0" w:type="dxa"/>
            <w:vAlign w:val="bottom"/>
          </w:tcPr>
          <w:p>
            <w:pPr>
              <w:spacing w:after="0"/>
              <w:rPr>
                <w:sz w:val="1"/>
                <w:szCs w:val="1"/>
                <w:color w:val="auto"/>
              </w:rPr>
            </w:pPr>
          </w:p>
        </w:tc>
      </w:tr>
      <w:tr>
        <w:trPr>
          <w:trHeight w:val="228"/>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shares)</w:t>
            </w:r>
          </w:p>
        </w:tc>
        <w:tc>
          <w:tcPr>
            <w:tcW w:w="5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54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396,583</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Winnebago shares: 4,586,555 at $27.05 per share</w:t>
            </w:r>
          </w:p>
        </w:tc>
        <w:tc>
          <w:tcPr>
            <w:tcW w:w="5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124,066</w:t>
            </w:r>
          </w:p>
        </w:tc>
        <w:tc>
          <w:tcPr>
            <w:tcW w:w="0" w:type="dxa"/>
            <w:vAlign w:val="bottom"/>
          </w:tcPr>
          <w:p>
            <w:pPr>
              <w:spacing w:after="0"/>
              <w:rPr>
                <w:sz w:val="1"/>
                <w:szCs w:val="1"/>
                <w:color w:val="auto"/>
              </w:rPr>
            </w:pPr>
          </w:p>
        </w:tc>
      </w:tr>
      <w:tr>
        <w:trPr>
          <w:trHeight w:val="240"/>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4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520,649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bottom w:val="single" w:sz="8" w:color="CCEEFF"/>
            </w:tcBorders>
            <w:vMerge w:val="restart"/>
          </w:tcPr>
          <w:p>
            <w:pPr>
              <w:jc w:val="right"/>
              <w:ind w:right="3979"/>
              <w:spacing w:after="0"/>
              <w:rPr>
                <w:sz w:val="20"/>
                <w:szCs w:val="20"/>
                <w:color w:val="auto"/>
              </w:rPr>
            </w:pPr>
            <w:r>
              <w:rPr>
                <w:rFonts w:ascii="Arial" w:cs="Arial" w:eastAsia="Arial" w:hAnsi="Arial"/>
                <w:sz w:val="16"/>
                <w:szCs w:val="16"/>
                <w:color w:val="auto"/>
              </w:rPr>
              <w:t>6</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466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cash portion was funded from cash on hand and borrowings under our ABL and Term Loan agreements. The stock was valued using our share price on the date of closing.</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acquisition has been accounted for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using the acquisition method of accounting. Under the acquisition method of accounting, the total purchase price was allocated to the net tangible and intangible assets of Grand Design acquired, based on their fair values at the date of the acquisition. The estimated fair values are preliminary and based on the information that was available as of the date of the acquisition. We believe that the information provides a reasonable basis for estimating the fair values, but we are waiting for additional information necessary to finalize these amounts, particularly with respect to the estimated fair value of intangible assets, finalization of net working capital as defined in the SPA and income taxes. Thus, the preliminary measurements of fair value reflected are subject to changes and such changes could be significant. We expect to finalize the valuation and complete the purchase price allocation as soon as practicable, but no later than one year from the acquisition date. The preliminary allocation of the purchase price to assets acquired and liabilities assumed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7"/>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1,748</w:t>
            </w: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32,834</w:t>
            </w:r>
          </w:p>
        </w:tc>
      </w:tr>
      <w:tr>
        <w:trPr>
          <w:trHeight w:val="280"/>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15,300</w:t>
            </w: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2,161</w:t>
            </w:r>
          </w:p>
        </w:tc>
      </w:tr>
      <w:tr>
        <w:trPr>
          <w:trHeight w:val="280"/>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8,998</w:t>
            </w: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249,981</w:t>
            </w:r>
          </w:p>
        </w:tc>
      </w:tr>
      <w:tr>
        <w:trPr>
          <w:trHeight w:val="273"/>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253,100</w:t>
            </w:r>
          </w:p>
        </w:tc>
      </w:tr>
      <w:tr>
        <w:trPr>
          <w:trHeight w:val="247"/>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Total assets acquired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564,122</w:t>
            </w:r>
          </w:p>
        </w:tc>
      </w:tr>
      <w:tr>
        <w:trPr>
          <w:trHeight w:val="293"/>
        </w:trPr>
        <w:tc>
          <w:tcPr>
            <w:tcW w:w="9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11,151</w:t>
            </w:r>
          </w:p>
        </w:tc>
      </w:tr>
      <w:tr>
        <w:trPr>
          <w:trHeight w:val="280"/>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3,615</w:t>
            </w: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Product warranties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12,904</w:t>
            </w:r>
          </w:p>
        </w:tc>
      </w:tr>
      <w:tr>
        <w:trPr>
          <w:trHeight w:val="280"/>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Promotional</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60"/>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1,569</w:t>
            </w:r>
          </w:p>
        </w:tc>
      </w:tr>
      <w:tr>
        <w:trPr>
          <w:trHeight w:val="273"/>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10,258</w:t>
            </w:r>
          </w:p>
        </w:tc>
      </w:tr>
      <w:tr>
        <w:trPr>
          <w:trHeight w:val="247"/>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Total liabilities assumed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43,473</w:t>
            </w:r>
          </w:p>
        </w:tc>
      </w:tr>
      <w:tr>
        <w:trPr>
          <w:trHeight w:val="293"/>
        </w:trPr>
        <w:tc>
          <w:tcPr>
            <w:tcW w:w="9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4"/>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Total purchase price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520,649</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acquisition of 100% of the ownership interests of Grand Design occurred in two steps: (1) direct purchase of 89.34% of Grand Design member interests and (2) simultaneous acquisition of the remaining 10.66% of Grand Design member interests via the purchase of 100% of the shares of SP GE VIII-B GD RV Blocker Corp. (Blocker Corp) which held the remaining 10.66% of the Grand Design member interests. We agreed to acquire Blocker Corp as part of the Securities Purchase Agreement and we will not receive a step-up in basis for 10.66% of the Grand Design assets. As a result, we established a deferred tax liability of $10.3 million on the opening balance sheet that primarily related to intangibles that will not be amortizable for tax purposes.</w:t>
      </w:r>
    </w:p>
    <w:p>
      <w:pPr>
        <w:spacing w:after="0" w:line="17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goodwill recognized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 The goodwill resulting from the acquisition of Grand Design increased total goodwill to $251.2 million within the Towable segment as of November 26, 2016 from $1.2 million as of August 27, 2016.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allocation of the purchase price to the net assets acquired and liabilities assumed resulted in the recognition of intangible assets with fair value on closing date of November 8, 2016 and amortization accumulated from closing date through November 26, 2016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 Life-</w:t>
            </w:r>
          </w:p>
        </w:tc>
        <w:tc>
          <w:tcPr>
            <w:tcW w:w="320" w:type="dxa"/>
            <w:vAlign w:val="bottom"/>
          </w:tcPr>
          <w:p>
            <w:pPr>
              <w:spacing w:after="0"/>
              <w:rPr>
                <w:sz w:val="16"/>
                <w:szCs w:val="16"/>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Amortization</w:t>
            </w:r>
          </w:p>
        </w:tc>
      </w:tr>
      <w:tr>
        <w:trPr>
          <w:trHeight w:val="257"/>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6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Indefinite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148,000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Dealer network</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80,500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331</w:t>
            </w:r>
          </w:p>
        </w:tc>
      </w:tr>
      <w:tr>
        <w:trPr>
          <w:trHeight w:val="280"/>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Backlog</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1,639</w:t>
            </w:r>
          </w:p>
        </w:tc>
      </w:tr>
      <w:tr>
        <w:trPr>
          <w:trHeight w:val="26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Non-compete agreements</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4,600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27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interest-favorable</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8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253,100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2,051</w:t>
            </w:r>
          </w:p>
        </w:tc>
      </w:tr>
      <w:tr>
        <w:trPr>
          <w:trHeight w:val="247"/>
        </w:trPr>
        <w:tc>
          <w:tcPr>
            <w:tcW w:w="62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5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auto"/>
            </w:tcBorders>
            <w:shd w:val="clear" w:color="auto" w:fill="CCEEFF"/>
          </w:tcPr>
          <w:p>
            <w:pPr>
              <w:spacing w:after="0"/>
              <w:rPr>
                <w:sz w:val="21"/>
                <w:szCs w:val="21"/>
                <w:color w:val="auto"/>
              </w:rPr>
            </w:pPr>
          </w:p>
        </w:tc>
        <w:tc>
          <w:tcPr>
            <w:tcW w:w="1480" w:type="dxa"/>
            <w:vAlign w:val="bottom"/>
            <w:tcBorders>
              <w:top w:val="single" w:sz="8" w:color="CCEEFF"/>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(2,051)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r>
      <w:tr>
        <w:trPr>
          <w:trHeight w:val="240"/>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Net book value of intangible assets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251,049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fair value of the trade name and dealer network were estimated using an income approach. Under the income approach, an intangible asset’s fair value is equal to the present value of future economic benefits to be derived from ownership of the asset. The fair value of the trade name was estimated using an income approach, specifically known as the relief from royalty method. The relief from royalty method is based on the hypothetical royalty stream that would be received if we were to license the trade name and was based on expected revenues. The fair value of the dealer network was estimated using an income approach, specifically the cost to recreate/cost savings method. This method uses the replacement of the asset as an indicator of the fair value of the asset. The useful life of the intangible assets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intangible assets.</w:t>
      </w:r>
    </w:p>
    <w:p>
      <w:pPr>
        <w:spacing w:after="0" w:line="221" w:lineRule="exact"/>
        <w:rPr>
          <w:sz w:val="20"/>
          <w:szCs w:val="20"/>
          <w:color w:val="auto"/>
        </w:rPr>
      </w:pPr>
    </w:p>
    <w:p>
      <w:pPr>
        <w:jc w:val="both"/>
        <w:ind w:right="360"/>
        <w:spacing w:after="0" w:line="288" w:lineRule="auto"/>
        <w:rPr>
          <w:sz w:val="20"/>
          <w:szCs w:val="20"/>
          <w:color w:val="auto"/>
        </w:rPr>
      </w:pPr>
      <w:r>
        <w:rPr>
          <w:rFonts w:ascii="Arial" w:cs="Arial" w:eastAsia="Arial" w:hAnsi="Arial"/>
          <w:sz w:val="16"/>
          <w:szCs w:val="16"/>
          <w:color w:val="auto"/>
        </w:rPr>
        <w:t>For the three months ended November 26, 2016 and November 28, 2015, amortization of intangible assets charged to operations was $2.1 million and $0, respectively. The weighted average remaining amortization period for intangible assets as of November 26, 2016 was approximately 9.8 years. Remaining estimated aggregate annual amortization expense by fiscal year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r>
      <w:tr>
        <w:trPr>
          <w:trHeight w:val="257"/>
        </w:trPr>
        <w:tc>
          <w:tcPr>
            <w:tcW w:w="9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Remainder of 2017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22,610</w:t>
            </w:r>
          </w:p>
        </w:tc>
      </w:tr>
      <w:tr>
        <w:trPr>
          <w:trHeight w:val="260"/>
        </w:trPr>
        <w:tc>
          <w:tcPr>
            <w:tcW w:w="9640" w:type="dxa"/>
            <w:vAlign w:val="bottom"/>
          </w:tcPr>
          <w:p>
            <w:pPr>
              <w:ind w:left="4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7,854</w:t>
            </w:r>
          </w:p>
        </w:tc>
      </w:tr>
      <w:tr>
        <w:trPr>
          <w:trHeight w:val="280"/>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7,733</w:t>
            </w:r>
          </w:p>
        </w:tc>
      </w:tr>
      <w:tr>
        <w:trPr>
          <w:trHeight w:val="260"/>
        </w:trPr>
        <w:tc>
          <w:tcPr>
            <w:tcW w:w="9640" w:type="dxa"/>
            <w:vAlign w:val="bottom"/>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80"/>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7,733</w:t>
            </w:r>
          </w:p>
        </w:tc>
      </w:tr>
      <w:tr>
        <w:trPr>
          <w:trHeight w:val="260"/>
        </w:trPr>
        <w:tc>
          <w:tcPr>
            <w:tcW w:w="9640" w:type="dxa"/>
            <w:vAlign w:val="bottom"/>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7,106</w:t>
            </w:r>
          </w:p>
        </w:tc>
      </w:tr>
      <w:tr>
        <w:trPr>
          <w:trHeight w:val="280"/>
        </w:trPr>
        <w:tc>
          <w:tcPr>
            <w:tcW w:w="9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42,280</w:t>
            </w:r>
          </w:p>
        </w:tc>
      </w:tr>
    </w:tbl>
    <w:p>
      <w:pPr>
        <w:spacing w:after="0" w:line="21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Within the Towable segment, the results of Grand Design's operations have been included in our consolidated financial statements from the close of the acquisition. The following table provides net revenues and operating income (which includes amortization expense) from the Grand Design business included in our consolidated results during the three months ended November 26, 2016 following the November 8, 2016 closing date: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w:t>
            </w:r>
          </w:p>
        </w:tc>
      </w:tr>
      <w:tr>
        <w:trPr>
          <w:trHeight w:val="283"/>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6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November 26, 2016</w:t>
            </w:r>
          </w:p>
        </w:tc>
      </w:tr>
      <w:tr>
        <w:trPr>
          <w:trHeight w:val="247"/>
        </w:trPr>
        <w:tc>
          <w:tcPr>
            <w:tcW w:w="350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6340" w:type="dxa"/>
            <w:vAlign w:val="bottom"/>
            <w:gridSpan w:val="3"/>
          </w:tcPr>
          <w:p>
            <w:pPr>
              <w:ind w:left="624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25,836</w:t>
            </w:r>
          </w:p>
        </w:tc>
      </w:tr>
      <w:tr>
        <w:trPr>
          <w:trHeight w:val="280"/>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6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r>
      <w:tr>
        <w:trPr>
          <w:trHeight w:val="629"/>
        </w:trPr>
        <w:tc>
          <w:tcPr>
            <w:tcW w:w="3500" w:type="dxa"/>
            <w:vAlign w:val="bottom"/>
          </w:tcPr>
          <w:p>
            <w:pPr>
              <w:spacing w:after="0"/>
              <w:rPr>
                <w:sz w:val="24"/>
                <w:szCs w:val="24"/>
                <w:color w:val="auto"/>
              </w:rPr>
            </w:pPr>
          </w:p>
        </w:tc>
        <w:tc>
          <w:tcPr>
            <w:tcW w:w="6100" w:type="dxa"/>
            <w:vAlign w:val="bottom"/>
          </w:tcPr>
          <w:p>
            <w:pPr>
              <w:jc w:val="right"/>
              <w:ind w:right="375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Unaudited pro forma information has been prepared as if the acquisition had taken place on August 30, 2015. The unaudited pro forma information is not necessarily indicative of the results that we would have achieved had the transaction actually taken place on August 30, 2015,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acquisitions. Unaudited pro forma information for the three months ended November 26, 2016 and November 28, 2015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26,</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7"/>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340,975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300,383</w:t>
            </w:r>
          </w:p>
        </w:tc>
      </w:tr>
      <w:tr>
        <w:trPr>
          <w:trHeight w:val="260"/>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20,269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1,197</w:t>
            </w:r>
          </w:p>
        </w:tc>
      </w:tr>
      <w:tr>
        <w:trPr>
          <w:trHeight w:val="280"/>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r>
      <w:tr>
        <w:trPr>
          <w:trHeight w:val="251"/>
        </w:trPr>
        <w:tc>
          <w:tcPr>
            <w:tcW w:w="8240" w:type="dxa"/>
            <w:vAlign w:val="bottom"/>
            <w:gridSpan w:val="2"/>
          </w:tcPr>
          <w:p>
            <w:pPr>
              <w:ind w:left="40"/>
              <w:spacing w:after="0"/>
              <w:rPr>
                <w:sz w:val="20"/>
                <w:szCs w:val="20"/>
                <w:color w:val="auto"/>
              </w:rPr>
            </w:pPr>
            <w:r>
              <w:rPr>
                <w:rFonts w:ascii="Arial" w:cs="Arial" w:eastAsia="Arial" w:hAnsi="Arial"/>
                <w:sz w:val="16"/>
                <w:szCs w:val="16"/>
                <w:color w:val="auto"/>
              </w:rPr>
              <w:t>Income per share - diluted</w:t>
            </w:r>
          </w:p>
        </w:tc>
        <w:tc>
          <w:tcPr>
            <w:tcW w:w="18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0.04</w:t>
            </w:r>
          </w:p>
        </w:tc>
      </w:tr>
    </w:tbl>
    <w:p>
      <w:pPr>
        <w:spacing w:after="0" w:line="210"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Grand Design had been completed on August 30, 2015: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26,</w:t>
            </w:r>
          </w:p>
        </w:tc>
        <w:tc>
          <w:tcPr>
            <w:tcW w:w="180" w:type="dxa"/>
            <w:vAlign w:val="bottom"/>
          </w:tcPr>
          <w:p>
            <w:pPr>
              <w:spacing w:after="0"/>
              <w:rPr>
                <w:sz w:val="17"/>
                <w:szCs w:val="17"/>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7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257"/>
        </w:trPr>
        <w:tc>
          <w:tcPr>
            <w:tcW w:w="8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intangibles (1 year or less useful life)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8,708</w:t>
            </w:r>
          </w:p>
        </w:tc>
      </w:tr>
      <w:tr>
        <w:trPr>
          <w:trHeight w:val="260"/>
        </w:trPr>
        <w:tc>
          <w:tcPr>
            <w:tcW w:w="8040" w:type="dxa"/>
            <w:vAlign w:val="bottom"/>
            <w:gridSpan w:val="2"/>
          </w:tcPr>
          <w:p>
            <w:pPr>
              <w:ind w:left="40"/>
              <w:spacing w:after="0"/>
              <w:rPr>
                <w:sz w:val="20"/>
                <w:szCs w:val="20"/>
                <w:color w:val="auto"/>
              </w:rPr>
            </w:pPr>
            <w:r>
              <w:rPr>
                <w:rFonts w:ascii="Arial" w:cs="Arial" w:eastAsia="Arial" w:hAnsi="Arial"/>
                <w:sz w:val="16"/>
                <w:szCs w:val="16"/>
                <w:color w:val="auto"/>
              </w:rPr>
              <w:t>Increase in amortization of intangibles</w:t>
            </w: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1,551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1,933</w:t>
            </w:r>
          </w:p>
        </w:tc>
      </w:tr>
      <w:tr>
        <w:trPr>
          <w:trHeight w:val="280"/>
        </w:trPr>
        <w:tc>
          <w:tcPr>
            <w:tcW w:w="8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Expenses related to business combination (transaction costs)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5,840</w:t>
            </w:r>
          </w:p>
        </w:tc>
      </w:tr>
      <w:tr>
        <w:trPr>
          <w:trHeight w:val="260"/>
        </w:trPr>
        <w:tc>
          <w:tcPr>
            <w:tcW w:w="8040" w:type="dxa"/>
            <w:vAlign w:val="bottom"/>
            <w:gridSpan w:val="2"/>
          </w:tcPr>
          <w:p>
            <w:pPr>
              <w:ind w:left="40"/>
              <w:spacing w:after="0"/>
              <w:rPr>
                <w:sz w:val="20"/>
                <w:szCs w:val="20"/>
                <w:color w:val="auto"/>
              </w:rPr>
            </w:pPr>
            <w:r>
              <w:rPr>
                <w:rFonts w:ascii="Arial" w:cs="Arial" w:eastAsia="Arial" w:hAnsi="Arial"/>
                <w:sz w:val="16"/>
                <w:szCs w:val="16"/>
                <w:color w:val="auto"/>
              </w:rPr>
              <w:t>Interest to reflect new debt structure</w:t>
            </w: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3,672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4,958</w:t>
            </w:r>
          </w:p>
        </w:tc>
      </w:tr>
      <w:tr>
        <w:trPr>
          <w:trHeight w:val="280"/>
        </w:trPr>
        <w:tc>
          <w:tcPr>
            <w:tcW w:w="8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Taxes related to the adjustments to the pro forma data and to the income of Grand Design</w:t>
            </w: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(4,323)</w:t>
            </w:r>
          </w:p>
        </w:tc>
      </w:tr>
    </w:tbl>
    <w:p>
      <w:pPr>
        <w:spacing w:after="0" w:line="2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Pro forma transaction costs include $0.1 million incurred by Grand Design prior to acquisition.</w:t>
      </w:r>
    </w:p>
    <w:p>
      <w:pPr>
        <w:spacing w:after="0" w:line="176"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We incurred approximately $5.8 million of acquisition-related costs, of which $5.5 million were expensed during the three months ended November 26, 2016 and $0.3 million were expensed in the three months ended August 27, 2016.</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198"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 xml:space="preserve">We report segment information based on the "management" approach defined in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management approach designates the internal reporting used by management for making decisions and assessing performance as the source of our reportable operating segments.</w:t>
      </w:r>
    </w:p>
    <w:p>
      <w:pPr>
        <w:spacing w:after="0" w:line="15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recreational vehicle products and services. With the acquisition of Grand Design in the first quarter, we expanded the number of reporting segments to two: (1) Motorized products and services and (2) Towable products and services. The Towable segment includes all products which are not motorized and are generally towed by another vehicle. The Motorized segment includes all products that include a motorized chassis as well as other related manufactured products. Prior year segment information has been restated to conform to the current reporting segment presentation.</w:t>
      </w:r>
    </w:p>
    <w:p>
      <w:pPr>
        <w:spacing w:after="0" w:line="176"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We manage our business on a product basis. Each reportable segment is managed separately to better align to our customers, distribution partners and the unique market dynamics of the product groups. We have aggregated two operating segments into the Towable reporting segment based upon their similar products, customers, distribution methods, production processes and economic characteristics. The accounting policies of both reportable segments are the same and described in Note 1, "Summary of Significant Accounting Policies" in our annual report on Form 10-K for the year ended August 27, 2016.</w:t>
      </w:r>
    </w:p>
    <w:p>
      <w:pPr>
        <w:spacing w:after="0" w:line="17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evaluate the performance of our reportable segments based on Adjusted EBITDA. Adjusted EBITDA is defined as earnings before interest, taxes, depreciation and amortization and other adjustments made in order to present comparable results from period to period. These types of adjustments are also specified in the definition of certain measures required under the terms of our credit facility. Examples of items excluded from Adjusted EBITDA include the postretirement health care benefit results from terminating the plan and the transaction costs related to our acquisition of Grand Design.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81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160" w:type="dxa"/>
            <w:vAlign w:val="bottom"/>
            <w:gridSpan w:val="3"/>
          </w:tcPr>
          <w:p>
            <w:pPr>
              <w:spacing w:after="0"/>
              <w:rPr>
                <w:sz w:val="20"/>
                <w:szCs w:val="20"/>
                <w:color w:val="auto"/>
              </w:rPr>
            </w:pPr>
            <w:r>
              <w:rPr>
                <w:rFonts w:ascii="Arial" w:cs="Arial" w:eastAsia="Arial" w:hAnsi="Arial"/>
                <w:sz w:val="16"/>
                <w:szCs w:val="16"/>
                <w:color w:val="auto"/>
              </w:rPr>
              <w:t>The following table shows information by reporting segment for the first quarter of Fiscal 2017 and Fiscal 2016: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28,</w:t>
            </w:r>
          </w:p>
        </w:tc>
        <w:tc>
          <w:tcPr>
            <w:tcW w:w="0" w:type="dxa"/>
            <w:vAlign w:val="bottom"/>
          </w:tcPr>
          <w:p>
            <w:pPr>
              <w:spacing w:after="0"/>
              <w:rPr>
                <w:sz w:val="1"/>
                <w:szCs w:val="1"/>
                <w:color w:val="auto"/>
              </w:rPr>
            </w:pPr>
          </w:p>
        </w:tc>
      </w:tr>
      <w:tr>
        <w:trPr>
          <w:trHeight w:val="228"/>
        </w:trPr>
        <w:tc>
          <w:tcPr>
            <w:tcW w:w="81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70"/>
        </w:trPr>
        <w:tc>
          <w:tcPr>
            <w:tcW w:w="8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160" w:type="dxa"/>
            <w:vAlign w:val="bottom"/>
            <w:gridSpan w:val="3"/>
          </w:tcPr>
          <w:p>
            <w:pPr>
              <w:ind w:left="40"/>
              <w:spacing w:after="0"/>
              <w:rPr>
                <w:sz w:val="20"/>
                <w:szCs w:val="20"/>
                <w:color w:val="auto"/>
              </w:rPr>
            </w:pPr>
            <w:r>
              <w:rPr>
                <w:rFonts w:ascii="Arial" w:cs="Arial" w:eastAsia="Arial" w:hAnsi="Arial"/>
                <w:sz w:val="16"/>
                <w:szCs w:val="16"/>
                <w:color w:val="auto"/>
              </w:rPr>
              <w:t>Motorized</w:t>
            </w:r>
          </w:p>
        </w:tc>
        <w:tc>
          <w:tcPr>
            <w:tcW w:w="3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195,125</w:t>
            </w:r>
          </w:p>
        </w:tc>
        <w:tc>
          <w:tcPr>
            <w:tcW w:w="100" w:type="dxa"/>
            <w:vAlign w:val="bottom"/>
          </w:tcPr>
          <w:p>
            <w:pPr>
              <w:spacing w:after="0"/>
              <w:rPr>
                <w:sz w:val="22"/>
                <w:szCs w:val="22"/>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197,340</w:t>
            </w:r>
          </w:p>
        </w:tc>
        <w:tc>
          <w:tcPr>
            <w:tcW w:w="0" w:type="dxa"/>
            <w:vAlign w:val="bottom"/>
          </w:tcPr>
          <w:p>
            <w:pPr>
              <w:spacing w:after="0"/>
              <w:rPr>
                <w:sz w:val="1"/>
                <w:szCs w:val="1"/>
                <w:color w:val="auto"/>
              </w:rPr>
            </w:pPr>
          </w:p>
        </w:tc>
      </w:tr>
      <w:tr>
        <w:trPr>
          <w:trHeight w:val="273"/>
        </w:trPr>
        <w:tc>
          <w:tcPr>
            <w:tcW w:w="8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50,183</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16,883</w:t>
            </w:r>
          </w:p>
        </w:tc>
        <w:tc>
          <w:tcPr>
            <w:tcW w:w="0" w:type="dxa"/>
            <w:vAlign w:val="bottom"/>
          </w:tcPr>
          <w:p>
            <w:pPr>
              <w:spacing w:after="0"/>
              <w:rPr>
                <w:sz w:val="1"/>
                <w:szCs w:val="1"/>
                <w:color w:val="auto"/>
              </w:rPr>
            </w:pPr>
          </w:p>
        </w:tc>
      </w:tr>
      <w:tr>
        <w:trPr>
          <w:trHeight w:val="280"/>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Consolidated</w:t>
            </w:r>
          </w:p>
        </w:tc>
        <w:tc>
          <w:tcPr>
            <w:tcW w:w="3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245,308</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214,223</w:t>
            </w:r>
          </w:p>
        </w:tc>
        <w:tc>
          <w:tcPr>
            <w:tcW w:w="0" w:type="dxa"/>
            <w:vAlign w:val="bottom"/>
          </w:tcPr>
          <w:p>
            <w:pPr>
              <w:spacing w:after="0"/>
              <w:rPr>
                <w:sz w:val="1"/>
                <w:szCs w:val="1"/>
                <w:color w:val="auto"/>
              </w:rPr>
            </w:pPr>
          </w:p>
        </w:tc>
      </w:tr>
      <w:tr>
        <w:trPr>
          <w:trHeight w:val="267"/>
        </w:trPr>
        <w:tc>
          <w:tcPr>
            <w:tcW w:w="1260" w:type="dxa"/>
            <w:vAlign w:val="bottom"/>
            <w:tcBorders>
              <w:top w:val="single" w:sz="8" w:color="CCEEFF"/>
            </w:tcBorders>
            <w:shd w:val="clear" w:color="auto" w:fill="CCEEFF"/>
          </w:tcPr>
          <w:p>
            <w:pPr>
              <w:spacing w:after="0"/>
              <w:rPr>
                <w:sz w:val="23"/>
                <w:szCs w:val="23"/>
                <w:color w:val="auto"/>
              </w:rPr>
            </w:pPr>
          </w:p>
        </w:tc>
        <w:tc>
          <w:tcPr>
            <w:tcW w:w="67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160" w:type="dxa"/>
            <w:vAlign w:val="bottom"/>
            <w:gridSpan w:val="3"/>
          </w:tcPr>
          <w:p>
            <w:pPr>
              <w:ind w:left="40"/>
              <w:spacing w:after="0"/>
              <w:rPr>
                <w:sz w:val="20"/>
                <w:szCs w:val="20"/>
                <w:color w:val="auto"/>
              </w:rPr>
            </w:pPr>
            <w:r>
              <w:rPr>
                <w:rFonts w:ascii="Arial" w:cs="Arial" w:eastAsia="Arial" w:hAnsi="Arial"/>
                <w:sz w:val="16"/>
                <w:szCs w:val="16"/>
                <w:color w:val="auto"/>
              </w:rPr>
              <w:t>Adjusted EBITDA</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10,015</w:t>
            </w:r>
          </w:p>
        </w:tc>
        <w:tc>
          <w:tcPr>
            <w:tcW w:w="1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11,724</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Towable</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4,664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40"/>
        </w:trPr>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14,679</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12,784</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160" w:type="dxa"/>
            <w:vAlign w:val="bottom"/>
            <w:gridSpan w:val="3"/>
          </w:tcPr>
          <w:p>
            <w:pPr>
              <w:ind w:left="40"/>
              <w:spacing w:after="0"/>
              <w:rPr>
                <w:sz w:val="20"/>
                <w:szCs w:val="20"/>
                <w:color w:val="auto"/>
              </w:rPr>
            </w:pPr>
            <w:r>
              <w:rPr>
                <w:rFonts w:ascii="Arial" w:cs="Arial" w:eastAsia="Arial" w:hAnsi="Arial"/>
                <w:sz w:val="16"/>
                <w:szCs w:val="16"/>
                <w:color w:val="auto"/>
              </w:rPr>
              <w:t>Motorized</w:t>
            </w:r>
          </w:p>
        </w:tc>
        <w:tc>
          <w:tcPr>
            <w:tcW w:w="3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3,146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2,872</w:t>
            </w:r>
          </w:p>
        </w:tc>
        <w:tc>
          <w:tcPr>
            <w:tcW w:w="0" w:type="dxa"/>
            <w:vAlign w:val="bottom"/>
          </w:tcPr>
          <w:p>
            <w:pPr>
              <w:spacing w:after="0"/>
              <w:rPr>
                <w:sz w:val="1"/>
                <w:szCs w:val="1"/>
                <w:color w:val="auto"/>
              </w:rPr>
            </w:pPr>
          </w:p>
        </w:tc>
      </w:tr>
      <w:tr>
        <w:trPr>
          <w:trHeight w:val="273"/>
        </w:trPr>
        <w:tc>
          <w:tcPr>
            <w:tcW w:w="8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80"/>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Consolidated</w:t>
            </w:r>
          </w:p>
        </w:tc>
        <w:tc>
          <w:tcPr>
            <w:tcW w:w="34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3,562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3,109</w:t>
            </w:r>
          </w:p>
        </w:tc>
        <w:tc>
          <w:tcPr>
            <w:tcW w:w="0" w:type="dxa"/>
            <w:vAlign w:val="bottom"/>
          </w:tcPr>
          <w:p>
            <w:pPr>
              <w:spacing w:after="0"/>
              <w:rPr>
                <w:sz w:val="1"/>
                <w:szCs w:val="1"/>
                <w:color w:val="auto"/>
              </w:rPr>
            </w:pPr>
          </w:p>
        </w:tc>
      </w:tr>
      <w:tr>
        <w:trPr>
          <w:trHeight w:val="267"/>
        </w:trPr>
        <w:tc>
          <w:tcPr>
            <w:tcW w:w="1260" w:type="dxa"/>
            <w:vAlign w:val="bottom"/>
            <w:tcBorders>
              <w:top w:val="single" w:sz="8" w:color="CCEEFF"/>
            </w:tcBorders>
            <w:shd w:val="clear" w:color="auto" w:fill="CCEEFF"/>
          </w:tcPr>
          <w:p>
            <w:pPr>
              <w:spacing w:after="0"/>
              <w:rPr>
                <w:sz w:val="23"/>
                <w:szCs w:val="23"/>
                <w:color w:val="auto"/>
              </w:rPr>
            </w:pPr>
          </w:p>
        </w:tc>
        <w:tc>
          <w:tcPr>
            <w:tcW w:w="67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160" w:type="dxa"/>
            <w:vAlign w:val="bottom"/>
            <w:gridSpan w:val="3"/>
          </w:tcPr>
          <w:p>
            <w:pPr>
              <w:ind w:left="40"/>
              <w:spacing w:after="0"/>
              <w:rPr>
                <w:sz w:val="20"/>
                <w:szCs w:val="20"/>
                <w:color w:val="auto"/>
              </w:rPr>
            </w:pPr>
            <w:r>
              <w:rPr>
                <w:rFonts w:ascii="Arial" w:cs="Arial" w:eastAsia="Arial" w:hAnsi="Arial"/>
                <w:sz w:val="16"/>
                <w:szCs w:val="16"/>
                <w:color w:val="auto"/>
              </w:rPr>
              <w:t>Total Assets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307,125</w:t>
            </w:r>
          </w:p>
        </w:tc>
        <w:tc>
          <w:tcPr>
            <w:tcW w:w="1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329,081</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Towable</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575,570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25,251</w:t>
            </w:r>
          </w:p>
        </w:tc>
        <w:tc>
          <w:tcPr>
            <w:tcW w:w="0" w:type="dxa"/>
            <w:vAlign w:val="bottom"/>
          </w:tcPr>
          <w:p>
            <w:pPr>
              <w:spacing w:after="0"/>
              <w:rPr>
                <w:sz w:val="1"/>
                <w:szCs w:val="1"/>
                <w:color w:val="auto"/>
              </w:rPr>
            </w:pPr>
          </w:p>
        </w:tc>
      </w:tr>
      <w:tr>
        <w:trPr>
          <w:trHeight w:val="240"/>
        </w:trPr>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882,695</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354,332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81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rPr>
              <w:t>November 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November 28,</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81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11,738</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8,558</w:t>
            </w:r>
          </w:p>
        </w:tc>
        <w:tc>
          <w:tcPr>
            <w:tcW w:w="0" w:type="dxa"/>
            <w:vAlign w:val="bottom"/>
          </w:tcPr>
          <w:p>
            <w:pPr>
              <w:spacing w:after="0"/>
              <w:rPr>
                <w:sz w:val="1"/>
                <w:szCs w:val="1"/>
                <w:color w:val="auto"/>
              </w:rPr>
            </w:pPr>
          </w:p>
        </w:tc>
      </w:tr>
      <w:tr>
        <w:trPr>
          <w:trHeight w:val="260"/>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5,620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4,336</w:t>
            </w:r>
          </w:p>
        </w:tc>
        <w:tc>
          <w:tcPr>
            <w:tcW w:w="0" w:type="dxa"/>
            <w:vAlign w:val="bottom"/>
          </w:tcPr>
          <w:p>
            <w:pPr>
              <w:spacing w:after="0"/>
              <w:rPr>
                <w:sz w:val="1"/>
                <w:szCs w:val="1"/>
                <w:color w:val="auto"/>
              </w:rPr>
            </w:pPr>
          </w:p>
        </w:tc>
      </w:tr>
      <w:tr>
        <w:trPr>
          <w:trHeight w:val="260"/>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Depreciation</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73"/>
        </w:trPr>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8160" w:type="dxa"/>
            <w:vAlign w:val="bottom"/>
            <w:gridSpan w:val="3"/>
          </w:tcPr>
          <w:p>
            <w:pPr>
              <w:ind w:left="40"/>
              <w:spacing w:after="0"/>
              <w:rPr>
                <w:sz w:val="20"/>
                <w:szCs w:val="20"/>
                <w:color w:val="auto"/>
              </w:rPr>
            </w:pPr>
            <w:r>
              <w:rPr>
                <w:rFonts w:ascii="Arial" w:cs="Arial" w:eastAsia="Arial" w:hAnsi="Arial"/>
                <w:sz w:val="16"/>
                <w:szCs w:val="16"/>
                <w:color w:val="auto"/>
              </w:rPr>
              <w:t>EBITDA</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22,117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14,264</w:t>
            </w:r>
          </w:p>
        </w:tc>
        <w:tc>
          <w:tcPr>
            <w:tcW w:w="0" w:type="dxa"/>
            <w:vAlign w:val="bottom"/>
          </w:tcPr>
          <w:p>
            <w:pPr>
              <w:spacing w:after="0"/>
              <w:rPr>
                <w:sz w:val="1"/>
                <w:szCs w:val="1"/>
                <w:color w:val="auto"/>
              </w:rPr>
            </w:pPr>
          </w:p>
        </w:tc>
      </w:tr>
      <w:tr>
        <w:trPr>
          <w:trHeight w:val="280"/>
        </w:trPr>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260"/>
        </w:trPr>
        <w:tc>
          <w:tcPr>
            <w:tcW w:w="8160" w:type="dxa"/>
            <w:vAlign w:val="bottom"/>
            <w:gridSpan w:val="3"/>
          </w:tcPr>
          <w:p>
            <w:pPr>
              <w:ind w:left="180"/>
              <w:spacing w:after="0"/>
              <w:rPr>
                <w:sz w:val="20"/>
                <w:szCs w:val="20"/>
                <w:color w:val="auto"/>
              </w:rPr>
            </w:pPr>
            <w:r>
              <w:rPr>
                <w:rFonts w:ascii="Arial" w:cs="Arial" w:eastAsia="Arial" w:hAnsi="Arial"/>
                <w:sz w:val="16"/>
                <w:szCs w:val="16"/>
                <w:color w:val="auto"/>
              </w:rPr>
              <w:t>Transaction costs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5,462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81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40"/>
        </w:trPr>
        <w:tc>
          <w:tcPr>
            <w:tcW w:w="8160" w:type="dxa"/>
            <w:vAlign w:val="bottom"/>
            <w:gridSpan w:val="3"/>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14,679</w:t>
            </w:r>
          </w:p>
        </w:tc>
        <w:tc>
          <w:tcPr>
            <w:tcW w:w="10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12,784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w:t>
      </w: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 Concentration Risk</w:t>
      </w:r>
    </w:p>
    <w:p>
      <w:pPr>
        <w:spacing w:after="0" w:line="21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One of our dealer organizations accounted for 14.2% of our consolidated net revenues for both the first three months of Fiscal 2017 and Fiscal 2016. A second dealer organization accounted for 13.7% and 20.9% of our consolidated net revenues for the first three months of Fiscal 2017 and Fiscal 2016, respectively. This second dealer declined on a relative basis due to the growth of other dealers and due to the addition of Grand Design revenue in the first quarter of Fiscal 2017. The loss of either or both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w:t>
      </w:r>
    </w:p>
    <w:p>
      <w:pPr>
        <w:sectPr>
          <w:pgSz w:w="11900" w:h="16838" w:orient="portrait"/>
          <w:cols w:equalWidth="0" w:num="1">
            <w:col w:w="11420"/>
          </w:cols>
          <w:pgMar w:left="240" w:top="118"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26, 2016 and August 27, 2016 according to the valuation techniques we used to determine their fair values: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26,</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International equity funds</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3"/>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3,997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August 27,</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77,234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77,234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International equity funds</w:t>
            </w:r>
          </w:p>
        </w:tc>
        <w:tc>
          <w:tcPr>
            <w:tcW w:w="1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3"/>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 assets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81,344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81,180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right="120" w:hanging="332"/>
        <w:spacing w:after="0" w:line="218"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Cash equivalent balances valued using Level 1 inputs include only those accounts that may fluctuate in value. Cash in disbursing accounts and on-demand accounts are not included above.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 and are included in cash and cash equivalents on the accompanying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 majority of securities are classified as Level 1 as they are traded in an active market for which closing stock prices are readily available. These securities fund the Executive Share Option Plan and the Executive deferred compensation plan (see Note 10). The proportion of the assets that will fund options which expire within a year are included in prepaid expenses and other current assets in the accompanying consolidated balance sheets. The remaining assets are classified as noncurrent and are included in other assets.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non-financial assets, which include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three months of Fiscal 2017, no impairments were recorded for non-financial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our debt as of November 26, 2016 approximates fair value as interest is at variable market rates.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678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47"/>
        </w:trPr>
        <w:tc>
          <w:tcPr>
            <w:tcW w:w="6780" w:type="dxa"/>
            <w:vAlign w:val="bottom"/>
            <w:gridSpan w:val="3"/>
          </w:tcPr>
          <w:p>
            <w:pPr>
              <w:spacing w:after="0"/>
              <w:rPr>
                <w:sz w:val="20"/>
                <w:szCs w:val="20"/>
                <w:color w:val="auto"/>
              </w:rPr>
            </w:pPr>
            <w:r>
              <w:rPr>
                <w:rFonts w:ascii="Arial" w:cs="Arial" w:eastAsia="Arial" w:hAnsi="Arial"/>
                <w:sz w:val="16"/>
                <w:szCs w:val="16"/>
                <w:b w:val="1"/>
                <w:bCs w:val="1"/>
                <w:color w:val="auto"/>
              </w:rPr>
              <w:t>Note 6: Inventories</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6780" w:type="dxa"/>
            <w:vAlign w:val="bottom"/>
            <w:gridSpan w:val="3"/>
          </w:tcPr>
          <w:p>
            <w:pPr>
              <w:spacing w:after="0"/>
              <w:rPr>
                <w:sz w:val="20"/>
                <w:szCs w:val="20"/>
                <w:color w:val="auto"/>
              </w:rPr>
            </w:pPr>
            <w:r>
              <w:rPr>
                <w:rFonts w:ascii="Arial" w:cs="Arial" w:eastAsia="Arial" w:hAnsi="Arial"/>
                <w:sz w:val="16"/>
                <w:szCs w:val="16"/>
                <w:color w:val="auto"/>
              </w:rPr>
              <w:t>Inventories consist of the following:</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26,</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6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2016</w:t>
            </w:r>
          </w:p>
        </w:tc>
      </w:tr>
      <w:tr>
        <w:trPr>
          <w:trHeight w:val="257"/>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41,175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19,129</w:t>
            </w:r>
          </w:p>
        </w:tc>
      </w:tr>
      <w:tr>
        <w:trPr>
          <w:trHeight w:val="26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Work-in-process</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76,569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76,350</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71,698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60,740</w:t>
            </w:r>
          </w:p>
        </w:tc>
      </w:tr>
      <w:tr>
        <w:trPr>
          <w:trHeight w:val="247"/>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21"/>
                <w:szCs w:val="21"/>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189,442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156,219</w:t>
            </w:r>
          </w:p>
        </w:tc>
      </w:tr>
      <w:tr>
        <w:trPr>
          <w:trHeight w:val="273"/>
        </w:trPr>
        <w:tc>
          <w:tcPr>
            <w:tcW w:w="6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(33,996)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(33,697)</w:t>
            </w:r>
          </w:p>
        </w:tc>
      </w:tr>
      <w:tr>
        <w:trPr>
          <w:trHeight w:val="240"/>
        </w:trPr>
        <w:tc>
          <w:tcPr>
            <w:tcW w:w="6780" w:type="dxa"/>
            <w:vAlign w:val="bottom"/>
            <w:gridSpan w:val="3"/>
          </w:tcPr>
          <w:p>
            <w:pPr>
              <w:ind w:left="40"/>
              <w:spacing w:after="0"/>
              <w:rPr>
                <w:sz w:val="20"/>
                <w:szCs w:val="20"/>
                <w:color w:val="auto"/>
              </w:rPr>
            </w:pPr>
            <w:r>
              <w:rPr>
                <w:rFonts w:ascii="Arial" w:cs="Arial" w:eastAsia="Arial" w:hAnsi="Arial"/>
                <w:sz w:val="16"/>
                <w:szCs w:val="16"/>
                <w:color w:val="auto"/>
              </w:rPr>
              <w:t>Total inventories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155,446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122,522</w:t>
            </w:r>
          </w:p>
        </w:tc>
      </w:tr>
      <w:tr>
        <w:trPr>
          <w:trHeight w:val="20"/>
        </w:trPr>
        <w:tc>
          <w:tcPr>
            <w:tcW w:w="12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$189.4 million and</w:t>
      </w:r>
    </w:p>
    <w:p>
      <w:pPr>
        <w:spacing w:after="0" w:line="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$156.2 million inventory at November 26, 2016 and August 27, 2016, respectively, $165.6 million and $149.4 million is valued on a LIFO basis; the remaining inventories of $23.8 million and $6.8 million at November 26, 2016 and August 27, 2016, respectively, are valued on a FIFO basis.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26,</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2016</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4,047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3,864</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69,329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62,073</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98,285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95,087</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360" w:type="dxa"/>
            <w:vAlign w:val="bottom"/>
          </w:tcPr>
          <w:p>
            <w:pPr>
              <w:spacing w:after="0"/>
              <w:rPr>
                <w:sz w:val="22"/>
                <w:szCs w:val="22"/>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17,396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15,878</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9,153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8,956</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60" w:type="dxa"/>
            <w:vAlign w:val="bottom"/>
          </w:tcPr>
          <w:p>
            <w:pPr>
              <w:spacing w:after="0"/>
              <w:rPr>
                <w:sz w:val="21"/>
                <w:szCs w:val="21"/>
                <w:color w:val="auto"/>
              </w:rPr>
            </w:pP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198,210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185,858</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(131,507)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(129,927)</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66,703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55,931</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On November 8, 2016, with the acquisition of Grand Design, we acquired $9.0 million of property, plant and equipment.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14"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We provide service and warranty policies on our products. From time to time, we also voluntarily incur costs for certain warranty-type expenses occurring after the normal warranty period to help protect the reputation of our products and the goodwill of our customers. Warranty expense is affected by dealership labor rates, the cost of parts and the frequency of claims. Estimated costs related to product warranty are accrued at the time of sale and are based upon historical warranty and service claims experience. Adjustments are made to accruals as claim data and cost experience becomes available.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4"/>
          </w:tcPr>
          <w:p>
            <w:pPr>
              <w:jc w:val="right"/>
              <w:ind w:right="13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8"/>
        </w:trPr>
        <w:tc>
          <w:tcPr>
            <w:tcW w:w="4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gridSpan w:val="2"/>
          </w:tcPr>
          <w:p>
            <w:pPr>
              <w:ind w:left="220"/>
              <w:spacing w:after="0"/>
              <w:rPr>
                <w:sz w:val="20"/>
                <w:szCs w:val="20"/>
                <w:color w:val="auto"/>
              </w:rPr>
            </w:pPr>
            <w:r>
              <w:rPr>
                <w:rFonts w:ascii="Arial" w:cs="Arial" w:eastAsia="Arial" w:hAnsi="Arial"/>
                <w:sz w:val="16"/>
                <w:szCs w:val="16"/>
                <w:b w:val="1"/>
                <w:bCs w:val="1"/>
                <w:color w:val="auto"/>
              </w:rPr>
              <w:t>November 26,</w:t>
            </w:r>
          </w:p>
        </w:tc>
        <w:tc>
          <w:tcPr>
            <w:tcW w:w="340" w:type="dxa"/>
            <w:vAlign w:val="bottom"/>
          </w:tcPr>
          <w:p>
            <w:pPr>
              <w:spacing w:after="0"/>
              <w:rPr>
                <w:sz w:val="17"/>
                <w:szCs w:val="17"/>
                <w:color w:val="auto"/>
              </w:rPr>
            </w:pPr>
          </w:p>
        </w:tc>
        <w:tc>
          <w:tcPr>
            <w:tcW w:w="1860" w:type="dxa"/>
            <w:vAlign w:val="bottom"/>
          </w:tcPr>
          <w:p>
            <w:pPr>
              <w:jc w:val="right"/>
              <w:ind w:right="519"/>
              <w:spacing w:after="0"/>
              <w:rPr>
                <w:sz w:val="20"/>
                <w:szCs w:val="20"/>
                <w:color w:val="auto"/>
              </w:rPr>
            </w:pPr>
            <w:r>
              <w:rPr>
                <w:rFonts w:ascii="Arial" w:cs="Arial" w:eastAsia="Arial" w:hAnsi="Arial"/>
                <w:sz w:val="16"/>
                <w:szCs w:val="16"/>
                <w:b w:val="1"/>
                <w:bCs w:val="1"/>
                <w:color w:val="auto"/>
              </w:rPr>
              <w:t>November 28,</w:t>
            </w:r>
          </w:p>
        </w:tc>
        <w:tc>
          <w:tcPr>
            <w:tcW w:w="0" w:type="dxa"/>
            <w:vAlign w:val="bottom"/>
          </w:tcPr>
          <w:p>
            <w:pPr>
              <w:spacing w:after="0"/>
              <w:rPr>
                <w:sz w:val="1"/>
                <w:szCs w:val="1"/>
                <w:color w:val="auto"/>
              </w:rPr>
            </w:pPr>
          </w:p>
        </w:tc>
      </w:tr>
      <w:tr>
        <w:trPr>
          <w:trHeight w:val="228"/>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12,412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11,254</w:t>
            </w:r>
          </w:p>
        </w:tc>
        <w:tc>
          <w:tcPr>
            <w:tcW w:w="0" w:type="dxa"/>
            <w:vAlign w:val="bottom"/>
          </w:tcPr>
          <w:p>
            <w:pPr>
              <w:spacing w:after="0"/>
              <w:rPr>
                <w:sz w:val="1"/>
                <w:szCs w:val="1"/>
                <w:color w:val="auto"/>
              </w:rPr>
            </w:pPr>
          </w:p>
        </w:tc>
      </w:tr>
      <w:tr>
        <w:trPr>
          <w:trHeight w:val="260"/>
        </w:trPr>
        <w:tc>
          <w:tcPr>
            <w:tcW w:w="4800" w:type="dxa"/>
            <w:vAlign w:val="bottom"/>
          </w:tcPr>
          <w:p>
            <w:pPr>
              <w:ind w:left="40"/>
              <w:spacing w:after="0"/>
              <w:rPr>
                <w:sz w:val="20"/>
                <w:szCs w:val="20"/>
                <w:color w:val="auto"/>
              </w:rPr>
            </w:pPr>
            <w:r>
              <w:rPr>
                <w:rFonts w:ascii="Arial" w:cs="Arial" w:eastAsia="Arial" w:hAnsi="Arial"/>
                <w:sz w:val="16"/>
                <w:szCs w:val="16"/>
                <w:color w:val="auto"/>
              </w:rPr>
              <w:t>Provision</w:t>
            </w: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color w:val="auto"/>
              </w:rPr>
              <w:t>3,898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60" w:type="dxa"/>
            <w:vAlign w:val="bottom"/>
          </w:tcPr>
          <w:p>
            <w:pPr>
              <w:jc w:val="right"/>
              <w:ind w:right="359"/>
              <w:spacing w:after="0"/>
              <w:rPr>
                <w:sz w:val="20"/>
                <w:szCs w:val="20"/>
                <w:color w:val="auto"/>
              </w:rPr>
            </w:pPr>
            <w:r>
              <w:rPr>
                <w:rFonts w:ascii="Arial" w:cs="Arial" w:eastAsia="Arial" w:hAnsi="Arial"/>
                <w:sz w:val="16"/>
                <w:szCs w:val="16"/>
                <w:color w:val="auto"/>
              </w:rPr>
              <w:t>3,594</w:t>
            </w:r>
          </w:p>
        </w:tc>
        <w:tc>
          <w:tcPr>
            <w:tcW w:w="0" w:type="dxa"/>
            <w:vAlign w:val="bottom"/>
          </w:tcPr>
          <w:p>
            <w:pPr>
              <w:spacing w:after="0"/>
              <w:rPr>
                <w:sz w:val="1"/>
                <w:szCs w:val="1"/>
                <w:color w:val="auto"/>
              </w:rPr>
            </w:pPr>
          </w:p>
        </w:tc>
      </w:tr>
      <w:tr>
        <w:trPr>
          <w:trHeight w:val="280"/>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(4,663)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(3,263)</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Acquisition of Grand Design</w:t>
            </w:r>
          </w:p>
        </w:tc>
        <w:tc>
          <w:tcPr>
            <w:tcW w:w="2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12,904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24,551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11,585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jc w:val="right"/>
              <w:ind w:right="919"/>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48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47"/>
        </w:trPr>
        <w:tc>
          <w:tcPr>
            <w:tcW w:w="7260" w:type="dxa"/>
            <w:vAlign w:val="bottom"/>
            <w:gridSpan w:val="3"/>
          </w:tcPr>
          <w:p>
            <w:pPr>
              <w:spacing w:after="0"/>
              <w:rPr>
                <w:sz w:val="20"/>
                <w:szCs w:val="20"/>
                <w:color w:val="auto"/>
              </w:rPr>
            </w:pPr>
            <w:r>
              <w:rPr>
                <w:rFonts w:ascii="Arial" w:cs="Arial" w:eastAsia="Arial" w:hAnsi="Arial"/>
                <w:sz w:val="16"/>
                <w:szCs w:val="16"/>
                <w:b w:val="1"/>
                <w:bCs w:val="1"/>
                <w:color w:val="auto"/>
              </w:rPr>
              <w:t>Note 9: Long-Term Debt</w:t>
            </w: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7260" w:type="dxa"/>
            <w:vAlign w:val="bottom"/>
            <w:gridSpan w:val="3"/>
          </w:tcPr>
          <w:p>
            <w:pPr>
              <w:spacing w:after="0"/>
              <w:rPr>
                <w:sz w:val="20"/>
                <w:szCs w:val="20"/>
                <w:color w:val="auto"/>
              </w:rPr>
            </w:pPr>
            <w:r>
              <w:rPr>
                <w:rFonts w:ascii="Arial" w:cs="Arial" w:eastAsia="Arial" w:hAnsi="Arial"/>
                <w:sz w:val="16"/>
                <w:szCs w:val="16"/>
                <w:color w:val="auto"/>
              </w:rPr>
              <w:t>The components of long-term debt are as follows:</w:t>
            </w: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6"/>
        </w:trPr>
        <w:tc>
          <w:tcPr>
            <w:tcW w:w="12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November 26,</w:t>
            </w:r>
          </w:p>
        </w:tc>
        <w:tc>
          <w:tcPr>
            <w:tcW w:w="320" w:type="dxa"/>
            <w:vAlign w:val="bottom"/>
          </w:tcPr>
          <w:p>
            <w:pPr>
              <w:spacing w:after="0"/>
              <w:rPr>
                <w:sz w:val="24"/>
                <w:szCs w:val="24"/>
                <w:color w:val="auto"/>
              </w:rPr>
            </w:pPr>
          </w:p>
        </w:tc>
        <w:tc>
          <w:tcPr>
            <w:tcW w:w="1600" w:type="dxa"/>
            <w:vAlign w:val="bottom"/>
          </w:tcPr>
          <w:p>
            <w:pPr>
              <w:ind w:left="200"/>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7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2016</w:t>
            </w:r>
          </w:p>
        </w:tc>
      </w:tr>
      <w:tr>
        <w:trPr>
          <w:trHeight w:val="257"/>
        </w:trPr>
        <w:tc>
          <w:tcPr>
            <w:tcW w:w="7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53,000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w:t>
            </w:r>
          </w:p>
        </w:tc>
      </w:tr>
      <w:tr>
        <w:trPr>
          <w:trHeight w:val="264"/>
        </w:trPr>
        <w:tc>
          <w:tcPr>
            <w:tcW w:w="72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Term Loan</w:t>
            </w: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rPr>
              <w:t>—</w:t>
            </w:r>
          </w:p>
        </w:tc>
      </w:tr>
      <w:tr>
        <w:trPr>
          <w:trHeight w:val="257"/>
        </w:trPr>
        <w:tc>
          <w:tcPr>
            <w:tcW w:w="1260" w:type="dxa"/>
            <w:vAlign w:val="bottom"/>
            <w:shd w:val="clear" w:color="auto" w:fill="CCEEFF"/>
          </w:tcPr>
          <w:p>
            <w:pPr>
              <w:spacing w:after="0"/>
              <w:rPr>
                <w:sz w:val="22"/>
                <w:szCs w:val="22"/>
                <w:color w:val="auto"/>
              </w:rPr>
            </w:pPr>
          </w:p>
        </w:tc>
        <w:tc>
          <w:tcPr>
            <w:tcW w:w="5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353,000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w:t>
            </w:r>
          </w:p>
        </w:tc>
      </w:tr>
      <w:tr>
        <w:trPr>
          <w:trHeight w:val="264"/>
        </w:trPr>
        <w:tc>
          <w:tcPr>
            <w:tcW w:w="72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debt issuance cost, net</w:t>
            </w: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(10,680)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rPr>
              <w:t>—</w:t>
            </w:r>
          </w:p>
        </w:tc>
      </w:tr>
      <w:tr>
        <w:trPr>
          <w:trHeight w:val="257"/>
        </w:trPr>
        <w:tc>
          <w:tcPr>
            <w:tcW w:w="1260" w:type="dxa"/>
            <w:vAlign w:val="bottom"/>
            <w:shd w:val="clear" w:color="auto" w:fill="CCEEFF"/>
          </w:tcPr>
          <w:p>
            <w:pPr>
              <w:spacing w:after="0"/>
              <w:rPr>
                <w:sz w:val="22"/>
                <w:szCs w:val="22"/>
                <w:color w:val="auto"/>
              </w:rPr>
            </w:pPr>
          </w:p>
        </w:tc>
        <w:tc>
          <w:tcPr>
            <w:tcW w:w="5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342,320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w:t>
            </w:r>
          </w:p>
        </w:tc>
      </w:tr>
      <w:tr>
        <w:trPr>
          <w:trHeight w:val="264"/>
        </w:trPr>
        <w:tc>
          <w:tcPr>
            <w:tcW w:w="72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current maturities</w:t>
            </w:r>
          </w:p>
        </w:tc>
        <w:tc>
          <w:tcPr>
            <w:tcW w:w="3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(7,578)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rPr>
              <w:t>—</w:t>
            </w:r>
          </w:p>
        </w:tc>
      </w:tr>
      <w:tr>
        <w:trPr>
          <w:trHeight w:val="240"/>
        </w:trPr>
        <w:tc>
          <w:tcPr>
            <w:tcW w:w="7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debt, less current maturities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334,742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6"/>
                <w:szCs w:val="16"/>
                <w:color w:val="auto"/>
              </w:rPr>
              <w:t>—</w:t>
            </w:r>
          </w:p>
        </w:tc>
      </w:tr>
      <w:tr>
        <w:trPr>
          <w:trHeight w:val="20"/>
        </w:trPr>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On November 8, 2016, we entered into the ABL and Term Loan agreements with JPMorgan Chase. The Credit Facility replaced the prior Amended Credit Agreement which was terminated that same day. Under the terms of the Credit Facility, we have a $125.0 million ABL credit facility and a $300.0 million Term Loan.</w:t>
      </w:r>
    </w:p>
    <w:p>
      <w:pPr>
        <w:spacing w:after="0" w:line="20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Under the ABL agreement, we have a five year credit facility available on a revolving basis, subject to availability under a borrowing base consisting of 85% of eligible accounts receivable and generally 75% of eligible inventory. The line is available for issuance of letters of credit to a specified limit of $10.0 million.</w:t>
      </w:r>
    </w:p>
    <w:p>
      <w:pPr>
        <w:spacing w:after="0" w:line="196"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Under the ABL agreement, to determine interest due, we can elect to base the rate on the alternate base rate (prime rate, NYFRB rate or adjusted LIBOR for one-month period) plus 0.5% to 1.0%, depending on the amount of borrowings outstanding, or an adjusted LIBOR rate for a period of one, two, three or six months as selected by us plus 1.50% to 2.0%, depending on the amount of borrowings outstanding. The interest rate we paid as of November 26, 2016 was 2.4%. We also pay a commitment fee equal to 0.375% if the average utilized portion is less than or equal to 50%, or 0.25% if the utilized portion is greater than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22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Under the Term Loan agreement, we have a seven year credit facility repayable in quarterly installments in an aggregate amount equal to 1.0% of the original amount of the Term Loan on March 31, June 30 and September 30, 2017; 1.25% each calendar quarter end thereafter; with the balance payable at the end of seven years on November 8, 2023. There are mandatory prepayments for proceeds of new debt, sale of significant assets or subsidiaries and annually for 50% of excess cash flow beginning with Fiscal 2017 (the 50% is subject to step-downs to 25% and 0% if the total net leverage ratio, as defined in the Term Loan agreement, is less than 2.5 to 1.00 and 2.0 to 1.00, respectively, as of the last day of the period). Incremental term loans of up to $125.0 million are available if certain financial ratios and other conditions are met.</w:t>
      </w:r>
    </w:p>
    <w:p>
      <w:pPr>
        <w:spacing w:after="0" w:line="205" w:lineRule="exact"/>
        <w:rPr>
          <w:sz w:val="20"/>
          <w:szCs w:val="20"/>
          <w:color w:val="auto"/>
        </w:rPr>
      </w:pPr>
    </w:p>
    <w:p>
      <w:pPr>
        <w:jc w:val="both"/>
        <w:ind w:right="500"/>
        <w:spacing w:after="0" w:line="253" w:lineRule="auto"/>
        <w:rPr>
          <w:sz w:val="20"/>
          <w:szCs w:val="20"/>
          <w:color w:val="auto"/>
        </w:rPr>
      </w:pPr>
      <w:r>
        <w:rPr>
          <w:rFonts w:ascii="Arial" w:cs="Arial" w:eastAsia="Arial" w:hAnsi="Arial"/>
          <w:sz w:val="16"/>
          <w:szCs w:val="16"/>
          <w:color w:val="auto"/>
        </w:rPr>
        <w:t>Under the Term Loan agreement, to determine interest due, we can elect to base the rate on the alternate base rate (prime rate, NYFRB rate or adjusted LIBOR for one-month period with a floor of 2%) plus 3.50% or an adjusted LIBOR rate for the interest period selected plus 4.50%. The interest rate as of November 26, 2016 was 5.5%.</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the Credit Facility, we are required to enter into a hedging arrangement to effectively fix the LIBOR component of interest cost at the prevailing swap rate with a notional amount of at least 50% of the projected outstanding principal amount of the Term Loan. The hedging arrangement needs to be maintained until the later of 3 years from closing date or the date the leverage ratio is less than 2.0 to 1.0. In accordance with this requirement, we plan to enter into interest swap contracts in January 2017.</w:t>
      </w:r>
    </w:p>
    <w:p>
      <w:pPr>
        <w:spacing w:after="0" w:line="20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Term Loan includes financial covenants requiring that the fixed charge coverage ratio at the end of any four fiscal quarters be not less than 1.0 to 1.0, defined as consolidated EBITDA (as defined) less capital expenditures (as defined), over fixed charges, generally defined as cash interest, cash income taxes, principal payments on loans, and dividends, and that the senior secured net leverage ratio at the end of each fiscal quarter be not greater than 3.5 to 1.0 prior to the fiscal quarter ending November 24, 2018 and 3.25 to 1.0 for each quarter thereafter, defined generally as the ratio of total secured indebtedness minus cash and permitted investments, to consolidated EBITDA (as defined).</w:t>
      </w:r>
    </w:p>
    <w:p>
      <w:pPr>
        <w:spacing w:after="0" w:line="203"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ABL generally contain similar covenants, and include restrictions on indebtedness, liens, mergers, consolidations, investments, guarantees, acquisitions, sales of assets, and transactions with affiliates. Dividends, redemptions and other payments on equity are generally limited to $20.0 million in any fiscal year; higher amounts may be paid if the total net leverage ratio does not exceed 3.0 to 1.0. Customary events of default (with customary grace periods, notice and cure periods and thresholds) include payment default, breach of representation in any material respect, breach of covenants, default to material indebtedness, bankruptcy, ERISA violations, material judgments, change in control and termination of invalidity of guaranty or security documents. As of November 26, 2016, we are in compliance with the financial covenants of the Credit Facility agreements.</w:t>
      </w:r>
    </w:p>
    <w:p>
      <w:pPr>
        <w:spacing w:after="0" w:line="20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ABL and Term Loan are guaranteed by Winnebago Industries, Inc. and all material direct and indirect domestic subsidiaries, and are secured by a security interest in all property of ours, except minor excluded assets.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As of November 26, 2016, $10.8 million of debt issuance costs, net of amortization of $0.1 million, were recorded as a direct deduction from long-term debt, $1.4 million from the current portion and $9.3 million from the long-term portion. Unamortized debt issuance costs of $0.1 million related to the prior Amended Credit Agreement were expensed in the three months ended November 26, 2016.</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9"/>
                <w:szCs w:val="19"/>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257"/>
        </w:trPr>
        <w:tc>
          <w:tcPr>
            <w:tcW w:w="6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91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r>
      <w:tr>
        <w:trPr>
          <w:trHeight w:val="260"/>
        </w:trPr>
        <w:tc>
          <w:tcPr>
            <w:tcW w:w="6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14,250</w:t>
            </w:r>
          </w:p>
        </w:tc>
      </w:tr>
      <w:tr>
        <w:trPr>
          <w:trHeight w:val="280"/>
        </w:trPr>
        <w:tc>
          <w:tcPr>
            <w:tcW w:w="620" w:type="dxa"/>
            <w:vAlign w:val="bottom"/>
            <w:shd w:val="clear" w:color="auto" w:fill="CCEEFF"/>
          </w:tcPr>
          <w:p>
            <w:pPr>
              <w:spacing w:after="0"/>
              <w:rPr>
                <w:sz w:val="24"/>
                <w:szCs w:val="24"/>
                <w:color w:val="auto"/>
              </w:rPr>
            </w:pPr>
          </w:p>
        </w:tc>
        <w:tc>
          <w:tcPr>
            <w:tcW w:w="9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0"/>
        </w:trPr>
        <w:tc>
          <w:tcPr>
            <w:tcW w:w="6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80"/>
        </w:trPr>
        <w:tc>
          <w:tcPr>
            <w:tcW w:w="620" w:type="dxa"/>
            <w:vAlign w:val="bottom"/>
            <w:shd w:val="clear" w:color="auto" w:fill="CCEEFF"/>
          </w:tcPr>
          <w:p>
            <w:pPr>
              <w:spacing w:after="0"/>
              <w:rPr>
                <w:sz w:val="24"/>
                <w:szCs w:val="24"/>
                <w:color w:val="auto"/>
              </w:rPr>
            </w:pPr>
          </w:p>
        </w:tc>
        <w:tc>
          <w:tcPr>
            <w:tcW w:w="9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0"/>
        </w:trPr>
        <w:tc>
          <w:tcPr>
            <w:tcW w:w="6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68,000</w:t>
            </w:r>
          </w:p>
        </w:tc>
      </w:tr>
      <w:tr>
        <w:trPr>
          <w:trHeight w:val="280"/>
        </w:trPr>
        <w:tc>
          <w:tcPr>
            <w:tcW w:w="620" w:type="dxa"/>
            <w:vAlign w:val="bottom"/>
            <w:shd w:val="clear" w:color="auto" w:fill="CCEEFF"/>
          </w:tcPr>
          <w:p>
            <w:pPr>
              <w:spacing w:after="0"/>
              <w:rPr>
                <w:sz w:val="24"/>
                <w:szCs w:val="24"/>
                <w:color w:val="auto"/>
              </w:rPr>
            </w:pPr>
          </w:p>
        </w:tc>
        <w:tc>
          <w:tcPr>
            <w:tcW w:w="9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4"/>
        </w:trPr>
        <w:tc>
          <w:tcPr>
            <w:tcW w:w="620" w:type="dxa"/>
            <w:vAlign w:val="bottom"/>
            <w:tcBorders>
              <w:bottom w:val="single" w:sz="8" w:color="CCEEFF"/>
            </w:tcBorders>
          </w:tcPr>
          <w:p>
            <w:pPr>
              <w:spacing w:after="0"/>
              <w:rPr>
                <w:sz w:val="22"/>
                <w:szCs w:val="22"/>
                <w:color w:val="auto"/>
              </w:rPr>
            </w:pPr>
          </w:p>
        </w:tc>
        <w:tc>
          <w:tcPr>
            <w:tcW w:w="9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204,750</w:t>
            </w:r>
          </w:p>
        </w:tc>
      </w:tr>
      <w:tr>
        <w:trPr>
          <w:trHeight w:val="240"/>
        </w:trPr>
        <w:tc>
          <w:tcPr>
            <w:tcW w:w="6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debt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353,000</w:t>
            </w:r>
          </w:p>
        </w:tc>
      </w:tr>
      <w:tr>
        <w:trPr>
          <w:trHeight w:val="20"/>
        </w:trPr>
        <w:tc>
          <w:tcPr>
            <w:tcW w:w="6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gridSpan w:val="3"/>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51"/>
        </w:trPr>
        <w:tc>
          <w:tcPr>
            <w:tcW w:w="7360" w:type="dxa"/>
            <w:vAlign w:val="bottom"/>
            <w:gridSpan w:val="3"/>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6"/>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November 26,</w:t>
            </w:r>
          </w:p>
        </w:tc>
        <w:tc>
          <w:tcPr>
            <w:tcW w:w="320" w:type="dxa"/>
            <w:vAlign w:val="bottom"/>
          </w:tcPr>
          <w:p>
            <w:pPr>
              <w:spacing w:after="0"/>
              <w:rPr>
                <w:sz w:val="24"/>
                <w:szCs w:val="24"/>
                <w:color w:val="auto"/>
              </w:rPr>
            </w:pPr>
          </w:p>
        </w:tc>
        <w:tc>
          <w:tcPr>
            <w:tcW w:w="1640" w:type="dxa"/>
            <w:vAlign w:val="bottom"/>
          </w:tcPr>
          <w:p>
            <w:pPr>
              <w:jc w:val="right"/>
              <w:ind w:right="519"/>
              <w:spacing w:after="0"/>
              <w:rPr>
                <w:sz w:val="20"/>
                <w:szCs w:val="20"/>
                <w:color w:val="auto"/>
              </w:rPr>
            </w:pPr>
            <w:r>
              <w:rPr>
                <w:rFonts w:ascii="Arial" w:cs="Arial" w:eastAsia="Arial" w:hAnsi="Arial"/>
                <w:sz w:val="16"/>
                <w:szCs w:val="16"/>
                <w:b w:val="1"/>
                <w:bCs w:val="1"/>
                <w:color w:val="auto"/>
              </w:rPr>
              <w:t>August 27,</w:t>
            </w:r>
          </w:p>
        </w:tc>
      </w:tr>
      <w:tr>
        <w:trPr>
          <w:trHeight w:val="228"/>
        </w:trPr>
        <w:tc>
          <w:tcPr>
            <w:tcW w:w="20" w:type="dxa"/>
            <w:vAlign w:val="bottom"/>
          </w:tcPr>
          <w:p>
            <w:pPr>
              <w:spacing w:after="0"/>
              <w:rPr>
                <w:sz w:val="19"/>
                <w:szCs w:val="19"/>
                <w:color w:val="auto"/>
              </w:rPr>
            </w:pPr>
          </w:p>
        </w:tc>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2016</w:t>
            </w:r>
          </w:p>
        </w:tc>
      </w:tr>
      <w:tr>
        <w:trPr>
          <w:trHeight w:val="257"/>
        </w:trPr>
        <w:tc>
          <w:tcPr>
            <w:tcW w:w="20" w:type="dxa"/>
            <w:vAlign w:val="bottom"/>
          </w:tcPr>
          <w:p>
            <w:pPr>
              <w:spacing w:after="0"/>
              <w:rPr>
                <w:sz w:val="22"/>
                <w:szCs w:val="22"/>
                <w:color w:val="auto"/>
              </w:rPr>
            </w:pPr>
          </w:p>
        </w:tc>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Postretirement health care benefit cost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6,346</w:t>
            </w:r>
          </w:p>
        </w:tc>
      </w:tr>
      <w:tr>
        <w:trPr>
          <w:trHeight w:val="260"/>
        </w:trPr>
        <w:tc>
          <w:tcPr>
            <w:tcW w:w="20" w:type="dxa"/>
            <w:vAlign w:val="bottom"/>
          </w:tcPr>
          <w:p>
            <w:pPr>
              <w:spacing w:after="0"/>
              <w:rPr>
                <w:sz w:val="22"/>
                <w:szCs w:val="22"/>
                <w:color w:val="auto"/>
              </w:rPr>
            </w:pPr>
          </w:p>
        </w:tc>
        <w:tc>
          <w:tcPr>
            <w:tcW w:w="7340" w:type="dxa"/>
            <w:vAlign w:val="bottom"/>
            <w:gridSpan w:val="2"/>
          </w:tcPr>
          <w:p>
            <w:pPr>
              <w:ind w:left="20"/>
              <w:spacing w:after="0"/>
              <w:rPr>
                <w:sz w:val="20"/>
                <w:szCs w:val="20"/>
                <w:color w:val="auto"/>
              </w:rPr>
            </w:pPr>
            <w:r>
              <w:rPr>
                <w:rFonts w:ascii="Arial" w:cs="Arial" w:eastAsia="Arial" w:hAnsi="Arial"/>
                <w:sz w:val="16"/>
                <w:szCs w:val="16"/>
                <w:color w:val="auto"/>
              </w:rPr>
              <w:t>Non-qualified deferred compensation</w:t>
            </w:r>
          </w:p>
        </w:tc>
        <w:tc>
          <w:tcPr>
            <w:tcW w:w="26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17,616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ind w:right="359"/>
              <w:spacing w:after="0"/>
              <w:rPr>
                <w:sz w:val="20"/>
                <w:szCs w:val="20"/>
                <w:color w:val="auto"/>
              </w:rPr>
            </w:pPr>
            <w:r>
              <w:rPr>
                <w:rFonts w:ascii="Arial" w:cs="Arial" w:eastAsia="Arial" w:hAnsi="Arial"/>
                <w:sz w:val="16"/>
                <w:szCs w:val="16"/>
                <w:color w:val="auto"/>
              </w:rPr>
              <w:t>18,003</w:t>
            </w:r>
          </w:p>
        </w:tc>
      </w:tr>
      <w:tr>
        <w:trPr>
          <w:trHeight w:val="280"/>
        </w:trPr>
        <w:tc>
          <w:tcPr>
            <w:tcW w:w="20" w:type="dxa"/>
            <w:vAlign w:val="bottom"/>
          </w:tcPr>
          <w:p>
            <w:pPr>
              <w:spacing w:after="0"/>
              <w:rPr>
                <w:sz w:val="24"/>
                <w:szCs w:val="24"/>
                <w:color w:val="auto"/>
              </w:rPr>
            </w:pPr>
          </w:p>
        </w:tc>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share option plan liability</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3,341</w:t>
            </w:r>
          </w:p>
        </w:tc>
      </w:tr>
      <w:tr>
        <w:trPr>
          <w:trHeight w:val="260"/>
        </w:trPr>
        <w:tc>
          <w:tcPr>
            <w:tcW w:w="20" w:type="dxa"/>
            <w:vAlign w:val="bottom"/>
          </w:tcPr>
          <w:p>
            <w:pPr>
              <w:spacing w:after="0"/>
              <w:rPr>
                <w:sz w:val="22"/>
                <w:szCs w:val="22"/>
                <w:color w:val="auto"/>
              </w:rPr>
            </w:pPr>
          </w:p>
        </w:tc>
        <w:tc>
          <w:tcPr>
            <w:tcW w:w="7340" w:type="dxa"/>
            <w:vAlign w:val="bottom"/>
            <w:gridSpan w:val="2"/>
          </w:tcPr>
          <w:p>
            <w:pPr>
              <w:ind w:left="20"/>
              <w:spacing w:after="0"/>
              <w:rPr>
                <w:sz w:val="20"/>
                <w:szCs w:val="20"/>
                <w:color w:val="auto"/>
              </w:rPr>
            </w:pPr>
            <w:r>
              <w:rPr>
                <w:rFonts w:ascii="Arial" w:cs="Arial" w:eastAsia="Arial" w:hAnsi="Arial"/>
                <w:sz w:val="16"/>
                <w:szCs w:val="16"/>
                <w:color w:val="auto"/>
              </w:rPr>
              <w:t>SERP benefit liability</w:t>
            </w:r>
          </w:p>
        </w:tc>
        <w:tc>
          <w:tcPr>
            <w:tcW w:w="26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2,701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ind w:right="359"/>
              <w:spacing w:after="0"/>
              <w:rPr>
                <w:sz w:val="20"/>
                <w:szCs w:val="20"/>
                <w:color w:val="auto"/>
              </w:rPr>
            </w:pPr>
            <w:r>
              <w:rPr>
                <w:rFonts w:ascii="Arial" w:cs="Arial" w:eastAsia="Arial" w:hAnsi="Arial"/>
                <w:sz w:val="16"/>
                <w:szCs w:val="16"/>
                <w:color w:val="auto"/>
              </w:rPr>
              <w:t>2,681</w:t>
            </w:r>
          </w:p>
        </w:tc>
      </w:tr>
      <w:tr>
        <w:trPr>
          <w:trHeight w:val="280"/>
        </w:trPr>
        <w:tc>
          <w:tcPr>
            <w:tcW w:w="20" w:type="dxa"/>
            <w:vAlign w:val="bottom"/>
          </w:tcPr>
          <w:p>
            <w:pPr>
              <w:spacing w:after="0"/>
              <w:rPr>
                <w:sz w:val="24"/>
                <w:szCs w:val="24"/>
                <w:color w:val="auto"/>
              </w:rPr>
            </w:pPr>
          </w:p>
        </w:tc>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389</w:t>
            </w:r>
          </w:p>
        </w:tc>
      </w:tr>
      <w:tr>
        <w:trPr>
          <w:trHeight w:val="264"/>
        </w:trPr>
        <w:tc>
          <w:tcPr>
            <w:tcW w:w="20" w:type="dxa"/>
            <w:vAlign w:val="bottom"/>
          </w:tcPr>
          <w:p>
            <w:pPr>
              <w:spacing w:after="0"/>
              <w:rPr>
                <w:sz w:val="22"/>
                <w:szCs w:val="22"/>
                <w:color w:val="auto"/>
              </w:rPr>
            </w:pPr>
          </w:p>
        </w:tc>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Officer stock-based compensation</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763</w:t>
            </w:r>
          </w:p>
        </w:tc>
      </w:tr>
      <w:tr>
        <w:trPr>
          <w:trHeight w:val="257"/>
        </w:trPr>
        <w:tc>
          <w:tcPr>
            <w:tcW w:w="20" w:type="dxa"/>
            <w:vAlign w:val="bottom"/>
          </w:tcPr>
          <w:p>
            <w:pPr>
              <w:spacing w:after="0"/>
              <w:rPr>
                <w:sz w:val="22"/>
                <w:szCs w:val="22"/>
                <w:color w:val="auto"/>
              </w:rPr>
            </w:pPr>
          </w:p>
        </w:tc>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deferred compensation and postretirement health care benefits</w:t>
            </w:r>
          </w:p>
        </w:tc>
        <w:tc>
          <w:tcPr>
            <w:tcW w:w="2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24,654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31,523</w:t>
            </w:r>
          </w:p>
        </w:tc>
      </w:tr>
      <w:tr>
        <w:trPr>
          <w:trHeight w:val="264"/>
        </w:trPr>
        <w:tc>
          <w:tcPr>
            <w:tcW w:w="20" w:type="dxa"/>
            <w:vAlign w:val="bottom"/>
          </w:tcPr>
          <w:p>
            <w:pPr>
              <w:spacing w:after="0"/>
              <w:rPr>
                <w:sz w:val="22"/>
                <w:szCs w:val="22"/>
                <w:color w:val="auto"/>
              </w:rPr>
            </w:pPr>
          </w:p>
        </w:tc>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current portion</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(4,693)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(4,574)</w:t>
            </w:r>
          </w:p>
        </w:tc>
      </w:tr>
      <w:tr>
        <w:trPr>
          <w:trHeight w:val="240"/>
        </w:trPr>
        <w:tc>
          <w:tcPr>
            <w:tcW w:w="20" w:type="dxa"/>
            <w:vAlign w:val="bottom"/>
          </w:tcPr>
          <w:p>
            <w:pPr>
              <w:spacing w:after="0"/>
              <w:rPr>
                <w:sz w:val="20"/>
                <w:szCs w:val="20"/>
                <w:color w:val="auto"/>
              </w:rPr>
            </w:pPr>
          </w:p>
        </w:tc>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deferred compensation and postretirement health care benefits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19,961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26,949</w:t>
            </w: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Historically, we provided certain health care and other benefits for retired employees hired before April 1, 2001, who had fulfilled eligibility requirements at age 55 with 15 years of continuous service. We used a September 1 measurement date for this plan and our postretirement health care plan was not funded.</w:t>
      </w:r>
    </w:p>
    <w:p>
      <w:pPr>
        <w:spacing w:after="0" w:line="16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Fiscal 2005, through a plan amendment, we established dollar caps on the amount that we paid for postretirement health care benefits per retiree on an annual basis so that we were not exposed to continued medical inflation. Retirees were required to pay a monthly premium in excess of the employer dollar caps for medical coverage based on years of service and age at retirement. Each year from 2012 to 2015, the employer established dollar caps were reduced by 10% through plan amendments. On January 1, 2016, postretirement health care benefits were discontinued for retirees age 65 and over. The plan amendment also included a 10% reduction in employer paid premiums for retirees under age 65. On October 26, 2016, we announced the termination of the remaining postretirement health care benefits to all participants. Beginning January 1, 2017, postretirement health care benefits will be discontinued for retirees under age 65. As a result of these amendments, our liability for postretirement health care was reduced as presented in the following table.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gridSpan w:val="2"/>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8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Liability</w:t>
            </w:r>
          </w:p>
        </w:tc>
        <w:tc>
          <w:tcPr>
            <w:tcW w:w="142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left="59"/>
              <w:spacing w:after="0"/>
              <w:rPr>
                <w:sz w:val="20"/>
                <w:szCs w:val="20"/>
                <w:color w:val="auto"/>
              </w:rPr>
            </w:pPr>
            <w:r>
              <w:rPr>
                <w:rFonts w:ascii="Arial" w:cs="Arial" w:eastAsia="Arial" w:hAnsi="Arial"/>
                <w:sz w:val="16"/>
                <w:szCs w:val="16"/>
                <w:b w:val="1"/>
                <w:bCs w:val="1"/>
                <w:color w:val="auto"/>
              </w:rPr>
              <w:t>Dollar Cap</w:t>
            </w:r>
          </w:p>
        </w:tc>
        <w:tc>
          <w:tcPr>
            <w:tcW w:w="300" w:type="dxa"/>
            <w:vAlign w:val="bottom"/>
          </w:tcPr>
          <w:p>
            <w:pPr>
              <w:spacing w:after="0"/>
              <w:rPr>
                <w:sz w:val="16"/>
                <w:szCs w:val="16"/>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Reduction</w:t>
            </w:r>
          </w:p>
        </w:tc>
        <w:tc>
          <w:tcPr>
            <w:tcW w:w="142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34"/>
        </w:trPr>
        <w:tc>
          <w:tcPr>
            <w:tcW w:w="20" w:type="dxa"/>
            <w:vAlign w:val="bottom"/>
          </w:tcPr>
          <w:p>
            <w:pPr>
              <w:spacing w:after="0"/>
              <w:rPr>
                <w:sz w:val="20"/>
                <w:szCs w:val="20"/>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560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Event</w:t>
            </w: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9"/>
              </w:rPr>
              <w:t>Reduction</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Borders>
              <w:bottom w:val="single" w:sz="8" w:color="auto"/>
            </w:tcBorders>
          </w:tcPr>
          <w:p>
            <w:pPr>
              <w:jc w:val="right"/>
              <w:ind w:right="339"/>
              <w:spacing w:after="0" w:line="234"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r>
      <w:tr>
        <w:trPr>
          <w:trHeight w:val="264"/>
        </w:trPr>
        <w:tc>
          <w:tcPr>
            <w:tcW w:w="20" w:type="dxa"/>
            <w:vAlign w:val="bottom"/>
          </w:tcPr>
          <w:p>
            <w:pPr>
              <w:spacing w:after="0"/>
              <w:rPr>
                <w:sz w:val="22"/>
                <w:szCs w:val="22"/>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2005</w:t>
            </w:r>
          </w:p>
        </w:tc>
        <w:tc>
          <w:tcPr>
            <w:tcW w:w="57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Established employer dollar caps</w:t>
            </w:r>
          </w:p>
        </w:tc>
        <w:tc>
          <w:tcPr>
            <w:tcW w:w="132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40,414</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11.5 years</w:t>
            </w:r>
          </w:p>
        </w:tc>
      </w:tr>
      <w:tr>
        <w:trPr>
          <w:trHeight w:val="260"/>
        </w:trPr>
        <w:tc>
          <w:tcPr>
            <w:tcW w:w="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January 2012</w:t>
            </w:r>
          </w:p>
        </w:tc>
        <w:tc>
          <w:tcPr>
            <w:tcW w:w="5740" w:type="dxa"/>
            <w:vAlign w:val="bottom"/>
            <w:gridSpan w:val="2"/>
          </w:tcPr>
          <w:p>
            <w:pPr>
              <w:ind w:left="50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4,598</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7.8 years</w:t>
            </w:r>
          </w:p>
        </w:tc>
      </w:tr>
      <w:tr>
        <w:trPr>
          <w:trHeight w:val="280"/>
        </w:trPr>
        <w:tc>
          <w:tcPr>
            <w:tcW w:w="20" w:type="dxa"/>
            <w:vAlign w:val="bottom"/>
          </w:tcPr>
          <w:p>
            <w:pPr>
              <w:spacing w:after="0"/>
              <w:rPr>
                <w:sz w:val="24"/>
                <w:szCs w:val="24"/>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2013</w:t>
            </w:r>
          </w:p>
        </w:tc>
        <w:tc>
          <w:tcPr>
            <w:tcW w:w="57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Reduced employer dollar caps</w:t>
            </w:r>
          </w:p>
        </w:tc>
        <w:tc>
          <w:tcPr>
            <w:tcW w:w="13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4,289</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7.5 years</w:t>
            </w:r>
          </w:p>
        </w:tc>
      </w:tr>
      <w:tr>
        <w:trPr>
          <w:trHeight w:val="260"/>
        </w:trPr>
        <w:tc>
          <w:tcPr>
            <w:tcW w:w="2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January 2014</w:t>
            </w:r>
          </w:p>
        </w:tc>
        <w:tc>
          <w:tcPr>
            <w:tcW w:w="5740" w:type="dxa"/>
            <w:vAlign w:val="bottom"/>
            <w:gridSpan w:val="2"/>
          </w:tcPr>
          <w:p>
            <w:pPr>
              <w:ind w:left="50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3,580</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7.3 years</w:t>
            </w:r>
          </w:p>
        </w:tc>
      </w:tr>
      <w:tr>
        <w:trPr>
          <w:trHeight w:val="280"/>
        </w:trPr>
        <w:tc>
          <w:tcPr>
            <w:tcW w:w="20" w:type="dxa"/>
            <w:vAlign w:val="bottom"/>
          </w:tcPr>
          <w:p>
            <w:pPr>
              <w:spacing w:after="0"/>
              <w:rPr>
                <w:sz w:val="24"/>
                <w:szCs w:val="24"/>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2015</w:t>
            </w:r>
          </w:p>
        </w:tc>
        <w:tc>
          <w:tcPr>
            <w:tcW w:w="57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Reduced employer dollar caps</w:t>
            </w:r>
          </w:p>
        </w:tc>
        <w:tc>
          <w:tcPr>
            <w:tcW w:w="13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3,960</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7.1 years</w:t>
            </w:r>
          </w:p>
        </w:tc>
      </w:tr>
      <w:tr>
        <w:trPr>
          <w:trHeight w:val="218"/>
        </w:trPr>
        <w:tc>
          <w:tcPr>
            <w:tcW w:w="2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January 2016</w:t>
            </w:r>
          </w:p>
        </w:tc>
        <w:tc>
          <w:tcPr>
            <w:tcW w:w="5740" w:type="dxa"/>
            <w:vAlign w:val="bottom"/>
            <w:gridSpan w:val="2"/>
          </w:tcPr>
          <w:p>
            <w:pPr>
              <w:ind w:left="500"/>
              <w:spacing w:after="0"/>
              <w:rPr>
                <w:sz w:val="20"/>
                <w:szCs w:val="20"/>
                <w:color w:val="auto"/>
              </w:rPr>
            </w:pPr>
            <w:r>
              <w:rPr>
                <w:rFonts w:ascii="Arial" w:cs="Arial" w:eastAsia="Arial" w:hAnsi="Arial"/>
                <w:sz w:val="16"/>
                <w:szCs w:val="16"/>
                <w:color w:val="auto"/>
              </w:rPr>
              <w:t>Reduced employer dollar caps for retirees under age 65; discontinued</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740" w:type="dxa"/>
            <w:vAlign w:val="bottom"/>
            <w:gridSpan w:val="2"/>
          </w:tcPr>
          <w:p>
            <w:pPr>
              <w:ind w:left="500"/>
              <w:spacing w:after="0"/>
              <w:rPr>
                <w:sz w:val="20"/>
                <w:szCs w:val="20"/>
                <w:color w:val="auto"/>
              </w:rPr>
            </w:pPr>
            <w:r>
              <w:rPr>
                <w:rFonts w:ascii="Arial" w:cs="Arial" w:eastAsia="Arial" w:hAnsi="Arial"/>
                <w:sz w:val="16"/>
                <w:szCs w:val="16"/>
                <w:color w:val="auto"/>
              </w:rPr>
              <w:t>retiree benefits for retirees age 65 and over</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tcPr>
          <w:p>
            <w:pPr>
              <w:spacing w:after="0"/>
              <w:rPr>
                <w:sz w:val="16"/>
                <w:szCs w:val="16"/>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28,596</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6.9 years</w:t>
            </w:r>
          </w:p>
        </w:tc>
      </w:tr>
      <w:tr>
        <w:trPr>
          <w:trHeight w:val="289"/>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6"/>
                <w:szCs w:val="16"/>
                <w:color w:val="auto"/>
              </w:rPr>
              <w:t xml:space="preserve">January 2017 </w:t>
            </w:r>
            <w:r>
              <w:rPr>
                <w:rFonts w:ascii="Arial" w:cs="Arial" w:eastAsia="Arial" w:hAnsi="Arial"/>
                <w:sz w:val="21"/>
                <w:szCs w:val="21"/>
                <w:color w:val="auto"/>
                <w:vertAlign w:val="superscript"/>
              </w:rPr>
              <w:t>(2)</w:t>
            </w:r>
          </w:p>
        </w:tc>
        <w:tc>
          <w:tcPr>
            <w:tcW w:w="5740" w:type="dxa"/>
            <w:vAlign w:val="bottom"/>
            <w:gridSpan w:val="2"/>
          </w:tcPr>
          <w:p>
            <w:pPr>
              <w:ind w:left="500"/>
              <w:spacing w:after="0"/>
              <w:rPr>
                <w:sz w:val="20"/>
                <w:szCs w:val="20"/>
                <w:color w:val="auto"/>
              </w:rPr>
            </w:pPr>
            <w:r>
              <w:rPr>
                <w:rFonts w:ascii="Arial" w:cs="Arial" w:eastAsia="Arial" w:hAnsi="Arial"/>
                <w:sz w:val="16"/>
                <w:szCs w:val="16"/>
                <w:color w:val="auto"/>
              </w:rPr>
              <w:t>Terminated plan</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6,338</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0.2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-170815</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140" w:hanging="132"/>
        <w:spacing w:after="0" w:line="218"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Plan amendments are amortized on a straight-line basis over the expected remaining service period of active plan participants.</w:t>
      </w:r>
    </w:p>
    <w:p>
      <w:pPr>
        <w:ind w:right="80" w:firstLine="8"/>
        <w:spacing w:after="0" w:line="225"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In accordance with ASC 715, the effects of the plan amendment are accounted for at the date the amendment is adopted and the date the amendment has been communicated to plan participants. The effective date for this plan amendment was October 26,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20" w:type="dxa"/>
            <w:vAlign w:val="bottom"/>
            <w:gridSpan w:val="3"/>
          </w:tcPr>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91"/>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November 26,</w:t>
            </w:r>
          </w:p>
        </w:tc>
        <w:tc>
          <w:tcPr>
            <w:tcW w:w="220" w:type="dxa"/>
            <w:vAlign w:val="bottom"/>
          </w:tcPr>
          <w:p>
            <w:pPr>
              <w:spacing w:after="0"/>
              <w:rPr>
                <w:sz w:val="17"/>
                <w:szCs w:val="17"/>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20" w:type="dxa"/>
            <w:vAlign w:val="bottom"/>
          </w:tcPr>
          <w:p>
            <w:pPr>
              <w:spacing w:after="0"/>
              <w:rPr>
                <w:sz w:val="19"/>
                <w:szCs w:val="19"/>
                <w:color w:val="auto"/>
              </w:rPr>
            </w:pPr>
          </w:p>
        </w:tc>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r>
      <w:tr>
        <w:trPr>
          <w:trHeight w:val="257"/>
        </w:trPr>
        <w:tc>
          <w:tcPr>
            <w:tcW w:w="20" w:type="dxa"/>
            <w:vAlign w:val="bottom"/>
          </w:tcPr>
          <w:p>
            <w:pPr>
              <w:spacing w:after="0"/>
              <w:rPr>
                <w:sz w:val="22"/>
                <w:szCs w:val="22"/>
                <w:color w:val="auto"/>
              </w:rPr>
            </w:pPr>
          </w:p>
        </w:tc>
        <w:tc>
          <w:tcPr>
            <w:tcW w:w="7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153</w:t>
            </w:r>
          </w:p>
        </w:tc>
      </w:tr>
      <w:tr>
        <w:trPr>
          <w:trHeight w:val="260"/>
        </w:trPr>
        <w:tc>
          <w:tcPr>
            <w:tcW w:w="20" w:type="dxa"/>
            <w:vAlign w:val="bottom"/>
          </w:tcPr>
          <w:p>
            <w:pPr>
              <w:spacing w:after="0"/>
              <w:rPr>
                <w:sz w:val="22"/>
                <w:szCs w:val="22"/>
                <w:color w:val="auto"/>
              </w:rPr>
            </w:pPr>
          </w:p>
        </w:tc>
        <w:tc>
          <w:tcPr>
            <w:tcW w:w="7700" w:type="dxa"/>
            <w:vAlign w:val="bottom"/>
            <w:gridSpan w:val="2"/>
          </w:tcPr>
          <w:p>
            <w:pPr>
              <w:ind w:left="2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2"/>
                <w:szCs w:val="22"/>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41</w:t>
            </w:r>
          </w:p>
        </w:tc>
      </w:tr>
      <w:tr>
        <w:trPr>
          <w:trHeight w:val="280"/>
        </w:trPr>
        <w:tc>
          <w:tcPr>
            <w:tcW w:w="20" w:type="dxa"/>
            <w:vAlign w:val="bottom"/>
          </w:tcPr>
          <w:p>
            <w:pPr>
              <w:spacing w:after="0"/>
              <w:rPr>
                <w:sz w:val="24"/>
                <w:szCs w:val="24"/>
                <w:color w:val="auto"/>
              </w:rPr>
            </w:pPr>
          </w:p>
        </w:tc>
        <w:tc>
          <w:tcPr>
            <w:tcW w:w="7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prior service benefit</w:t>
            </w: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(20,772)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(1,713)</w:t>
            </w:r>
          </w:p>
        </w:tc>
      </w:tr>
      <w:tr>
        <w:trPr>
          <w:trHeight w:val="264"/>
        </w:trPr>
        <w:tc>
          <w:tcPr>
            <w:tcW w:w="20" w:type="dxa"/>
            <w:vAlign w:val="bottom"/>
          </w:tcPr>
          <w:p>
            <w:pPr>
              <w:spacing w:after="0"/>
              <w:rPr>
                <w:sz w:val="22"/>
                <w:szCs w:val="22"/>
                <w:color w:val="auto"/>
              </w:rPr>
            </w:pPr>
          </w:p>
        </w:tc>
        <w:tc>
          <w:tcPr>
            <w:tcW w:w="7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Amortization of net actuarial loss</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7,959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368</w:t>
            </w:r>
          </w:p>
        </w:tc>
      </w:tr>
      <w:tr>
        <w:trPr>
          <w:trHeight w:val="240"/>
        </w:trPr>
        <w:tc>
          <w:tcPr>
            <w:tcW w:w="20" w:type="dxa"/>
            <w:vAlign w:val="bottom"/>
          </w:tcPr>
          <w:p>
            <w:pPr>
              <w:spacing w:after="0"/>
              <w:rPr>
                <w:sz w:val="20"/>
                <w:szCs w:val="20"/>
                <w:color w:val="auto"/>
              </w:rPr>
            </w:pPr>
          </w:p>
        </w:tc>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periodic postretirement benefit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(12,768)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(1,151)</w:t>
            </w: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7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4"/>
        </w:trPr>
        <w:tc>
          <w:tcPr>
            <w:tcW w:w="20" w:type="dxa"/>
            <w:vAlign w:val="bottom"/>
          </w:tcPr>
          <w:p>
            <w:pPr>
              <w:spacing w:after="0"/>
              <w:rPr>
                <w:sz w:val="22"/>
                <w:szCs w:val="22"/>
                <w:color w:val="auto"/>
              </w:rPr>
            </w:pPr>
          </w:p>
        </w:tc>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Payments for postretirement health care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228</w:t>
            </w: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On October 11, 2016 and October 13, 2015 the Human Resources Committee of the Board of Directors granted an aggregate of 97,600 and 204,200 shares, respectively, of restricted common stock to our key employees and non-employee directors under the Plan. The value of the restricted stock award is determined using the intrinsic value method which, in this case, is based on the number of shares granted and the closing price of our common stock on the date of grant.</w:t>
      </w:r>
    </w:p>
    <w:p>
      <w:pPr>
        <w:spacing w:after="0" w:line="14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Stock-based compensation expense was $0.8 million and $0.6 million during the first quarters of Fiscal 2017 and 2016, respectively. Compensation expense is recognized over the requisite service period of the award.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On October 12, 2016, the Board of Directors declared a quarterly cash dividend of $0.10 per share of common stock, which was paid on November 23, 2016 to shareholders of record at the close of business on November 9, 2016.</w:t>
      </w:r>
    </w:p>
    <w:p>
      <w:pPr>
        <w:spacing w:after="0" w:line="169"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On December 14, 2016, the Board of Directors declared a quarterly cash dividend of $0.10 per share of common stock, payable on January 25, 2017 to shareholders of record at the close of business on January 11, 2017.</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Pending Share Registration</w:t>
      </w:r>
    </w:p>
    <w:p>
      <w:pPr>
        <w:spacing w:after="0" w:line="2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a result of the acquisition of Grand Design, Winnebago has agreed to register the 4,586,555 shares of common stock issued to the Summit Sellers and the RDB Sellers pursuant to the terms of a registration rights agreement. Under the registration rights agreement, Winnebago has agreed to file a shelf registration statement on the second business day following the filing of an amendment to Winnebago’s Current Report on Form 8-K reporting the completion of the acquisition of Grand Design containing the financial statements and pro forma financial information concerning the acquisition. Winnebago has agreed to keep the registration statement effective for up to three years. We intend to register these shares on Form S-3 in January of 2017.</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w:t>
      </w:r>
    </w:p>
    <w:p>
      <w:pPr>
        <w:sectPr>
          <w:pgSz w:w="11900" w:h="16838" w:orient="portrait"/>
          <w:cols w:equalWidth="0" w:num="1">
            <w:col w:w="11420"/>
          </w:cols>
          <w:pgMar w:left="240" w:top="118"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company lends the dealer all, or substantially all, of the purchase price, collateralized by a security interest in the recreation vehicles purchased.</w:t>
      </w:r>
    </w:p>
    <w:p>
      <w:pPr>
        <w:spacing w:after="0" w:line="16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to the lending institution, or dealer invoice less periodic reductions based on the time since the date of the original invoice. Our total contingent liability on all repurchase agreements was approximately $553.1 million and $409.3 million at November 26, 2016 and August 27, 2016, respectively, with the increase attributed primarily to Grand Design.</w:t>
      </w:r>
    </w:p>
    <w:p>
      <w:pPr>
        <w:spacing w:after="0" w:line="14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$9.0 million and $7.9 million at November 26, 2016 and August 27, 2016, respectively, with the increase attributed primarily to Grand Design.</w:t>
      </w:r>
    </w:p>
    <w:p>
      <w:pPr>
        <w:spacing w:after="0" w:line="14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although two dealer organizations account for approximately 28% of our revenues in the three months ended November 26, 2016.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$1.3 million as of November 26, 2016 and $0.9 million as of August 27, 2016.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91"/>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November 26,</w:t>
            </w:r>
          </w:p>
        </w:tc>
        <w:tc>
          <w:tcPr>
            <w:tcW w:w="200" w:type="dxa"/>
            <w:vAlign w:val="bottom"/>
          </w:tcPr>
          <w:p>
            <w:pPr>
              <w:spacing w:after="0"/>
              <w:rPr>
                <w:sz w:val="17"/>
                <w:szCs w:val="17"/>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8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r>
      <w:tr>
        <w:trPr>
          <w:trHeight w:val="257"/>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8160" w:type="dxa"/>
            <w:vAlign w:val="bottom"/>
            <w:gridSpan w:val="2"/>
          </w:tcPr>
          <w:p>
            <w:pPr>
              <w:ind w:left="40"/>
              <w:spacing w:after="0"/>
              <w:rPr>
                <w:sz w:val="20"/>
                <w:szCs w:val="20"/>
                <w:color w:val="auto"/>
              </w:rPr>
            </w:pPr>
            <w:r>
              <w:rPr>
                <w:rFonts w:ascii="Arial" w:cs="Arial" w:eastAsia="Arial" w:hAnsi="Arial"/>
                <w:sz w:val="16"/>
                <w:szCs w:val="16"/>
                <w:color w:val="auto"/>
              </w:rPr>
              <w:t>Cash collected on resold inventory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2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36</w:t>
            </w:r>
          </w:p>
        </w:tc>
      </w:tr>
      <w:tr>
        <w:trPr>
          <w:trHeight w:val="280"/>
        </w:trPr>
        <w:tc>
          <w:tcPr>
            <w:tcW w:w="8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realized on resold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3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As part of our acquisition of Grand Design, we acquired leases to two properties which hold Grand Design’s current principal facilities, and facilities under construction for expansion. The lessor under these leases is an Indiana limited liability company, Three Oaks, LLC, owned by three of Grand Design's selling shareholders. One of the selling shareholders, Mr. Don Clark, has assumed the position of Vice President for Winnebago and is the President of Grand Design. Upon joining our company, Mr. Clark has agreed that as long as he is an employee of Grand Design he has relinquished his voting rights in Three Oaks, LLC while retaining all other economic rights in Three Oaks, LLC. Future commitments under these related party leases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8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257"/>
        </w:trPr>
        <w:tc>
          <w:tcPr>
            <w:tcW w:w="1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8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r>
      <w:tr>
        <w:trPr>
          <w:trHeight w:val="260"/>
        </w:trPr>
        <w:tc>
          <w:tcPr>
            <w:tcW w:w="1220" w:type="dxa"/>
            <w:vAlign w:val="bottom"/>
          </w:tcPr>
          <w:p>
            <w:pPr>
              <w:spacing w:after="0"/>
              <w:rPr>
                <w:sz w:val="22"/>
                <w:szCs w:val="22"/>
                <w:color w:val="auto"/>
              </w:rPr>
            </w:pPr>
          </w:p>
        </w:tc>
        <w:tc>
          <w:tcPr>
            <w:tcW w:w="8500" w:type="dxa"/>
            <w:vAlign w:val="bottom"/>
          </w:tcPr>
          <w:p>
            <w:pPr>
              <w:ind w:left="8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2,181</w:t>
            </w:r>
          </w:p>
        </w:tc>
      </w:tr>
      <w:tr>
        <w:trPr>
          <w:trHeight w:val="280"/>
        </w:trPr>
        <w:tc>
          <w:tcPr>
            <w:tcW w:w="1220" w:type="dxa"/>
            <w:vAlign w:val="bottom"/>
            <w:shd w:val="clear" w:color="auto" w:fill="CCEEFF"/>
          </w:tcPr>
          <w:p>
            <w:pPr>
              <w:spacing w:after="0"/>
              <w:rPr>
                <w:sz w:val="24"/>
                <w:szCs w:val="24"/>
                <w:color w:val="auto"/>
              </w:rPr>
            </w:pPr>
          </w:p>
        </w:tc>
        <w:tc>
          <w:tcPr>
            <w:tcW w:w="8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2,084</w:t>
            </w:r>
          </w:p>
        </w:tc>
      </w:tr>
      <w:tr>
        <w:trPr>
          <w:trHeight w:val="260"/>
        </w:trPr>
        <w:tc>
          <w:tcPr>
            <w:tcW w:w="1220" w:type="dxa"/>
            <w:vAlign w:val="bottom"/>
          </w:tcPr>
          <w:p>
            <w:pPr>
              <w:spacing w:after="0"/>
              <w:rPr>
                <w:sz w:val="22"/>
                <w:szCs w:val="22"/>
                <w:color w:val="auto"/>
              </w:rPr>
            </w:pPr>
          </w:p>
        </w:tc>
        <w:tc>
          <w:tcPr>
            <w:tcW w:w="8500" w:type="dxa"/>
            <w:vAlign w:val="bottom"/>
          </w:tcPr>
          <w:p>
            <w:pPr>
              <w:ind w:left="8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2,084</w:t>
            </w:r>
          </w:p>
        </w:tc>
      </w:tr>
      <w:tr>
        <w:trPr>
          <w:trHeight w:val="280"/>
        </w:trPr>
        <w:tc>
          <w:tcPr>
            <w:tcW w:w="1220" w:type="dxa"/>
            <w:vAlign w:val="bottom"/>
            <w:shd w:val="clear" w:color="auto" w:fill="CCEEFF"/>
          </w:tcPr>
          <w:p>
            <w:pPr>
              <w:spacing w:after="0"/>
              <w:rPr>
                <w:sz w:val="24"/>
                <w:szCs w:val="24"/>
                <w:color w:val="auto"/>
              </w:rPr>
            </w:pPr>
          </w:p>
        </w:tc>
        <w:tc>
          <w:tcPr>
            <w:tcW w:w="850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2,084</w:t>
            </w:r>
          </w:p>
        </w:tc>
      </w:tr>
      <w:tr>
        <w:trPr>
          <w:trHeight w:val="264"/>
        </w:trPr>
        <w:tc>
          <w:tcPr>
            <w:tcW w:w="1220" w:type="dxa"/>
            <w:vAlign w:val="bottom"/>
            <w:tcBorders>
              <w:bottom w:val="single" w:sz="8" w:color="CCEEFF"/>
            </w:tcBorders>
          </w:tcPr>
          <w:p>
            <w:pPr>
              <w:spacing w:after="0"/>
              <w:rPr>
                <w:sz w:val="22"/>
                <w:szCs w:val="22"/>
                <w:color w:val="auto"/>
              </w:rPr>
            </w:pPr>
          </w:p>
        </w:tc>
        <w:tc>
          <w:tcPr>
            <w:tcW w:w="860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6,994</w:t>
            </w:r>
          </w:p>
        </w:tc>
      </w:tr>
      <w:tr>
        <w:trPr>
          <w:trHeight w:val="240"/>
        </w:trPr>
        <w:tc>
          <w:tcPr>
            <w:tcW w:w="12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16,877</w:t>
            </w:r>
          </w:p>
        </w:tc>
      </w:tr>
      <w:tr>
        <w:trPr>
          <w:trHeight w:val="20"/>
        </w:trPr>
        <w:tc>
          <w:tcPr>
            <w:tcW w:w="12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 other significant changes have been made to lease commitments disclosed in our Form 10-K for the year ended August 27, 2016.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 by the IRS and various state taxing authorities, net operating loss carryforwards generated in those years may still be adjusted upon examination by the IRS or state taxing authorities if they have been or will be used in a future period. As of November 26, 2016, our federal returns from Fiscal 2012 to present continue to be subject to review by the IRS. Our Fiscal 2014 Federal Return continues to remain under review by the IRS. With few exceptions, the state returns from Fiscal 2009 to present continue to be subject to review by the state taxing jurisdictions. A number of years may elapse before an uncertain tax position is audited and finally resolved, and it is often very difficult to predict the outcome of such audits.</w:t>
      </w:r>
    </w:p>
    <w:p>
      <w:pPr>
        <w:spacing w:after="0" w:line="17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As of November 26, 2016, our unrecognized tax benefits were $2.1 million including accrued interest and penalties of $0.6 million. If we were to prevail on all unrecognized tax benefits recorded, $1.6 million of the $2.1 million would benefit the overall effective tax rate. It is our policy to recognize interest and penalties accrued relative to unrecognized tax benefits as tax expense. We do not believe that there will be a significant change in the total amount of unrecognized tax benefits within the next twelve months.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Note 14: Earnings Per Share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51"/>
        </w:trPr>
        <w:tc>
          <w:tcPr>
            <w:tcW w:w="8360" w:type="dxa"/>
            <w:vAlign w:val="bottom"/>
            <w:gridSpan w:val="2"/>
          </w:tcPr>
          <w:p>
            <w:pPr>
              <w:spacing w:after="0"/>
              <w:rPr>
                <w:sz w:val="20"/>
                <w:szCs w:val="20"/>
                <w:color w:val="auto"/>
              </w:rPr>
            </w:pPr>
            <w:r>
              <w:rPr>
                <w:rFonts w:ascii="Arial" w:cs="Arial" w:eastAsia="Arial" w:hAnsi="Arial"/>
                <w:sz w:val="16"/>
                <w:szCs w:val="16"/>
                <w:color w:val="auto"/>
              </w:rPr>
              <w:t>The following table reflects the calculation of basic and diluted net income per share:</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26,</w:t>
            </w:r>
          </w:p>
        </w:tc>
        <w:tc>
          <w:tcPr>
            <w:tcW w:w="160" w:type="dxa"/>
            <w:vAlign w:val="bottom"/>
          </w:tcPr>
          <w:p>
            <w:pPr>
              <w:spacing w:after="0"/>
              <w:rPr>
                <w:sz w:val="17"/>
                <w:szCs w:val="17"/>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11,738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8,558</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26,976</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0.32</w:t>
            </w:r>
          </w:p>
        </w:tc>
      </w:tr>
      <w:tr>
        <w:trPr>
          <w:trHeight w:val="293"/>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8,558</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27,836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26,976</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27,969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27,067</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0.32</w:t>
            </w:r>
          </w:p>
        </w:tc>
      </w:tr>
    </w:tbl>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The computation of weighted average shares and potential dilutive shares outstanding excludes the effects of options to purchase 44,000 and 24,000 shares of common stock for the first quarter of Fiscal 2017 and Fiscal 2016, respectively. These amounts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20"/>
                <w:szCs w:val="20"/>
                <w:color w:val="auto"/>
              </w:rPr>
            </w:pPr>
            <w:r>
              <w:rPr>
                <w:rFonts w:ascii="Arial" w:cs="Arial" w:eastAsia="Arial" w:hAnsi="Arial"/>
                <w:sz w:val="16"/>
                <w:szCs w:val="16"/>
                <w:b w:val="1"/>
                <w:bCs w:val="1"/>
                <w:color w:val="auto"/>
              </w:rPr>
              <w:t>Note 15: Comprehensive Income (Loss)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5240" w:type="dxa"/>
            <w:vAlign w:val="bottom"/>
          </w:tcPr>
          <w:p>
            <w:pPr>
              <w:spacing w:after="0"/>
              <w:rPr>
                <w:sz w:val="20"/>
                <w:szCs w:val="20"/>
                <w:color w:val="auto"/>
              </w:rPr>
            </w:pPr>
            <w:r>
              <w:rPr>
                <w:rFonts w:ascii="Arial" w:cs="Arial" w:eastAsia="Arial" w:hAnsi="Arial"/>
                <w:sz w:val="16"/>
                <w:szCs w:val="16"/>
                <w:color w:val="auto"/>
              </w:rPr>
              <w:t>Changes in defined benefit pension items in AOCI, net of tax, were:</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8"/>
        </w:trPr>
        <w:tc>
          <w:tcPr>
            <w:tcW w:w="52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26,</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28,</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3,903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17,701</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Amounts reclassified from AOCI</w:t>
            </w:r>
          </w:p>
        </w:tc>
        <w:tc>
          <w:tcPr>
            <w:tcW w:w="2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(7,926)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(4,023)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16,872</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6,952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14,598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1739"/>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2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on Consolidated Statements</w:t>
            </w:r>
          </w:p>
        </w:tc>
        <w:tc>
          <w:tcPr>
            <w:tcW w:w="240" w:type="dxa"/>
            <w:vAlign w:val="bottom"/>
          </w:tcPr>
          <w:p>
            <w:pPr>
              <w:spacing w:after="0"/>
              <w:rPr>
                <w:sz w:val="17"/>
                <w:szCs w:val="17"/>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26,</w:t>
            </w:r>
          </w:p>
        </w:tc>
        <w:tc>
          <w:tcPr>
            <w:tcW w:w="24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of Income and Comprehensive Income</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2015</w:t>
            </w:r>
          </w:p>
        </w:tc>
      </w:tr>
      <w:tr>
        <w:trPr>
          <w:trHeight w:val="257"/>
        </w:trPr>
        <w:tc>
          <w:tcPr>
            <w:tcW w:w="3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(12,858)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(1,060)</w:t>
            </w:r>
          </w:p>
        </w:tc>
      </w:tr>
      <w:tr>
        <w:trPr>
          <w:trHeight w:val="264"/>
        </w:trPr>
        <w:tc>
          <w:tcPr>
            <w:tcW w:w="3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3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4,932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231</w:t>
            </w:r>
          </w:p>
        </w:tc>
      </w:tr>
      <w:tr>
        <w:trPr>
          <w:trHeight w:val="24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3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(7,926)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(829)</w:t>
            </w: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Subsequent Event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On December 14, 2016 our Board of Directors declared a cash dividend of $0.10 per share as noted in Note 11.</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jc w:val="both"/>
        <w:ind w:right="40"/>
        <w:spacing w:after="0" w:line="191" w:lineRule="exact"/>
        <w:rPr>
          <w:sz w:val="20"/>
          <w:szCs w:val="20"/>
          <w:color w:val="auto"/>
        </w:rPr>
      </w:pPr>
      <w:r>
        <w:rPr>
          <w:rFonts w:ascii="Arial" w:cs="Arial" w:eastAsia="Arial" w:hAnsi="Arial"/>
          <w:sz w:val="16"/>
          <w:szCs w:val="16"/>
          <w:color w:val="auto"/>
        </w:rPr>
        <w:t>This management's discussion should be read in conjunction with the Unaudited Consolidated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27, 2016 and in Part II, Item 1A of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This Quarterly Report on Form 10-Q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integration of our acquisition of Grand Design including: risks inherent in the achievement of cost synergies and the timing thereof, risks related to the disruption of the transaction to Winnebago and Grand Design and its management, the effect of announcement of the transaction on Grand Design's ability to retain and hire key personnel and maintain relationships with customers, suppliers and other third parties, risk related to compliance with debt covenants and leverage ratios, risks related to integration of the two companies and other factors. Additional information concerning certain risks and uncertainties that could cause actual results to differ materially from that projected or suggested is contained in our filings with the SEC over the last 12 months, copies of which are available from the SEC or from us upon request. We disclaim any obligation or undertaking to disseminate any updates or revisions to any forward-looking statements contained in this release or to reflect any changes in expectations after the date of this release or any change in events, conditions or circumstances on which any statement is based,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currently produce virtually all of our motorhomes in vertically integrated manufacturing facilities in Iowa and we produce all travel trailer and fifth wheel trailers in Indiana. We are in the process of expanding some motorhome manufacturing to Junction City, Oregon. We distribute our products primarily through independent dealers throughout the US and Canada, who then retail the products to the end consumer.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Transaction</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November 8, 2016, we closed on the acquisition of all the issued and outstanding capital stock of towable recreational vehicle manufacturer Grand Design for initial consideration of $520.6 million. This acquisition was funded from our cash on hand, $353.0 million from asset-based revolving and term loan credit facilities, as well as stock consideration as is more fully described in Note 2 and Note 9 to the Consolidated Financial Statements. We purchased Grand Design to significantly expand our existing towable RV product offerings and dealer base and acquire executive talent in the RV industry.</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recreational vehicle products and services. With the acquisition of Grand Design in the first quarter, we expanded the number of reporting segments to two: (1) Motorized products and services and (2) Towable products and services. The Towable segment includes all products which are not motorized and are generally towed by another vehicle. The Motorized segment includes all products that include a motorized chassis as well as other related manufactured products. Prior year segment information has been restated to conform to the current reporting segment presentation.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Share</w:t>
      </w:r>
    </w:p>
    <w:p>
      <w:pPr>
        <w:spacing w:after="0" w:line="228"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We separately included the retail unit market share for Grand Design, which reflects results prior to our acquisition. Note that this data is subject to adjustment and is continuously updated.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Rolling 12 Months</w:t>
            </w:r>
          </w:p>
        </w:tc>
        <w:tc>
          <w:tcPr>
            <w:tcW w:w="1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Through October</w:t>
            </w:r>
          </w:p>
        </w:tc>
        <w:tc>
          <w:tcPr>
            <w:tcW w:w="1400" w:type="dxa"/>
            <w:vAlign w:val="bottom"/>
          </w:tcPr>
          <w:p>
            <w:pPr>
              <w:spacing w:after="0"/>
              <w:rPr>
                <w:sz w:val="17"/>
                <w:szCs w:val="17"/>
                <w:color w:val="auto"/>
              </w:rPr>
            </w:pPr>
          </w:p>
        </w:tc>
        <w:tc>
          <w:tcPr>
            <w:tcW w:w="1600" w:type="dxa"/>
            <w:vAlign w:val="bottom"/>
          </w:tcPr>
          <w:p>
            <w:pPr>
              <w:jc w:val="right"/>
              <w:ind w:right="303"/>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Pr>
          <w:p>
            <w:pPr>
              <w:spacing w:after="0"/>
              <w:rPr>
                <w:sz w:val="17"/>
                <w:szCs w:val="17"/>
                <w:color w:val="auto"/>
              </w:rPr>
            </w:pPr>
          </w:p>
        </w:tc>
      </w:tr>
      <w:tr>
        <w:trPr>
          <w:trHeight w:val="250"/>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00" w:type="dxa"/>
            <w:vAlign w:val="bottom"/>
            <w:tcBorders>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2015</w:t>
            </w:r>
          </w:p>
        </w:tc>
        <w:tc>
          <w:tcPr>
            <w:tcW w:w="160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2014</w:t>
            </w:r>
          </w:p>
        </w:tc>
        <w:tc>
          <w:tcPr>
            <w:tcW w:w="12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2013</w:t>
            </w:r>
          </w:p>
        </w:tc>
      </w:tr>
      <w:tr>
        <w:trPr>
          <w:trHeight w:val="256"/>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54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18.1%</w:t>
            </w:r>
          </w:p>
        </w:tc>
        <w:tc>
          <w:tcPr>
            <w:tcW w:w="12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20.4%</w:t>
            </w:r>
          </w:p>
        </w:tc>
        <w:tc>
          <w:tcPr>
            <w:tcW w:w="160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20.7%</w:t>
            </w:r>
          </w:p>
        </w:tc>
        <w:tc>
          <w:tcPr>
            <w:tcW w:w="12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18.6%</w:t>
            </w:r>
          </w:p>
        </w:tc>
      </w:tr>
      <w:tr>
        <w:trPr>
          <w:trHeight w:val="26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Travel trailer and fifth wheels - Winnebago</w:t>
            </w:r>
          </w:p>
        </w:tc>
        <w:tc>
          <w:tcPr>
            <w:tcW w:w="1540" w:type="dxa"/>
            <w:vAlign w:val="bottom"/>
          </w:tcPr>
          <w:p>
            <w:pPr>
              <w:jc w:val="right"/>
              <w:ind w:right="323"/>
              <w:spacing w:after="0"/>
              <w:rPr>
                <w:sz w:val="20"/>
                <w:szCs w:val="20"/>
                <w:color w:val="auto"/>
              </w:rPr>
            </w:pPr>
            <w:r>
              <w:rPr>
                <w:rFonts w:ascii="Arial" w:cs="Arial" w:eastAsia="Arial" w:hAnsi="Arial"/>
                <w:sz w:val="16"/>
                <w:szCs w:val="16"/>
                <w:color w:val="auto"/>
              </w:rPr>
              <w:t>1.1%</w:t>
            </w:r>
          </w:p>
        </w:tc>
        <w:tc>
          <w:tcPr>
            <w:tcW w:w="1280" w:type="dxa"/>
            <w:vAlign w:val="bottom"/>
          </w:tcPr>
          <w:p>
            <w:pPr>
              <w:jc w:val="right"/>
              <w:ind w:right="201"/>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1400" w:type="dxa"/>
            <w:vAlign w:val="bottom"/>
          </w:tcPr>
          <w:p>
            <w:pPr>
              <w:jc w:val="right"/>
              <w:ind w:right="181"/>
              <w:spacing w:after="0"/>
              <w:rPr>
                <w:sz w:val="20"/>
                <w:szCs w:val="20"/>
                <w:color w:val="auto"/>
              </w:rPr>
            </w:pPr>
            <w:r>
              <w:rPr>
                <w:rFonts w:ascii="Arial" w:cs="Arial" w:eastAsia="Arial" w:hAnsi="Arial"/>
                <w:sz w:val="16"/>
                <w:szCs w:val="16"/>
                <w:color w:val="auto"/>
              </w:rPr>
              <w:t>0.9%</w:t>
            </w:r>
          </w:p>
        </w:tc>
        <w:tc>
          <w:tcPr>
            <w:tcW w:w="1600" w:type="dxa"/>
            <w:vAlign w:val="bottom"/>
          </w:tcPr>
          <w:p>
            <w:pPr>
              <w:jc w:val="right"/>
              <w:ind w:right="363"/>
              <w:spacing w:after="0"/>
              <w:rPr>
                <w:sz w:val="20"/>
                <w:szCs w:val="20"/>
                <w:color w:val="auto"/>
              </w:rPr>
            </w:pPr>
            <w:r>
              <w:rPr>
                <w:rFonts w:ascii="Arial" w:cs="Arial" w:eastAsia="Arial" w:hAnsi="Arial"/>
                <w:sz w:val="16"/>
                <w:szCs w:val="16"/>
                <w:color w:val="auto"/>
              </w:rPr>
              <w:t>0.8%</w:t>
            </w:r>
          </w:p>
        </w:tc>
        <w:tc>
          <w:tcPr>
            <w:tcW w:w="1260" w:type="dxa"/>
            <w:vAlign w:val="bottom"/>
          </w:tcPr>
          <w:p>
            <w:pPr>
              <w:jc w:val="right"/>
              <w:ind w:right="201"/>
              <w:spacing w:after="0"/>
              <w:rPr>
                <w:sz w:val="20"/>
                <w:szCs w:val="20"/>
                <w:color w:val="auto"/>
              </w:rPr>
            </w:pPr>
            <w:r>
              <w:rPr>
                <w:rFonts w:ascii="Arial" w:cs="Arial" w:eastAsia="Arial" w:hAnsi="Arial"/>
                <w:sz w:val="16"/>
                <w:szCs w:val="16"/>
                <w:color w:val="auto"/>
              </w:rPr>
              <w:t>1.0%</w:t>
            </w:r>
          </w:p>
        </w:tc>
      </w:tr>
      <w:tr>
        <w:trPr>
          <w:trHeight w:val="280"/>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 and fifth wheels - Grand Design</w:t>
            </w:r>
          </w:p>
        </w:tc>
        <w:tc>
          <w:tcPr>
            <w:tcW w:w="154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3.2%</w:t>
            </w:r>
          </w:p>
        </w:tc>
        <w:tc>
          <w:tcPr>
            <w:tcW w:w="12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2.2%</w:t>
            </w:r>
          </w:p>
        </w:tc>
        <w:tc>
          <w:tcPr>
            <w:tcW w:w="160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1.5%</w:t>
            </w:r>
          </w:p>
        </w:tc>
        <w:tc>
          <w:tcPr>
            <w:tcW w:w="12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0.3%</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Trends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RVIA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the dealer, which is reported monthly by Stat Surveys</w:t>
      </w:r>
    </w:p>
    <w:p>
      <w:pPr>
        <w:spacing w:after="0" w:line="20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rolling twelve months shipment and retail information for 2016 and 2015 as noted below illustrates that the RV industry continues to grow both at the wholesale and retail level. We believe that retail demand is the key driver to continued growth in the RV industry and that annual RV shipments will generally be in line with retail registrations in the future.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4"/>
                <w:szCs w:val="14"/>
                <w:b w:val="1"/>
                <w:bCs w:val="1"/>
                <w:color w:val="auto"/>
              </w:rPr>
              <w:t>US and Canada Industry</w:t>
            </w:r>
          </w:p>
        </w:tc>
        <w:tc>
          <w:tcPr>
            <w:tcW w:w="1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58"/>
        </w:trPr>
        <w:tc>
          <w:tcPr>
            <w:tcW w:w="1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Wholesale Unit Shipments per RVIA</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Retail Unit Registrations per Stat Surveys</w:t>
            </w:r>
          </w:p>
        </w:tc>
      </w:tr>
      <w:tr>
        <w:trPr>
          <w:trHeight w:val="276"/>
        </w:trPr>
        <w:tc>
          <w:tcPr>
            <w:tcW w:w="19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Rolling 12 Months through October</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Rolling 12 Months through October</w:t>
            </w:r>
          </w:p>
        </w:tc>
        <w:tc>
          <w:tcPr>
            <w:tcW w:w="1080" w:type="dxa"/>
            <w:vAlign w:val="bottom"/>
            <w:tcBorders>
              <w:bottom w:val="single" w:sz="8" w:color="auto"/>
            </w:tcBorders>
          </w:tcPr>
          <w:p>
            <w:pPr>
              <w:spacing w:after="0"/>
              <w:rPr>
                <w:sz w:val="24"/>
                <w:szCs w:val="24"/>
                <w:color w:val="auto"/>
              </w:rPr>
            </w:pPr>
          </w:p>
        </w:tc>
      </w:tr>
      <w:tr>
        <w:trPr>
          <w:trHeight w:val="250"/>
        </w:trPr>
        <w:tc>
          <w:tcPr>
            <w:tcW w:w="198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4"/>
                <w:szCs w:val="14"/>
                <w:b w:val="1"/>
                <w:bCs w:val="1"/>
                <w:color w:val="auto"/>
              </w:rPr>
              <w:t>2016</w:t>
            </w:r>
          </w:p>
        </w:tc>
        <w:tc>
          <w:tcPr>
            <w:tcW w:w="1140" w:type="dxa"/>
            <w:vAlign w:val="bottom"/>
          </w:tcPr>
          <w:p>
            <w:pPr>
              <w:jc w:val="right"/>
              <w:ind w:right="43"/>
              <w:spacing w:after="0"/>
              <w:rPr>
                <w:sz w:val="20"/>
                <w:szCs w:val="20"/>
                <w:color w:val="auto"/>
              </w:rPr>
            </w:pPr>
            <w:r>
              <w:rPr>
                <w:rFonts w:ascii="Arial" w:cs="Arial" w:eastAsia="Arial" w:hAnsi="Arial"/>
                <w:sz w:val="14"/>
                <w:szCs w:val="14"/>
                <w:b w:val="1"/>
                <w:bCs w:val="1"/>
                <w:color w:val="auto"/>
              </w:rPr>
              <w:t>2015</w:t>
            </w: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Unit Change</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3"/>
              <w:spacing w:after="0"/>
              <w:rPr>
                <w:sz w:val="20"/>
                <w:szCs w:val="20"/>
                <w:color w:val="auto"/>
              </w:rPr>
            </w:pPr>
            <w:r>
              <w:rPr>
                <w:rFonts w:ascii="Arial" w:cs="Arial" w:eastAsia="Arial" w:hAnsi="Arial"/>
                <w:sz w:val="14"/>
                <w:szCs w:val="14"/>
                <w:b w:val="1"/>
                <w:bCs w:val="1"/>
                <w:color w:val="auto"/>
              </w:rPr>
              <w:t>2016</w:t>
            </w:r>
          </w:p>
        </w:tc>
        <w:tc>
          <w:tcPr>
            <w:tcW w:w="1120" w:type="dxa"/>
            <w:vAlign w:val="bottom"/>
          </w:tcPr>
          <w:p>
            <w:pPr>
              <w:jc w:val="right"/>
              <w:ind w:right="43"/>
              <w:spacing w:after="0"/>
              <w:rPr>
                <w:sz w:val="20"/>
                <w:szCs w:val="20"/>
                <w:color w:val="auto"/>
              </w:rPr>
            </w:pPr>
            <w:r>
              <w:rPr>
                <w:rFonts w:ascii="Arial" w:cs="Arial" w:eastAsia="Arial" w:hAnsi="Arial"/>
                <w:sz w:val="14"/>
                <w:szCs w:val="14"/>
                <w:b w:val="1"/>
                <w:bCs w:val="1"/>
                <w:color w:val="auto"/>
              </w:rPr>
              <w:t>2015</w:t>
            </w: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Unit Change</w:t>
            </w:r>
          </w:p>
        </w:tc>
        <w:tc>
          <w:tcPr>
            <w:tcW w:w="1080" w:type="dxa"/>
            <w:vAlign w:val="bottom"/>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6"/>
        </w:trPr>
        <w:tc>
          <w:tcPr>
            <w:tcW w:w="1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21"/>
                <w:szCs w:val="21"/>
                <w:color w:val="auto"/>
                <w:vertAlign w:val="superscript"/>
              </w:rPr>
              <w:t>(1)</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343,579</w:t>
            </w: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312,885</w:t>
            </w:r>
          </w:p>
        </w:tc>
        <w:tc>
          <w:tcPr>
            <w:tcW w:w="14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30,694</w:t>
            </w:r>
          </w:p>
        </w:tc>
        <w:tc>
          <w:tcPr>
            <w:tcW w:w="10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9.8%</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343,145</w:t>
            </w: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313,622</w:t>
            </w:r>
          </w:p>
        </w:tc>
        <w:tc>
          <w:tcPr>
            <w:tcW w:w="14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29,523</w:t>
            </w:r>
          </w:p>
        </w:tc>
        <w:tc>
          <w:tcPr>
            <w:tcW w:w="10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9.4%</w:t>
            </w:r>
          </w:p>
        </w:tc>
      </w:tr>
      <w:tr>
        <w:trPr>
          <w:trHeight w:val="270"/>
        </w:trPr>
        <w:tc>
          <w:tcPr>
            <w:tcW w:w="1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53,459</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46,140</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7,319</w:t>
            </w:r>
          </w:p>
        </w:tc>
        <w:tc>
          <w:tcPr>
            <w:tcW w:w="10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48,998</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44,228</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4,770</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10.8%</w:t>
            </w:r>
          </w:p>
        </w:tc>
      </w:tr>
      <w:tr>
        <w:trPr>
          <w:trHeight w:val="234"/>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397,038</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359,025</w:t>
            </w:r>
          </w:p>
        </w:tc>
        <w:tc>
          <w:tcPr>
            <w:tcW w:w="14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38,013</w:t>
            </w:r>
          </w:p>
        </w:tc>
        <w:tc>
          <w:tcPr>
            <w:tcW w:w="10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392,143</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357,850</w:t>
            </w:r>
          </w:p>
        </w:tc>
        <w:tc>
          <w:tcPr>
            <w:tcW w:w="14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34,293</w:t>
            </w:r>
          </w:p>
        </w:tc>
        <w:tc>
          <w:tcPr>
            <w:tcW w:w="10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9.6%</w:t>
            </w:r>
          </w:p>
        </w:tc>
      </w:tr>
      <w:tr>
        <w:trPr>
          <w:trHeight w:val="20"/>
        </w:trPr>
        <w:tc>
          <w:tcPr>
            <w:tcW w:w="1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Towable: Fifth wheel and travel trailer products</w:t>
      </w:r>
    </w:p>
    <w:p>
      <w:pPr>
        <w:ind w:left="340" w:hanging="332"/>
        <w:spacing w:after="0" w:line="199"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Motorized: Class A, B and C products</w:t>
      </w:r>
    </w:p>
    <w:p>
      <w:pPr>
        <w:spacing w:after="0" w:line="150"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 most recent towable and motorized RVIA wholesale shipment forecasts for calendar year 2016 and 2017 as noted in the table below illustrates continued projected growth of the industry. The outlook for future growth in RV sales is based on continued modest gains in job and disposable income prospects as well as low inflation, and takes into account the impact of slowly rising interest rates, a strong U.S. dollar and continued weakness in energy production and prices.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4"/>
                <w:szCs w:val="14"/>
                <w:b w:val="1"/>
                <w:bCs w:val="1"/>
                <w:color w:val="auto"/>
              </w:rPr>
              <w:t>Calendar Year</w:t>
            </w:r>
          </w:p>
        </w:tc>
        <w:tc>
          <w:tcPr>
            <w:tcW w:w="1440" w:type="dxa"/>
            <w:vAlign w:val="bottom"/>
            <w:tcBorders>
              <w:bottom w:val="single" w:sz="8" w:color="auto"/>
            </w:tcBorders>
          </w:tcPr>
          <w:p>
            <w:pPr>
              <w:spacing w:after="0"/>
              <w:rPr>
                <w:sz w:val="17"/>
                <w:szCs w:val="17"/>
                <w:color w:val="auto"/>
              </w:rPr>
            </w:pPr>
          </w:p>
        </w:tc>
      </w:tr>
      <w:tr>
        <w:trPr>
          <w:trHeight w:val="25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Wholesale Unit Shipment Forecast per RVIA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Unit Change</w:t>
            </w:r>
          </w:p>
        </w:tc>
        <w:tc>
          <w:tcPr>
            <w:tcW w:w="14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370,300</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353,000</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17,300</w:t>
            </w:r>
          </w:p>
        </w:tc>
        <w:tc>
          <w:tcPr>
            <w:tcW w:w="14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4.9%</w:t>
            </w:r>
          </w:p>
        </w:tc>
      </w:tr>
      <w:tr>
        <w:trPr>
          <w:trHeight w:val="264"/>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Motorized</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54,800</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53,300</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1,500</w:t>
            </w:r>
          </w:p>
        </w:tc>
        <w:tc>
          <w:tcPr>
            <w:tcW w:w="14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2.8%</w:t>
            </w:r>
          </w:p>
        </w:tc>
      </w:tr>
      <w:tr>
        <w:trPr>
          <w:trHeight w:val="24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2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425,100</w:t>
            </w: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406,300</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18,800</w:t>
            </w:r>
          </w:p>
        </w:tc>
        <w:tc>
          <w:tcPr>
            <w:tcW w:w="14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4.6%</w:t>
            </w: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59" w:lineRule="exact"/>
        <w:rPr>
          <w:sz w:val="20"/>
          <w:szCs w:val="20"/>
          <w:color w:val="auto"/>
        </w:rPr>
      </w:pPr>
    </w:p>
    <w:p>
      <w:pPr>
        <w:ind w:left="180" w:right="360" w:hanging="172"/>
        <w:spacing w:after="0" w:line="218" w:lineRule="auto"/>
        <w:tabs>
          <w:tab w:leader="none" w:pos="18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Prepared by Dr. Richard Curtin of the University of Michigan Consumer Survey Research Center for RVIA and reported in the Roadsigns RV Winter 2016 Industry Forecast Issue.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ERP System</w:t>
      </w:r>
    </w:p>
    <w:p>
      <w:pPr>
        <w:spacing w:after="0" w:line="214"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In the second quarter of Fiscal 2015, the Board of Directors approved the strategic initiative of implementing an ERP system to replace our legacy business applications. The new ERP platform will provide better support for our changing business needs and plans for future growth. Our initial cost estimates have grown for additional needs of the business such as the acquisition of the Junction City, Oregon plant and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2017</w:t>
            </w:r>
          </w:p>
        </w:tc>
        <w:tc>
          <w:tcPr>
            <w:tcW w:w="440" w:type="dxa"/>
            <w:vAlign w:val="bottom"/>
          </w:tcPr>
          <w:p>
            <w:pPr>
              <w:spacing w:after="0"/>
              <w:rPr>
                <w:sz w:val="16"/>
                <w:szCs w:val="16"/>
                <w:color w:val="auto"/>
              </w:rPr>
            </w:pP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Cumulative</w:t>
            </w:r>
          </w:p>
        </w:tc>
        <w:tc>
          <w:tcPr>
            <w:tcW w:w="740" w:type="dxa"/>
            <w:vAlign w:val="bottom"/>
          </w:tcPr>
          <w:p>
            <w:pPr>
              <w:spacing w:after="0"/>
              <w:rPr>
                <w:sz w:val="16"/>
                <w:szCs w:val="16"/>
                <w:color w:val="auto"/>
              </w:rPr>
            </w:pPr>
          </w:p>
        </w:tc>
      </w:tr>
      <w:tr>
        <w:trPr>
          <w:trHeight w:val="276"/>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Q1</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740" w:type="dxa"/>
            <w:vAlign w:val="bottom"/>
            <w:tcBorders>
              <w:bottom w:val="single" w:sz="8" w:color="auto"/>
            </w:tcBorders>
          </w:tcPr>
          <w:p>
            <w:pPr>
              <w:spacing w:after="0"/>
              <w:rPr>
                <w:sz w:val="24"/>
                <w:szCs w:val="24"/>
                <w:color w:val="auto"/>
              </w:rPr>
            </w:pPr>
          </w:p>
        </w:tc>
      </w:tr>
      <w:tr>
        <w:trPr>
          <w:trHeight w:val="256"/>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1,518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12,607</w:t>
            </w:r>
          </w:p>
        </w:tc>
        <w:tc>
          <w:tcPr>
            <w:tcW w:w="34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64"/>
        </w:trPr>
        <w:tc>
          <w:tcPr>
            <w:tcW w:w="45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Expensed</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2,528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5,930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1,165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9,623</w:t>
            </w: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4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5,819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13,728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2,683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22,230</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$6.4 million of our cumulative capitalized investment has been placed in service and is being amortized over a 10-year life.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 Team Changes</w:t>
      </w:r>
    </w:p>
    <w:p>
      <w:pPr>
        <w:spacing w:after="0" w:line="214"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During the first quarter of Fiscal 2017, the Executive Leadership Team (ELT) was strengthened by several additions including a new VP and GM of the Motorized business, a new VP of Operations, and a new CIO. In addition, one of the former owners of Grand Design joined the ELT in November.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27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60" w:type="dxa"/>
            <w:vAlign w:val="bottom"/>
          </w:tcPr>
          <w:p>
            <w:pPr>
              <w:spacing w:after="0"/>
              <w:rPr>
                <w:sz w:val="17"/>
                <w:szCs w:val="17"/>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26,</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28,</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16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r>
      <w:tr>
        <w:trPr>
          <w:trHeight w:val="234"/>
        </w:trPr>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38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40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245,308</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214,223</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31,085</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14.5 %</w:t>
            </w:r>
          </w:p>
        </w:tc>
      </w:tr>
      <w:tr>
        <w:trPr>
          <w:trHeight w:val="264"/>
        </w:trPr>
        <w:tc>
          <w:tcPr>
            <w:tcW w:w="2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216,433</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88.2 %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188,974</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88.2 %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27,459</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14.5 %</w:t>
            </w:r>
          </w:p>
        </w:tc>
      </w:tr>
      <w:tr>
        <w:trPr>
          <w:trHeight w:val="25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28,875</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11.8 %</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25,249</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3,626</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14.4 %</w:t>
            </w:r>
          </w:p>
        </w:tc>
      </w:tr>
      <w:tr>
        <w:trPr>
          <w:trHeight w:val="284"/>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5,870</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5,015</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855</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17.0 %</w:t>
            </w:r>
          </w:p>
        </w:tc>
      </w:tr>
      <w:tr>
        <w:trPr>
          <w:trHeight w:val="260"/>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9,906</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8,820</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1,086</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12.3 %</w:t>
            </w:r>
          </w:p>
        </w:tc>
      </w:tr>
      <w:tr>
        <w:trPr>
          <w:trHeight w:val="228"/>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4"/>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(12,813)</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(1,345)</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(11,468)</w:t>
            </w:r>
          </w:p>
        </w:tc>
        <w:tc>
          <w:tcPr>
            <w:tcW w:w="11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60"/>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Transaction costs</w:t>
            </w:r>
          </w:p>
        </w:tc>
        <w:tc>
          <w:tcPr>
            <w:tcW w:w="1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5,462</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2"/>
                <w:szCs w:val="22"/>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5,462</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 %</w:t>
            </w:r>
          </w:p>
        </w:tc>
      </w:tr>
      <w:tr>
        <w:trPr>
          <w:trHeight w:val="27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intangibles assets</w:t>
            </w: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2,051</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2,051</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50"/>
        </w:trPr>
        <w:tc>
          <w:tcPr>
            <w:tcW w:w="2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10,476</w:t>
            </w: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4.3 %</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12,490</w:t>
            </w:r>
          </w:p>
        </w:tc>
        <w:tc>
          <w:tcPr>
            <w:tcW w:w="14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5.8 %</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(2,014)</w:t>
            </w:r>
          </w:p>
        </w:tc>
        <w:tc>
          <w:tcPr>
            <w:tcW w:w="11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(16.1)%</w:t>
            </w:r>
          </w:p>
        </w:tc>
      </w:tr>
      <w:tr>
        <w:trPr>
          <w:trHeight w:val="284"/>
        </w:trPr>
        <w:tc>
          <w:tcPr>
            <w:tcW w:w="2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0"/>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18,399</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7.5 %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12,759</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5,640</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44.2 %</w:t>
            </w:r>
          </w:p>
        </w:tc>
      </w:tr>
      <w:tr>
        <w:trPr>
          <w:trHeight w:val="28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1,128</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1,128</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64"/>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tcPr>
          <w:p>
            <w:pPr>
              <w:spacing w:after="0"/>
              <w:rPr>
                <w:sz w:val="22"/>
                <w:szCs w:val="22"/>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(87)</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(135)</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48</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(35.6)%</w:t>
            </w:r>
          </w:p>
        </w:tc>
      </w:tr>
      <w:tr>
        <w:trPr>
          <w:trHeight w:val="257"/>
        </w:trPr>
        <w:tc>
          <w:tcPr>
            <w:tcW w:w="27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17,358</w:t>
            </w:r>
          </w:p>
        </w:tc>
        <w:tc>
          <w:tcPr>
            <w:tcW w:w="13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7.1 %</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12,894</w:t>
            </w:r>
          </w:p>
        </w:tc>
        <w:tc>
          <w:tcPr>
            <w:tcW w:w="14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6.0 %</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4,464</w:t>
            </w:r>
          </w:p>
        </w:tc>
        <w:tc>
          <w:tcPr>
            <w:tcW w:w="11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34.6 %</w:t>
            </w:r>
          </w:p>
        </w:tc>
      </w:tr>
      <w:tr>
        <w:trPr>
          <w:trHeight w:val="264"/>
        </w:trPr>
        <w:tc>
          <w:tcPr>
            <w:tcW w:w="2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5,620</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2.3 %</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4,336</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1,284</w:t>
            </w: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29.6 %</w:t>
            </w:r>
          </w:p>
        </w:tc>
      </w:tr>
      <w:tr>
        <w:trPr>
          <w:trHeight w:val="24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11,738</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8,558</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3,180</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37.2 %</w:t>
            </w: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67"/>
        </w:trPr>
        <w:tc>
          <w:tcPr>
            <w:tcW w:w="2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0.42</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0.32</w:t>
            </w: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0.10</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31.3 %</w:t>
            </w:r>
          </w:p>
        </w:tc>
      </w:tr>
      <w:tr>
        <w:trPr>
          <w:trHeight w:val="251"/>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27,969</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27,067</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902</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3.3 %</w:t>
            </w:r>
          </w:p>
        </w:tc>
      </w:tr>
    </w:tbl>
    <w:p>
      <w:pPr>
        <w:spacing w:after="0" w:line="44"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4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Consolidated net revenues increased $31.1 million or 14.5% in the first quarter of Fiscal 2017 over the first quarter of Fiscal 2016. This was primarily due to the acquisition of Grand Design which added revenues of $25.8 million in the quarter. In addition, Winnebago-branded Towables rose $7.5 million or 44.2% in the quarter. Motorhome revenue was up modestly in the quarter. Partially offsetting growth was the $5.0 million reduction in sales to aluminum extrusion customers compared to the first quarter of Fiscal 2016 as we have ceased those activities in order to better utilize constrained labor resources in Iowa.</w:t>
      </w:r>
    </w:p>
    <w:p>
      <w:pPr>
        <w:spacing w:after="0" w:line="176" w:lineRule="exact"/>
        <w:rPr>
          <w:sz w:val="20"/>
          <w:szCs w:val="20"/>
          <w:color w:val="auto"/>
        </w:rPr>
      </w:pPr>
    </w:p>
    <w:p>
      <w:pPr>
        <w:ind w:right="240"/>
        <w:spacing w:after="0" w:line="246" w:lineRule="auto"/>
        <w:rPr>
          <w:sz w:val="20"/>
          <w:szCs w:val="20"/>
          <w:color w:val="auto"/>
        </w:rPr>
      </w:pPr>
      <w:r>
        <w:rPr>
          <w:rFonts w:ascii="Arial" w:cs="Arial" w:eastAsia="Arial" w:hAnsi="Arial"/>
          <w:sz w:val="16"/>
          <w:szCs w:val="16"/>
          <w:color w:val="auto"/>
        </w:rPr>
        <w:t>Cost of goods sold was $216.4 million, or 88.2% of net revenues for the first quarter of Fiscal 2017 compared to $189.0 million, or 88.2% of net revenues for the same period a year ago due to the following:</w:t>
      </w:r>
    </w:p>
    <w:p>
      <w:pPr>
        <w:spacing w:after="0" w:line="1" w:lineRule="exact"/>
        <w:rPr>
          <w:sz w:val="20"/>
          <w:szCs w:val="20"/>
          <w:color w:val="auto"/>
        </w:rPr>
      </w:pPr>
    </w:p>
    <w:p>
      <w:pPr>
        <w:ind w:left="340" w:right="300" w:hanging="332"/>
        <w:spacing w:after="0" w:line="253"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from 83.6% to 82.9%, primarily due to favorable product mix in part due to our decision to cease aluminum extrusion sales and due to higher proportion of Towables revenue in the quarter.</w:t>
      </w:r>
    </w:p>
    <w:p>
      <w:pPr>
        <w:sectPr>
          <w:pgSz w:w="11900" w:h="16838" w:orient="portrait"/>
          <w:cols w:equalWidth="0" w:num="1">
            <w:col w:w="11420"/>
          </w:cols>
          <w:pgMar w:left="240" w:top="141"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41" w:right="2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340" w:right="4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increased from 4.7% to 5.3% of net revenues due mainly to the addition of our Junction City, Oregon facility.</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factors considered, gross profit was steady at 11.8% of net revenues.</w:t>
      </w:r>
    </w:p>
    <w:p>
      <w:pPr>
        <w:spacing w:after="0" w:line="16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Selling expenses were $5.9 million and $5.0 million, or 2.4% and 2.3% of net revenues in the first quarter of Fiscal 2017 and Fiscal 2016, respectively. The increase in the first quarter of Fiscal 2017 was primarily due to the addition of $0.8 million in selling expenses of Grand Design.</w:t>
      </w:r>
    </w:p>
    <w:p>
      <w:pPr>
        <w:spacing w:after="0" w:line="14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General and administrative expenses were $9.9 million and $8.8 million, or 4.0% and 4.1% of net revenues in the first quarter of Fiscal 2017 and Fiscal 2016, respectively. This dollar increase was due to the addition of $0.6 million of general and administrative expenses associated with Grand Design and an increase in salaried wages associated with additions to the management team, while the expenses as a percentage of revenues declined.</w:t>
      </w:r>
    </w:p>
    <w:p>
      <w:pPr>
        <w:spacing w:after="0" w:line="22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Postretirement health care benefit increased by $11.5 million in the first quarter of Fiscal 2017 due to the plan termination which was announced on October 26, 2016. Beginning January 1, 2017, postretirement health care benefits will be discontinued for retirees under age 65. As a result of this amendment, our liability for postretirement health care was reduced and a benefit was recorded on the statement of income. The expected impact of the plan termination to the remainder of Fiscal 2017 is $12.0 million postretirement health care benefit income in the second quarter.</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Transaction costs of $5.5 million in the first quarter of Fiscal 2017 relate to the acquisition of Grand Design.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intangibles expense is related to definite-lived intangibles established as of the acquisition of Grand Design in the first quarter of Fiscal 2017.</w:t>
      </w:r>
    </w:p>
    <w:p>
      <w:pPr>
        <w:spacing w:after="0" w:line="24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Interest expense is related to the newly established ABL and Term Loan agreements as we borrowed $353 million on November 8, 2016 for the acquisition of Grand Design. We paid interest expense of 2.4% plus a commitment fee of .375% on $53 million borrowed under the ABL and interest expense of 5.5% on the $300 million borrowed under the Term Loan. Also included in interest expense is the amortization of deferred financing costs of $0.1 million.</w:t>
      </w:r>
    </w:p>
    <w:p>
      <w:pPr>
        <w:spacing w:after="0" w:line="22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The overall effective income tax rate for the first quarter of Fiscal 2017 was 32.4% compared to the effective tax rate of 33.6% for the same period in Fiscal 2016. The decrease in effective rate is due primarily to a reduction in the liability for an uncertain tax position related to the favorable resolution of a state tax matter during the quarter.</w:t>
      </w:r>
    </w:p>
    <w:p>
      <w:pPr>
        <w:spacing w:after="0" w:line="14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Net income and diluted income per share were $11.7 million and $0.42 per share, respectively, for the first quarter of Fiscal 2017. In the first quarter of Fiscal 2016, net income was $8.6 million and diluted income was $0.32 per share.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5" w:lineRule="exact"/>
        <w:rPr>
          <w:sz w:val="20"/>
          <w:szCs w:val="20"/>
          <w:color w:val="auto"/>
        </w:rPr>
      </w:pPr>
    </w:p>
    <w:p>
      <w:pPr>
        <w:ind w:left="340" w:right="20" w:hanging="332"/>
        <w:spacing w:after="0" w:line="25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76"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following table reconciles net income to consolidated Adjusted EBITDA.</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6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4"/>
          </w:tcPr>
          <w:p>
            <w:pPr>
              <w:jc w:val="right"/>
              <w:ind w:right="1279"/>
              <w:spacing w:after="0"/>
              <w:rPr>
                <w:sz w:val="20"/>
                <w:szCs w:val="20"/>
                <w:color w:val="auto"/>
              </w:rPr>
            </w:pPr>
            <w:r>
              <w:rPr>
                <w:rFonts w:ascii="Arial" w:cs="Arial" w:eastAsia="Arial" w:hAnsi="Arial"/>
                <w:sz w:val="16"/>
                <w:szCs w:val="16"/>
                <w:b w:val="1"/>
                <w:bCs w:val="1"/>
                <w:color w:val="auto"/>
              </w:rPr>
              <w:t>Three Months Ended</w:t>
            </w:r>
          </w:p>
        </w:tc>
      </w:tr>
      <w:tr>
        <w:trPr>
          <w:trHeight w:val="198"/>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gridSpan w:val="2"/>
          </w:tcPr>
          <w:p>
            <w:pPr>
              <w:ind w:left="200"/>
              <w:spacing w:after="0"/>
              <w:rPr>
                <w:sz w:val="20"/>
                <w:szCs w:val="20"/>
                <w:color w:val="auto"/>
              </w:rPr>
            </w:pPr>
            <w:r>
              <w:rPr>
                <w:rFonts w:ascii="Arial" w:cs="Arial" w:eastAsia="Arial" w:hAnsi="Arial"/>
                <w:sz w:val="16"/>
                <w:szCs w:val="16"/>
                <w:b w:val="1"/>
                <w:bCs w:val="1"/>
                <w:color w:val="auto"/>
              </w:rPr>
              <w:t>November 26,</w:t>
            </w:r>
          </w:p>
        </w:tc>
        <w:tc>
          <w:tcPr>
            <w:tcW w:w="320" w:type="dxa"/>
            <w:vAlign w:val="bottom"/>
          </w:tcPr>
          <w:p>
            <w:pPr>
              <w:spacing w:after="0"/>
              <w:rPr>
                <w:sz w:val="17"/>
                <w:szCs w:val="17"/>
                <w:color w:val="auto"/>
              </w:rPr>
            </w:pPr>
          </w:p>
        </w:tc>
        <w:tc>
          <w:tcPr>
            <w:tcW w:w="1800" w:type="dxa"/>
            <w:vAlign w:val="bottom"/>
          </w:tcPr>
          <w:p>
            <w:pPr>
              <w:jc w:val="right"/>
              <w:ind w:right="479"/>
              <w:spacing w:after="0"/>
              <w:rPr>
                <w:sz w:val="20"/>
                <w:szCs w:val="20"/>
                <w:color w:val="auto"/>
              </w:rPr>
            </w:pPr>
            <w:r>
              <w:rPr>
                <w:rFonts w:ascii="Arial" w:cs="Arial" w:eastAsia="Arial" w:hAnsi="Arial"/>
                <w:sz w:val="16"/>
                <w:szCs w:val="16"/>
                <w:b w:val="1"/>
                <w:bCs w:val="1"/>
                <w:color w:val="auto"/>
              </w:rPr>
              <w:t>November 28,</w:t>
            </w:r>
          </w:p>
        </w:tc>
      </w:tr>
      <w:tr>
        <w:trPr>
          <w:trHeight w:val="228"/>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2015</w:t>
            </w:r>
          </w:p>
        </w:tc>
      </w:tr>
      <w:tr>
        <w:trPr>
          <w:trHeight w:val="257"/>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11,738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8,558</w:t>
            </w:r>
          </w:p>
        </w:tc>
      </w:tr>
      <w:tr>
        <w:trPr>
          <w:trHeight w:val="260"/>
        </w:trPr>
        <w:tc>
          <w:tcPr>
            <w:tcW w:w="6740" w:type="dxa"/>
            <w:vAlign w:val="bottom"/>
            <w:gridSpan w:val="2"/>
          </w:tcPr>
          <w:p>
            <w:pPr>
              <w:ind w:left="16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2"/>
                <w:szCs w:val="22"/>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1,128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Provision for income taxes</w:t>
            </w:r>
          </w:p>
        </w:tc>
        <w:tc>
          <w:tcPr>
            <w:tcW w:w="30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5,620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4,336</w:t>
            </w:r>
          </w:p>
        </w:tc>
      </w:tr>
      <w:tr>
        <w:trPr>
          <w:trHeight w:val="260"/>
        </w:trPr>
        <w:tc>
          <w:tcPr>
            <w:tcW w:w="6740" w:type="dxa"/>
            <w:vAlign w:val="bottom"/>
            <w:gridSpan w:val="2"/>
          </w:tcPr>
          <w:p>
            <w:pPr>
              <w:ind w:left="16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22"/>
                <w:szCs w:val="22"/>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color w:val="auto"/>
              </w:rPr>
              <w:t>1,370</w:t>
            </w:r>
          </w:p>
        </w:tc>
      </w:tr>
      <w:tr>
        <w:trPr>
          <w:trHeight w:val="273"/>
        </w:trPr>
        <w:tc>
          <w:tcPr>
            <w:tcW w:w="6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47"/>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21"/>
                <w:szCs w:val="21"/>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22,117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color w:val="auto"/>
              </w:rPr>
              <w:t>14,264</w:t>
            </w:r>
          </w:p>
        </w:tc>
      </w:tr>
      <w:tr>
        <w:trPr>
          <w:trHeight w:val="280"/>
        </w:trPr>
        <w:tc>
          <w:tcPr>
            <w:tcW w:w="6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Postretirement health care benefit income</w:t>
            </w:r>
          </w:p>
        </w:tc>
        <w:tc>
          <w:tcPr>
            <w:tcW w:w="300" w:type="dxa"/>
            <w:vAlign w:val="bottom"/>
            <w:shd w:val="clear" w:color="auto" w:fill="CCEEFF"/>
          </w:tcPr>
          <w:p>
            <w:pPr>
              <w:spacing w:after="0"/>
              <w:rPr>
                <w:sz w:val="24"/>
                <w:szCs w:val="24"/>
                <w:color w:val="auto"/>
              </w:rPr>
            </w:pPr>
          </w:p>
        </w:tc>
        <w:tc>
          <w:tcPr>
            <w:tcW w:w="18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(12,813)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(1,345)</w:t>
            </w:r>
          </w:p>
        </w:tc>
      </w:tr>
      <w:tr>
        <w:trPr>
          <w:trHeight w:val="260"/>
        </w:trPr>
        <w:tc>
          <w:tcPr>
            <w:tcW w:w="6740" w:type="dxa"/>
            <w:vAlign w:val="bottom"/>
            <w:gridSpan w:val="2"/>
          </w:tcPr>
          <w:p>
            <w:pPr>
              <w:ind w:left="160"/>
              <w:spacing w:after="0"/>
              <w:rPr>
                <w:sz w:val="20"/>
                <w:szCs w:val="20"/>
                <w:color w:val="auto"/>
              </w:rPr>
            </w:pPr>
            <w:r>
              <w:rPr>
                <w:rFonts w:ascii="Arial" w:cs="Arial" w:eastAsia="Arial" w:hAnsi="Arial"/>
                <w:sz w:val="16"/>
                <w:szCs w:val="16"/>
                <w:color w:val="auto"/>
              </w:rPr>
              <w:t>Transaction costs</w:t>
            </w:r>
          </w:p>
        </w:tc>
        <w:tc>
          <w:tcPr>
            <w:tcW w:w="300" w:type="dxa"/>
            <w:vAlign w:val="bottom"/>
          </w:tcPr>
          <w:p>
            <w:pPr>
              <w:spacing w:after="0"/>
              <w:rPr>
                <w:sz w:val="22"/>
                <w:szCs w:val="22"/>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color w:val="auto"/>
              </w:rPr>
              <w:t>5,462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67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Non-operating income</w:t>
            </w:r>
          </w:p>
        </w:tc>
        <w:tc>
          <w:tcPr>
            <w:tcW w:w="30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(135)</w:t>
            </w:r>
          </w:p>
        </w:tc>
      </w:tr>
      <w:tr>
        <w:trPr>
          <w:trHeight w:val="240"/>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14,679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12,784</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each measure excludes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results from terminating the plan and the transaction costs related to our acquisition of Grand Design RV.</w:t>
      </w:r>
    </w:p>
    <w:p>
      <w:pPr>
        <w:spacing w:after="0" w:line="17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facility. We believe these non-GAAP financial measures are frequently used by securities analysts, investors and other interested parties to evaluate companies in our industry.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business unit.</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Motorized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98"/>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Nov 26,</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Nov 28,</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195,125</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197,340</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(2,215)</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r>
      <w:tr>
        <w:trPr>
          <w:trHeight w:val="251"/>
        </w:trPr>
        <w:tc>
          <w:tcPr>
            <w:tcW w:w="31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10,015</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11,724</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(1,709)</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(14.6)%</w:t>
            </w:r>
          </w:p>
        </w:tc>
      </w:tr>
      <w:tr>
        <w:trPr>
          <w:trHeight w:val="488"/>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Nov 26,</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24"/>
                <w:szCs w:val="24"/>
                <w:color w:val="auto"/>
              </w:rPr>
            </w:pPr>
          </w:p>
        </w:tc>
        <w:tc>
          <w:tcPr>
            <w:tcW w:w="1040" w:type="dxa"/>
            <w:vAlign w:val="bottom"/>
          </w:tcPr>
          <w:p>
            <w:pPr>
              <w:jc w:val="center"/>
              <w:ind w:right="259"/>
              <w:spacing w:after="0"/>
              <w:rPr>
                <w:sz w:val="20"/>
                <w:szCs w:val="20"/>
                <w:color w:val="auto"/>
              </w:rPr>
            </w:pPr>
            <w:r>
              <w:rPr>
                <w:rFonts w:ascii="Arial" w:cs="Arial" w:eastAsia="Arial" w:hAnsi="Arial"/>
                <w:sz w:val="16"/>
                <w:szCs w:val="16"/>
                <w:b w:val="1"/>
                <w:bCs w:val="1"/>
                <w:color w:val="auto"/>
              </w:rPr>
              <w:t>Nov 28,</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Product</w:t>
            </w:r>
          </w:p>
        </w:tc>
        <w:tc>
          <w:tcPr>
            <w:tcW w:w="160" w:type="dxa"/>
            <w:vAlign w:val="bottom"/>
          </w:tcPr>
          <w:p>
            <w:pPr>
              <w:spacing w:after="0"/>
              <w:rPr>
                <w:sz w:val="24"/>
                <w:szCs w:val="24"/>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560" w:type="dxa"/>
            <w:vAlign w:val="bottom"/>
            <w:gridSpan w:val="2"/>
          </w:tcPr>
          <w:p>
            <w:pPr>
              <w:jc w:val="center"/>
              <w:ind w:right="12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60" w:type="dxa"/>
            <w:vAlign w:val="bottom"/>
          </w:tcPr>
          <w:p>
            <w:pPr>
              <w:spacing w:after="0"/>
              <w:rPr>
                <w:sz w:val="20"/>
                <w:szCs w:val="20"/>
                <w:color w:val="auto"/>
              </w:rPr>
            </w:pPr>
          </w:p>
        </w:tc>
        <w:tc>
          <w:tcPr>
            <w:tcW w:w="1040" w:type="dxa"/>
            <w:vAlign w:val="bottom"/>
          </w:tcPr>
          <w:p>
            <w:pPr>
              <w:jc w:val="center"/>
              <w:ind w:right="199"/>
              <w:spacing w:after="0"/>
              <w:rPr>
                <w:sz w:val="20"/>
                <w:szCs w:val="20"/>
                <w:color w:val="auto"/>
              </w:rPr>
            </w:pPr>
            <w:r>
              <w:rPr>
                <w:rFonts w:ascii="Arial" w:cs="Arial" w:eastAsia="Arial" w:hAnsi="Arial"/>
                <w:sz w:val="16"/>
                <w:szCs w:val="16"/>
                <w:b w:val="1"/>
                <w:bCs w:val="1"/>
                <w:color w:val="auto"/>
              </w:rPr>
              <w:t>2015</w:t>
            </w:r>
          </w:p>
        </w:tc>
        <w:tc>
          <w:tcPr>
            <w:tcW w:w="1560" w:type="dxa"/>
            <w:vAlign w:val="bottom"/>
            <w:gridSpan w:val="2"/>
          </w:tcPr>
          <w:p>
            <w:pPr>
              <w:jc w:val="center"/>
              <w:ind w:right="12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60" w:type="dxa"/>
            <w:vAlign w:val="bottom"/>
          </w:tcPr>
          <w:p>
            <w:pPr>
              <w:spacing w:after="0"/>
              <w:rPr>
                <w:sz w:val="20"/>
                <w:szCs w:val="20"/>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c>
          <w:tcPr>
            <w:tcW w:w="14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33.3%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c>
          <w:tcPr>
            <w:tcW w:w="14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(85)</w:t>
            </w:r>
          </w:p>
        </w:tc>
        <w:tc>
          <w:tcPr>
            <w:tcW w:w="1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(11.3)%</w:t>
            </w:r>
          </w:p>
        </w:tc>
      </w:tr>
      <w:tr>
        <w:trPr>
          <w:trHeight w:val="260"/>
        </w:trPr>
        <w:tc>
          <w:tcPr>
            <w:tcW w:w="3140" w:type="dxa"/>
            <w:vAlign w:val="bottom"/>
          </w:tcPr>
          <w:p>
            <w:pPr>
              <w:ind w:left="40"/>
              <w:spacing w:after="0"/>
              <w:rPr>
                <w:sz w:val="20"/>
                <w:szCs w:val="20"/>
                <w:color w:val="auto"/>
              </w:rPr>
            </w:pPr>
            <w:r>
              <w:rPr>
                <w:rFonts w:ascii="Arial" w:cs="Arial" w:eastAsia="Arial" w:hAnsi="Arial"/>
                <w:sz w:val="16"/>
                <w:szCs w:val="16"/>
                <w:color w:val="auto"/>
              </w:rPr>
              <w:t>Class B</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62</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25.9 %</w:t>
            </w:r>
          </w:p>
        </w:tc>
      </w:tr>
      <w:tr>
        <w:trPr>
          <w:trHeight w:val="273"/>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1,033</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931</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102</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11.0 %</w:t>
            </w:r>
          </w:p>
        </w:tc>
      </w:tr>
      <w:tr>
        <w:trPr>
          <w:trHeight w:val="240"/>
        </w:trPr>
        <w:tc>
          <w:tcPr>
            <w:tcW w:w="3140" w:type="dxa"/>
            <w:vAlign w:val="bottom"/>
          </w:tcPr>
          <w:p>
            <w:pPr>
              <w:ind w:left="280"/>
              <w:spacing w:after="0"/>
              <w:rPr>
                <w:sz w:val="20"/>
                <w:szCs w:val="20"/>
                <w:color w:val="auto"/>
              </w:rPr>
            </w:pPr>
            <w:r>
              <w:rPr>
                <w:rFonts w:ascii="Arial" w:cs="Arial" w:eastAsia="Arial" w:hAnsi="Arial"/>
                <w:sz w:val="16"/>
                <w:szCs w:val="16"/>
                <w:color w:val="auto"/>
              </w:rPr>
              <w:t>Total motorhomes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2,000</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1,921</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79</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4.1 %</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4"/>
        </w:trPr>
        <w:tc>
          <w:tcPr>
            <w:tcW w:w="3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95,046</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97,887</w:t>
            </w: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(2,841)</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w:t>
            </w:r>
          </w:p>
        </w:tc>
      </w:tr>
      <w:tr>
        <w:trPr>
          <w:trHeight w:val="264"/>
        </w:trPr>
        <w:tc>
          <w:tcPr>
            <w:tcW w:w="3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As Of</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198"/>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rPr>
              <w:t>Nov 26,</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259"/>
              <w:spacing w:after="0"/>
              <w:rPr>
                <w:sz w:val="20"/>
                <w:szCs w:val="20"/>
                <w:color w:val="auto"/>
              </w:rPr>
            </w:pPr>
            <w:r>
              <w:rPr>
                <w:rFonts w:ascii="Arial" w:cs="Arial" w:eastAsia="Arial" w:hAnsi="Arial"/>
                <w:sz w:val="16"/>
                <w:szCs w:val="16"/>
                <w:b w:val="1"/>
                <w:bCs w:val="1"/>
                <w:color w:val="auto"/>
              </w:rPr>
              <w:t>Nov 28,</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4"/>
        </w:trPr>
        <w:tc>
          <w:tcPr>
            <w:tcW w:w="314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2015</w:t>
            </w:r>
          </w:p>
        </w:tc>
        <w:tc>
          <w:tcPr>
            <w:tcW w:w="1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2,286</w:t>
            </w: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2,412</w:t>
            </w: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(126)</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w:t>
            </w:r>
          </w:p>
        </w:tc>
      </w:tr>
      <w:tr>
        <w:trPr>
          <w:trHeight w:val="251"/>
        </w:trPr>
        <w:tc>
          <w:tcPr>
            <w:tcW w:w="3140" w:type="dxa"/>
            <w:vAlign w:val="bottom"/>
          </w:tcPr>
          <w:p>
            <w:pPr>
              <w:ind w:left="40"/>
              <w:spacing w:after="0"/>
              <w:rPr>
                <w:sz w:val="20"/>
                <w:szCs w:val="20"/>
                <w:color w:val="auto"/>
              </w:rPr>
            </w:pPr>
            <w:r>
              <w:rPr>
                <w:rFonts w:ascii="Arial" w:cs="Arial" w:eastAsia="Arial" w:hAnsi="Arial"/>
                <w:sz w:val="16"/>
                <w:szCs w:val="16"/>
                <w:color w:val="auto"/>
              </w:rPr>
              <w:t>Dollars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207,056</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222,055</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(14,999)</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(6.8)%</w:t>
            </w:r>
          </w:p>
        </w:tc>
      </w:tr>
      <w:tr>
        <w:trPr>
          <w:trHeight w:val="553"/>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r>
      <w:tr>
        <w:trPr>
          <w:trHeight w:val="257"/>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4,330</w:t>
            </w: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4,115</w:t>
            </w: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215</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5.2 %</w:t>
            </w:r>
          </w:p>
        </w:tc>
      </w:tr>
    </w:tbl>
    <w:p>
      <w:pPr>
        <w:spacing w:after="0" w:line="47"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14"/>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22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Motorized net revenues decreased $2.2 million or 1.1% in the first quarter of Fiscal 2017 as compared to the first quarter of Fiscal 2016. This was primarily due to the $5.0 million reduction in sales to aluminum extrusion customers as we have ceased those activities, which were comparably low margin, in order to better utilize constrained labor resources in Iowa. Offsetting this reduction was modest growth in motorhome revenues.</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Motorized deliveries grew by 4.1% in the quarter which is lower than recent industry growth. Our overall motorized market share has moved from 20.7% to 18.1% when comparing shipments during the twelve month trailing periods ended October 2015 and October 2016. The decline has come in higher priced, Class A products. We have seen a related reduction in the backlog volumes. The unit growth we have generated has shifted our mix more towards Class B and Class C products which have a lower average selling price. So although units increased 4.1%, motorhome ASP decreased 2.9%.</w:t>
      </w:r>
    </w:p>
    <w:p>
      <w:pPr>
        <w:spacing w:after="0" w:line="17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In part, the motorized market share decline has been influenced by limited production capacity within our North Iowa facilities and our required time to deliver product. In recent quarters, we have begun to make investments to unlock further capacity via improved operational processes and adding new facilities. While these investments have not been fully realized to date, we have taken near term actions to seek to improve the profitability of the motorized product with improved mix, cost containment efforts and pricing initiatives.</w:t>
      </w:r>
    </w:p>
    <w:p>
      <w:pPr>
        <w:spacing w:after="0" w:line="17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 key metric used to evaluate motorized dealer inventory levels is the retail turn rate (12 month retail volume/current dealer inventory). At the end of the first quarter of Fiscal 2017 the retail turn rate was 2.1 turns for motorized product. Historically turn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rates of 2.0 or above have been an indication of a balanced dealer inventory, thus we believe motorized dealer inventory levels are in alignment with retail demand.</w:t>
      </w:r>
    </w:p>
    <w:p>
      <w:pPr>
        <w:spacing w:after="0" w:line="169"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Motorized segment Adjusted EBITDA decreased $1.7 million or 14.6%. This reduction was due to incrementally higher expenses related to workers compensation, costs associated with ramp-up of our Junction City, Oregon production facility, an increase in salaried wages associated with additions to the management team, and some material cost increases.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business unit.</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Towable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98"/>
              </w:rPr>
              <w:t>Nov 26,</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299"/>
              <w:spacing w:after="0"/>
              <w:rPr>
                <w:sz w:val="20"/>
                <w:szCs w:val="20"/>
                <w:color w:val="auto"/>
              </w:rPr>
            </w:pPr>
            <w:r>
              <w:rPr>
                <w:rFonts w:ascii="Arial" w:cs="Arial" w:eastAsia="Arial" w:hAnsi="Arial"/>
                <w:sz w:val="16"/>
                <w:szCs w:val="16"/>
                <w:b w:val="1"/>
                <w:bCs w:val="1"/>
                <w:color w:val="auto"/>
              </w:rPr>
              <w:t>Nov 28,</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28"/>
        </w:trPr>
        <w:tc>
          <w:tcPr>
            <w:tcW w:w="3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2015</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 of Revenue</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50,183</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16,883</w:t>
            </w: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33,300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197.2%</w:t>
            </w:r>
          </w:p>
        </w:tc>
      </w:tr>
      <w:tr>
        <w:trPr>
          <w:trHeight w:val="251"/>
        </w:trPr>
        <w:tc>
          <w:tcPr>
            <w:tcW w:w="31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4,664</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3,604</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340.0%</w:t>
            </w:r>
          </w:p>
        </w:tc>
      </w:tr>
      <w:tr>
        <w:trPr>
          <w:trHeight w:val="488"/>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98"/>
              </w:rPr>
              <w:t>Nov 26,</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24"/>
                <w:szCs w:val="24"/>
                <w:color w:val="auto"/>
              </w:rPr>
            </w:pPr>
          </w:p>
        </w:tc>
        <w:tc>
          <w:tcPr>
            <w:tcW w:w="1040" w:type="dxa"/>
            <w:vAlign w:val="bottom"/>
          </w:tcPr>
          <w:p>
            <w:pPr>
              <w:jc w:val="center"/>
              <w:ind w:right="299"/>
              <w:spacing w:after="0"/>
              <w:rPr>
                <w:sz w:val="20"/>
                <w:szCs w:val="20"/>
                <w:color w:val="auto"/>
              </w:rPr>
            </w:pPr>
            <w:r>
              <w:rPr>
                <w:rFonts w:ascii="Arial" w:cs="Arial" w:eastAsia="Arial" w:hAnsi="Arial"/>
                <w:sz w:val="16"/>
                <w:szCs w:val="16"/>
                <w:b w:val="1"/>
                <w:bCs w:val="1"/>
                <w:color w:val="auto"/>
              </w:rPr>
              <w:t>Nov 28,</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34"/>
        </w:trPr>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1580" w:type="dxa"/>
            <w:vAlign w:val="bottom"/>
            <w:gridSpan w:val="2"/>
          </w:tcPr>
          <w:p>
            <w:pPr>
              <w:jc w:val="center"/>
              <w:ind w:right="100"/>
              <w:spacing w:after="0" w:line="234"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80" w:type="dxa"/>
            <w:vAlign w:val="bottom"/>
          </w:tcPr>
          <w:p>
            <w:pPr>
              <w:spacing w:after="0"/>
              <w:rPr>
                <w:sz w:val="20"/>
                <w:szCs w:val="20"/>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rPr>
              <w:t>2015</w:t>
            </w:r>
          </w:p>
        </w:tc>
        <w:tc>
          <w:tcPr>
            <w:tcW w:w="1580" w:type="dxa"/>
            <w:vAlign w:val="bottom"/>
            <w:gridSpan w:val="2"/>
          </w:tcPr>
          <w:p>
            <w:pPr>
              <w:jc w:val="center"/>
              <w:ind w:right="120"/>
              <w:spacing w:after="0" w:line="234" w:lineRule="exact"/>
              <w:rPr>
                <w:sz w:val="20"/>
                <w:szCs w:val="20"/>
                <w:color w:val="auto"/>
              </w:rPr>
            </w:pPr>
            <w:r>
              <w:rPr>
                <w:rFonts w:ascii="Arial" w:cs="Arial" w:eastAsia="Arial" w:hAnsi="Arial"/>
                <w:sz w:val="16"/>
                <w:szCs w:val="16"/>
                <w:b w:val="1"/>
                <w:bCs w:val="1"/>
                <w:color w:val="auto"/>
                <w:w w:val="92"/>
              </w:rPr>
              <w:t xml:space="preserve">Mix % </w:t>
            </w:r>
            <w:r>
              <w:rPr>
                <w:rFonts w:ascii="Arial" w:cs="Arial" w:eastAsia="Arial" w:hAnsi="Arial"/>
                <w:sz w:val="21"/>
                <w:szCs w:val="21"/>
                <w:b w:val="1"/>
                <w:bCs w:val="1"/>
                <w:color w:val="auto"/>
                <w:w w:val="92"/>
                <w:vertAlign w:val="superscript"/>
              </w:rPr>
              <w:t>(1)</w:t>
            </w:r>
          </w:p>
        </w:tc>
        <w:tc>
          <w:tcPr>
            <w:tcW w:w="180" w:type="dxa"/>
            <w:vAlign w:val="bottom"/>
          </w:tcPr>
          <w:p>
            <w:pPr>
              <w:spacing w:after="0"/>
              <w:rPr>
                <w:sz w:val="20"/>
                <w:szCs w:val="20"/>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1,509</w:t>
            </w:r>
          </w:p>
        </w:tc>
        <w:tc>
          <w:tcPr>
            <w:tcW w:w="14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724</w:t>
            </w:r>
          </w:p>
        </w:tc>
        <w:tc>
          <w:tcPr>
            <w:tcW w:w="14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785</w:t>
            </w:r>
          </w:p>
        </w:tc>
        <w:tc>
          <w:tcPr>
            <w:tcW w:w="12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108.4%</w:t>
            </w:r>
          </w:p>
        </w:tc>
      </w:tr>
      <w:tr>
        <w:trPr>
          <w:trHeight w:val="264"/>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503</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411</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446.7%</w:t>
            </w:r>
          </w:p>
        </w:tc>
      </w:tr>
      <w:tr>
        <w:trPr>
          <w:trHeight w:val="240"/>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2,012</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816</w:t>
            </w: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1,196</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146.6%</w:t>
            </w: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4"/>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24,862</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20,685</w:t>
            </w: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4,177</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20.2%</w:t>
            </w:r>
          </w:p>
        </w:tc>
      </w:tr>
      <w:tr>
        <w:trPr>
          <w:trHeight w:val="534"/>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As Of</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8"/>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98"/>
              </w:rPr>
              <w:t>Nov 26,</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Nov 28,</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234"/>
        </w:trPr>
        <w:tc>
          <w:tcPr>
            <w:tcW w:w="3180" w:type="dxa"/>
            <w:vAlign w:val="bottom"/>
            <w:tcBorders>
              <w:bottom w:val="single" w:sz="8" w:color="auto"/>
            </w:tcBorders>
          </w:tcPr>
          <w:p>
            <w:pPr>
              <w:ind w:left="40"/>
              <w:spacing w:after="0" w:line="234"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2016</w:t>
            </w: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4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6,475</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6,163</w:t>
            </w:r>
          </w:p>
        </w:tc>
        <w:tc>
          <w:tcPr>
            <w:tcW w:w="12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NMF</w:t>
            </w:r>
          </w:p>
        </w:tc>
      </w:tr>
      <w:tr>
        <w:trPr>
          <w:trHeight w:val="251"/>
        </w:trPr>
        <w:tc>
          <w:tcPr>
            <w:tcW w:w="3180" w:type="dxa"/>
            <w:vAlign w:val="bottom"/>
          </w:tcPr>
          <w:p>
            <w:pPr>
              <w:ind w:left="40"/>
              <w:spacing w:after="0"/>
              <w:rPr>
                <w:sz w:val="20"/>
                <w:szCs w:val="20"/>
                <w:color w:val="auto"/>
              </w:rPr>
            </w:pPr>
            <w:r>
              <w:rPr>
                <w:rFonts w:ascii="Arial" w:cs="Arial" w:eastAsia="Arial" w:hAnsi="Arial"/>
                <w:sz w:val="16"/>
                <w:szCs w:val="16"/>
                <w:color w:val="auto"/>
              </w:rPr>
              <w:t>Dollars</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214,178</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7,249</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206,929</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NMF</w:t>
            </w:r>
          </w:p>
        </w:tc>
      </w:tr>
      <w:tr>
        <w:trPr>
          <w:trHeight w:val="553"/>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Dealer Inventory</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r>
      <w:tr>
        <w:trPr>
          <w:trHeight w:val="257"/>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7,118</w:t>
            </w: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1,838</w:t>
            </w: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5,280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287.3%</w:t>
            </w:r>
          </w:p>
        </w:tc>
      </w:tr>
    </w:tbl>
    <w:p>
      <w:pPr>
        <w:spacing w:after="0" w:line="155"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ind w:right="360" w:firstLine="8"/>
        <w:spacing w:after="0" w:line="242" w:lineRule="auto"/>
        <w:tabs>
          <w:tab w:leader="none" w:pos="145" w:val="left"/>
        </w:tabs>
        <w:numPr>
          <w:ilvl w:val="0"/>
          <w:numId w:val="15"/>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66"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Towable net revenues increased $33.3 million or 197.2% in the first quarter of Fiscal 2017 as compared to the first quarter of Fiscal 2016. This was primarily due to the acquisition of Grand Design which added revenues of $25.8 million in the quarter. In addition, Winnebago-branded Towable revenues rose $7.5 million or 44.2% in the quarter.</w:t>
      </w:r>
    </w:p>
    <w:p>
      <w:pPr>
        <w:spacing w:after="0" w:line="17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Towable deliveries grew by 146.6% in the quarter which is far in excess of recent industry trends. With the addition of Grand Design, our towables market share increased from 0.9% to 4.3% when comparing shipments during the twelve month trailing periods ended October 2015 and October 2016. The addition of Grand Design has also resulted in a higher ASP due to a greater proportion of higher-priced fifth wheel units for the first quarter of Fiscal 2017 compared to the same period in Fiscal 2016. Other strong increases in backlog and the dealer inventory turn ratio have been influenced by the acquisition of Grand Design in the quarter.</w:t>
      </w:r>
    </w:p>
    <w:p>
      <w:pPr>
        <w:spacing w:after="0" w:line="17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Towable segment Adjusted EBITDA excludes the costs associated with the acquisition and as such increased $3.6 million or 340.4%. This increase illustrates the favorable impact of Grand Design and the organic growth of the Winnebago-branded towables operating unit. We achieved strong results in our towables operations, where shipments grew much faster than the industry as a result of greater penetration of our new products and further expansion of our distribution base. We believe we can continue to achieve growth in excess of the overall towables market projections for the remainder of Fiscal 2017.</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Cash and cash equivalents decreased $60.0 million during the first three months of Fiscal 2017 and totaled $25.6 million as of November 26, 2016. Significant liquidity events that occurred during the first three months of Fiscal 2017 were:</w:t>
      </w:r>
    </w:p>
    <w:p>
      <w:pPr>
        <w:spacing w:after="0" w:line="14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Generation of net income of $11.7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Acquisition of Grand Design for $520.6 million of which $396.6 million was cash and $124.1 million as of closing date was in Winnebago stock</w:t>
      </w:r>
    </w:p>
    <w:p>
      <w:pPr>
        <w:spacing w:after="0" w:line="5" w:lineRule="exact"/>
        <w:rPr>
          <w:rFonts w:ascii="Arial" w:cs="Arial" w:eastAsia="Arial" w:hAnsi="Arial"/>
          <w:sz w:val="16"/>
          <w:szCs w:val="16"/>
          <w:color w:val="auto"/>
        </w:rPr>
      </w:pPr>
    </w:p>
    <w:p>
      <w:pPr>
        <w:ind w:left="340" w:right="720" w:hanging="332"/>
        <w:spacing w:after="0" w:line="26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Entered into a new Credit Facility with $125.0 million available in an ABL and $300.0 million in Term Loan (see details below). Total borrowings at November 26, 2016 were $353.0 million, and we have an additional $72.0 available to borrow under the</w:t>
      </w:r>
    </w:p>
    <w:p>
      <w:pPr>
        <w:sectPr>
          <w:pgSz w:w="11900" w:h="16838" w:orient="portrait"/>
          <w:cols w:equalWidth="0" w:num="1">
            <w:col w:w="11420"/>
          </w:cols>
          <w:pgMar w:left="240" w:top="141"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41"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revolving credit agreement, subject to sufficient borrowing base</w:t>
      </w:r>
    </w:p>
    <w:p>
      <w:pPr>
        <w:spacing w:after="0" w:line="46"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 in inventory of $17.9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Dividend payments of $3.2 million</w:t>
      </w:r>
    </w:p>
    <w:p>
      <w:pPr>
        <w:spacing w:after="0" w:line="19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Through November 8, 2016 we had the ability to borrow $35.0 million through our Amended Credit Agreement with Wells Fargo Capital Finance, a revolving credit facility based on our eligible inventory and certain receivables. The Amended Credit Agreement, was terminated effective November 8, 2016, in conjunction with the implementation of the ABL entered into with JPMorgan Chase outlined below.</w:t>
      </w:r>
    </w:p>
    <w:p>
      <w:pPr>
        <w:spacing w:after="0" w:line="147"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Working capital at November 26, 2016 and August 27, 2016 was $144.9 million and $187.6 million, respectively, a decrease of $42.8 million. We currently expect cash on hand, cash collected on receivables, funds generated from operations and the availability under our ABL to be sufficient to cover both short-term and long-term operating requirements for the next 12 months. We anticipate capital expenditures in Fiscal 2017 to be approximately $15 - $17 million.</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Share repurchases of $1.3 million in the first three months of Fiscal 2017 were to satisfy tax obligations on employee equity awards vested. We continually evaluate if our common stock is trading at attractive levels and if share repurchases reflects a prudent use of our capital and, subject to compliance with the ABL and Term Loan, we may purchase shares in the remainder of Fiscal 2017. At November 26, 2016 we have $2.7 million remaining on our board repurchase authorization. See Part II, Item 2 of this Form 10-Q.</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Cash used in operating activities was $0.2 million for the three months ended November 26, 2016 compared to $8.1 million for the three months ended November 28, 2015. In Fiscal 2017 the combination of net income of $11.7 million partially offset by the non-cash reduction of the postretirement health care liability of $12.5 million, as well as other changes in non-cash charges (e.g. depreciation, LIFO, stock-based compensation, deferred income taxes) provided $2.2 million of operating cash. Changes in assets and liabilities (primarily increases in inventories and decreases in accrued expenses that were partially offset by decreases in receivables and increases in income tax liabilities) used $2.4 million of operating cash in the first three months ended November 26, 2016. In the three months ended November 28, 2015, the combination of net income of $8.6 million and changes in non-cash charges (e.g., depreciation, LIFO, stock-based compensation, deferred income taxes) provided $9.8 million of operating cash. Changes in assets and liabilities (primarily an increase in inventories) used $17.8 million of operating cash.</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Cash used in investing activities of $397.5 million for the three months ended November 26, 2016 was due primarily to the acquisition of Grand Design for which we paid cash of $394.8 million, net of cash acquired, in addition to issuing Winnebago stock with a value of $124.1 million at closing. Capital expenditures were $3.6 million in the same period. In the three months ended November 28, 2015, cash used in investing activities of $3.0 million was due primarily to capital expenditures of $3.1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Cash provided by financing activities of $337.6 million for the three months ended November 26, 2016 was primarily due to cash proceeds from the new Credit Facility (discussed below) of $353.0 million, partially offset by $10.8 million for the payment of debt issuance costs, $3.2 million for the payment of dividends and $1.3 million in repurchases of our stock. Cash used in financing activities of $3.4 million for the three months ended November 28, 2015 was primarily due to $2.7 million for payments of dividends.</w:t>
      </w:r>
    </w:p>
    <w:p>
      <w:pPr>
        <w:spacing w:after="0" w:line="176"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On November 8, 2016, we entered into new ABL and Term Loan agreements. The Credit Facility replaced the prior Amended Credit Agreement. Under the terms of the Credit Facility, we have a $125.0 million asset-based revolving credit facility and a $300.0 million term loan.</w:t>
      </w:r>
    </w:p>
    <w:p>
      <w:pPr>
        <w:spacing w:after="0" w:line="19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Under the ABL agreement, we have a 5-year credit facility available on a revolving basis, subject to availability under a borrowing base consisting of 85% of eligible accounts receivable and generally 75% of eligible inventory. The line is available for issuance of letters of credit to a specified limit of $10.0 million.</w:t>
      </w:r>
    </w:p>
    <w:p>
      <w:pPr>
        <w:spacing w:after="0" w:line="19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Under the ABL agreement, to determine interest due, we can elect to base the rate on the alternate base rate (prime rate, NYFRB rate or adjusted LIBOR for one-month period) plus 0.5% to 1.0%, depending on the amount of borrowings outstanding, or an adjusted LIBOR rate for a period of one, two, three or six months as we select plus 1.50% to 2.0%, depending on the amount of borrowings outstanding. The interest rate we are paying as of November 26, 2016 was 2.4%. We also pay a commitment fee equal to 0.375% if the average utilized portion is less than or equal to 50%, or 0.25% if the utilized portion is greater than 50%.</w:t>
      </w:r>
    </w:p>
    <w:p>
      <w:pPr>
        <w:spacing w:after="0" w:line="20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Under the Term Loan agreement, we have a 7-year credit facility repayable in quarterly installments in an aggregate amount equal to 1.0% of the original amount of the term loan on March 31, June 30 and September 30, 2017; 1.25% each calendar quarter end thereafter; with the balance payable at the end of 7 years on November 8, 2023. There are mandatory prepayments for proceeds of new debt, sale of significant assets or subsidiaries and annually for 50% of excess cash flow beginning with Fiscal 2017 (the 50% is subject to step-downs to 25% and 0% if the total net leverage ratio is less than 2.5 to 1.00 and 2.00 to 1.00, respectively, as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141" w:right="25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of the last day of the period). Incremental term loans of up to $125 million are available if certain financial ratios and other conditions are met.</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Under the Term Loan agreement, to determine interest due, we can elect to base the rate on an alternate base rate (prime rate, NYFRB rate or adjusted LIBOR for one-month period with a floor of 2%) plus 3.50% or an adjusted LIBOR rate for the interest period selected plus 4.50%. The interest rate we are paying as of November 26, 2016 was 5.5%.</w:t>
      </w:r>
    </w:p>
    <w:p>
      <w:pPr>
        <w:spacing w:after="0" w:line="20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Under the Credit Facility, we are required to enter into a hedging arrangement to effectively fix the LIBOR component of interest cost at the prevailing swap rate with a notional amount of at least 50% of the projected outstanding principal amount of the Term Loan. The hedging arrangement needs to be maintained until the later of three years from closing date or the date the leverage ratio is less than 2.0 to 1.0. In accordance with this requirement, we plan to enter into interest swap contracts in January 2017.</w:t>
      </w:r>
    </w:p>
    <w:p>
      <w:pPr>
        <w:spacing w:after="0" w:line="203"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Term Loan includes financial covenants that the fixed charge coverage ratio at the end of any four fiscal quarters be not less than 1.0 to 1.0, defined as consolidated EBITDA less capital expenditures (as defined), over fixed charges, generally defined as cash interest, cash income taxes, principal payments on loans, and dividends, as well as the senior secured net leverage ratio at the end of each fiscal quarter of not greater than 3.5 to 1.0 prior to the fiscal quarter ending November 24, 2018 and 3.25 to 1.0 for each quarter thereafter, defined generally as the ratio of total secured indebtedness minus cash and permitted investments, to consolidated EBITDA.</w:t>
      </w:r>
    </w:p>
    <w:p>
      <w:pPr>
        <w:spacing w:after="0" w:line="203"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ABL generally contain similar covenants, and include restrictions on indebtedness, liens, mergers, consolidations, investments, guarantees, acquisitions, sales of assets, transactions with affiliates. Dividends, redemptions and other payments on equity are generally limited to $20 million in any fiscal year; higher amounts may be paid if the total net leverage ratio does not exceed 3.0 to 1.0. Customary events of default (with customary grace periods, notice and cure periods and thresholds) include payment default, breach of representation in any material respect, breach of covenants, default to material indebtedness, bankruptcy, ERISA violations, material judgments, change in control and termination of invalidity of guaranty or security documents. As of November 26, 2016, we are in compliance with the financial covenants of the Credit Facility agreements.</w:t>
      </w:r>
    </w:p>
    <w:p>
      <w:pPr>
        <w:spacing w:after="0" w:line="20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ABL and Term Loan are guaranteed by Winnebago Industries, Inc. and all material direct and indirect domestic subsidiaries, and are secured by a security interest in any and all of our property except minor excluded assets.</w:t>
      </w:r>
    </w:p>
    <w:p>
      <w:pPr>
        <w:spacing w:after="0" w:line="16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April 25, 2016. Subject to market conditions, we have the ability to offer and sell up to $35.0 million of our common stock in one or more offerings pursuant to the Registration Statement. The Registration Statement will be available for three years from its effective date. We currently have no plans to offer and sell the common stock registered under the Registration Statement, however, it does provide another potential source of liquidity to raise capital if we need it, in addition to other alternatives already in place.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8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Our principal contractual obligations and commercial commitments that have significantly changed since our Annual Report on Form 10-K for the fiscal year ended August 27, 2016 are as follows as of November 26, 2016: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5"/>
          </w:tcPr>
          <w:p>
            <w:pPr>
              <w:jc w:val="center"/>
              <w:ind w:right="99"/>
              <w:spacing w:after="0"/>
              <w:rPr>
                <w:sz w:val="20"/>
                <w:szCs w:val="20"/>
                <w:color w:val="auto"/>
              </w:rPr>
            </w:pPr>
            <w:r>
              <w:rPr>
                <w:rFonts w:ascii="Arial" w:cs="Arial" w:eastAsia="Arial" w:hAnsi="Arial"/>
                <w:sz w:val="16"/>
                <w:szCs w:val="16"/>
                <w:b w:val="1"/>
                <w:bCs w:val="1"/>
                <w:color w:val="auto"/>
              </w:rPr>
              <w:t>Payments Due By Period</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98"/>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7"/>
                <w:szCs w:val="17"/>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Fiscal</w:t>
            </w:r>
          </w:p>
        </w:tc>
        <w:tc>
          <w:tcPr>
            <w:tcW w:w="220" w:type="dxa"/>
            <w:vAlign w:val="bottom"/>
          </w:tcPr>
          <w:p>
            <w:pPr>
              <w:spacing w:after="0"/>
              <w:rPr>
                <w:sz w:val="17"/>
                <w:szCs w:val="17"/>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7"/>
                <w:szCs w:val="17"/>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2018-2019</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2020-2021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5 Years</w:t>
            </w:r>
          </w:p>
        </w:tc>
      </w:tr>
      <w:tr>
        <w:trPr>
          <w:trHeight w:val="257"/>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Revolving credit agreement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53,000</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53,000</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 xml:space="preserve">Term debt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300,000</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29,250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234,750</w:t>
            </w:r>
          </w:p>
        </w:tc>
      </w:tr>
      <w:tr>
        <w:trPr>
          <w:trHeight w:val="27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Interest at variable rate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105,321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13,565</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34,146</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30,870</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26,740</w:t>
            </w:r>
          </w:p>
        </w:tc>
      </w:tr>
      <w:tr>
        <w:trPr>
          <w:trHeight w:val="270"/>
        </w:trPr>
        <w:tc>
          <w:tcPr>
            <w:tcW w:w="51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16,877</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4,265</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4,168</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6,994</w:t>
            </w:r>
          </w:p>
        </w:tc>
      </w:tr>
      <w:tr>
        <w:trPr>
          <w:trHeight w:val="23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contractual cash obligations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475,198</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65,038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321,484</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40" w:hanging="232"/>
        <w:spacing w:after="0" w:line="211" w:lineRule="auto"/>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As of November 26, 2016, we had $53.0 million outstanding under our $125.0 million revolving credit agreement. Borrowings and repayments are expected to fluctuate over the term.</w:t>
      </w:r>
    </w:p>
    <w:p>
      <w:pPr>
        <w:ind w:left="240" w:right="20" w:hanging="232"/>
        <w:spacing w:after="0" w:line="220" w:lineRule="auto"/>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As of November 26, 2016, we had $300.0 million outstanding under our Term Loan agreement, that matures on November 8, 2023. The contractual principal payments are included in the table above. As discussed in the liquidity section of the MD&amp;A above, additional principal payments are due annually on a formula based on 50% of excess cash flow. No amounts for this contingency are included in the above table.</w:t>
      </w:r>
    </w:p>
    <w:p>
      <w:pPr>
        <w:spacing w:after="0" w:line="1" w:lineRule="exact"/>
        <w:rPr>
          <w:rFonts w:ascii="Arial" w:cs="Arial" w:eastAsia="Arial" w:hAnsi="Arial"/>
          <w:sz w:val="18"/>
          <w:szCs w:val="18"/>
          <w:color w:val="auto"/>
          <w:vertAlign w:val="superscript"/>
        </w:rPr>
      </w:pPr>
    </w:p>
    <w:p>
      <w:pPr>
        <w:ind w:left="240" w:hanging="232"/>
        <w:spacing w:after="0" w:line="187" w:lineRule="auto"/>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All of the debt under the ABL and Term Loan are at variable rates and the interest in the table assumes the variable rates of 2.4% and 5.5%, respectively, at November 26,</w:t>
      </w:r>
    </w:p>
    <w:p>
      <w:pPr>
        <w:ind w:left="240"/>
        <w:spacing w:after="0" w:line="241" w:lineRule="auto"/>
        <w:rPr>
          <w:rFonts w:ascii="Arial" w:cs="Arial" w:eastAsia="Arial" w:hAnsi="Arial"/>
          <w:sz w:val="18"/>
          <w:szCs w:val="18"/>
          <w:color w:val="auto"/>
          <w:vertAlign w:val="superscript"/>
        </w:rPr>
      </w:pPr>
      <w:r>
        <w:rPr>
          <w:rFonts w:ascii="Arial" w:cs="Arial" w:eastAsia="Arial" w:hAnsi="Arial"/>
          <w:sz w:val="14"/>
          <w:szCs w:val="14"/>
          <w:color w:val="auto"/>
        </w:rPr>
        <w:t>2016 are constant through the maturity dates of the debt; the revolving credit balance remains constant at $53.0 million; and the principal payments on the term debt are made as scheduled. The variable rate is subject to change. For example, a 1.0% change in ABL and Term Loan rates for Fiscal 2017, would change the interest paid for the remainder of 2017 by $2.7 million. Additionally, included in interest payments due by period is a 0.4% commitment fee on the ABL for unused borrowings, which are assumed to be at $72.0 million. In addition to interest assumed to be paid, non-cash amortization of debt issuance costs will also be recorded within interest expense on the Consolidated Statements of Income and Comprehensive Income in future periods.</w:t>
      </w:r>
    </w:p>
    <w:p>
      <w:pPr>
        <w:spacing w:after="0" w:line="1" w:lineRule="exact"/>
        <w:rPr>
          <w:rFonts w:ascii="Arial" w:cs="Arial" w:eastAsia="Arial" w:hAnsi="Arial"/>
          <w:sz w:val="18"/>
          <w:szCs w:val="18"/>
          <w:color w:val="auto"/>
          <w:vertAlign w:val="superscript"/>
        </w:rPr>
      </w:pPr>
    </w:p>
    <w:p>
      <w:pPr>
        <w:ind w:left="240" w:hanging="232"/>
        <w:spacing w:after="0" w:line="199" w:lineRule="auto"/>
        <w:tabs>
          <w:tab w:leader="none" w:pos="24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Represents only the additional lease commitments from the Grand Design acquisition. Refer to Note 12 .</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a result of the acquisition of Grand Design, Winnebago has agreed to register the 4,586,555 shares of common stock issued to the Summit Sellers and the RDB Sellers pursuant to the terms of a registration rights agreement. Under the registration rights agreement, Winnebago has agreed to file a shelf registration statement on the second business day following the filing of an amendment to Winnebago’s Current Report on Form 8-K reporting the completion of the acquisition of Grand Design containing the financial statements and pro forma financial information concerning the acquisition. Winnebago has agreed to keep the registration statement effective for up to three years. We intend to register these shares on Form S-3 in January of 2017.</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41"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In addition to the critical accounting policies described in our Form 10-K for the year ended August 27, 2016, with the acquisition of Grand Design on November 8, 2016, we have additional critical accounting policies.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Business Combinations</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account for business combinations under the acquisition method of accounting. This method requires the recording of acquired assets, including separately identifiable intangible assets, and assumed liabilities at their acquisition date fair values. The excess of the purchase price over the fair value of assets acquired and liabilities assumed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royalty rates and asset lives, among other items.</w:t>
      </w:r>
    </w:p>
    <w:p>
      <w:pPr>
        <w:spacing w:after="0" w:line="20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fair value of trade name and dealer network were estimated using an income approach. Under the income approach, an intangible asset’s fair value is equal to the present value of future economic benefits to be derived from ownership of the asset. The fair value of the trade name was estimated using an income approach, specifically known as the relief from royalty method. The relief from royalty method is based on the hypothetical royalty stream that would be received if we were to license the trade name and was based on expected revenues. The fair value of the dealer network was estimated using an income approach, specifically the cost to recreate/cost savings method. This method uses the replacement of the asset as an indicator of the fair value of the asset. The determination of the fair value of other assets acquired and liabilities assumed involves assessing factors such as the expected future cash flows associated with individual assets and liabilities and appropriate discount rates at the date of the acquisition.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See Note 3 to the consolidated financial statements for further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Indefinite-lived Intangible Assets</w:t>
      </w:r>
    </w:p>
    <w:p>
      <w:pPr>
        <w:spacing w:after="0" w:line="2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As discussed in Note 1 in the consolidated financial statements, we test goodwill and identifiable intangible assets with indefinite lives for impairment at least annually in the fourth quarter. We test goodwill for impairment by either performing a qualitative evaluation or a two-step quantitative test. The qualitative evaluation is an assessment of factors, including reporting unit specific operating results and cost factors, as well as industry, market and general economic conditions, to determine whether it is more likely than not that the fair value of a reporting unit is less than its carrying amount, including goodwill. We may elect to bypass this qualitative assessment and perform a two-step quantitative test. Fair values under the quantitative test are estimated using a combination of discounted projected future earnings or cash flow methods and multiples of earnings in estimating fair value. The estimate of the reporting unit’s fair value is determined by weighting a discounted cash flow model and a market-related model using current industry information that involve significant unobservable inputs (Level 3 inputs). In determining the estimated future cash flow, we consider and apply certain estimates and judgments, including current and projected future levels of income based on management’s plans, business trends, prospects and market and economic conditions and market-participant considerations. These assumptions require significant judgment and actual results may differ from assumed and estimated amounts. If the estimated fair value of the reporting unit is less than the carrying value, a second step is performed to determine the amount of the potential goodwill impairment. If impaired, goodwill is written down to its estimated implied fair value. Substantially all of the goodwill resulted from the Grand Design acquisition on November 8, 2016 and is in the Towable products and services segment and reporting unit.</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of November 26, 2016, we had an indefinite-lived intangible asset for trade name of $148.0 million, from the Grand Design acquisition. Annually in the fourth quarter, or if conditions indicate an interim review is necessary, we assess qualitative factors to determine if it is more likely than not that the fair value of an indefinite-lived intangible asset is less than its carrying amount. If we perform a quantitative test, projections regarding estimated discounted future cash flows and other factors are made to determine if impairment has occurred. These assumptions require significant judgment and actual results may differ from assumed and estimated amounts. If we conclude that there has been impairment, we will write down the carrying value of the asset to its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Long-Lived Assets</w:t>
      </w:r>
    </w:p>
    <w:p>
      <w:pPr>
        <w:spacing w:after="0" w:line="2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Long-lived assets, which include property, plant and equipment, and definite-lived intangible assets, primarily the dealer network, are assessed for impairment whenever events or changes in circumstances indicate the carrying amount of the asset may not be recoverable. The impairment testing involves comparing the carrying amount of the asset to the forecasted undiscounted future cash flows generated by that asset. These assumptions require significant judgment and actual results may differ from assumed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and estimated amount.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dealer network is amortized over its estimated useful life of 12 years. The reasonableness of the useful lives of this asset and other long-lived assets is regularly evaluated.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6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are exposed to market risks related to fluctuations in interest rates on the outstanding variable rate debt. As of November 26, 2016, we had $53.0 million outstanding under our ABL and $300.0 million outstanding under our Term Loan, subject to variable interest rates. Assuming the same outstanding balances, a 1.0% change in ABL and Term Loan rates for Fiscal 2017, would change the interest expense for the remainder of 2017 by $2.6 million.</w:t>
      </w:r>
    </w:p>
    <w:p>
      <w:pPr>
        <w:spacing w:after="0" w:line="201"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Under terms of the Credit Facility, we are required to maintain interest rate swaps to manage our interest rate exposure at a minimum of 50% fixed rate on our term loan through the later of three years from November 8, 2016 or when our leverage ratio is 2.0 to 1.0 or less. In accordance with this requirement, we plan to enter into interest swap contracts in January 2017.</w:t>
      </w:r>
    </w:p>
    <w:p>
      <w:pPr>
        <w:spacing w:after="0" w:line="20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did not utilize any swaps, forward or option contracts on interest rates or commodities, or other types of derivative financial instruments during the periods reported on herein. We have not entered into, and currently does not hold derivatives for trading or speculative purposes.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and believes such controls and procedures are effective at the reasonable assurance level.</w:t>
      </w:r>
    </w:p>
    <w:p>
      <w:pPr>
        <w:spacing w:after="0" w:line="16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During the first quarter of Fiscal 2017, we completed the acquisition of Grand Design RV, LLC which represents a material change in internal control over financial reporting since management's last assessment. Prior to the acquisition, Grand Design was a private company and has not been subject to the Sarbanes-Oxley Act of 2002, the rules and regulations of the SEC, or other corporate governance requirements to which public reporting companies may be subject. As part of our ongoing integration activities, we are continuing to incorporate our controls and procedures into the acquired Grand Design subsidiaries and to augment our company-wide controls to reflect the risks inherent in an acquisition of this type. Our report on our internal control over financial reporting in the Annual Report on Form 10-K for the year ending August 26, 2017 will exclude the acquired Grand Design subsidiaries in order for management to have sufficient time to evaluate and implement our internal control over financial reporting.</w:t>
      </w:r>
    </w:p>
    <w:p>
      <w:pPr>
        <w:spacing w:after="0" w:line="182"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Other than the acquisition of Grand Design, there were no changes in our internal control over financial reporting that occurred during the most recently completed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141" w:right="259" w:bottom="1440" w:gutter="0" w:footer="0" w:header="0"/>
        </w:sectPr>
      </w:pPr>
    </w:p>
    <w:bookmarkStart w:id="29" w:name="page30"/>
    <w:bookmarkEnd w:id="29"/>
    <w:p>
      <w:pPr>
        <w:ind w:right="280"/>
        <w:spacing w:after="0" w:line="260" w:lineRule="auto"/>
        <w:rPr>
          <w:sz w:val="20"/>
          <w:szCs w:val="20"/>
          <w:color w:val="auto"/>
        </w:rPr>
      </w:pPr>
      <w:r>
        <w:rPr>
          <w:rFonts w:ascii="Arial" w:cs="Arial" w:eastAsia="Arial" w:hAnsi="Arial"/>
          <w:sz w:val="16"/>
          <w:szCs w:val="16"/>
          <w:color w:val="auto"/>
        </w:rPr>
        <w:t>there is a reasonable likelihood that there will be a material change related to these matters, litigation is subject to inherent uncertainties and management’s view of these matters may change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10K for the fiscal year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August 27, 2016, except as follows: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acquisitions pose operational and financial risks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Business acquisitions and the merger of subsidiaries within Winnebago pose a number of potential integration risks that may result in negative consequences to our business, financial condition or results of operations. The significance of our recent transaction activity, the integration of acquired companies, assets, operations and the merger of subsidiaries within Winnebago involve a number of related risks, including, but not limited to:</w:t>
      </w:r>
    </w:p>
    <w:p>
      <w:pPr>
        <w:spacing w:after="0" w:line="17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6"/>
          <w:szCs w:val="16"/>
          <w:color w:val="auto"/>
        </w:rPr>
        <w:t>Demands on management related to the various transaction and integration activities;</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diversion of management’s attention from the management of daily operations to the integration of operations;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assimilation and retention of employees;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the management teams at these entities to meet operational and financial expectations;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integration of departments and systems, including accounting systems, technologies, books and records and procedures;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Additional costs may be incurred to integrate the businesses;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potential loss of key employees or existing customers or adverse effects on existing business relationships with suppliers and customers;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assumption of liabilities of the acquired businesses, which could be greater than anticipated.</w:t>
      </w:r>
    </w:p>
    <w:p>
      <w:pPr>
        <w:spacing w:after="0" w:line="19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Ultimately, if the financial objectives of the acquisition are not achieved, intangible assets and goodwill established at the date of acquisition date could become impaired and result in a material charge to our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terms of our Credit Facility could adversely affect our operating flexibility and pose risks of default under our Credit Facility</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incurred substantial indebtedness to finance the acquisition of Grand Design. We entered into new asset-based revolving credit (ABL) and term loan (Term Loan) agreements (collectively, the Credit Facility) with JPMorgan Chase. Under the terms of the Credit Facility, we have a $125.0 million ABL credit facility, which includes a $10.0 million letter of credit facility, and a $300.0 million term loan.</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Credit Facility is secured by certain assets, primarily cash, inventory, accounts receivable and certain machinery and equipment. The Credit Facility contains certain requirements, positive and negative covenants and financial covenants. If we are unable to comply with these requirements and covenants, we may be restricted in our ability to pay dividends or engage in certain other business transactions, the lender may obtain control of our cash accounts, and we may incur an event of default. If a default occurs, the lenders under the Credit Facility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Borrowing availability under the credit agreement is limited to the lesser of the facility total and the monthly calculated borrowing base, which is based on stipulated loan percentages applied to our eligible trade accounts receivable and eligible inventories plus a defined amount related to certain machinery and equipment. Should the borrowing base decline, our ability to borrow to fund future operations and business transactions could be limited. In addition, the Credit Facility contains certain restrictions on our ability to undertake certain types of transactions. Therefore, we may need to seek permission from our lenders in order to engage in some corporate actions. Finally, through the Credit Facility, we are required to enter into a hedging arrangement that fixes the certain interest rates defined in the Credit Facility. The hedging agreements will be entered into during the second quarter of Fiscal 2017 and may result in quarterly fluctuations in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additional indebtedness could:</w:t>
      </w:r>
    </w:p>
    <w:p>
      <w:pPr>
        <w:spacing w:after="0" w:line="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us more vulnerable to general adverse economic, regulatory and industry conditions;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our flexibility in planning for, or reacting to, changes and opportunities in the markets in which we compete;</w:t>
      </w:r>
    </w:p>
    <w:p>
      <w:pPr>
        <w:spacing w:after="0" w:line="5" w:lineRule="exact"/>
        <w:rPr>
          <w:rFonts w:ascii="Arial" w:cs="Arial" w:eastAsia="Arial" w:hAnsi="Arial"/>
          <w:sz w:val="16"/>
          <w:szCs w:val="16"/>
          <w:color w:val="auto"/>
        </w:rPr>
      </w:pPr>
    </w:p>
    <w:p>
      <w:pPr>
        <w:ind w:left="340" w:right="20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or could require us to dedicate a substantial portion of our cash flow to service our debt; and</w:t>
      </w: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 us from making strategic acquisitions or exploiting other business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connection with our acquisition of Grand Design we issued 4,586,555 shares of our common stock on November 8, 2016 in a private sale under Section 4(2) of the Securities Act. Pursuant to the Securities Purchase Agreement, $105.0 million worth 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84"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common stock was issued based on the 10 trading days prior to execution of the Securities Purchase Agreement (stock increased to $124.1 million as of the closing date due to increases in stock price).</w:t>
      </w:r>
    </w:p>
    <w:p>
      <w:pPr>
        <w:spacing w:after="0" w:line="14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first quarter of Fiscal 2017, 47,167 shares were repurchased under the authorization, at an aggregate cost of approximately$1.3 million. All of these shares were repurchased from employees who vested in Winnebago Industries shares during the first quarter of Fiscal 2017 and elected to pay their payroll tax via shares as opposed to cash. As of November 26, 2016, there was approximately $2.7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first quarter of Fiscal 2017 were: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08/28/16 - 10/01/16</w:t>
            </w:r>
          </w:p>
        </w:tc>
        <w:tc>
          <w:tcPr>
            <w:tcW w:w="1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3,997,000</w:t>
            </w: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color w:val="auto"/>
              </w:rPr>
              <w:t>10/02/16 - 10/29/16</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47,167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27.94</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47,167</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2,679,000</w:t>
            </w:r>
          </w:p>
        </w:tc>
      </w:tr>
      <w:tr>
        <w:trPr>
          <w:trHeight w:val="27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10/30/16 - 11/26/16</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2,679,000</w:t>
            </w:r>
          </w:p>
        </w:tc>
      </w:tr>
      <w:tr>
        <w:trPr>
          <w:trHeight w:val="267"/>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47,167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27.94</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47,167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2,679,000</w:t>
            </w:r>
          </w:p>
        </w:tc>
      </w:tr>
      <w:tr>
        <w:trPr>
          <w:trHeight w:val="20"/>
        </w:trPr>
        <w:tc>
          <w:tcPr>
            <w:tcW w:w="3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Credit Facility contains covenants that limit our ability to pay certain cash dividends or repurchase our stock without impacting financial ratio covenants.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 w:type="dxa"/>
            <w:vAlign w:val="bottom"/>
          </w:tcPr>
          <w:p>
            <w:pPr>
              <w:spacing w:after="0"/>
              <w:rPr>
                <w:sz w:val="20"/>
                <w:szCs w:val="20"/>
                <w:color w:val="auto"/>
              </w:rPr>
            </w:pPr>
            <w:r>
              <w:rPr>
                <w:rFonts w:ascii="Arial" w:cs="Arial" w:eastAsia="Arial" w:hAnsi="Arial"/>
                <w:sz w:val="16"/>
                <w:szCs w:val="16"/>
                <w:color w:val="auto"/>
              </w:rPr>
              <w:t>3.2</w:t>
            </w:r>
          </w:p>
        </w:tc>
        <w:tc>
          <w:tcPr>
            <w:tcW w:w="10480" w:type="dxa"/>
            <w:vAlign w:val="bottom"/>
          </w:tcPr>
          <w:p>
            <w:pPr>
              <w:ind w:left="120"/>
              <w:spacing w:after="0"/>
              <w:rPr>
                <w:sz w:val="20"/>
                <w:szCs w:val="20"/>
                <w:color w:val="auto"/>
              </w:rPr>
            </w:pPr>
            <w:r>
              <w:rPr>
                <w:rFonts w:ascii="Arial" w:cs="Arial" w:eastAsia="Arial" w:hAnsi="Arial"/>
                <w:sz w:val="16"/>
                <w:szCs w:val="16"/>
                <w:color w:val="auto"/>
              </w:rPr>
              <w:t>Amended By-Laws of the Registrant previously filed with the Registrant's Current Report on Forms 8-K dated March 29, 2016 and June 16, 2016</w:t>
            </w:r>
          </w:p>
        </w:tc>
      </w:tr>
      <w:tr>
        <w:trPr>
          <w:trHeight w:val="195"/>
        </w:trPr>
        <w:tc>
          <w:tcPr>
            <w:tcW w:w="860" w:type="dxa"/>
            <w:vAlign w:val="bottom"/>
          </w:tcPr>
          <w:p>
            <w:pPr>
              <w:spacing w:after="0"/>
              <w:rPr>
                <w:sz w:val="16"/>
                <w:szCs w:val="16"/>
                <w:color w:val="auto"/>
              </w:rPr>
            </w:pPr>
          </w:p>
        </w:tc>
        <w:tc>
          <w:tcPr>
            <w:tcW w:w="10480" w:type="dxa"/>
            <w:vAlign w:val="bottom"/>
          </w:tcPr>
          <w:p>
            <w:pPr>
              <w:ind w:left="120"/>
              <w:spacing w:after="0"/>
              <w:rPr>
                <w:sz w:val="20"/>
                <w:szCs w:val="20"/>
                <w:color w:val="auto"/>
              </w:rPr>
            </w:pPr>
            <w:r>
              <w:rPr>
                <w:rFonts w:ascii="Arial" w:cs="Arial" w:eastAsia="Arial" w:hAnsi="Arial"/>
                <w:sz w:val="16"/>
                <w:szCs w:val="16"/>
                <w:color w:val="auto"/>
              </w:rPr>
              <w:t>(Commission File Number 001-06403) and incorporated by reference herein.</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10480" w:type="dxa"/>
            <w:vAlign w:val="bottom"/>
          </w:tcPr>
          <w:p>
            <w:pPr>
              <w:ind w:left="120"/>
              <w:spacing w:after="0"/>
              <w:rPr>
                <w:sz w:val="20"/>
                <w:szCs w:val="20"/>
                <w:color w:val="auto"/>
              </w:rPr>
            </w:pPr>
            <w:r>
              <w:rPr>
                <w:rFonts w:ascii="Arial" w:cs="Arial" w:eastAsia="Arial" w:hAnsi="Arial"/>
                <w:sz w:val="16"/>
                <w:szCs w:val="16"/>
                <w:color w:val="auto"/>
              </w:rPr>
              <w:t>Certification by the Chief Executive Officer pursuant to Section 302 of the Sarbanes-Oxley Act of 2002 dated December 29, 2016.</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10480" w:type="dxa"/>
            <w:vAlign w:val="bottom"/>
          </w:tcPr>
          <w:p>
            <w:pPr>
              <w:ind w:left="120"/>
              <w:spacing w:after="0"/>
              <w:rPr>
                <w:sz w:val="20"/>
                <w:szCs w:val="20"/>
                <w:color w:val="auto"/>
              </w:rPr>
            </w:pPr>
            <w:r>
              <w:rPr>
                <w:rFonts w:ascii="Arial" w:cs="Arial" w:eastAsia="Arial" w:hAnsi="Arial"/>
                <w:sz w:val="16"/>
                <w:szCs w:val="16"/>
                <w:color w:val="auto"/>
              </w:rPr>
              <w:t>Certification by the Chief Financial Officer pursuant to Section 302 of the Sarbanes-Oxley Act of 2002 dated December 29, 2016.</w:t>
            </w:r>
          </w:p>
        </w:tc>
      </w:tr>
      <w:tr>
        <w:trPr>
          <w:trHeight w:val="346"/>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10480" w:type="dxa"/>
            <w:vAlign w:val="bottom"/>
          </w:tcPr>
          <w:p>
            <w:pPr>
              <w:ind w:left="120"/>
              <w:spacing w:after="0"/>
              <w:rPr>
                <w:sz w:val="20"/>
                <w:szCs w:val="20"/>
                <w:color w:val="auto"/>
              </w:rPr>
            </w:pPr>
            <w:r>
              <w:rPr>
                <w:rFonts w:ascii="Arial" w:cs="Arial" w:eastAsia="Arial" w:hAnsi="Arial"/>
                <w:sz w:val="16"/>
                <w:szCs w:val="16"/>
                <w:color w:val="auto"/>
              </w:rPr>
              <w:t>Certification by the Chief Executive Officer pursuant to Section 1350, as adopted pursuant to Section 906 of the Sarbanes-Oxley Act of 2002</w:t>
            </w:r>
          </w:p>
        </w:tc>
      </w:tr>
      <w:tr>
        <w:trPr>
          <w:trHeight w:val="195"/>
        </w:trPr>
        <w:tc>
          <w:tcPr>
            <w:tcW w:w="860" w:type="dxa"/>
            <w:vAlign w:val="bottom"/>
          </w:tcPr>
          <w:p>
            <w:pPr>
              <w:spacing w:after="0"/>
              <w:rPr>
                <w:sz w:val="16"/>
                <w:szCs w:val="16"/>
                <w:color w:val="auto"/>
              </w:rPr>
            </w:pPr>
          </w:p>
        </w:tc>
        <w:tc>
          <w:tcPr>
            <w:tcW w:w="10480" w:type="dxa"/>
            <w:vAlign w:val="bottom"/>
          </w:tcPr>
          <w:p>
            <w:pPr>
              <w:ind w:left="120"/>
              <w:spacing w:after="0"/>
              <w:rPr>
                <w:sz w:val="20"/>
                <w:szCs w:val="20"/>
                <w:color w:val="auto"/>
              </w:rPr>
            </w:pPr>
            <w:r>
              <w:rPr>
                <w:rFonts w:ascii="Arial" w:cs="Arial" w:eastAsia="Arial" w:hAnsi="Arial"/>
                <w:sz w:val="16"/>
                <w:szCs w:val="16"/>
                <w:color w:val="auto"/>
              </w:rPr>
              <w:t>dated December 29, 2016.</w:t>
            </w:r>
          </w:p>
        </w:tc>
      </w:tr>
      <w:tr>
        <w:trPr>
          <w:trHeight w:val="346"/>
        </w:trPr>
        <w:tc>
          <w:tcPr>
            <w:tcW w:w="860" w:type="dxa"/>
            <w:vAlign w:val="bottom"/>
          </w:tcPr>
          <w:p>
            <w:pPr>
              <w:spacing w:after="0"/>
              <w:rPr>
                <w:sz w:val="20"/>
                <w:szCs w:val="20"/>
                <w:color w:val="auto"/>
              </w:rPr>
            </w:pPr>
            <w:r>
              <w:rPr>
                <w:rFonts w:ascii="Arial" w:cs="Arial" w:eastAsia="Arial" w:hAnsi="Arial"/>
                <w:sz w:val="16"/>
                <w:szCs w:val="16"/>
                <w:color w:val="auto"/>
              </w:rPr>
              <w:t>32.2</w:t>
            </w:r>
          </w:p>
        </w:tc>
        <w:tc>
          <w:tcPr>
            <w:tcW w:w="10480" w:type="dxa"/>
            <w:vAlign w:val="bottom"/>
          </w:tcPr>
          <w:p>
            <w:pPr>
              <w:ind w:left="120"/>
              <w:spacing w:after="0"/>
              <w:rPr>
                <w:sz w:val="20"/>
                <w:szCs w:val="20"/>
                <w:color w:val="auto"/>
              </w:rPr>
            </w:pPr>
            <w:r>
              <w:rPr>
                <w:rFonts w:ascii="Arial" w:cs="Arial" w:eastAsia="Arial" w:hAnsi="Arial"/>
                <w:sz w:val="16"/>
                <w:szCs w:val="16"/>
                <w:color w:val="auto"/>
              </w:rPr>
              <w:t>Certification by the Chief Financial Officer pursuant to Section 1350, as adopted pursuant to Section 906 of the Sarbanes-Oxley Act of 2002</w:t>
            </w:r>
          </w:p>
        </w:tc>
      </w:tr>
      <w:tr>
        <w:trPr>
          <w:trHeight w:val="195"/>
        </w:trPr>
        <w:tc>
          <w:tcPr>
            <w:tcW w:w="860" w:type="dxa"/>
            <w:vAlign w:val="bottom"/>
          </w:tcPr>
          <w:p>
            <w:pPr>
              <w:spacing w:after="0"/>
              <w:rPr>
                <w:sz w:val="16"/>
                <w:szCs w:val="16"/>
                <w:color w:val="auto"/>
              </w:rPr>
            </w:pPr>
          </w:p>
        </w:tc>
        <w:tc>
          <w:tcPr>
            <w:tcW w:w="10480" w:type="dxa"/>
            <w:vAlign w:val="bottom"/>
          </w:tcPr>
          <w:p>
            <w:pPr>
              <w:ind w:left="120"/>
              <w:spacing w:after="0"/>
              <w:rPr>
                <w:sz w:val="20"/>
                <w:szCs w:val="20"/>
                <w:color w:val="auto"/>
              </w:rPr>
            </w:pPr>
            <w:r>
              <w:rPr>
                <w:rFonts w:ascii="Arial" w:cs="Arial" w:eastAsia="Arial" w:hAnsi="Arial"/>
                <w:sz w:val="16"/>
                <w:szCs w:val="16"/>
                <w:color w:val="auto"/>
              </w:rPr>
              <w:t>dated December 29, 2016.</w:t>
            </w:r>
          </w:p>
        </w:tc>
      </w:tr>
      <w:tr>
        <w:trPr>
          <w:trHeight w:val="346"/>
        </w:trPr>
        <w:tc>
          <w:tcPr>
            <w:tcW w:w="860" w:type="dxa"/>
            <w:vAlign w:val="bottom"/>
          </w:tcPr>
          <w:p>
            <w:pPr>
              <w:spacing w:after="0"/>
              <w:rPr>
                <w:sz w:val="20"/>
                <w:szCs w:val="20"/>
                <w:color w:val="auto"/>
              </w:rPr>
            </w:pPr>
            <w:r>
              <w:rPr>
                <w:rFonts w:ascii="Arial" w:cs="Arial" w:eastAsia="Arial" w:hAnsi="Arial"/>
                <w:sz w:val="16"/>
                <w:szCs w:val="16"/>
                <w:color w:val="auto"/>
              </w:rPr>
              <w:t>99.1</w:t>
            </w:r>
          </w:p>
        </w:tc>
        <w:tc>
          <w:tcPr>
            <w:tcW w:w="10480" w:type="dxa"/>
            <w:vAlign w:val="bottom"/>
          </w:tcPr>
          <w:p>
            <w:pPr>
              <w:ind w:left="120"/>
              <w:spacing w:after="0"/>
              <w:rPr>
                <w:sz w:val="20"/>
                <w:szCs w:val="20"/>
                <w:color w:val="auto"/>
              </w:rPr>
            </w:pPr>
            <w:r>
              <w:rPr>
                <w:rFonts w:ascii="Arial" w:cs="Arial" w:eastAsia="Arial" w:hAnsi="Arial"/>
                <w:sz w:val="16"/>
                <w:szCs w:val="16"/>
                <w:color w:val="auto"/>
              </w:rPr>
              <w:t>Loan Agreement dated as of November 8, 2016 among Winnebago Industries, Inc., Octavius Corporation, the Other Loan Party Hereto, the</w:t>
            </w:r>
          </w:p>
        </w:tc>
      </w:tr>
      <w:tr>
        <w:trPr>
          <w:trHeight w:val="189"/>
        </w:trPr>
        <w:tc>
          <w:tcPr>
            <w:tcW w:w="860" w:type="dxa"/>
            <w:vAlign w:val="bottom"/>
          </w:tcPr>
          <w:p>
            <w:pPr>
              <w:spacing w:after="0"/>
              <w:rPr>
                <w:sz w:val="16"/>
                <w:szCs w:val="16"/>
                <w:color w:val="auto"/>
              </w:rPr>
            </w:pPr>
          </w:p>
        </w:tc>
        <w:tc>
          <w:tcPr>
            <w:tcW w:w="10480" w:type="dxa"/>
            <w:vAlign w:val="bottom"/>
          </w:tcPr>
          <w:p>
            <w:pPr>
              <w:ind w:left="120"/>
              <w:spacing w:after="0"/>
              <w:rPr>
                <w:sz w:val="20"/>
                <w:szCs w:val="20"/>
                <w:color w:val="auto"/>
              </w:rPr>
            </w:pPr>
            <w:r>
              <w:rPr>
                <w:rFonts w:ascii="Arial" w:cs="Arial" w:eastAsia="Arial" w:hAnsi="Arial"/>
                <w:sz w:val="16"/>
                <w:szCs w:val="16"/>
                <w:color w:val="auto"/>
              </w:rPr>
              <w:t>Lenders Party Hereto and JPMorgan Chase Bank, N.A. as Administrative Agent filed with the Registrant's Current Report on Form 8-K dated</w:t>
            </w:r>
          </w:p>
        </w:tc>
      </w:tr>
      <w:tr>
        <w:trPr>
          <w:trHeight w:val="195"/>
        </w:trPr>
        <w:tc>
          <w:tcPr>
            <w:tcW w:w="860" w:type="dxa"/>
            <w:vAlign w:val="bottom"/>
          </w:tcPr>
          <w:p>
            <w:pPr>
              <w:spacing w:after="0"/>
              <w:rPr>
                <w:sz w:val="16"/>
                <w:szCs w:val="16"/>
                <w:color w:val="auto"/>
              </w:rPr>
            </w:pPr>
          </w:p>
        </w:tc>
        <w:tc>
          <w:tcPr>
            <w:tcW w:w="10480" w:type="dxa"/>
            <w:vAlign w:val="bottom"/>
          </w:tcPr>
          <w:p>
            <w:pPr>
              <w:ind w:left="120"/>
              <w:spacing w:after="0"/>
              <w:rPr>
                <w:sz w:val="20"/>
                <w:szCs w:val="20"/>
                <w:color w:val="auto"/>
              </w:rPr>
            </w:pPr>
            <w:r>
              <w:rPr>
                <w:rFonts w:ascii="Arial" w:cs="Arial" w:eastAsia="Arial" w:hAnsi="Arial"/>
                <w:sz w:val="16"/>
                <w:szCs w:val="16"/>
                <w:color w:val="auto"/>
              </w:rPr>
              <w:t>November 12, 2016 (Commission File Number 001-06403) and incorporated by reference herein.</w:t>
            </w:r>
          </w:p>
        </w:tc>
      </w:tr>
      <w:tr>
        <w:trPr>
          <w:trHeight w:val="346"/>
        </w:trPr>
        <w:tc>
          <w:tcPr>
            <w:tcW w:w="860" w:type="dxa"/>
            <w:vAlign w:val="bottom"/>
          </w:tcPr>
          <w:p>
            <w:pPr>
              <w:spacing w:after="0"/>
              <w:rPr>
                <w:sz w:val="20"/>
                <w:szCs w:val="20"/>
                <w:color w:val="auto"/>
              </w:rPr>
            </w:pPr>
            <w:r>
              <w:rPr>
                <w:rFonts w:ascii="Arial" w:cs="Arial" w:eastAsia="Arial" w:hAnsi="Arial"/>
                <w:sz w:val="16"/>
                <w:szCs w:val="16"/>
                <w:color w:val="auto"/>
              </w:rPr>
              <w:t>99.2</w:t>
            </w:r>
          </w:p>
        </w:tc>
        <w:tc>
          <w:tcPr>
            <w:tcW w:w="10480" w:type="dxa"/>
            <w:vAlign w:val="bottom"/>
          </w:tcPr>
          <w:p>
            <w:pPr>
              <w:ind w:left="120"/>
              <w:spacing w:after="0"/>
              <w:rPr>
                <w:sz w:val="20"/>
                <w:szCs w:val="20"/>
                <w:color w:val="auto"/>
              </w:rPr>
            </w:pPr>
            <w:r>
              <w:rPr>
                <w:rFonts w:ascii="Arial" w:cs="Arial" w:eastAsia="Arial" w:hAnsi="Arial"/>
                <w:sz w:val="16"/>
                <w:szCs w:val="16"/>
                <w:color w:val="auto"/>
              </w:rPr>
              <w:t>Credit Agreement dated as of November 8, 2016 among Winnebago Industries, Inc., Winnebago of Indiana, LLC, Grand Design RV, LLC, the</w:t>
            </w:r>
          </w:p>
        </w:tc>
      </w:tr>
      <w:tr>
        <w:trPr>
          <w:trHeight w:val="189"/>
        </w:trPr>
        <w:tc>
          <w:tcPr>
            <w:tcW w:w="860" w:type="dxa"/>
            <w:vAlign w:val="bottom"/>
          </w:tcPr>
          <w:p>
            <w:pPr>
              <w:spacing w:after="0"/>
              <w:rPr>
                <w:sz w:val="16"/>
                <w:szCs w:val="16"/>
                <w:color w:val="auto"/>
              </w:rPr>
            </w:pPr>
          </w:p>
        </w:tc>
        <w:tc>
          <w:tcPr>
            <w:tcW w:w="10480" w:type="dxa"/>
            <w:vAlign w:val="bottom"/>
          </w:tcPr>
          <w:p>
            <w:pPr>
              <w:ind w:left="120"/>
              <w:spacing w:after="0"/>
              <w:rPr>
                <w:sz w:val="20"/>
                <w:szCs w:val="20"/>
                <w:color w:val="auto"/>
              </w:rPr>
            </w:pPr>
            <w:r>
              <w:rPr>
                <w:rFonts w:ascii="Arial" w:cs="Arial" w:eastAsia="Arial" w:hAnsi="Arial"/>
                <w:sz w:val="16"/>
                <w:szCs w:val="16"/>
                <w:color w:val="auto"/>
              </w:rPr>
              <w:t>Other Loan Party Hereto, the Lenders Party Hereto and JPMorgan Chase Bank, N.A. as Administrative Agent filed with the Registrant's Current</w:t>
            </w:r>
          </w:p>
        </w:tc>
      </w:tr>
      <w:tr>
        <w:trPr>
          <w:trHeight w:val="195"/>
        </w:trPr>
        <w:tc>
          <w:tcPr>
            <w:tcW w:w="860" w:type="dxa"/>
            <w:vAlign w:val="bottom"/>
          </w:tcPr>
          <w:p>
            <w:pPr>
              <w:spacing w:after="0"/>
              <w:rPr>
                <w:sz w:val="16"/>
                <w:szCs w:val="16"/>
                <w:color w:val="auto"/>
              </w:rPr>
            </w:pPr>
          </w:p>
        </w:tc>
        <w:tc>
          <w:tcPr>
            <w:tcW w:w="10480" w:type="dxa"/>
            <w:vAlign w:val="bottom"/>
          </w:tcPr>
          <w:p>
            <w:pPr>
              <w:ind w:left="120"/>
              <w:spacing w:after="0"/>
              <w:rPr>
                <w:sz w:val="20"/>
                <w:szCs w:val="20"/>
                <w:color w:val="auto"/>
              </w:rPr>
            </w:pPr>
            <w:r>
              <w:rPr>
                <w:rFonts w:ascii="Arial" w:cs="Arial" w:eastAsia="Arial" w:hAnsi="Arial"/>
                <w:sz w:val="16"/>
                <w:szCs w:val="16"/>
                <w:color w:val="auto"/>
              </w:rPr>
              <w:t>Report on Form 8-K dated November 12, 2016 (Commission File Number 001-06403) and incorporated by reference herein.</w:t>
            </w:r>
          </w:p>
        </w:tc>
      </w:tr>
      <w:tr>
        <w:trPr>
          <w:trHeight w:val="346"/>
        </w:trPr>
        <w:tc>
          <w:tcPr>
            <w:tcW w:w="860" w:type="dxa"/>
            <w:vAlign w:val="bottom"/>
          </w:tcPr>
          <w:p>
            <w:pPr>
              <w:spacing w:after="0"/>
              <w:rPr>
                <w:sz w:val="20"/>
                <w:szCs w:val="20"/>
                <w:color w:val="auto"/>
              </w:rPr>
            </w:pPr>
            <w:r>
              <w:rPr>
                <w:rFonts w:ascii="Arial" w:cs="Arial" w:eastAsia="Arial" w:hAnsi="Arial"/>
                <w:sz w:val="16"/>
                <w:szCs w:val="16"/>
                <w:color w:val="auto"/>
              </w:rPr>
              <w:t>99.3</w:t>
            </w:r>
          </w:p>
        </w:tc>
        <w:tc>
          <w:tcPr>
            <w:tcW w:w="10480" w:type="dxa"/>
            <w:vAlign w:val="bottom"/>
          </w:tcPr>
          <w:p>
            <w:pPr>
              <w:ind w:left="120"/>
              <w:spacing w:after="0"/>
              <w:rPr>
                <w:sz w:val="20"/>
                <w:szCs w:val="20"/>
                <w:color w:val="auto"/>
              </w:rPr>
            </w:pPr>
            <w:r>
              <w:rPr>
                <w:rFonts w:ascii="Arial" w:cs="Arial" w:eastAsia="Arial" w:hAnsi="Arial"/>
                <w:sz w:val="16"/>
                <w:szCs w:val="16"/>
                <w:color w:val="auto"/>
              </w:rPr>
              <w:t>Intercreditor Agreement filed with the Registrant's Current Report on Form 8-K dated November 8, 2016 (Commission File Number 001-06403)</w:t>
            </w:r>
          </w:p>
        </w:tc>
      </w:tr>
      <w:tr>
        <w:trPr>
          <w:trHeight w:val="195"/>
        </w:trPr>
        <w:tc>
          <w:tcPr>
            <w:tcW w:w="860" w:type="dxa"/>
            <w:vAlign w:val="bottom"/>
          </w:tcPr>
          <w:p>
            <w:pPr>
              <w:spacing w:after="0"/>
              <w:rPr>
                <w:sz w:val="16"/>
                <w:szCs w:val="16"/>
                <w:color w:val="auto"/>
              </w:rPr>
            </w:pPr>
          </w:p>
        </w:tc>
        <w:tc>
          <w:tcPr>
            <w:tcW w:w="10480" w:type="dxa"/>
            <w:vAlign w:val="bottom"/>
          </w:tcPr>
          <w:p>
            <w:pPr>
              <w:ind w:left="120"/>
              <w:spacing w:after="0"/>
              <w:rPr>
                <w:sz w:val="20"/>
                <w:szCs w:val="20"/>
                <w:color w:val="auto"/>
              </w:rPr>
            </w:pPr>
            <w:r>
              <w:rPr>
                <w:rFonts w:ascii="Arial" w:cs="Arial" w:eastAsia="Arial" w:hAnsi="Arial"/>
                <w:sz w:val="16"/>
                <w:szCs w:val="16"/>
                <w:color w:val="auto"/>
              </w:rPr>
              <w:t>and incorporated by reference herein.</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99.4</w:t>
            </w:r>
          </w:p>
        </w:tc>
        <w:tc>
          <w:tcPr>
            <w:tcW w:w="10480" w:type="dxa"/>
            <w:vAlign w:val="bottom"/>
          </w:tcPr>
          <w:p>
            <w:pPr>
              <w:ind w:left="120"/>
              <w:spacing w:after="0"/>
              <w:rPr>
                <w:sz w:val="20"/>
                <w:szCs w:val="20"/>
                <w:color w:val="auto"/>
              </w:rPr>
            </w:pPr>
            <w:r>
              <w:rPr>
                <w:rFonts w:ascii="Arial" w:cs="Arial" w:eastAsia="Arial" w:hAnsi="Arial"/>
                <w:sz w:val="16"/>
                <w:szCs w:val="16"/>
                <w:color w:val="auto"/>
              </w:rPr>
              <w:t>Lease Agreement (Main Facility) between Three Oaks, LLC and Grand Design RV, LLC dated November 8, 2016</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99.5</w:t>
            </w:r>
          </w:p>
        </w:tc>
        <w:tc>
          <w:tcPr>
            <w:tcW w:w="10480" w:type="dxa"/>
            <w:vAlign w:val="bottom"/>
          </w:tcPr>
          <w:p>
            <w:pPr>
              <w:ind w:left="120"/>
              <w:spacing w:after="0"/>
              <w:rPr>
                <w:sz w:val="20"/>
                <w:szCs w:val="20"/>
                <w:color w:val="auto"/>
              </w:rPr>
            </w:pPr>
            <w:r>
              <w:rPr>
                <w:rFonts w:ascii="Arial" w:cs="Arial" w:eastAsia="Arial" w:hAnsi="Arial"/>
                <w:sz w:val="16"/>
                <w:szCs w:val="16"/>
                <w:color w:val="auto"/>
              </w:rPr>
              <w:t>Lease Agreement (Expansion Facility) between Three Oaks, LLC and Grand Design RV, LLC dated November 12, 2016</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101.INS*</w:t>
            </w:r>
          </w:p>
        </w:tc>
        <w:tc>
          <w:tcPr>
            <w:tcW w:w="10480" w:type="dxa"/>
            <w:vAlign w:val="bottom"/>
          </w:tcPr>
          <w:p>
            <w:pPr>
              <w:ind w:left="120"/>
              <w:spacing w:after="0"/>
              <w:rPr>
                <w:sz w:val="20"/>
                <w:szCs w:val="20"/>
                <w:color w:val="auto"/>
              </w:rPr>
            </w:pPr>
            <w:r>
              <w:rPr>
                <w:rFonts w:ascii="Arial" w:cs="Arial" w:eastAsia="Arial" w:hAnsi="Arial"/>
                <w:sz w:val="16"/>
                <w:szCs w:val="16"/>
                <w:color w:val="auto"/>
              </w:rPr>
              <w:t>XBRL Instance Document</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101.SCH*</w:t>
            </w:r>
          </w:p>
        </w:tc>
        <w:tc>
          <w:tcPr>
            <w:tcW w:w="10480" w:type="dxa"/>
            <w:vAlign w:val="bottom"/>
          </w:tcPr>
          <w:p>
            <w:pPr>
              <w:ind w:left="120"/>
              <w:spacing w:after="0"/>
              <w:rPr>
                <w:sz w:val="20"/>
                <w:szCs w:val="20"/>
                <w:color w:val="auto"/>
              </w:rPr>
            </w:pPr>
            <w:r>
              <w:rPr>
                <w:rFonts w:ascii="Arial" w:cs="Arial" w:eastAsia="Arial" w:hAnsi="Arial"/>
                <w:sz w:val="16"/>
                <w:szCs w:val="16"/>
                <w:color w:val="auto"/>
              </w:rPr>
              <w:t>XBRL Taxonomy Extension Schema Document</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101.CAL*</w:t>
            </w:r>
          </w:p>
        </w:tc>
        <w:tc>
          <w:tcPr>
            <w:tcW w:w="10480" w:type="dxa"/>
            <w:vAlign w:val="bottom"/>
          </w:tcPr>
          <w:p>
            <w:pPr>
              <w:ind w:left="1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351"/>
        </w:trPr>
        <w:tc>
          <w:tcPr>
            <w:tcW w:w="860" w:type="dxa"/>
            <w:vAlign w:val="bottom"/>
          </w:tcPr>
          <w:p>
            <w:pPr>
              <w:spacing w:after="0"/>
              <w:rPr>
                <w:sz w:val="20"/>
                <w:szCs w:val="20"/>
                <w:color w:val="auto"/>
              </w:rPr>
            </w:pPr>
            <w:r>
              <w:rPr>
                <w:rFonts w:ascii="Arial" w:cs="Arial" w:eastAsia="Arial" w:hAnsi="Arial"/>
                <w:sz w:val="16"/>
                <w:szCs w:val="16"/>
                <w:color w:val="auto"/>
              </w:rPr>
              <w:t>101.DEF*</w:t>
            </w:r>
          </w:p>
        </w:tc>
        <w:tc>
          <w:tcPr>
            <w:tcW w:w="10480" w:type="dxa"/>
            <w:vAlign w:val="bottom"/>
          </w:tcPr>
          <w:p>
            <w:pPr>
              <w:ind w:left="120"/>
              <w:spacing w:after="0"/>
              <w:rPr>
                <w:sz w:val="20"/>
                <w:szCs w:val="20"/>
                <w:color w:val="auto"/>
              </w:rPr>
            </w:pPr>
            <w:r>
              <w:rPr>
                <w:rFonts w:ascii="Arial" w:cs="Arial" w:eastAsia="Arial" w:hAnsi="Arial"/>
                <w:sz w:val="16"/>
                <w:szCs w:val="16"/>
                <w:color w:val="auto"/>
              </w:rPr>
              <w:t>XBRL Taxonomy Extension Definitions Linkbase Document</w:t>
            </w:r>
          </w:p>
        </w:tc>
      </w:tr>
      <w:tr>
        <w:trPr>
          <w:trHeight w:val="594"/>
        </w:trPr>
        <w:tc>
          <w:tcPr>
            <w:tcW w:w="860" w:type="dxa"/>
            <w:vAlign w:val="bottom"/>
          </w:tcPr>
          <w:p>
            <w:pPr>
              <w:spacing w:after="0"/>
              <w:rPr>
                <w:sz w:val="24"/>
                <w:szCs w:val="24"/>
                <w:color w:val="auto"/>
              </w:rPr>
            </w:pPr>
          </w:p>
        </w:tc>
        <w:tc>
          <w:tcPr>
            <w:tcW w:w="10480" w:type="dxa"/>
            <w:vAlign w:val="bottom"/>
          </w:tcPr>
          <w:p>
            <w:pPr>
              <w:ind w:left="4760"/>
              <w:spacing w:after="0"/>
              <w:rPr>
                <w:sz w:val="20"/>
                <w:szCs w:val="20"/>
                <w:color w:val="auto"/>
              </w:rPr>
            </w:pPr>
            <w:r>
              <w:rPr>
                <w:rFonts w:ascii="Arial" w:cs="Arial" w:eastAsia="Arial" w:hAnsi="Arial"/>
                <w:sz w:val="16"/>
                <w:szCs w:val="16"/>
                <w:color w:val="auto"/>
              </w:rPr>
              <w:t>29</w:t>
            </w:r>
          </w:p>
        </w:tc>
      </w:tr>
    </w:tbl>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400"/>
          </w:cols>
          <w:pgMar w:left="240" w:top="141" w:right="25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November 26, 2016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WINNEBAGO INDUSTRIES, INC.</w:t>
      </w:r>
    </w:p>
    <w:p>
      <w:pPr>
        <w:spacing w:after="0" w:line="340"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29,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pacing w:after="0" w:line="340"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29,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29210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Vice President, Chief Financial Officer, Treasurer</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41" w:right="25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certify that:</w:t>
      </w:r>
    </w:p>
    <w:p>
      <w:pPr>
        <w:spacing w:after="0" w:line="8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660" w:right="80" w:hanging="328"/>
        <w:spacing w:after="0" w:line="253"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29,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630"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certify that:</w:t>
      </w:r>
    </w:p>
    <w:p>
      <w:pPr>
        <w:spacing w:after="0" w:line="8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left="660" w:right="80" w:hanging="328"/>
        <w:spacing w:after="0" w:line="253"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29,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November 26, 2016, I, Michael J. Happe,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ind w:left="660" w:right="40" w:hanging="328"/>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November 26, 2016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29,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00"/>
          </w:cols>
          <w:pgMar w:left="240" w:top="630" w:right="25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November 26, 2016,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ind w:left="660" w:hanging="328"/>
        <w:spacing w:after="0" w:line="25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November 26, 2016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29,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360"/>
          </w:cols>
          <w:pgMar w:left="240" w:top="630"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LEASE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(Main Facility)</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LEASE AGREEMENT (this “</w:t>
      </w:r>
      <w:r>
        <w:rPr>
          <w:rFonts w:ascii="Arial" w:cs="Arial" w:eastAsia="Arial" w:hAnsi="Arial"/>
          <w:sz w:val="22"/>
          <w:szCs w:val="22"/>
          <w:u w:val="single" w:color="auto"/>
          <w:color w:val="auto"/>
        </w:rPr>
        <w:t>Lease</w:t>
      </w:r>
      <w:r>
        <w:rPr>
          <w:rFonts w:ascii="Arial" w:cs="Arial" w:eastAsia="Arial" w:hAnsi="Arial"/>
          <w:sz w:val="22"/>
          <w:szCs w:val="22"/>
          <w:color w:val="auto"/>
        </w:rPr>
        <w:t>”) is made and entered into as of November 8, 2016 (the “</w:t>
      </w:r>
      <w:r>
        <w:rPr>
          <w:rFonts w:ascii="Arial" w:cs="Arial" w:eastAsia="Arial" w:hAnsi="Arial"/>
          <w:sz w:val="22"/>
          <w:szCs w:val="22"/>
          <w:u w:val="single" w:color="auto"/>
          <w:color w:val="auto"/>
        </w:rPr>
        <w:t>Lease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THREE OAKS, LLC</w:t>
      </w:r>
      <w:r>
        <w:rPr>
          <w:rFonts w:ascii="Arial" w:cs="Arial" w:eastAsia="Arial" w:hAnsi="Arial"/>
          <w:sz w:val="22"/>
          <w:szCs w:val="22"/>
          <w:color w:val="auto"/>
        </w:rPr>
        <w:t xml:space="preserve">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GRAND DESIGN RV, LLC</w:t>
      </w:r>
      <w:r>
        <w:rPr>
          <w:rFonts w:ascii="Arial" w:cs="Arial" w:eastAsia="Arial" w:hAnsi="Arial"/>
          <w:sz w:val="22"/>
          <w:szCs w:val="22"/>
          <w:color w:val="auto"/>
        </w:rPr>
        <w:t xml:space="preserve"> (“</w:t>
      </w:r>
      <w:r>
        <w:rPr>
          <w:rFonts w:ascii="Arial" w:cs="Arial" w:eastAsia="Arial" w:hAnsi="Arial"/>
          <w:sz w:val="22"/>
          <w:szCs w:val="22"/>
          <w:u w:val="single" w:color="auto"/>
          <w:color w:val="auto"/>
        </w:rPr>
        <w:t>Tenant</w:t>
      </w:r>
      <w:r>
        <w:rPr>
          <w:rFonts w:ascii="Arial" w:cs="Arial" w:eastAsia="Arial" w:hAnsi="Arial"/>
          <w:sz w:val="22"/>
          <w:szCs w:val="22"/>
          <w:color w:val="auto"/>
        </w:rPr>
        <w:t>”). This lease supersedes and replaces all prior leases affecting the Premises, all of which are hereby terminated.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Landlord is the owner of the real estate more particularly described on attached </w:t>
      </w:r>
      <w:r>
        <w:rPr>
          <w:rFonts w:ascii="Arial" w:cs="Arial" w:eastAsia="Arial" w:hAnsi="Arial"/>
          <w:sz w:val="22"/>
          <w:szCs w:val="22"/>
          <w:b w:val="1"/>
          <w:bCs w:val="1"/>
          <w:color w:val="auto"/>
        </w:rPr>
        <w:t>Exhibit A</w:t>
      </w:r>
      <w:r>
        <w:rPr>
          <w:rFonts w:ascii="Arial" w:cs="Arial" w:eastAsia="Arial" w:hAnsi="Arial"/>
          <w:sz w:val="22"/>
          <w:szCs w:val="22"/>
          <w:color w:val="auto"/>
        </w:rPr>
        <w:t>, and the improvements on that real estate (the “</w:t>
      </w:r>
      <w:r>
        <w:rPr>
          <w:rFonts w:ascii="Arial" w:cs="Arial" w:eastAsia="Arial" w:hAnsi="Arial"/>
          <w:sz w:val="22"/>
          <w:szCs w:val="22"/>
          <w:u w:val="single" w:color="auto"/>
          <w:color w:val="auto"/>
        </w:rPr>
        <w:t>Premises</w:t>
      </w:r>
      <w:r>
        <w:rPr>
          <w:rFonts w:ascii="Arial" w:cs="Arial" w:eastAsia="Arial" w:hAnsi="Arial"/>
          <w:sz w:val="22"/>
          <w:szCs w:val="22"/>
          <w:color w:val="auto"/>
        </w:rPr>
        <w:t>”), located and commonly known as 11333 CR 2, Middlebury, IN 46540. Tenant desires to Lease the Premises from Landlord. The parties accordingly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66" w:lineRule="exact"/>
        <w:rPr>
          <w:sz w:val="20"/>
          <w:szCs w:val="20"/>
          <w:color w:val="auto"/>
        </w:rPr>
      </w:pPr>
    </w:p>
    <w:p>
      <w:pPr>
        <w:ind w:firstLine="656"/>
        <w:spacing w:after="0" w:line="350" w:lineRule="auto"/>
        <w:tabs>
          <w:tab w:leader="none" w:pos="1459" w:val="left"/>
        </w:tabs>
        <w:numPr>
          <w:ilvl w:val="0"/>
          <w:numId w:val="25"/>
        </w:numPr>
        <w:rPr>
          <w:rFonts w:ascii="Arial" w:cs="Arial" w:eastAsia="Arial" w:hAnsi="Arial"/>
          <w:sz w:val="19"/>
          <w:szCs w:val="19"/>
          <w:color w:val="auto"/>
        </w:rPr>
      </w:pPr>
      <w:r>
        <w:rPr>
          <w:rFonts w:ascii="Arial" w:cs="Arial" w:eastAsia="Arial" w:hAnsi="Arial"/>
          <w:sz w:val="19"/>
          <w:szCs w:val="19"/>
          <w:b w:val="1"/>
          <w:bCs w:val="1"/>
          <w:color w:val="auto"/>
        </w:rPr>
        <w:t>Lease Term</w:t>
      </w:r>
      <w:r>
        <w:rPr>
          <w:rFonts w:ascii="Arial" w:cs="Arial" w:eastAsia="Arial" w:hAnsi="Arial"/>
          <w:sz w:val="19"/>
          <w:szCs w:val="19"/>
          <w:color w:val="auto"/>
        </w:rPr>
        <w:t>. The Tenant shall have and hold the Premises for and during the term commencing on the Lease Date,</w:t>
      </w:r>
      <w:r>
        <w:rPr>
          <w:rFonts w:ascii="Arial" w:cs="Arial" w:eastAsia="Arial" w:hAnsi="Arial"/>
          <w:sz w:val="19"/>
          <w:szCs w:val="19"/>
          <w:b w:val="1"/>
          <w:bCs w:val="1"/>
          <w:color w:val="auto"/>
        </w:rPr>
        <w:t xml:space="preserve"> </w:t>
      </w:r>
      <w:r>
        <w:rPr>
          <w:rFonts w:ascii="Arial" w:cs="Arial" w:eastAsia="Arial" w:hAnsi="Arial"/>
          <w:sz w:val="19"/>
          <w:szCs w:val="19"/>
          <w:color w:val="auto"/>
        </w:rPr>
        <w:t>and ending at midnight on December 31, 2024 or until such earlier termination as provided in this Lease (the “</w:t>
      </w:r>
      <w:r>
        <w:rPr>
          <w:rFonts w:ascii="Arial" w:cs="Arial" w:eastAsia="Arial" w:hAnsi="Arial"/>
          <w:sz w:val="19"/>
          <w:szCs w:val="19"/>
          <w:u w:val="single" w:color="auto"/>
          <w:color w:val="auto"/>
        </w:rPr>
        <w:t>Lease Term</w:t>
      </w:r>
      <w:r>
        <w:rPr>
          <w:rFonts w:ascii="Arial" w:cs="Arial" w:eastAsia="Arial" w:hAnsi="Arial"/>
          <w:sz w:val="19"/>
          <w:szCs w:val="19"/>
          <w:color w:val="auto"/>
        </w:rPr>
        <w:t>”).</w:t>
      </w:r>
    </w:p>
    <w:p>
      <w:pPr>
        <w:spacing w:after="0" w:line="1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Tenant has the right to extend the Lease Term (the “</w:t>
      </w:r>
      <w:r>
        <w:rPr>
          <w:rFonts w:ascii="Arial" w:cs="Arial" w:eastAsia="Arial" w:hAnsi="Arial"/>
          <w:sz w:val="22"/>
          <w:szCs w:val="22"/>
          <w:u w:val="single" w:color="auto"/>
          <w:color w:val="auto"/>
        </w:rPr>
        <w:t>Extension Option</w:t>
      </w:r>
      <w:r>
        <w:rPr>
          <w:rFonts w:ascii="Arial" w:cs="Arial" w:eastAsia="Arial" w:hAnsi="Arial"/>
          <w:sz w:val="22"/>
          <w:szCs w:val="22"/>
          <w:color w:val="auto"/>
        </w:rPr>
        <w:t>”) for five (5) subsequent periods of five (5) years each (each five-year period is an “</w:t>
      </w:r>
      <w:r>
        <w:rPr>
          <w:rFonts w:ascii="Arial" w:cs="Arial" w:eastAsia="Arial" w:hAnsi="Arial"/>
          <w:sz w:val="22"/>
          <w:szCs w:val="22"/>
          <w:u w:val="single" w:color="auto"/>
          <w:color w:val="auto"/>
        </w:rPr>
        <w:t>Extension Period</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To exercise such right, Tenant must provide written notice to Landlord on or before December 15 of the year prior to the expiration of the then-current term. By way of example, if Tenant delivers notice to Landlord on or before December 15, 2023, the first Extension Period will begin January 1, 2025, and will expire at midnight on December 31, 2029. To be effective, notice must be delivered to Landlord at the address specified in Section 22 of this Lease on or before 5:00 p.m. Eastern time, by Federal Express or other national courier delivery service that furnishes verification of delivery.</w:t>
      </w:r>
    </w:p>
    <w:p>
      <w:pPr>
        <w:spacing w:after="0" w:line="170" w:lineRule="exact"/>
        <w:rPr>
          <w:sz w:val="20"/>
          <w:szCs w:val="20"/>
          <w:color w:val="auto"/>
        </w:rPr>
      </w:pPr>
    </w:p>
    <w:p>
      <w:pPr>
        <w:jc w:val="both"/>
        <w:ind w:firstLine="656"/>
        <w:spacing w:after="0" w:line="264" w:lineRule="auto"/>
        <w:tabs>
          <w:tab w:leader="none" w:pos="1459" w:val="left"/>
        </w:tabs>
        <w:numPr>
          <w:ilvl w:val="0"/>
          <w:numId w:val="26"/>
        </w:numPr>
        <w:rPr>
          <w:rFonts w:ascii="Arial" w:cs="Arial" w:eastAsia="Arial" w:hAnsi="Arial"/>
          <w:sz w:val="21"/>
          <w:szCs w:val="21"/>
          <w:color w:val="auto"/>
        </w:rPr>
      </w:pPr>
      <w:r>
        <w:rPr>
          <w:rFonts w:ascii="Arial" w:cs="Arial" w:eastAsia="Arial" w:hAnsi="Arial"/>
          <w:sz w:val="21"/>
          <w:szCs w:val="21"/>
          <w:b w:val="1"/>
          <w:bCs w:val="1"/>
          <w:color w:val="auto"/>
        </w:rPr>
        <w:t>Rent</w:t>
      </w:r>
      <w:r>
        <w:rPr>
          <w:rFonts w:ascii="Arial" w:cs="Arial" w:eastAsia="Arial" w:hAnsi="Arial"/>
          <w:sz w:val="21"/>
          <w:szCs w:val="21"/>
          <w:color w:val="auto"/>
        </w:rPr>
        <w:t>. Tenant shall pay Landlord as rent for the Premises (a) for the period through December 31, 2022, the annual</w:t>
      </w:r>
      <w:r>
        <w:rPr>
          <w:rFonts w:ascii="Arial" w:cs="Arial" w:eastAsia="Arial" w:hAnsi="Arial"/>
          <w:sz w:val="21"/>
          <w:szCs w:val="21"/>
          <w:b w:val="1"/>
          <w:bCs w:val="1"/>
          <w:color w:val="auto"/>
        </w:rPr>
        <w:t xml:space="preserve"> </w:t>
      </w:r>
      <w:r>
        <w:rPr>
          <w:rFonts w:ascii="Arial" w:cs="Arial" w:eastAsia="Arial" w:hAnsi="Arial"/>
          <w:sz w:val="21"/>
          <w:szCs w:val="21"/>
          <w:color w:val="auto"/>
        </w:rPr>
        <w:t>sum of Nine Hundred Thousand Dollars ($900,000), payable in equal monthly installments of Seventy-Five Thousand Dollars ($75,000), (b) for the period January 1, 2023 through December 31, 2023, the annual sum of $2,000,000, payable in equal monthly installments of $166,667.00, and (c) for the period January 1, 2024 through December 31, 2024, an amount equal to the rent specified in 2.(b), above, adjusted by the CPI Amount (defined below).</w:t>
      </w:r>
    </w:p>
    <w:p>
      <w:pPr>
        <w:spacing w:after="0" w:line="2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Rent will be paid in advance on the first day of each and every successive month during the Lease Term, commencing with the first day of December, 2016. Such rental payments shall be made to Landlord at 358 S. Elkhart Avenue, Suite 200, Elkhart, Indiana, 46516, or at such other place or places as Landlord may designate in writing.</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Tenant exercises any extension option, rent for each year of such extension period (January 1 through December 31) will be adjusted by the CPI amount (defined below).</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CPI Amount</w:t>
      </w:r>
      <w:r>
        <w:rPr>
          <w:rFonts w:ascii="Arial" w:cs="Arial" w:eastAsia="Arial" w:hAnsi="Arial"/>
          <w:sz w:val="22"/>
          <w:szCs w:val="22"/>
          <w:color w:val="auto"/>
        </w:rPr>
        <w:t>” means a percentage increase or decrease in rent based on the change in the Consumer Price Index between the year prior to such increase and the effective year of such</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color w:val="auto"/>
        </w:rPr>
        <w:t xml:space="preserve">increase, calculated as set forth on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hereto.</w:t>
      </w:r>
    </w:p>
    <w:p>
      <w:pPr>
        <w:spacing w:after="0" w:line="220" w:lineRule="exact"/>
        <w:rPr>
          <w:sz w:val="20"/>
          <w:szCs w:val="20"/>
          <w:color w:val="auto"/>
        </w:rPr>
      </w:pPr>
    </w:p>
    <w:p>
      <w:pPr>
        <w:jc w:val="both"/>
        <w:ind w:firstLine="656"/>
        <w:spacing w:after="0" w:line="249" w:lineRule="auto"/>
        <w:tabs>
          <w:tab w:leader="none" w:pos="1459"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Net, Net, Net Lease</w:t>
      </w:r>
      <w:r>
        <w:rPr>
          <w:rFonts w:ascii="Arial" w:cs="Arial" w:eastAsia="Arial" w:hAnsi="Arial"/>
          <w:sz w:val="22"/>
          <w:szCs w:val="22"/>
          <w:color w:val="auto"/>
        </w:rPr>
        <w:t>. It is stipulated and understood by the Tenant and the Landlord that this is a net, net, net lease</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Tenant shall pay in addition to the rent provided in Paragraph 2 and as additional rent, all taxes, assessments or levies assessed against the Premises, all insurance premiums, utilities and all maintenance and repairs of the Premises. Tenant shall promptly pay (in addition to the rent) all water, sewerage, electric, power, gas and heating bills taxed, levied, or charged against the Premises for and during the Lease Term.</w:t>
      </w:r>
    </w:p>
    <w:p>
      <w:pPr>
        <w:spacing w:after="0" w:line="227" w:lineRule="exact"/>
        <w:rPr>
          <w:rFonts w:ascii="Arial" w:cs="Arial" w:eastAsia="Arial" w:hAnsi="Arial"/>
          <w:sz w:val="22"/>
          <w:szCs w:val="22"/>
          <w:color w:val="auto"/>
        </w:rPr>
      </w:pPr>
    </w:p>
    <w:p>
      <w:pPr>
        <w:jc w:val="both"/>
        <w:ind w:firstLine="656"/>
        <w:spacing w:after="0" w:line="261" w:lineRule="auto"/>
        <w:tabs>
          <w:tab w:leader="none" w:pos="1459"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Repair and Maintenance</w:t>
      </w:r>
      <w:r>
        <w:rPr>
          <w:rFonts w:ascii="Arial" w:cs="Arial" w:eastAsia="Arial" w:hAnsi="Arial"/>
          <w:sz w:val="21"/>
          <w:szCs w:val="21"/>
          <w:color w:val="auto"/>
        </w:rPr>
        <w:t>. Tenant will keep the interior and exterior of the Premises in good repair, including the</w:t>
      </w:r>
      <w:r>
        <w:rPr>
          <w:rFonts w:ascii="Arial" w:cs="Arial" w:eastAsia="Arial" w:hAnsi="Arial"/>
          <w:sz w:val="21"/>
          <w:szCs w:val="21"/>
          <w:b w:val="1"/>
          <w:bCs w:val="1"/>
          <w:color w:val="auto"/>
        </w:rPr>
        <w:t xml:space="preserve"> </w:t>
      </w:r>
      <w:r>
        <w:rPr>
          <w:rFonts w:ascii="Arial" w:cs="Arial" w:eastAsia="Arial" w:hAnsi="Arial"/>
          <w:sz w:val="21"/>
          <w:szCs w:val="21"/>
          <w:color w:val="auto"/>
        </w:rPr>
        <w:t>roof and walls, replacing all broken glass with glass of the same size and quality as that broken, and will keep the Premises and appurtenances, as well as all eaves, downspouting, catch basins, drains, stools, lavatories, sidewalks, adjoining alleys and all other facilities and equipment in connection with said premises, in a clean and healthy condition, according to city or county ordinances and state laws, and the direction of the proper public officers, during the term of this Lease, at Tenant’s expense, and upon the termination of this Lease in any way, will yield up the Premises to Landlord in good condition and repair (loss by fire and ordinary wear excepted) and will deliver all keys to the Premises to Landlord.</w:t>
      </w:r>
    </w:p>
    <w:p>
      <w:pPr>
        <w:spacing w:after="0" w:line="214" w:lineRule="exact"/>
        <w:rPr>
          <w:rFonts w:ascii="Arial" w:cs="Arial" w:eastAsia="Arial" w:hAnsi="Arial"/>
          <w:sz w:val="21"/>
          <w:szCs w:val="21"/>
          <w:color w:val="auto"/>
        </w:rPr>
      </w:pPr>
    </w:p>
    <w:p>
      <w:pPr>
        <w:jc w:val="both"/>
        <w:ind w:firstLine="656"/>
        <w:spacing w:after="0" w:line="295" w:lineRule="auto"/>
        <w:tabs>
          <w:tab w:leader="none" w:pos="1459"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No Landlord Liability</w:t>
      </w:r>
      <w:r>
        <w:rPr>
          <w:rFonts w:ascii="Arial" w:cs="Arial" w:eastAsia="Arial" w:hAnsi="Arial"/>
          <w:sz w:val="19"/>
          <w:szCs w:val="19"/>
          <w:color w:val="auto"/>
        </w:rPr>
        <w:t>. Landlord shall not be liable for damage caused by hidden defects or failure to keep the</w:t>
      </w:r>
      <w:r>
        <w:rPr>
          <w:rFonts w:ascii="Arial" w:cs="Arial" w:eastAsia="Arial" w:hAnsi="Arial"/>
          <w:sz w:val="19"/>
          <w:szCs w:val="19"/>
          <w:b w:val="1"/>
          <w:bCs w:val="1"/>
          <w:color w:val="auto"/>
        </w:rPr>
        <w:t xml:space="preserve"> </w:t>
      </w:r>
      <w:r>
        <w:rPr>
          <w:rFonts w:ascii="Arial" w:cs="Arial" w:eastAsia="Arial" w:hAnsi="Arial"/>
          <w:sz w:val="19"/>
          <w:szCs w:val="19"/>
          <w:color w:val="auto"/>
        </w:rPr>
        <w:t>Premises in repair and shall not be liable for any damage done or occasioned by or from plumbing, gas, water, steam, or other pipes, or sewerage, or the bursting or leaking of pipes or of any plumbing or heating fixtures or waste or soil pipe existing in connection with the Premises, nor for damage occasioned by water, snow or ice being upon sidewalks or coming through the roof, sky-light, trap door or otherwise, nor for any damages arising from negligence of co-tenants or other occupants of the Premises, or the agents, employees or servants of any of them, or of any owners or occupants of adjacent or contiguous property.</w:t>
      </w:r>
    </w:p>
    <w:p>
      <w:pPr>
        <w:spacing w:after="0" w:line="184" w:lineRule="exact"/>
        <w:rPr>
          <w:rFonts w:ascii="Arial" w:cs="Arial" w:eastAsia="Arial" w:hAnsi="Arial"/>
          <w:sz w:val="19"/>
          <w:szCs w:val="19"/>
          <w:color w:val="auto"/>
        </w:rPr>
      </w:pPr>
    </w:p>
    <w:p>
      <w:pPr>
        <w:jc w:val="both"/>
        <w:ind w:firstLine="656"/>
        <w:spacing w:after="0" w:line="259" w:lineRule="auto"/>
        <w:tabs>
          <w:tab w:leader="none" w:pos="1459"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Tenant Indemnification of Landlord</w:t>
      </w:r>
      <w:r>
        <w:rPr>
          <w:rFonts w:ascii="Arial" w:cs="Arial" w:eastAsia="Arial" w:hAnsi="Arial"/>
          <w:sz w:val="21"/>
          <w:szCs w:val="21"/>
          <w:color w:val="auto"/>
        </w:rPr>
        <w:t>. Landlord shall not be liable for any personal injury, death or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damage or destruction or consequential damages suffered by the Tenant or any other person, occurring on or in front of the Premises, irrespective of whether such injury, death, damage or destruction is caused by a defect in the Premises or by reason of the Premises becoming out of repair or arising from any other cause whatsoever, and the Landlord shall not be liable for damage to Tenant’s property or to the property of any other person which may be located in or upon the Premises and the Tenant agrees to indemnify and save harmless the Landlord from any and all claims, damages (whether compensatory, consequential or punitive) and whether determined through adjudication or settlement, and all expenses, including all attorneys’ fees and costs of litigation arising out of personal injuries, death, property damage or destruction, or any other legal injury to persons or property occurring on or about the Premises.</w:t>
      </w:r>
    </w:p>
    <w:p>
      <w:pPr>
        <w:spacing w:after="0" w:line="220" w:lineRule="exact"/>
        <w:rPr>
          <w:rFonts w:ascii="Arial" w:cs="Arial" w:eastAsia="Arial" w:hAnsi="Arial"/>
          <w:sz w:val="21"/>
          <w:szCs w:val="21"/>
          <w:color w:val="auto"/>
        </w:rPr>
      </w:pPr>
    </w:p>
    <w:p>
      <w:pPr>
        <w:jc w:val="both"/>
        <w:ind w:firstLine="656"/>
        <w:spacing w:after="0" w:line="264" w:lineRule="auto"/>
        <w:tabs>
          <w:tab w:leader="none" w:pos="1459"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Use of Premises; No Lease or Transfer</w:t>
      </w:r>
      <w:r>
        <w:rPr>
          <w:rFonts w:ascii="Arial" w:cs="Arial" w:eastAsia="Arial" w:hAnsi="Arial"/>
          <w:sz w:val="21"/>
          <w:szCs w:val="21"/>
          <w:color w:val="auto"/>
        </w:rPr>
        <w:t>. Tenant will use the Premises for the manufacturing, storage, and</w:t>
      </w:r>
      <w:r>
        <w:rPr>
          <w:rFonts w:ascii="Arial" w:cs="Arial" w:eastAsia="Arial" w:hAnsi="Arial"/>
          <w:sz w:val="21"/>
          <w:szCs w:val="21"/>
          <w:b w:val="1"/>
          <w:bCs w:val="1"/>
          <w:color w:val="auto"/>
        </w:rPr>
        <w:t xml:space="preserve"> </w:t>
      </w:r>
      <w:r>
        <w:rPr>
          <w:rFonts w:ascii="Arial" w:cs="Arial" w:eastAsia="Arial" w:hAnsi="Arial"/>
          <w:sz w:val="21"/>
          <w:szCs w:val="21"/>
          <w:color w:val="auto"/>
        </w:rPr>
        <w:t>marketing of recreational vehicles. Other than the activities associated with such use, Tenant will not allow the Premises to be used for any purpose that will increase the rate of insurance on them, nor to be occupied in whole or in part by any other person, and will not sublet the Premises or any part of them, nor assign this Lease or consent of the Landlord, which consent shall not be unreasonably withheld. The Tenant will not permit any transfer, voluntarily or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38" w:name="page39"/>
    <w:bookmarkEnd w:id="38"/>
    <w:p>
      <w:pPr>
        <w:spacing w:after="0" w:line="263" w:lineRule="auto"/>
        <w:rPr>
          <w:sz w:val="20"/>
          <w:szCs w:val="20"/>
          <w:color w:val="auto"/>
        </w:rPr>
      </w:pPr>
      <w:r>
        <w:rPr>
          <w:rFonts w:ascii="Arial" w:cs="Arial" w:eastAsia="Arial" w:hAnsi="Arial"/>
          <w:sz w:val="22"/>
          <w:szCs w:val="22"/>
          <w:color w:val="auto"/>
        </w:rPr>
        <w:t>by operation of law, of any interest in the Premises acquired through this Lease, and will not permit the Premises to be used for any unlawful purpose or purposes that will injure the reputation of the Premises.</w:t>
      </w:r>
    </w:p>
    <w:p>
      <w:pPr>
        <w:spacing w:after="0" w:line="209" w:lineRule="exact"/>
        <w:rPr>
          <w:sz w:val="20"/>
          <w:szCs w:val="20"/>
          <w:color w:val="auto"/>
        </w:rPr>
      </w:pPr>
    </w:p>
    <w:p>
      <w:pPr>
        <w:jc w:val="both"/>
        <w:ind w:firstLine="656"/>
        <w:spacing w:after="0" w:line="258" w:lineRule="auto"/>
        <w:tabs>
          <w:tab w:leader="none" w:pos="1459" w:val="left"/>
        </w:tabs>
        <w:numPr>
          <w:ilvl w:val="0"/>
          <w:numId w:val="28"/>
        </w:numPr>
        <w:rPr>
          <w:rFonts w:ascii="Arial" w:cs="Arial" w:eastAsia="Arial" w:hAnsi="Arial"/>
          <w:sz w:val="21"/>
          <w:szCs w:val="21"/>
          <w:color w:val="auto"/>
        </w:rPr>
      </w:pPr>
      <w:r>
        <w:rPr>
          <w:rFonts w:ascii="Arial" w:cs="Arial" w:eastAsia="Arial" w:hAnsi="Arial"/>
          <w:sz w:val="21"/>
          <w:szCs w:val="21"/>
          <w:b w:val="1"/>
          <w:bCs w:val="1"/>
          <w:color w:val="auto"/>
        </w:rPr>
        <w:t>Hazardous Wastes</w:t>
      </w:r>
      <w:r>
        <w:rPr>
          <w:rFonts w:ascii="Arial" w:cs="Arial" w:eastAsia="Arial" w:hAnsi="Arial"/>
          <w:sz w:val="21"/>
          <w:szCs w:val="21"/>
          <w:color w:val="auto"/>
        </w:rPr>
        <w:t>. As a material inducement for Landlord to enter into this Lease, Tenant represents and</w:t>
      </w:r>
      <w:r>
        <w:rPr>
          <w:rFonts w:ascii="Arial" w:cs="Arial" w:eastAsia="Arial" w:hAnsi="Arial"/>
          <w:sz w:val="21"/>
          <w:szCs w:val="21"/>
          <w:b w:val="1"/>
          <w:bCs w:val="1"/>
          <w:color w:val="auto"/>
        </w:rPr>
        <w:t xml:space="preserve"> </w:t>
      </w:r>
      <w:r>
        <w:rPr>
          <w:rFonts w:ascii="Arial" w:cs="Arial" w:eastAsia="Arial" w:hAnsi="Arial"/>
          <w:sz w:val="21"/>
          <w:szCs w:val="21"/>
          <w:color w:val="auto"/>
        </w:rPr>
        <w:t>warrants that Tenant will maintain and use the Premises free from contamination by or from any “hazardous substances” or “hazardous wastes” (as such terms are defined and/or used in applicable state or federal law or the regulations issued under them, including, without limitation, the federal Comprehensive Environmental Response, Compensation and Liability Act (“</w:t>
      </w:r>
      <w:r>
        <w:rPr>
          <w:rFonts w:ascii="Arial" w:cs="Arial" w:eastAsia="Arial" w:hAnsi="Arial"/>
          <w:sz w:val="21"/>
          <w:szCs w:val="21"/>
          <w:u w:val="single" w:color="auto"/>
          <w:color w:val="auto"/>
        </w:rPr>
        <w:t>CERCLA</w:t>
      </w:r>
      <w:r>
        <w:rPr>
          <w:rFonts w:ascii="Arial" w:cs="Arial" w:eastAsia="Arial" w:hAnsi="Arial"/>
          <w:sz w:val="21"/>
          <w:szCs w:val="21"/>
          <w:color w:val="auto"/>
        </w:rPr>
        <w:t>”) and the Resource Conservation and Recovery Act (“</w:t>
      </w:r>
      <w:r>
        <w:rPr>
          <w:rFonts w:ascii="Arial" w:cs="Arial" w:eastAsia="Arial" w:hAnsi="Arial"/>
          <w:sz w:val="21"/>
          <w:szCs w:val="21"/>
          <w:u w:val="single" w:color="auto"/>
          <w:color w:val="auto"/>
        </w:rPr>
        <w:t>RCRA</w:t>
      </w:r>
      <w:r>
        <w:rPr>
          <w:rFonts w:ascii="Arial" w:cs="Arial" w:eastAsia="Arial" w:hAnsi="Arial"/>
          <w:sz w:val="21"/>
          <w:szCs w:val="21"/>
          <w:color w:val="auto"/>
        </w:rPr>
        <w:t>”). Tenant shall not engage in or permit any tenant or subtenant of Tenant under any lease or Lease affecting the Premises to engage in operations at or upon the Premises which involve the generation, manufacture, refining, transportation, treatment, storage, handling or disposal of hazardous substances or hazardous wastes except in strict compliance with all federal, state and local laws, regulations and rules and under and in compliance with all required permits. Tenant further covenants that it will not cause or permit to exist as a result of an intentional or unintentional action or omission on its part or on the part of any tenant or subtenant of Tenant under any lease affecting the Premises, the releasing, spilling, leaking, pumping, pouring, emitting, emptying or dumping from, on or about the Premises of any such hazardous substances or hazardous wastes.</w:t>
      </w:r>
    </w:p>
    <w:p>
      <w:pPr>
        <w:spacing w:after="0" w:line="2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Tenant agrees to indemnify and hold harmless Landlord and Lessor, its subsidiaries and affiliates, and any officer, director, shareholder, employee, or any agent of Landlord or its affiliates, subsidiaries, successors or assigns (collectively, the “</w:t>
      </w:r>
      <w:r>
        <w:rPr>
          <w:rFonts w:ascii="Arial" w:cs="Arial" w:eastAsia="Arial" w:hAnsi="Arial"/>
          <w:sz w:val="19"/>
          <w:szCs w:val="19"/>
          <w:u w:val="single" w:color="auto"/>
          <w:color w:val="auto"/>
        </w:rPr>
        <w:t>Indemnified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from any and all liability, damages, costs, claims, suits, actions, legal or administrative proceedings, interest, losses, expenses, and reasonable attorneys’ fees and appellate attorneys’ fees (including any such fees and expenses incurred in enforcing this indemnity) resulting from, arising out of, or in any way connected with breach or alleged breach by Tenant of the provisions of the preceding paragraph of this Paragraph, including but not limited to monetary damages, expenses, injury to or the death of any person (including that of any Indemnified Party) or physical damage to property of any kind wherever located and by whomever owned (including that of any Indemnified Party) arising out of or in any way connected with the presence on, in or under the Premises of any asbestos, polychlorinated biphenyls (PCB’s) or the generation, handling, storage or disposal of any hazardous substances or hazardous wastes in violation of the provisions of the preceding paragraph of this Paragraph. This indemnification is an independent covenant and shall survive the termination of this Lease.</w:t>
      </w:r>
    </w:p>
    <w:p>
      <w:pPr>
        <w:spacing w:after="0" w:line="149" w:lineRule="exact"/>
        <w:rPr>
          <w:sz w:val="20"/>
          <w:szCs w:val="20"/>
          <w:color w:val="auto"/>
        </w:rPr>
      </w:pPr>
    </w:p>
    <w:p>
      <w:pPr>
        <w:jc w:val="both"/>
        <w:ind w:firstLine="656"/>
        <w:spacing w:after="0" w:line="290" w:lineRule="auto"/>
        <w:tabs>
          <w:tab w:leader="none" w:pos="1459"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Alteration to Premises</w:t>
      </w:r>
      <w:r>
        <w:rPr>
          <w:rFonts w:ascii="Arial" w:cs="Arial" w:eastAsia="Arial" w:hAnsi="Arial"/>
          <w:sz w:val="19"/>
          <w:szCs w:val="19"/>
          <w:color w:val="auto"/>
        </w:rPr>
        <w:t>. No alterations, changes or additions to the Premises shall be made without first obtaining</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Landlord’s written consent, which consent shall not be unreasonably withheld. Tenant shall make such remodeling, alterations or additions at Tenant’s expense and shall promptly pay for all materials and labor involved in making them. Tenant shall not permit any liens or claims or demands of any nature to exist against the Landlord or the Premises. If any lien, claim or demand or any action for enforcement shall be filed or made against the Landlord or the Premises the Tenant shall defend at Tenant’s expense and hold harmless the Landlord from any and all liability or expense arising by virtue of such claim, demand or lien or the defense of any enforcement action. Any alterations, changes or additions which are made to the Premises shall, at the option of Landlord, become a part of the Premises and remain as the property of the Landlord at the termination of this Lease. If the Landlord requires the Tenant to restore the Premises to the original condition of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39" w:name="page40"/>
    <w:bookmarkEnd w:id="39"/>
    <w:p>
      <w:pPr>
        <w:jc w:val="both"/>
        <w:spacing w:after="0" w:line="253" w:lineRule="auto"/>
        <w:rPr>
          <w:sz w:val="20"/>
          <w:szCs w:val="20"/>
          <w:color w:val="auto"/>
        </w:rPr>
      </w:pPr>
      <w:r>
        <w:rPr>
          <w:rFonts w:ascii="Arial" w:cs="Arial" w:eastAsia="Arial" w:hAnsi="Arial"/>
          <w:sz w:val="22"/>
          <w:szCs w:val="22"/>
          <w:color w:val="auto"/>
        </w:rPr>
        <w:t>Premises before the execution of this Lease, then the Tenant shall restore the Premises to such condition at Tenant’s expense, and all of the provisions of this Lease with reference to such restoration contracts, liens, demands and expenses shall apply to the restoration as well as to the original alterations, changes or additions.</w:t>
      </w:r>
    </w:p>
    <w:p>
      <w:pPr>
        <w:spacing w:after="0" w:line="220" w:lineRule="exact"/>
        <w:rPr>
          <w:sz w:val="20"/>
          <w:szCs w:val="20"/>
          <w:color w:val="auto"/>
        </w:rPr>
      </w:pPr>
    </w:p>
    <w:p>
      <w:pPr>
        <w:jc w:val="both"/>
        <w:ind w:firstLine="656"/>
        <w:spacing w:after="0" w:line="267" w:lineRule="auto"/>
        <w:tabs>
          <w:tab w:leader="none" w:pos="1567" w:val="left"/>
        </w:tabs>
        <w:numPr>
          <w:ilvl w:val="0"/>
          <w:numId w:val="30"/>
        </w:numPr>
        <w:rPr>
          <w:rFonts w:ascii="Arial" w:cs="Arial" w:eastAsia="Arial" w:hAnsi="Arial"/>
          <w:sz w:val="21"/>
          <w:szCs w:val="21"/>
          <w:color w:val="auto"/>
        </w:rPr>
      </w:pPr>
      <w:r>
        <w:rPr>
          <w:rFonts w:ascii="Arial" w:cs="Arial" w:eastAsia="Arial" w:hAnsi="Arial"/>
          <w:sz w:val="21"/>
          <w:szCs w:val="21"/>
          <w:b w:val="1"/>
          <w:bCs w:val="1"/>
          <w:color w:val="auto"/>
        </w:rPr>
        <w:t>Eminent Domain</w:t>
      </w:r>
      <w:r>
        <w:rPr>
          <w:rFonts w:ascii="Arial" w:cs="Arial" w:eastAsia="Arial" w:hAnsi="Arial"/>
          <w:sz w:val="21"/>
          <w:szCs w:val="21"/>
          <w:color w:val="auto"/>
        </w:rPr>
        <w:t>. If at any time during the term of this Lease a substantial part of the Premises shall be taken for</w:t>
      </w:r>
      <w:r>
        <w:rPr>
          <w:rFonts w:ascii="Arial" w:cs="Arial" w:eastAsia="Arial" w:hAnsi="Arial"/>
          <w:sz w:val="21"/>
          <w:szCs w:val="21"/>
          <w:b w:val="1"/>
          <w:bCs w:val="1"/>
          <w:color w:val="auto"/>
        </w:rPr>
        <w:t xml:space="preserve"> </w:t>
      </w:r>
      <w:r>
        <w:rPr>
          <w:rFonts w:ascii="Arial" w:cs="Arial" w:eastAsia="Arial" w:hAnsi="Arial"/>
          <w:sz w:val="21"/>
          <w:szCs w:val="21"/>
          <w:color w:val="auto"/>
        </w:rPr>
        <w:t>any public or quasi-public use, under any statute, or by right of eminent domain, then when possession shall have been taken of the Premises by the condemning authority, the term of this Lease, and all right of the Tenant under this Lease, shall immediately cease and terminate, and the rent shall be apportioned and paid to the time of such termination.</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If less than a substantial portion of the Premises shall be so taken or condemned but the utility of the Premises to Tenant shall be destroyed by such taking or condemnation, Tenant shall have the option to terminate this Lease as of the date of such taking or condemnation by delivery of written notice of exercise of such option to Landlord, not later than thirty (30) days after the condemning authority shall have taken possession. If such option is exercised by Tenant, rent shall be apportioned to the date Tenant surrenders possession of the Premises to Landlord. If Tenant does not exercise such option to terminate this Lease, this Lease shall remain in full force and effect as to the portion of the Premises remaining, except that the rent shall be reduced in the proportion that the floor area of the building(s) on the Premises which are taken or condemned bears to the total floor area of the building(s) on the Premises. If this Lease is not terminated by reason of a condemnation, Landlord shall to the extent of severance damages received by Landlord in connection with such condemnation, repair any damage to the Premises caused by such condemnation, and Tenant shall pay any amount in excess of such severance damages required to complete such repair.</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this Lease is terminated because of condemnation, such termination shall be without prejudice to the rights of either</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Landlord or Tenant to recover compensation from the condemning authority for any loss or damage caused by such condemnation.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Neither Landlord nor Tenant shall have any rights in or to any award made to the other by the condemning authority.</w:t>
      </w:r>
    </w:p>
    <w:p>
      <w:pPr>
        <w:spacing w:after="0" w:line="196" w:lineRule="exact"/>
        <w:rPr>
          <w:sz w:val="20"/>
          <w:szCs w:val="20"/>
          <w:color w:val="auto"/>
        </w:rPr>
      </w:pPr>
    </w:p>
    <w:p>
      <w:pPr>
        <w:ind w:left="1560" w:hanging="904"/>
        <w:spacing w:after="0"/>
        <w:tabs>
          <w:tab w:leader="none" w:pos="156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Insurance</w:t>
      </w:r>
      <w:r>
        <w:rPr>
          <w:rFonts w:ascii="Arial" w:cs="Arial" w:eastAsia="Arial" w:hAnsi="Arial"/>
          <w:sz w:val="22"/>
          <w:szCs w:val="22"/>
          <w:color w:val="auto"/>
        </w:rPr>
        <w:t>. During the term of this Lease, the Tenant at its own cost and expense shall:</w:t>
      </w:r>
    </w:p>
    <w:p>
      <w:pPr>
        <w:spacing w:after="0" w:line="266" w:lineRule="exact"/>
        <w:rPr>
          <w:rFonts w:ascii="Arial" w:cs="Arial" w:eastAsia="Arial" w:hAnsi="Arial"/>
          <w:sz w:val="22"/>
          <w:szCs w:val="22"/>
          <w:color w:val="auto"/>
        </w:rPr>
      </w:pPr>
    </w:p>
    <w:p>
      <w:pPr>
        <w:jc w:val="both"/>
        <w:ind w:left="660" w:firstLine="645"/>
        <w:spacing w:after="0" w:line="290" w:lineRule="auto"/>
        <w:tabs>
          <w:tab w:leader="none" w:pos="2106" w:val="left"/>
        </w:tabs>
        <w:numPr>
          <w:ilvl w:val="1"/>
          <w:numId w:val="31"/>
        </w:numPr>
        <w:rPr>
          <w:rFonts w:ascii="Arial" w:cs="Arial" w:eastAsia="Arial" w:hAnsi="Arial"/>
          <w:sz w:val="19"/>
          <w:szCs w:val="19"/>
          <w:color w:val="auto"/>
        </w:rPr>
      </w:pPr>
      <w:r>
        <w:rPr>
          <w:rFonts w:ascii="Arial" w:cs="Arial" w:eastAsia="Arial" w:hAnsi="Arial"/>
          <w:sz w:val="19"/>
          <w:szCs w:val="19"/>
          <w:color w:val="auto"/>
        </w:rPr>
        <w:t>Provide and keep in force in such form as shall be satisfactory to the Landlord, public liability insurance policies protecting the Landlord against any and all liability and in the amounts of not less than Two Million Dollars ($2,000,000) in respect to any one accident or disaster and in the amount of not less than Three Hundred Thousand Dollars ($300,000) in respect to injuries to any one person, and property damage of not less than Two Million Dollars ($2,000,000); Tenant shall in addition provide not less than the replacement value of the Premises under fire and extended coverage in a company satisfactory to the Landlord, and such insurance must show the Landlord and Tenant as insureds as their interests may appear. At the request of the Landlord, any mortgagee under a mortgage for the Premises shall also be shown as an insured under a mortgagee endorsement to any such insurance policy.</w:t>
      </w:r>
    </w:p>
    <w:p>
      <w:pPr>
        <w:spacing w:after="0" w:line="197" w:lineRule="exact"/>
        <w:rPr>
          <w:rFonts w:ascii="Arial" w:cs="Arial" w:eastAsia="Arial" w:hAnsi="Arial"/>
          <w:sz w:val="19"/>
          <w:szCs w:val="19"/>
          <w:color w:val="auto"/>
        </w:rPr>
      </w:pPr>
    </w:p>
    <w:p>
      <w:pPr>
        <w:jc w:val="both"/>
        <w:ind w:left="660" w:right="20" w:firstLine="645"/>
        <w:spacing w:after="0" w:line="253" w:lineRule="auto"/>
        <w:tabs>
          <w:tab w:leader="none" w:pos="2119" w:val="left"/>
        </w:tabs>
        <w:numPr>
          <w:ilvl w:val="1"/>
          <w:numId w:val="31"/>
        </w:numPr>
        <w:rPr>
          <w:rFonts w:ascii="Arial" w:cs="Arial" w:eastAsia="Arial" w:hAnsi="Arial"/>
          <w:sz w:val="22"/>
          <w:szCs w:val="22"/>
          <w:color w:val="auto"/>
        </w:rPr>
      </w:pPr>
      <w:r>
        <w:rPr>
          <w:rFonts w:ascii="Arial" w:cs="Arial" w:eastAsia="Arial" w:hAnsi="Arial"/>
          <w:sz w:val="22"/>
          <w:szCs w:val="22"/>
          <w:color w:val="auto"/>
        </w:rPr>
        <w:t>All premiums and charges for all the policies of insurance referred to in subparagraph (a) shall be paid by the Tenant and if the Tenant shall fail to make any such payment when due, or carry any such policy, the Landlord may, but shall not be obligated 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40" w:name="page41"/>
    <w:bookmarkEnd w:id="40"/>
    <w:p>
      <w:pPr>
        <w:jc w:val="both"/>
        <w:ind w:left="660"/>
        <w:spacing w:after="0" w:line="263" w:lineRule="auto"/>
        <w:rPr>
          <w:sz w:val="20"/>
          <w:szCs w:val="20"/>
          <w:color w:val="auto"/>
        </w:rPr>
      </w:pPr>
      <w:r>
        <w:rPr>
          <w:rFonts w:ascii="Arial" w:cs="Arial" w:eastAsia="Arial" w:hAnsi="Arial"/>
          <w:sz w:val="21"/>
          <w:szCs w:val="21"/>
          <w:color w:val="auto"/>
        </w:rPr>
        <w:t>make such payment or carry such policy, and the amount paid by the Landlord, with interest, shall be repaid to the Landlord by the Tenant on demand, and all such amounts so repayable together with interest at the rate of 8% per annum, shall be considered as additional rent, for the collection of which the Landlord shall have all of the remedies provided in this Lease or by law provided for the collection of rent. Payment by the Landlord of any such premium or the carrying by the Landlord of any such policy shall not be deemed to waive or release any default of the Tenant.</w:t>
      </w:r>
    </w:p>
    <w:p>
      <w:pPr>
        <w:spacing w:after="0" w:line="216" w:lineRule="exact"/>
        <w:rPr>
          <w:sz w:val="20"/>
          <w:szCs w:val="20"/>
          <w:color w:val="auto"/>
        </w:rPr>
      </w:pPr>
    </w:p>
    <w:p>
      <w:pPr>
        <w:jc w:val="both"/>
        <w:ind w:left="660" w:firstLine="645"/>
        <w:spacing w:after="0" w:line="250" w:lineRule="auto"/>
        <w:tabs>
          <w:tab w:leader="none" w:pos="2106" w:val="left"/>
        </w:tabs>
        <w:numPr>
          <w:ilvl w:val="1"/>
          <w:numId w:val="32"/>
        </w:numPr>
        <w:rPr>
          <w:rFonts w:ascii="Arial" w:cs="Arial" w:eastAsia="Arial" w:hAnsi="Arial"/>
          <w:sz w:val="22"/>
          <w:szCs w:val="22"/>
          <w:color w:val="auto"/>
        </w:rPr>
      </w:pPr>
      <w:r>
        <w:rPr>
          <w:rFonts w:ascii="Arial" w:cs="Arial" w:eastAsia="Arial" w:hAnsi="Arial"/>
          <w:sz w:val="22"/>
          <w:szCs w:val="22"/>
          <w:color w:val="auto"/>
        </w:rPr>
        <w:t>Ten (10) days prior to the expiration of any policy of insurance referred to in subparagraph (a), the Tenant shall deliver to the Landlord evidence of such insurance and that such coverage is effective. Any certificate or binder evidencing insurance shall provide that at least ten (10) days written notice of any change in or cancellation of insurance coverage shall be given by the insurance company to the Landlord.</w:t>
      </w:r>
    </w:p>
    <w:p>
      <w:pPr>
        <w:spacing w:after="0" w:line="228" w:lineRule="exact"/>
        <w:rPr>
          <w:rFonts w:ascii="Arial" w:cs="Arial" w:eastAsia="Arial" w:hAnsi="Arial"/>
          <w:sz w:val="22"/>
          <w:szCs w:val="22"/>
          <w:color w:val="auto"/>
        </w:rPr>
      </w:pPr>
    </w:p>
    <w:p>
      <w:pPr>
        <w:jc w:val="both"/>
        <w:ind w:left="660" w:firstLine="645"/>
        <w:spacing w:after="0" w:line="250" w:lineRule="auto"/>
        <w:tabs>
          <w:tab w:leader="none" w:pos="2119"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Tenant shall not violate or permit to be violated any of the conditions or provisions of any policy of insurance referred to in subparagraph (a), and the Tenant shall so perform and satisfy the requirements of the company or companies writing such policies of insurance that at all times companies of good standing satisfactory to the Landlord shall be willing to write and continue such insurance.</w:t>
      </w:r>
    </w:p>
    <w:p>
      <w:pPr>
        <w:spacing w:after="0" w:line="228" w:lineRule="exact"/>
        <w:rPr>
          <w:rFonts w:ascii="Arial" w:cs="Arial" w:eastAsia="Arial" w:hAnsi="Arial"/>
          <w:sz w:val="22"/>
          <w:szCs w:val="22"/>
          <w:color w:val="auto"/>
        </w:rPr>
      </w:pPr>
    </w:p>
    <w:p>
      <w:pPr>
        <w:ind w:left="660" w:right="20" w:firstLine="645"/>
        <w:spacing w:after="0" w:line="287" w:lineRule="auto"/>
        <w:tabs>
          <w:tab w:leader="none" w:pos="2106"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Tenant and the Landlord shall cooperate with each other and with the appropriate insurance carriers in connection with the collection of any insurance monies that may be due in the event of loss.</w:t>
      </w:r>
    </w:p>
    <w:p>
      <w:pPr>
        <w:spacing w:after="0" w:line="192" w:lineRule="exact"/>
        <w:rPr>
          <w:rFonts w:ascii="Arial" w:cs="Arial" w:eastAsia="Arial" w:hAnsi="Arial"/>
          <w:sz w:val="21"/>
          <w:szCs w:val="21"/>
          <w:color w:val="auto"/>
        </w:rPr>
      </w:pPr>
    </w:p>
    <w:p>
      <w:pPr>
        <w:jc w:val="both"/>
        <w:ind w:left="660" w:firstLine="645"/>
        <w:spacing w:after="0" w:line="288" w:lineRule="auto"/>
        <w:tabs>
          <w:tab w:leader="none" w:pos="2083"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parties mutually agree to release and relieve the other, and waive their entire right of recovery against the other for loss or damage occurring in, on or about the Premises, arising out of fire or other perils resulting from the negligence of the other party, or its agents and employees, where such damage or loss is covered by fire, extended coverage or other insurance of the party sustaining the loss or damage. This release shall apply only to the extent that such loss or damage is covered by fire, extended coverage or other insurance, regardless of whether such insurance is payable to or protects the Landlord, Tenant or all parties. Nothing in this paragraph shall be construed to impose greater liability on either Landlord or Tenant than would have existed in the absence of this paragraph. This release shall be in effect only so long as the applicable insurance policies contain clauses to the effect that this release shall not affect the right of the insured to recover under such policies of fire, extended coverage or other clauses are not contained, this release shall not affect the right of the insured to recover such policies.</w:t>
      </w:r>
    </w:p>
    <w:p>
      <w:pPr>
        <w:spacing w:after="0" w:line="194" w:lineRule="exact"/>
        <w:rPr>
          <w:rFonts w:ascii="Arial" w:cs="Arial" w:eastAsia="Arial" w:hAnsi="Arial"/>
          <w:sz w:val="19"/>
          <w:szCs w:val="19"/>
          <w:color w:val="auto"/>
        </w:rPr>
      </w:pPr>
    </w:p>
    <w:p>
      <w:pPr>
        <w:jc w:val="both"/>
        <w:ind w:firstLine="656"/>
        <w:spacing w:after="0" w:line="264" w:lineRule="auto"/>
        <w:tabs>
          <w:tab w:leader="none" w:pos="1567" w:val="left"/>
        </w:tabs>
        <w:numPr>
          <w:ilvl w:val="0"/>
          <w:numId w:val="33"/>
        </w:numPr>
        <w:rPr>
          <w:rFonts w:ascii="Arial" w:cs="Arial" w:eastAsia="Arial" w:hAnsi="Arial"/>
          <w:sz w:val="21"/>
          <w:szCs w:val="21"/>
          <w:color w:val="auto"/>
        </w:rPr>
      </w:pPr>
      <w:r>
        <w:rPr>
          <w:rFonts w:ascii="Arial" w:cs="Arial" w:eastAsia="Arial" w:hAnsi="Arial"/>
          <w:sz w:val="21"/>
          <w:szCs w:val="21"/>
          <w:b w:val="1"/>
          <w:bCs w:val="1"/>
          <w:color w:val="auto"/>
        </w:rPr>
        <w:t>Repair of Premises</w:t>
      </w:r>
      <w:r>
        <w:rPr>
          <w:rFonts w:ascii="Arial" w:cs="Arial" w:eastAsia="Arial" w:hAnsi="Arial"/>
          <w:sz w:val="21"/>
          <w:szCs w:val="21"/>
          <w:color w:val="auto"/>
        </w:rPr>
        <w:t>. In the event of damage to or destruction of the Premises by fire or other casualty, the</w:t>
      </w:r>
      <w:r>
        <w:rPr>
          <w:rFonts w:ascii="Arial" w:cs="Arial" w:eastAsia="Arial" w:hAnsi="Arial"/>
          <w:sz w:val="21"/>
          <w:szCs w:val="21"/>
          <w:b w:val="1"/>
          <w:bCs w:val="1"/>
          <w:color w:val="auto"/>
        </w:rPr>
        <w:t xml:space="preserve"> </w:t>
      </w:r>
      <w:r>
        <w:rPr>
          <w:rFonts w:ascii="Arial" w:cs="Arial" w:eastAsia="Arial" w:hAnsi="Arial"/>
          <w:sz w:val="21"/>
          <w:szCs w:val="21"/>
          <w:color w:val="auto"/>
        </w:rPr>
        <w:t>Tenant, at its sole expense, shall promptly restore the Premises as nearly as possible to their condition prior to such damage or destruction. All insurance proceeds received by the Landlord pursuant to the provisions of this Lease, less the cost if any of such recovery, shall be applied by the Landlord to the payment of the cost of such restoration, as such restoration progresses. If the proceeds of insurance are insufficient to pay the full cost of restoration or repair, the Tenant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shall pay the deficiency. If the insurance proceeds exceed such cost, the excess shall be paid to the Tenant.</w:t>
      </w:r>
    </w:p>
    <w:p>
      <w:pPr>
        <w:spacing w:after="0" w:line="254" w:lineRule="exact"/>
        <w:rPr>
          <w:sz w:val="20"/>
          <w:szCs w:val="20"/>
          <w:color w:val="auto"/>
        </w:rPr>
      </w:pPr>
    </w:p>
    <w:p>
      <w:pPr>
        <w:jc w:val="both"/>
        <w:ind w:firstLine="656"/>
        <w:spacing w:after="0" w:line="298" w:lineRule="auto"/>
        <w:tabs>
          <w:tab w:leader="none" w:pos="1567"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Landlord Performance of Tenant’s Obligations</w:t>
      </w:r>
      <w:r>
        <w:rPr>
          <w:rFonts w:ascii="Arial" w:cs="Arial" w:eastAsia="Arial" w:hAnsi="Arial"/>
          <w:sz w:val="19"/>
          <w:szCs w:val="19"/>
          <w:color w:val="auto"/>
        </w:rPr>
        <w:t>. In case the Landlord shall pay or be compelled to pay any</w:t>
      </w:r>
      <w:r>
        <w:rPr>
          <w:rFonts w:ascii="Arial" w:cs="Arial" w:eastAsia="Arial" w:hAnsi="Arial"/>
          <w:sz w:val="19"/>
          <w:szCs w:val="19"/>
          <w:b w:val="1"/>
          <w:bCs w:val="1"/>
          <w:color w:val="auto"/>
        </w:rPr>
        <w:t xml:space="preserve"> </w:t>
      </w:r>
      <w:r>
        <w:rPr>
          <w:rFonts w:ascii="Arial" w:cs="Arial" w:eastAsia="Arial" w:hAnsi="Arial"/>
          <w:sz w:val="19"/>
          <w:szCs w:val="19"/>
          <w:color w:val="auto"/>
        </w:rPr>
        <w:t>sum of money or do any act which shall require the expenditure of payment of any sum by reason of the failure of the Tenant, after such notice, if any, as the Tenant by the terms of this Lease may be entitled to, to perform any one or more of the terms, covenants, conditions or agreements contained in this Lease, the Tenant shall immediately repay all such amounts to the Landlord upon demand, together with interest at the rate of 8% per annum from the date of demand until fully paid to Landlord.</w:t>
      </w:r>
    </w:p>
    <w:p>
      <w:pPr>
        <w:spacing w:after="0" w:line="183" w:lineRule="exact"/>
        <w:rPr>
          <w:rFonts w:ascii="Arial" w:cs="Arial" w:eastAsia="Arial" w:hAnsi="Arial"/>
          <w:sz w:val="19"/>
          <w:szCs w:val="19"/>
          <w:color w:val="auto"/>
        </w:rPr>
      </w:pPr>
    </w:p>
    <w:p>
      <w:pPr>
        <w:jc w:val="both"/>
        <w:ind w:firstLine="656"/>
        <w:spacing w:after="0" w:line="261" w:lineRule="auto"/>
        <w:tabs>
          <w:tab w:leader="none" w:pos="1567" w:val="left"/>
        </w:tabs>
        <w:numPr>
          <w:ilvl w:val="0"/>
          <w:numId w:val="34"/>
        </w:numPr>
        <w:rPr>
          <w:rFonts w:ascii="Arial" w:cs="Arial" w:eastAsia="Arial" w:hAnsi="Arial"/>
          <w:sz w:val="21"/>
          <w:szCs w:val="21"/>
          <w:color w:val="auto"/>
        </w:rPr>
      </w:pPr>
      <w:r>
        <w:rPr>
          <w:rFonts w:ascii="Arial" w:cs="Arial" w:eastAsia="Arial" w:hAnsi="Arial"/>
          <w:sz w:val="21"/>
          <w:szCs w:val="21"/>
          <w:b w:val="1"/>
          <w:bCs w:val="1"/>
          <w:color w:val="auto"/>
        </w:rPr>
        <w:t>Tenant’s Obligations on Termination</w:t>
      </w:r>
      <w:r>
        <w:rPr>
          <w:rFonts w:ascii="Arial" w:cs="Arial" w:eastAsia="Arial" w:hAnsi="Arial"/>
          <w:sz w:val="21"/>
          <w:szCs w:val="21"/>
          <w:color w:val="auto"/>
        </w:rPr>
        <w:t>. The Tenant shall, on or before the last day of the Lease Term or its</w:t>
      </w:r>
      <w:r>
        <w:rPr>
          <w:rFonts w:ascii="Arial" w:cs="Arial" w:eastAsia="Arial" w:hAnsi="Arial"/>
          <w:sz w:val="21"/>
          <w:szCs w:val="21"/>
          <w:b w:val="1"/>
          <w:bCs w:val="1"/>
          <w:color w:val="auto"/>
        </w:rPr>
        <w:t xml:space="preserve"> </w:t>
      </w:r>
      <w:r>
        <w:rPr>
          <w:rFonts w:ascii="Arial" w:cs="Arial" w:eastAsia="Arial" w:hAnsi="Arial"/>
          <w:sz w:val="21"/>
          <w:szCs w:val="21"/>
          <w:color w:val="auto"/>
        </w:rPr>
        <w:t>earlier termination in accordance with this Lease, peaceably and quietly leave, surrender and yield up unto the Landlord the Premises and all the buildings, improvements or additions to the Premises in good order, condition and state of repair, reasonable wear and tear (consistent with use as a manufacturing facility) and damage by the elements excepted. All movable trade fixtures or movable personal property owned by the Tenant shall be removed by the Tenant on or before the termination of the Lease Term and all property not so removed shall be deemed abandoned by the Tenant to the Landlord, subject, however, to any valid security agreements with any creditor of the Tenant.</w:t>
      </w:r>
    </w:p>
    <w:p>
      <w:pPr>
        <w:spacing w:after="0" w:line="214" w:lineRule="exact"/>
        <w:rPr>
          <w:rFonts w:ascii="Arial" w:cs="Arial" w:eastAsia="Arial" w:hAnsi="Arial"/>
          <w:sz w:val="21"/>
          <w:szCs w:val="21"/>
          <w:color w:val="auto"/>
        </w:rPr>
      </w:pPr>
    </w:p>
    <w:p>
      <w:pPr>
        <w:ind w:left="1580" w:hanging="924"/>
        <w:spacing w:after="0"/>
        <w:tabs>
          <w:tab w:leader="none" w:pos="1580"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Events of Default</w:t>
      </w:r>
      <w:r>
        <w:rPr>
          <w:rFonts w:ascii="Arial" w:cs="Arial" w:eastAsia="Arial" w:hAnsi="Arial"/>
          <w:sz w:val="19"/>
          <w:szCs w:val="19"/>
          <w:color w:val="auto"/>
        </w:rPr>
        <w:t>. Each of the following shall be deemed a default by the Tenant and a breach of this Lease:</w:t>
      </w:r>
    </w:p>
    <w:p>
      <w:pPr>
        <w:spacing w:after="0" w:line="300" w:lineRule="exact"/>
        <w:rPr>
          <w:rFonts w:ascii="Arial" w:cs="Arial" w:eastAsia="Arial" w:hAnsi="Arial"/>
          <w:sz w:val="19"/>
          <w:szCs w:val="19"/>
          <w:color w:val="auto"/>
        </w:rPr>
      </w:pPr>
    </w:p>
    <w:p>
      <w:pPr>
        <w:ind w:left="660" w:firstLine="645"/>
        <w:spacing w:after="0" w:line="263" w:lineRule="auto"/>
        <w:tabs>
          <w:tab w:leader="none" w:pos="2106" w:val="left"/>
        </w:tabs>
        <w:numPr>
          <w:ilvl w:val="1"/>
          <w:numId w:val="34"/>
        </w:numPr>
        <w:rPr>
          <w:rFonts w:ascii="Arial" w:cs="Arial" w:eastAsia="Arial" w:hAnsi="Arial"/>
          <w:sz w:val="22"/>
          <w:szCs w:val="22"/>
          <w:color w:val="auto"/>
        </w:rPr>
      </w:pPr>
      <w:r>
        <w:rPr>
          <w:rFonts w:ascii="Arial" w:cs="Arial" w:eastAsia="Arial" w:hAnsi="Arial"/>
          <w:sz w:val="22"/>
          <w:szCs w:val="22"/>
          <w:color w:val="auto"/>
        </w:rPr>
        <w:t>Failure to pay the rent, or any part of it, (except for additional rent), for a period of ten (10) days after written notice from Landlord that such rent is due.</w:t>
      </w:r>
    </w:p>
    <w:p>
      <w:pPr>
        <w:spacing w:after="0" w:line="215" w:lineRule="exact"/>
        <w:rPr>
          <w:rFonts w:ascii="Arial" w:cs="Arial" w:eastAsia="Arial" w:hAnsi="Arial"/>
          <w:sz w:val="22"/>
          <w:szCs w:val="22"/>
          <w:color w:val="auto"/>
        </w:rPr>
      </w:pPr>
    </w:p>
    <w:p>
      <w:pPr>
        <w:jc w:val="both"/>
        <w:ind w:left="660" w:firstLine="645"/>
        <w:spacing w:after="0" w:line="250" w:lineRule="auto"/>
        <w:tabs>
          <w:tab w:leader="none" w:pos="2119" w:val="left"/>
        </w:tabs>
        <w:numPr>
          <w:ilvl w:val="1"/>
          <w:numId w:val="34"/>
        </w:numPr>
        <w:rPr>
          <w:rFonts w:ascii="Arial" w:cs="Arial" w:eastAsia="Arial" w:hAnsi="Arial"/>
          <w:sz w:val="22"/>
          <w:szCs w:val="22"/>
          <w:color w:val="auto"/>
        </w:rPr>
      </w:pPr>
      <w:r>
        <w:rPr>
          <w:rFonts w:ascii="Arial" w:cs="Arial" w:eastAsia="Arial" w:hAnsi="Arial"/>
          <w:sz w:val="22"/>
          <w:szCs w:val="22"/>
          <w:color w:val="auto"/>
        </w:rPr>
        <w:t>Failure to do, observe, keep and perform any of the terms, covenants, conditions, agreements and provisions of this Lease on the part of the Tenant to be done, observed, kept and performed, including failure to pay additional rent not subject to subparagraph (a) and other sums due to Landlord under this Lease, if any, for a period of thirty (30) days after written notice mailed by Landlord to Tenant.</w:t>
      </w:r>
    </w:p>
    <w:p>
      <w:pPr>
        <w:spacing w:after="0" w:line="228" w:lineRule="exact"/>
        <w:rPr>
          <w:rFonts w:ascii="Arial" w:cs="Arial" w:eastAsia="Arial" w:hAnsi="Arial"/>
          <w:sz w:val="22"/>
          <w:szCs w:val="22"/>
          <w:color w:val="auto"/>
        </w:rPr>
      </w:pPr>
    </w:p>
    <w:p>
      <w:pPr>
        <w:jc w:val="both"/>
        <w:ind w:left="660" w:firstLine="645"/>
        <w:spacing w:after="0" w:line="246" w:lineRule="auto"/>
        <w:tabs>
          <w:tab w:leader="none" w:pos="2106"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abandonment of the Premises by the Tenant, the filing of a voluntary or involuntary petition under the Bankruptcy Act concerning the Tenant, the making by the Tenant of a general assignment for the benefit of creditors, the taking by the Tenant of the benefit of any insolvency act or law, the calling by Tenant of a meeting of creditors, the admission in writing by Tenant of inability to pay its obligations as they become due, the offering by Tenant of a composition to creditors of Tenant, the appointment of a permanent receiver or trustee in bankruptcy for the Tenant’s property, or the appointment of a temporary receiver which is not vacated or set aside within ninety (90) days after the date of such appointment.</w:t>
      </w:r>
    </w:p>
    <w:p>
      <w:pPr>
        <w:spacing w:after="0" w:line="237" w:lineRule="exact"/>
        <w:rPr>
          <w:rFonts w:ascii="Arial" w:cs="Arial" w:eastAsia="Arial" w:hAnsi="Arial"/>
          <w:sz w:val="22"/>
          <w:szCs w:val="22"/>
          <w:color w:val="auto"/>
        </w:rPr>
      </w:pPr>
    </w:p>
    <w:p>
      <w:pPr>
        <w:jc w:val="both"/>
        <w:ind w:left="660" w:firstLine="645"/>
        <w:spacing w:after="0" w:line="253" w:lineRule="auto"/>
        <w:tabs>
          <w:tab w:leader="none" w:pos="2119" w:val="left"/>
        </w:tabs>
        <w:numPr>
          <w:ilvl w:val="1"/>
          <w:numId w:val="34"/>
        </w:numPr>
        <w:rPr>
          <w:rFonts w:ascii="Arial" w:cs="Arial" w:eastAsia="Arial" w:hAnsi="Arial"/>
          <w:sz w:val="22"/>
          <w:szCs w:val="22"/>
          <w:color w:val="auto"/>
        </w:rPr>
      </w:pPr>
      <w:r>
        <w:rPr>
          <w:rFonts w:ascii="Arial" w:cs="Arial" w:eastAsia="Arial" w:hAnsi="Arial"/>
          <w:sz w:val="22"/>
          <w:szCs w:val="22"/>
          <w:color w:val="auto"/>
        </w:rPr>
        <w:t>Dissolution of the Tenant or other disposition of all or substantially all of its assets provided, that the Tenant may, without violating the lease provisions, consolidate with or merge into another domestic corporation (that is, a corporation organized and existing under</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42" w:name="page43"/>
    <w:bookmarkEnd w:id="42"/>
    <w:p>
      <w:pPr>
        <w:jc w:val="both"/>
        <w:ind w:left="660"/>
        <w:spacing w:after="0" w:line="248" w:lineRule="auto"/>
        <w:rPr>
          <w:sz w:val="20"/>
          <w:szCs w:val="20"/>
          <w:color w:val="auto"/>
        </w:rPr>
      </w:pPr>
      <w:r>
        <w:rPr>
          <w:rFonts w:ascii="Arial" w:cs="Arial" w:eastAsia="Arial" w:hAnsi="Arial"/>
          <w:sz w:val="22"/>
          <w:szCs w:val="22"/>
          <w:color w:val="auto"/>
        </w:rPr>
        <w:t>the laws of one of the States of the United States of America), or permit one or more other corporations to consolidate with or merge into it, or sell or otherwise transfer to another corporation all or substantially all of its assets as an entirety and thereafter dissolve, provided the surviving, resulting or transferee corporation, as the case may be, (i) is authorized to do business in Indiana, (ii) is a domestic corporation as described above and (iii) assumes in writing all of the obligations of Tenant under this Lease.</w:t>
      </w:r>
    </w:p>
    <w:p>
      <w:pPr>
        <w:spacing w:after="0" w:line="233" w:lineRule="exact"/>
        <w:rPr>
          <w:sz w:val="20"/>
          <w:szCs w:val="20"/>
          <w:color w:val="auto"/>
        </w:rPr>
      </w:pPr>
    </w:p>
    <w:p>
      <w:pPr>
        <w:jc w:val="both"/>
        <w:ind w:left="660" w:firstLine="645"/>
        <w:spacing w:after="0" w:line="302" w:lineRule="auto"/>
        <w:tabs>
          <w:tab w:leader="none" w:pos="2106" w:val="left"/>
        </w:tabs>
        <w:numPr>
          <w:ilvl w:val="0"/>
          <w:numId w:val="35"/>
        </w:numPr>
        <w:rPr>
          <w:rFonts w:ascii="Arial" w:cs="Arial" w:eastAsia="Arial" w:hAnsi="Arial"/>
          <w:sz w:val="19"/>
          <w:szCs w:val="19"/>
          <w:color w:val="auto"/>
        </w:rPr>
      </w:pPr>
      <w:r>
        <w:rPr>
          <w:rFonts w:ascii="Arial" w:cs="Arial" w:eastAsia="Arial" w:hAnsi="Arial"/>
          <w:sz w:val="19"/>
          <w:szCs w:val="19"/>
          <w:color w:val="auto"/>
        </w:rPr>
        <w:t>For the purpose of subparagraph (b) of this Paragraph, if a default is other than one which may be cured by the payment of money, no default on the part of the Tenant in the performance of work required to be performed or acts to be done or conditions to be met shall be deemed to exist if steps shall have been commenced promptly by the Tenant to rectify the failure of performance and shall be prosecuted to completion with diligence and continuity.</w:t>
      </w:r>
    </w:p>
    <w:p>
      <w:pPr>
        <w:spacing w:after="0" w:line="39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the event of any default by the Tenant, and at any time thereafter, the Landlord at Landlord’s option may serve a written notice upon the Tenant that the Landlord elects to terminate this Lease upon a specified date after the date of serving such notice and this Lease shall then terminate on the date specified as if that date had been originally fixed as the expiration date of the term of this Lease. No default or failure to perform by the Tenant shall be deemed waived unless the waiver is in writing, signed by the Landlord.</w:t>
      </w:r>
    </w:p>
    <w:p>
      <w:pPr>
        <w:spacing w:after="0" w:line="186" w:lineRule="exact"/>
        <w:rPr>
          <w:sz w:val="20"/>
          <w:szCs w:val="20"/>
          <w:color w:val="auto"/>
        </w:rPr>
      </w:pPr>
    </w:p>
    <w:p>
      <w:pPr>
        <w:jc w:val="both"/>
        <w:ind w:firstLine="656"/>
        <w:spacing w:after="0" w:line="260" w:lineRule="auto"/>
        <w:tabs>
          <w:tab w:leader="none" w:pos="1567" w:val="left"/>
        </w:tabs>
        <w:numPr>
          <w:ilvl w:val="0"/>
          <w:numId w:val="36"/>
        </w:numPr>
        <w:rPr>
          <w:rFonts w:ascii="Arial" w:cs="Arial" w:eastAsia="Arial" w:hAnsi="Arial"/>
          <w:sz w:val="21"/>
          <w:szCs w:val="21"/>
          <w:color w:val="auto"/>
        </w:rPr>
      </w:pPr>
      <w:r>
        <w:rPr>
          <w:rFonts w:ascii="Arial" w:cs="Arial" w:eastAsia="Arial" w:hAnsi="Arial"/>
          <w:sz w:val="21"/>
          <w:szCs w:val="21"/>
          <w:b w:val="1"/>
          <w:bCs w:val="1"/>
          <w:color w:val="auto"/>
        </w:rPr>
        <w:t>Termination</w:t>
      </w:r>
      <w:r>
        <w:rPr>
          <w:rFonts w:ascii="Arial" w:cs="Arial" w:eastAsia="Arial" w:hAnsi="Arial"/>
          <w:sz w:val="21"/>
          <w:szCs w:val="21"/>
          <w:color w:val="auto"/>
        </w:rPr>
        <w:t>. If this Lease shall be terminated as provided in Paragraph 15, or if the Premises, or any part of</w:t>
      </w:r>
      <w:r>
        <w:rPr>
          <w:rFonts w:ascii="Arial" w:cs="Arial" w:eastAsia="Arial" w:hAnsi="Arial"/>
          <w:sz w:val="21"/>
          <w:szCs w:val="21"/>
          <w:b w:val="1"/>
          <w:bCs w:val="1"/>
          <w:color w:val="auto"/>
        </w:rPr>
        <w:t xml:space="preserve"> </w:t>
      </w:r>
      <w:r>
        <w:rPr>
          <w:rFonts w:ascii="Arial" w:cs="Arial" w:eastAsia="Arial" w:hAnsi="Arial"/>
          <w:sz w:val="21"/>
          <w:szCs w:val="21"/>
          <w:color w:val="auto"/>
        </w:rPr>
        <w:t>them, shall be abandoned by the Tenant, the Landlord, or Landlord’s agents, servants or representatives, may immediately or at any time thereafter, re-enter and resume possession of the Premises or any part so abandoned, and remove all persons and property without judicial process if this can be done without breach of the peace, or may proceed by a suitable action or proceeding at law, or by legal force or otherwise, without being liable for any damage. No re-entry by the Landlord shall be deemed an acceptance of a surrender of this Lease or a liquidation or satisfaction to any extent whatever of Tenant’s liability to pay rent as provided in this Lease. Landlord shall, however, upon taking possession of the Premises attempt reasonably to re-rent the Premises at a reasonable rental to a suitable tenant as quickly as possible.</w:t>
      </w:r>
    </w:p>
    <w:p>
      <w:pPr>
        <w:spacing w:after="0" w:line="216" w:lineRule="exact"/>
        <w:rPr>
          <w:rFonts w:ascii="Arial" w:cs="Arial" w:eastAsia="Arial" w:hAnsi="Arial"/>
          <w:sz w:val="21"/>
          <w:szCs w:val="21"/>
          <w:color w:val="auto"/>
        </w:rPr>
      </w:pPr>
    </w:p>
    <w:p>
      <w:pPr>
        <w:jc w:val="both"/>
        <w:ind w:firstLine="656"/>
        <w:spacing w:after="0" w:line="259" w:lineRule="auto"/>
        <w:tabs>
          <w:tab w:leader="none" w:pos="1567" w:val="left"/>
        </w:tabs>
        <w:numPr>
          <w:ilvl w:val="0"/>
          <w:numId w:val="36"/>
        </w:numPr>
        <w:rPr>
          <w:rFonts w:ascii="Arial" w:cs="Arial" w:eastAsia="Arial" w:hAnsi="Arial"/>
          <w:sz w:val="21"/>
          <w:szCs w:val="21"/>
          <w:color w:val="auto"/>
        </w:rPr>
      </w:pPr>
      <w:r>
        <w:rPr>
          <w:rFonts w:ascii="Arial" w:cs="Arial" w:eastAsia="Arial" w:hAnsi="Arial"/>
          <w:sz w:val="21"/>
          <w:szCs w:val="21"/>
          <w:b w:val="1"/>
          <w:bCs w:val="1"/>
          <w:color w:val="auto"/>
        </w:rPr>
        <w:t>Re-Letting Premises</w:t>
      </w:r>
      <w:r>
        <w:rPr>
          <w:rFonts w:ascii="Arial" w:cs="Arial" w:eastAsia="Arial" w:hAnsi="Arial"/>
          <w:sz w:val="21"/>
          <w:szCs w:val="21"/>
          <w:color w:val="auto"/>
        </w:rPr>
        <w:t>. If this Lease shall be terminated as provided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Paragraph 15</w:t>
      </w:r>
      <w:r>
        <w:rPr>
          <w:rFonts w:ascii="Arial" w:cs="Arial" w:eastAsia="Arial" w:hAnsi="Arial"/>
          <w:sz w:val="21"/>
          <w:szCs w:val="21"/>
          <w:color w:val="auto"/>
        </w:rPr>
        <w:t>, or if the Premises, or any</w:t>
      </w:r>
      <w:r>
        <w:rPr>
          <w:rFonts w:ascii="Arial" w:cs="Arial" w:eastAsia="Arial" w:hAnsi="Arial"/>
          <w:sz w:val="21"/>
          <w:szCs w:val="21"/>
          <w:b w:val="1"/>
          <w:bCs w:val="1"/>
          <w:color w:val="auto"/>
        </w:rPr>
        <w:t xml:space="preserve"> </w:t>
      </w:r>
      <w:r>
        <w:rPr>
          <w:rFonts w:ascii="Arial" w:cs="Arial" w:eastAsia="Arial" w:hAnsi="Arial"/>
          <w:sz w:val="21"/>
          <w:szCs w:val="21"/>
          <w:color w:val="auto"/>
        </w:rPr>
        <w:t>part of them, shall be abandoned by the Tenant, the Landlord may in its own name, but as agent for the Tenant, if the Lease be not terminated, or if the Lease be terminated, in its own behalf relet the whole or any portion of the Premises, for any period equal to or greater or less than the remainder of the Lease Term, for a reasonable rental, to any lessee which the Landlord believes suitable and satisfactory and for any use and purpose which Landlord may deem appropriate. In no event shall the Landlord be under any obligation to relet the Premises for any purpose which the Landlord may regard as injurious to the Premises, or to any lessee which the Landlord, in Landlord’s sole discretion, shall deem to the objectionable. The Landlord shall not in any event be required to pay the Tenant any surplus of any sums received by the Landlord on a re-letting of the Premises in excess of the rent reserved in this lease.</w:t>
      </w:r>
    </w:p>
    <w:p>
      <w:pPr>
        <w:spacing w:after="0" w:line="220" w:lineRule="exact"/>
        <w:rPr>
          <w:rFonts w:ascii="Arial" w:cs="Arial" w:eastAsia="Arial" w:hAnsi="Arial"/>
          <w:sz w:val="21"/>
          <w:szCs w:val="21"/>
          <w:color w:val="auto"/>
        </w:rPr>
      </w:pPr>
    </w:p>
    <w:p>
      <w:pPr>
        <w:ind w:right="20" w:firstLine="656"/>
        <w:spacing w:after="0" w:line="269" w:lineRule="auto"/>
        <w:tabs>
          <w:tab w:leader="none" w:pos="1567"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Remedies</w:t>
      </w:r>
      <w:r>
        <w:rPr>
          <w:rFonts w:ascii="Arial" w:cs="Arial" w:eastAsia="Arial" w:hAnsi="Arial"/>
          <w:sz w:val="22"/>
          <w:szCs w:val="22"/>
          <w:color w:val="auto"/>
        </w:rPr>
        <w:t>. If this Lease be terminated as provided in Paragraph 15, or if the Premises shall have been abandoned</w:t>
      </w:r>
      <w:r>
        <w:rPr>
          <w:rFonts w:ascii="Arial" w:cs="Arial" w:eastAsia="Arial" w:hAnsi="Arial"/>
          <w:sz w:val="22"/>
          <w:szCs w:val="22"/>
          <w:b w:val="1"/>
          <w:bCs w:val="1"/>
          <w:color w:val="auto"/>
        </w:rPr>
        <w:t xml:space="preserve"> </w:t>
      </w:r>
      <w:r>
        <w:rPr>
          <w:rFonts w:ascii="Arial" w:cs="Arial" w:eastAsia="Arial" w:hAnsi="Arial"/>
          <w:sz w:val="22"/>
          <w:szCs w:val="22"/>
          <w:color w:val="auto"/>
        </w:rPr>
        <w:t>and whether or not the Premises be relet, the Landlord shall be entitled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to recover from the Tenant, and the Tenant shall pay to the Landlord, the following:</w:t>
      </w:r>
    </w:p>
    <w:p>
      <w:pPr>
        <w:spacing w:after="0" w:line="260" w:lineRule="exact"/>
        <w:rPr>
          <w:sz w:val="20"/>
          <w:szCs w:val="20"/>
          <w:color w:val="auto"/>
        </w:rPr>
      </w:pPr>
    </w:p>
    <w:p>
      <w:pPr>
        <w:ind w:left="2100" w:hanging="795"/>
        <w:spacing w:after="0"/>
        <w:tabs>
          <w:tab w:leader="none" w:pos="21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All reasonable costs and charges for the care of the Premises while vacant;</w:t>
      </w:r>
    </w:p>
    <w:p>
      <w:pPr>
        <w:spacing w:after="0" w:line="260" w:lineRule="exact"/>
        <w:rPr>
          <w:rFonts w:ascii="Arial" w:cs="Arial" w:eastAsia="Arial" w:hAnsi="Arial"/>
          <w:sz w:val="22"/>
          <w:szCs w:val="22"/>
          <w:color w:val="auto"/>
        </w:rPr>
      </w:pPr>
    </w:p>
    <w:p>
      <w:pPr>
        <w:jc w:val="both"/>
        <w:ind w:left="660" w:firstLine="645"/>
        <w:spacing w:after="0" w:line="248" w:lineRule="auto"/>
        <w:tabs>
          <w:tab w:leader="none" w:pos="2119" w:val="left"/>
        </w:tabs>
        <w:numPr>
          <w:ilvl w:val="1"/>
          <w:numId w:val="37"/>
        </w:numPr>
        <w:rPr>
          <w:rFonts w:ascii="Arial" w:cs="Arial" w:eastAsia="Arial" w:hAnsi="Arial"/>
          <w:sz w:val="22"/>
          <w:szCs w:val="22"/>
          <w:color w:val="auto"/>
        </w:rPr>
      </w:pPr>
      <w:r>
        <w:rPr>
          <w:rFonts w:ascii="Arial" w:cs="Arial" w:eastAsia="Arial" w:hAnsi="Arial"/>
          <w:sz w:val="22"/>
          <w:szCs w:val="22"/>
          <w:color w:val="auto"/>
        </w:rPr>
        <w:t>An amount equal to the amount of all rent and additional sums, if any, due under this Lease, less the rent, if any, collected by the Landlord from the date of re-letting the Premises through the date on which the Lease Term would have expired under Paragraph 1 had the lease not been earlier terminated. Such rent collected on re-letting by the Landlord shall be computed by deducting from the gross rent collected all expenses incurred by the Landlord in connection with the reletting of the Premises; and</w:t>
      </w:r>
    </w:p>
    <w:p>
      <w:pPr>
        <w:spacing w:after="0" w:line="232" w:lineRule="exact"/>
        <w:rPr>
          <w:rFonts w:ascii="Arial" w:cs="Arial" w:eastAsia="Arial" w:hAnsi="Arial"/>
          <w:sz w:val="22"/>
          <w:szCs w:val="22"/>
          <w:color w:val="auto"/>
        </w:rPr>
      </w:pPr>
    </w:p>
    <w:p>
      <w:pPr>
        <w:ind w:left="2100" w:hanging="795"/>
        <w:spacing w:after="0"/>
        <w:tabs>
          <w:tab w:leader="none" w:pos="21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Such costs and expenses, if any, to which Landlord shall be entitled under paragraph 26 of this Lease.</w:t>
      </w:r>
    </w:p>
    <w:p>
      <w:pPr>
        <w:spacing w:after="0" w:line="288" w:lineRule="exact"/>
        <w:rPr>
          <w:rFonts w:ascii="Arial" w:cs="Arial" w:eastAsia="Arial" w:hAnsi="Arial"/>
          <w:sz w:val="19"/>
          <w:szCs w:val="19"/>
          <w:color w:val="auto"/>
        </w:rPr>
      </w:pPr>
    </w:p>
    <w:p>
      <w:pPr>
        <w:jc w:val="both"/>
        <w:ind w:firstLine="656"/>
        <w:spacing w:after="0" w:line="304" w:lineRule="auto"/>
        <w:tabs>
          <w:tab w:leader="none" w:pos="1567"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No Waiver</w:t>
      </w:r>
      <w:r>
        <w:rPr>
          <w:rFonts w:ascii="Arial" w:cs="Arial" w:eastAsia="Arial" w:hAnsi="Arial"/>
          <w:sz w:val="19"/>
          <w:szCs w:val="19"/>
          <w:color w:val="auto"/>
        </w:rPr>
        <w:t>. It is expressly agreed that no waiver shall be deemed to result from the failure of Landlord to require</w:t>
      </w:r>
      <w:r>
        <w:rPr>
          <w:rFonts w:ascii="Arial" w:cs="Arial" w:eastAsia="Arial" w:hAnsi="Arial"/>
          <w:sz w:val="19"/>
          <w:szCs w:val="19"/>
          <w:b w:val="1"/>
          <w:bCs w:val="1"/>
          <w:color w:val="auto"/>
        </w:rPr>
        <w:t xml:space="preserve"> </w:t>
      </w:r>
      <w:r>
        <w:rPr>
          <w:rFonts w:ascii="Arial" w:cs="Arial" w:eastAsia="Arial" w:hAnsi="Arial"/>
          <w:sz w:val="19"/>
          <w:szCs w:val="19"/>
          <w:color w:val="auto"/>
        </w:rPr>
        <w:t>strict performance of any condition, covenant or agreement, but only a written waiver signed by Landlord shall be effective as a waiver. A waiver on one occasion or concerning a particular provision of this Lease shall not estop the Landlord from enforcing such condition, covenant or agreement at any other time, nor be deemed a waiver of any other condition, covenant or agreement.</w:t>
      </w:r>
    </w:p>
    <w:p>
      <w:pPr>
        <w:spacing w:after="0" w:line="175" w:lineRule="exact"/>
        <w:rPr>
          <w:rFonts w:ascii="Arial" w:cs="Arial" w:eastAsia="Arial" w:hAnsi="Arial"/>
          <w:sz w:val="19"/>
          <w:szCs w:val="19"/>
          <w:color w:val="auto"/>
        </w:rPr>
      </w:pPr>
    </w:p>
    <w:p>
      <w:pPr>
        <w:jc w:val="both"/>
        <w:ind w:firstLine="656"/>
        <w:spacing w:after="0" w:line="295" w:lineRule="auto"/>
        <w:tabs>
          <w:tab w:leader="none" w:pos="1567"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auto"/>
        </w:rPr>
        <w:t>Inspection; Signs</w:t>
      </w:r>
      <w:r>
        <w:rPr>
          <w:rFonts w:ascii="Arial" w:cs="Arial" w:eastAsia="Arial" w:hAnsi="Arial"/>
          <w:sz w:val="19"/>
          <w:szCs w:val="19"/>
          <w:color w:val="auto"/>
        </w:rPr>
        <w:t>. Landlord, the Landlord’s, or any of them, shall at all times on reasonable notice (which need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 be written, notwithstanding anything to the contrary in </w:t>
      </w:r>
      <w:r>
        <w:rPr>
          <w:rFonts w:ascii="Arial" w:cs="Arial" w:eastAsia="Arial" w:hAnsi="Arial"/>
          <w:sz w:val="19"/>
          <w:szCs w:val="19"/>
          <w:u w:val="single" w:color="auto"/>
          <w:color w:val="auto"/>
        </w:rPr>
        <w:t>Paragraph 22</w:t>
      </w:r>
      <w:r>
        <w:rPr>
          <w:rFonts w:ascii="Arial" w:cs="Arial" w:eastAsia="Arial" w:hAnsi="Arial"/>
          <w:sz w:val="19"/>
          <w:szCs w:val="19"/>
          <w:color w:val="auto"/>
        </w:rPr>
        <w:t>) during business hours be permitted on or about the Premises for the purpose of inspecting the Premises. If Tenant has not notified Landlord of its intention to extend the lease as provided in paragraph 1, then Landlord during the three (3) months preceding the expiration of the Lease Term the Landlord or Landlord’s agents shall have the right to place notices on the front or any part of the Premises, offering the Premises “For Rent” or “For Sale” and the Tenant shall permit those notices to remain without hindrance or molestation.</w:t>
      </w:r>
    </w:p>
    <w:p>
      <w:pPr>
        <w:spacing w:after="0" w:line="184" w:lineRule="exact"/>
        <w:rPr>
          <w:rFonts w:ascii="Arial" w:cs="Arial" w:eastAsia="Arial" w:hAnsi="Arial"/>
          <w:sz w:val="19"/>
          <w:szCs w:val="19"/>
          <w:color w:val="auto"/>
        </w:rPr>
      </w:pPr>
    </w:p>
    <w:p>
      <w:pPr>
        <w:jc w:val="both"/>
        <w:ind w:firstLine="656"/>
        <w:spacing w:after="0" w:line="256" w:lineRule="auto"/>
        <w:tabs>
          <w:tab w:leader="none" w:pos="1567"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Modification Only in Writing</w:t>
      </w:r>
      <w:r>
        <w:rPr>
          <w:rFonts w:ascii="Arial" w:cs="Arial" w:eastAsia="Arial" w:hAnsi="Arial"/>
          <w:sz w:val="22"/>
          <w:szCs w:val="22"/>
          <w:color w:val="auto"/>
        </w:rPr>
        <w:t>. None of the terms, covenants, conditions and agreements of the Lease shall in</w:t>
      </w:r>
      <w:r>
        <w:rPr>
          <w:rFonts w:ascii="Arial" w:cs="Arial" w:eastAsia="Arial" w:hAnsi="Arial"/>
          <w:sz w:val="22"/>
          <w:szCs w:val="22"/>
          <w:b w:val="1"/>
          <w:bCs w:val="1"/>
          <w:color w:val="auto"/>
        </w:rPr>
        <w:t xml:space="preserve"> </w:t>
      </w:r>
      <w:r>
        <w:rPr>
          <w:rFonts w:ascii="Arial" w:cs="Arial" w:eastAsia="Arial" w:hAnsi="Arial"/>
          <w:sz w:val="22"/>
          <w:szCs w:val="22"/>
          <w:color w:val="auto"/>
        </w:rPr>
        <w:t>any manner be revoked, waived or modified, nor shall term of the Lease or any part of it be surrendered except by a written instrument signed by both Landlord and Tenant.</w:t>
      </w:r>
    </w:p>
    <w:p>
      <w:pPr>
        <w:spacing w:after="0" w:line="216" w:lineRule="exact"/>
        <w:rPr>
          <w:rFonts w:ascii="Arial" w:cs="Arial" w:eastAsia="Arial" w:hAnsi="Arial"/>
          <w:sz w:val="22"/>
          <w:szCs w:val="22"/>
          <w:color w:val="auto"/>
        </w:rPr>
      </w:pPr>
    </w:p>
    <w:p>
      <w:pPr>
        <w:jc w:val="both"/>
        <w:ind w:firstLine="656"/>
        <w:spacing w:after="0" w:line="249" w:lineRule="auto"/>
        <w:tabs>
          <w:tab w:leader="none" w:pos="1567"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notices required or permitted to be given under this Lease either by Landlord to the Tenant, or by</w:t>
      </w:r>
      <w:r>
        <w:rPr>
          <w:rFonts w:ascii="Arial" w:cs="Arial" w:eastAsia="Arial" w:hAnsi="Arial"/>
          <w:sz w:val="22"/>
          <w:szCs w:val="22"/>
          <w:b w:val="1"/>
          <w:bCs w:val="1"/>
          <w:color w:val="auto"/>
        </w:rPr>
        <w:t xml:space="preserve"> </w:t>
      </w:r>
      <w:r>
        <w:rPr>
          <w:rFonts w:ascii="Arial" w:cs="Arial" w:eastAsia="Arial" w:hAnsi="Arial"/>
          <w:sz w:val="22"/>
          <w:szCs w:val="22"/>
          <w:color w:val="auto"/>
        </w:rPr>
        <w:t>the Tenant to the Landlord shall be in writing and shall be deemed given when the party giving such notice shall have deposited such notice in the United States mail with the proper postage prepaid, addressed to the other party as that party shall have furnished for that purpose. Until notice of a different address is given by a party, notices may be given to the respective parties at the following addresses: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22"/>
          <w:szCs w:val="22"/>
          <w:color w:val="auto"/>
        </w:rPr>
        <w:t>If to Landlord:</w:t>
      </w:r>
    </w:p>
    <w:p>
      <w:pPr>
        <w:spacing w:after="0" w:line="31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Three Oaks, LLC</w:t>
      </w:r>
    </w:p>
    <w:p>
      <w:pPr>
        <w:ind w:left="1060"/>
        <w:spacing w:after="0" w:line="238" w:lineRule="auto"/>
        <w:rPr>
          <w:sz w:val="20"/>
          <w:szCs w:val="20"/>
          <w:color w:val="auto"/>
        </w:rPr>
      </w:pPr>
      <w:r>
        <w:rPr>
          <w:rFonts w:ascii="Arial" w:cs="Arial" w:eastAsia="Arial" w:hAnsi="Arial"/>
          <w:sz w:val="22"/>
          <w:szCs w:val="22"/>
          <w:color w:val="auto"/>
        </w:rPr>
        <w:t>22245 Sunset Lane</w:t>
      </w:r>
    </w:p>
    <w:p>
      <w:pPr>
        <w:ind w:left="1060"/>
        <w:spacing w:after="0" w:line="230" w:lineRule="auto"/>
        <w:rPr>
          <w:sz w:val="20"/>
          <w:szCs w:val="20"/>
          <w:color w:val="auto"/>
        </w:rPr>
      </w:pPr>
      <w:r>
        <w:rPr>
          <w:rFonts w:ascii="Arial" w:cs="Arial" w:eastAsia="Arial" w:hAnsi="Arial"/>
          <w:sz w:val="22"/>
          <w:szCs w:val="22"/>
          <w:color w:val="auto"/>
        </w:rPr>
        <w:t>Middlebury, IN 46540</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Attention: Don Clark, President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Tenant:</w:t>
      </w:r>
    </w:p>
    <w:p>
      <w:pPr>
        <w:spacing w:after="0" w:line="314"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Grand Design RV, LLC</w:t>
      </w:r>
    </w:p>
    <w:p>
      <w:pPr>
        <w:ind w:left="1060"/>
        <w:spacing w:after="0" w:line="238" w:lineRule="auto"/>
        <w:rPr>
          <w:sz w:val="20"/>
          <w:szCs w:val="20"/>
          <w:color w:val="auto"/>
        </w:rPr>
      </w:pPr>
      <w:r>
        <w:rPr>
          <w:rFonts w:ascii="Arial" w:cs="Arial" w:eastAsia="Arial" w:hAnsi="Arial"/>
          <w:sz w:val="22"/>
          <w:szCs w:val="22"/>
          <w:color w:val="auto"/>
        </w:rPr>
        <w:t>11333 County Road 2</w:t>
      </w:r>
    </w:p>
    <w:p>
      <w:pPr>
        <w:ind w:left="1060"/>
        <w:spacing w:after="0" w:line="230" w:lineRule="auto"/>
        <w:rPr>
          <w:sz w:val="20"/>
          <w:szCs w:val="20"/>
          <w:color w:val="auto"/>
        </w:rPr>
      </w:pPr>
      <w:r>
        <w:rPr>
          <w:rFonts w:ascii="Arial" w:cs="Arial" w:eastAsia="Arial" w:hAnsi="Arial"/>
          <w:sz w:val="22"/>
          <w:szCs w:val="22"/>
          <w:color w:val="auto"/>
        </w:rPr>
        <w:t>Middlebury, IN 46540</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Attention: Don Clark, President</w:t>
      </w:r>
    </w:p>
    <w:p>
      <w:pPr>
        <w:spacing w:after="0" w:line="200" w:lineRule="exact"/>
        <w:rPr>
          <w:sz w:val="20"/>
          <w:szCs w:val="20"/>
          <w:color w:val="auto"/>
        </w:rPr>
      </w:pPr>
    </w:p>
    <w:p>
      <w:pPr>
        <w:spacing w:after="0" w:line="225" w:lineRule="exact"/>
        <w:rPr>
          <w:sz w:val="20"/>
          <w:szCs w:val="20"/>
          <w:color w:val="auto"/>
        </w:rPr>
      </w:pPr>
    </w:p>
    <w:p>
      <w:pPr>
        <w:jc w:val="both"/>
        <w:ind w:firstLine="656"/>
        <w:spacing w:after="0" w:line="274" w:lineRule="auto"/>
        <w:tabs>
          <w:tab w:leader="none" w:pos="1567" w:val="left"/>
        </w:tabs>
        <w:numPr>
          <w:ilvl w:val="0"/>
          <w:numId w:val="39"/>
        </w:numPr>
        <w:rPr>
          <w:rFonts w:ascii="Arial" w:cs="Arial" w:eastAsia="Arial" w:hAnsi="Arial"/>
          <w:sz w:val="21"/>
          <w:szCs w:val="21"/>
          <w:color w:val="auto"/>
        </w:rPr>
      </w:pPr>
      <w:r>
        <w:rPr>
          <w:rFonts w:ascii="Arial" w:cs="Arial" w:eastAsia="Arial" w:hAnsi="Arial"/>
          <w:sz w:val="21"/>
          <w:szCs w:val="21"/>
          <w:b w:val="1"/>
          <w:bCs w:val="1"/>
          <w:color w:val="auto"/>
        </w:rPr>
        <w:t>Quiet Enjoyment</w:t>
      </w:r>
      <w:r>
        <w:rPr>
          <w:rFonts w:ascii="Arial" w:cs="Arial" w:eastAsia="Arial" w:hAnsi="Arial"/>
          <w:sz w:val="21"/>
          <w:szCs w:val="21"/>
          <w:color w:val="auto"/>
        </w:rPr>
        <w:t>. So long as the Tenant pays the rent, and all sums owed by Tenant under this Lease, and fully</w:t>
      </w:r>
      <w:r>
        <w:rPr>
          <w:rFonts w:ascii="Arial" w:cs="Arial" w:eastAsia="Arial" w:hAnsi="Arial"/>
          <w:sz w:val="21"/>
          <w:szCs w:val="21"/>
          <w:b w:val="1"/>
          <w:bCs w:val="1"/>
          <w:color w:val="auto"/>
        </w:rPr>
        <w:t xml:space="preserve"> </w:t>
      </w:r>
      <w:r>
        <w:rPr>
          <w:rFonts w:ascii="Arial" w:cs="Arial" w:eastAsia="Arial" w:hAnsi="Arial"/>
          <w:sz w:val="21"/>
          <w:szCs w:val="21"/>
          <w:color w:val="auto"/>
        </w:rPr>
        <w:t>performs all the terms, covenants, conditions and agreements of this Lease required to be performed by the Tenant, the Tenant shall peaceably and quietly enjoy the Premises, subject however to the terms of this Lease.</w:t>
      </w:r>
    </w:p>
    <w:p>
      <w:pPr>
        <w:spacing w:after="0" w:line="199" w:lineRule="exact"/>
        <w:rPr>
          <w:rFonts w:ascii="Arial" w:cs="Arial" w:eastAsia="Arial" w:hAnsi="Arial"/>
          <w:sz w:val="21"/>
          <w:szCs w:val="21"/>
          <w:color w:val="auto"/>
        </w:rPr>
      </w:pPr>
    </w:p>
    <w:p>
      <w:pPr>
        <w:jc w:val="both"/>
        <w:ind w:firstLine="656"/>
        <w:spacing w:after="0" w:line="293" w:lineRule="auto"/>
        <w:tabs>
          <w:tab w:leader="none" w:pos="1567"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Consent to Assignments and Mortgage by Landlord</w:t>
      </w:r>
      <w:r>
        <w:rPr>
          <w:rFonts w:ascii="Arial" w:cs="Arial" w:eastAsia="Arial" w:hAnsi="Arial"/>
          <w:sz w:val="19"/>
          <w:szCs w:val="19"/>
          <w:color w:val="auto"/>
        </w:rPr>
        <w:t>. Landlord will obtain, from any Lender that now has or</w:t>
      </w:r>
      <w:r>
        <w:rPr>
          <w:rFonts w:ascii="Arial" w:cs="Arial" w:eastAsia="Arial" w:hAnsi="Arial"/>
          <w:sz w:val="19"/>
          <w:szCs w:val="19"/>
          <w:b w:val="1"/>
          <w:bCs w:val="1"/>
          <w:color w:val="auto"/>
        </w:rPr>
        <w:t xml:space="preserve"> </w:t>
      </w:r>
      <w:r>
        <w:rPr>
          <w:rFonts w:ascii="Arial" w:cs="Arial" w:eastAsia="Arial" w:hAnsi="Arial"/>
          <w:sz w:val="19"/>
          <w:szCs w:val="19"/>
          <w:color w:val="auto"/>
        </w:rPr>
        <w:t>may in the future have a mortgage lien on the Premises, a commercially reasonable subordination, non-disturbance and attornment agreement (“SNDA”) that provides that so long as Tenant continues to pay rent and perform the other obligations of Tenant under this Lease, the Tenant’s rights under this Lease will not be terminated or disturbed.; Subject to the foregoing, (a) this Lease will be subject and subordinate to any mortgage covering the Premises; and (b)Tenant consents to the assignment of this Lease by Landlord to any bank or banking institution or other lending agency as security for a loan or mortgage on the Premises, and Tenant consents to the granting by Landlord of a mortgage or mortgages in the Premises or any part of them.</w:t>
      </w:r>
    </w:p>
    <w:p>
      <w:pPr>
        <w:spacing w:after="0" w:line="185" w:lineRule="exact"/>
        <w:rPr>
          <w:rFonts w:ascii="Arial" w:cs="Arial" w:eastAsia="Arial" w:hAnsi="Arial"/>
          <w:sz w:val="19"/>
          <w:szCs w:val="19"/>
          <w:color w:val="auto"/>
        </w:rPr>
      </w:pPr>
    </w:p>
    <w:p>
      <w:pPr>
        <w:jc w:val="both"/>
        <w:ind w:firstLine="656"/>
        <w:spacing w:after="0" w:line="304" w:lineRule="auto"/>
        <w:tabs>
          <w:tab w:leader="none" w:pos="1567"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The Tenant shall pay all taxes and assessments on the Premises which become payable during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Term. The Landlord shall furnish to the Tenant a copy of official statements from the appropriate governmental authority indicating the total amount of taxes or assessments on the Premises. The Tenant shall pay the full amount of such taxes and assessments on or before the due date, and furnish copies of receipts or other evidence showing such payments.</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Tenant shall have the right to contest and review by legal proceedings, instituted and conducted by the Tenant at the Tenant’s own expense and free of expense to the Landlord or the Lessor, any real estate taxes, assessments, or other charges imposed upon or against the Premises. If the Tenant exercises its right to review by legal proceedings any such real estate taxes, assessments, or other charges imposed upon or against the Premises, the Tenant shall continue to pay as they become due and payable, the full amount of such taxes, assessments, other charges under protest, if it be so advised. The term “legal proceedings” includes appropriate appeals of any judgments, decrees, orders and certiorari proceedings and appeals of orders in such proceedings, to and including appeals to the court of last resort.</w:t>
      </w:r>
    </w:p>
    <w:p>
      <w:pPr>
        <w:spacing w:after="0" w:line="175" w:lineRule="exact"/>
        <w:rPr>
          <w:sz w:val="20"/>
          <w:szCs w:val="20"/>
          <w:color w:val="auto"/>
        </w:rPr>
      </w:pPr>
    </w:p>
    <w:p>
      <w:pPr>
        <w:ind w:left="5660" w:right="2420" w:hanging="5004"/>
        <w:spacing w:after="0" w:line="500" w:lineRule="auto"/>
        <w:tabs>
          <w:tab w:leader="none" w:pos="1575"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Legal Fees</w:t>
      </w:r>
      <w:r>
        <w:rPr>
          <w:rFonts w:ascii="Arial" w:cs="Arial" w:eastAsia="Arial" w:hAnsi="Arial"/>
          <w:sz w:val="22"/>
          <w:szCs w:val="22"/>
          <w:color w:val="auto"/>
        </w:rPr>
        <w:t>. If either party to this Lease seeks to enforce such party’s rights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45" w:name="page46"/>
    <w:bookmarkEnd w:id="45"/>
    <w:p>
      <w:pPr>
        <w:spacing w:after="0" w:line="263" w:lineRule="auto"/>
        <w:rPr>
          <w:sz w:val="20"/>
          <w:szCs w:val="20"/>
          <w:color w:val="auto"/>
        </w:rPr>
      </w:pPr>
      <w:r>
        <w:rPr>
          <w:rFonts w:ascii="Arial" w:cs="Arial" w:eastAsia="Arial" w:hAnsi="Arial"/>
          <w:sz w:val="22"/>
          <w:szCs w:val="22"/>
          <w:color w:val="auto"/>
        </w:rPr>
        <w:t>Lease by legal proceedings, the non-prevailing party shall pay all costs and expenses incurred by the prevailing party including, without limitation, all reasonable attorneys’ fees.</w:t>
      </w:r>
    </w:p>
    <w:p>
      <w:pPr>
        <w:spacing w:after="0" w:line="209" w:lineRule="exact"/>
        <w:rPr>
          <w:sz w:val="20"/>
          <w:szCs w:val="20"/>
          <w:color w:val="auto"/>
        </w:rPr>
      </w:pPr>
    </w:p>
    <w:p>
      <w:pPr>
        <w:jc w:val="both"/>
        <w:ind w:firstLine="656"/>
        <w:spacing w:after="0" w:line="252" w:lineRule="auto"/>
        <w:tabs>
          <w:tab w:leader="none" w:pos="1567"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Recording</w:t>
      </w:r>
      <w:r>
        <w:rPr>
          <w:rFonts w:ascii="Arial" w:cs="Arial" w:eastAsia="Arial" w:hAnsi="Arial"/>
          <w:sz w:val="22"/>
          <w:szCs w:val="22"/>
          <w:color w:val="auto"/>
        </w:rPr>
        <w:t>. This Lease shall not be recorded unless agreed to in writing by both Landlord and Tenant.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and Tenant shall, at the option of Tenant, execute and deliver a memorandum of this Lease in recordable form, but any memorandum of this Lease shall not in any circumstances be deemed to change or modify any of the provisions of this Lease, the provisions of which shall in all instances prevail.</w:t>
      </w:r>
    </w:p>
    <w:p>
      <w:pPr>
        <w:spacing w:after="0" w:line="220" w:lineRule="exact"/>
        <w:rPr>
          <w:rFonts w:ascii="Arial" w:cs="Arial" w:eastAsia="Arial" w:hAnsi="Arial"/>
          <w:sz w:val="22"/>
          <w:szCs w:val="22"/>
          <w:color w:val="auto"/>
        </w:rPr>
      </w:pPr>
    </w:p>
    <w:p>
      <w:pPr>
        <w:ind w:firstLine="656"/>
        <w:spacing w:after="0" w:line="293" w:lineRule="auto"/>
        <w:tabs>
          <w:tab w:leader="none" w:pos="1567" w:val="left"/>
        </w:tabs>
        <w:numPr>
          <w:ilvl w:val="0"/>
          <w:numId w:val="41"/>
        </w:numPr>
        <w:rPr>
          <w:rFonts w:ascii="Arial" w:cs="Arial" w:eastAsia="Arial" w:hAnsi="Arial"/>
          <w:sz w:val="21"/>
          <w:szCs w:val="21"/>
          <w:color w:val="auto"/>
        </w:rPr>
      </w:pPr>
      <w:r>
        <w:rPr>
          <w:rFonts w:ascii="Arial" w:cs="Arial" w:eastAsia="Arial" w:hAnsi="Arial"/>
          <w:sz w:val="21"/>
          <w:szCs w:val="21"/>
          <w:b w:val="1"/>
          <w:bCs w:val="1"/>
          <w:color w:val="auto"/>
        </w:rPr>
        <w:t>Merger of Prior Leases</w:t>
      </w:r>
      <w:r>
        <w:rPr>
          <w:rFonts w:ascii="Arial" w:cs="Arial" w:eastAsia="Arial" w:hAnsi="Arial"/>
          <w:sz w:val="21"/>
          <w:szCs w:val="21"/>
          <w:color w:val="auto"/>
        </w:rPr>
        <w:t>. Any prior lease of the Premises between the Landlord and Tenant is revoked in its</w:t>
      </w:r>
      <w:r>
        <w:rPr>
          <w:rFonts w:ascii="Arial" w:cs="Arial" w:eastAsia="Arial" w:hAnsi="Arial"/>
          <w:sz w:val="21"/>
          <w:szCs w:val="21"/>
          <w:b w:val="1"/>
          <w:bCs w:val="1"/>
          <w:color w:val="auto"/>
        </w:rPr>
        <w:t xml:space="preserve"> </w:t>
      </w:r>
      <w:r>
        <w:rPr>
          <w:rFonts w:ascii="Arial" w:cs="Arial" w:eastAsia="Arial" w:hAnsi="Arial"/>
          <w:sz w:val="21"/>
          <w:szCs w:val="21"/>
          <w:color w:val="auto"/>
        </w:rPr>
        <w:t>entirety, and this Lease shall supersede any existing lease of the Premises between the Landlord and Tenant.</w:t>
      </w:r>
    </w:p>
    <w:p>
      <w:pPr>
        <w:spacing w:after="0" w:line="180" w:lineRule="exact"/>
        <w:rPr>
          <w:rFonts w:ascii="Arial" w:cs="Arial" w:eastAsia="Arial" w:hAnsi="Arial"/>
          <w:sz w:val="21"/>
          <w:szCs w:val="21"/>
          <w:color w:val="auto"/>
        </w:rPr>
      </w:pPr>
    </w:p>
    <w:p>
      <w:pPr>
        <w:ind w:firstLine="656"/>
        <w:spacing w:after="0" w:line="269" w:lineRule="auto"/>
        <w:tabs>
          <w:tab w:leader="none" w:pos="1567"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 All the terms, covenants, conditions and agreements contained in this Lease shall in every case be</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upon the respective successors and assigns of the respective parties hereto.</w:t>
      </w:r>
    </w:p>
    <w:p>
      <w:pPr>
        <w:spacing w:after="0" w:line="202" w:lineRule="exact"/>
        <w:rPr>
          <w:rFonts w:ascii="Arial" w:cs="Arial" w:eastAsia="Arial" w:hAnsi="Arial"/>
          <w:sz w:val="22"/>
          <w:szCs w:val="22"/>
          <w:color w:val="auto"/>
        </w:rPr>
      </w:pPr>
    </w:p>
    <w:p>
      <w:pPr>
        <w:ind w:firstLine="656"/>
        <w:spacing w:after="0" w:line="269" w:lineRule="auto"/>
        <w:tabs>
          <w:tab w:leader="none" w:pos="1567"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Captions</w:t>
      </w:r>
      <w:r>
        <w:rPr>
          <w:rFonts w:ascii="Arial" w:cs="Arial" w:eastAsia="Arial" w:hAnsi="Arial"/>
          <w:sz w:val="22"/>
          <w:szCs w:val="22"/>
          <w:color w:val="auto"/>
        </w:rPr>
        <w:t>. Captions used in this Lease are for convenience of reference only and are not intended to have any</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substantive effect.</w:t>
      </w:r>
    </w:p>
    <w:p>
      <w:pPr>
        <w:spacing w:after="0" w:line="202" w:lineRule="exact"/>
        <w:rPr>
          <w:rFonts w:ascii="Arial" w:cs="Arial" w:eastAsia="Arial" w:hAnsi="Arial"/>
          <w:sz w:val="22"/>
          <w:szCs w:val="22"/>
          <w:color w:val="auto"/>
        </w:rPr>
      </w:pPr>
    </w:p>
    <w:p>
      <w:pPr>
        <w:jc w:val="both"/>
        <w:ind w:firstLine="656"/>
        <w:spacing w:after="0" w:line="256" w:lineRule="auto"/>
        <w:tabs>
          <w:tab w:leader="none" w:pos="1567"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Rights Cumulative</w:t>
      </w:r>
      <w:r>
        <w:rPr>
          <w:rFonts w:ascii="Arial" w:cs="Arial" w:eastAsia="Arial" w:hAnsi="Arial"/>
          <w:sz w:val="22"/>
          <w:szCs w:val="22"/>
          <w:color w:val="auto"/>
        </w:rPr>
        <w:t>. The rights given to the Landlord in this Lease are in addition to any rights that may be given</w:t>
      </w:r>
      <w:r>
        <w:rPr>
          <w:rFonts w:ascii="Arial" w:cs="Arial" w:eastAsia="Arial" w:hAnsi="Arial"/>
          <w:sz w:val="22"/>
          <w:szCs w:val="22"/>
          <w:b w:val="1"/>
          <w:bCs w:val="1"/>
          <w:color w:val="auto"/>
        </w:rPr>
        <w:t xml:space="preserve"> </w:t>
      </w:r>
      <w:r>
        <w:rPr>
          <w:rFonts w:ascii="Arial" w:cs="Arial" w:eastAsia="Arial" w:hAnsi="Arial"/>
          <w:sz w:val="22"/>
          <w:szCs w:val="22"/>
          <w:color w:val="auto"/>
        </w:rPr>
        <w:t>to the Lessor by any statute, rule of law or otherwise. This Lease shall be governed by and construed under the laws of the State of Indiana.</w:t>
      </w:r>
    </w:p>
    <w:p>
      <w:pPr>
        <w:spacing w:after="0" w:line="216" w:lineRule="exact"/>
        <w:rPr>
          <w:rFonts w:ascii="Arial" w:cs="Arial" w:eastAsia="Arial" w:hAnsi="Arial"/>
          <w:sz w:val="22"/>
          <w:szCs w:val="22"/>
          <w:color w:val="auto"/>
        </w:rPr>
      </w:pPr>
    </w:p>
    <w:p>
      <w:pPr>
        <w:jc w:val="both"/>
        <w:ind w:firstLine="656"/>
        <w:spacing w:after="0" w:line="248" w:lineRule="auto"/>
        <w:tabs>
          <w:tab w:leader="none" w:pos="1567"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Restrictions Applicable to the Landlord and the Property</w:t>
      </w:r>
      <w:r>
        <w:rPr>
          <w:rFonts w:ascii="Arial" w:cs="Arial" w:eastAsia="Arial" w:hAnsi="Arial"/>
          <w:sz w:val="22"/>
          <w:szCs w:val="22"/>
          <w:color w:val="auto"/>
        </w:rPr>
        <w:t>. Until this Lease expires or is terminated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accordance with the terms hereof,, Landlord agrees to be bound (and all of Landlord’s successors and assigns will be bound) by and comply with: (a) certain restrictions on voting rights for members of Landlord, as described on </w:t>
      </w:r>
      <w:r>
        <w:rPr>
          <w:rFonts w:ascii="Arial" w:cs="Arial" w:eastAsia="Arial" w:hAnsi="Arial"/>
          <w:sz w:val="22"/>
          <w:szCs w:val="22"/>
          <w:b w:val="1"/>
          <w:bCs w:val="1"/>
          <w:color w:val="auto"/>
        </w:rPr>
        <w:t>Exhibit C</w:t>
      </w:r>
      <w:r>
        <w:rPr>
          <w:rFonts w:ascii="Arial" w:cs="Arial" w:eastAsia="Arial" w:hAnsi="Arial"/>
          <w:sz w:val="22"/>
          <w:szCs w:val="22"/>
          <w:color w:val="auto"/>
        </w:rPr>
        <w:t xml:space="preserve"> hereto; (b) certain restrictions on the sale or transfer of the Premises, or any interest in the Premises, or any ownership interest in Landlord, as described on </w:t>
      </w:r>
      <w:r>
        <w:rPr>
          <w:rFonts w:ascii="Arial" w:cs="Arial" w:eastAsia="Arial" w:hAnsi="Arial"/>
          <w:sz w:val="22"/>
          <w:szCs w:val="22"/>
          <w:b w:val="1"/>
          <w:bCs w:val="1"/>
          <w:color w:val="auto"/>
        </w:rPr>
        <w:t>Exhibit D</w:t>
      </w:r>
      <w:r>
        <w:rPr>
          <w:rFonts w:ascii="Arial" w:cs="Arial" w:eastAsia="Arial" w:hAnsi="Arial"/>
          <w:sz w:val="22"/>
          <w:szCs w:val="22"/>
          <w:color w:val="auto"/>
        </w:rPr>
        <w:t xml:space="preserve"> hereto; and (c) an agreement to provide Tenant with a right of first offer on the Premises, as described on </w:t>
      </w:r>
      <w:r>
        <w:rPr>
          <w:rFonts w:ascii="Arial" w:cs="Arial" w:eastAsia="Arial" w:hAnsi="Arial"/>
          <w:sz w:val="22"/>
          <w:szCs w:val="22"/>
          <w:b w:val="1"/>
          <w:bCs w:val="1"/>
          <w:color w:val="auto"/>
        </w:rPr>
        <w:t xml:space="preserve">Exhibit E </w:t>
      </w:r>
      <w:r>
        <w:rPr>
          <w:rFonts w:ascii="Arial" w:cs="Arial" w:eastAsia="Arial" w:hAnsi="Arial"/>
          <w:sz w:val="22"/>
          <w:szCs w:val="22"/>
          <w:color w:val="auto"/>
        </w:rPr>
        <w:t>hereto.</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[Signatures Shall Appear on Immediately Subsequent Page]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[Remainder of Page Intentionally Left Blank]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46" w:name="page47"/>
    <w:bookmarkEnd w:id="46"/>
    <w:p>
      <w:pPr>
        <w:spacing w:after="0" w:line="200" w:lineRule="exact"/>
        <w:rPr>
          <w:sz w:val="20"/>
          <w:szCs w:val="20"/>
          <w:color w:val="auto"/>
        </w:rPr>
      </w:pPr>
    </w:p>
    <w:p>
      <w:pPr>
        <w:spacing w:after="0" w:line="336"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“LANDLORD”</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THREE OAKS,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6100"/>
        <w:spacing w:after="0"/>
        <w:rPr>
          <w:sz w:val="20"/>
          <w:szCs w:val="20"/>
          <w:color w:val="auto"/>
        </w:rPr>
      </w:pPr>
      <w:r>
        <w:rPr>
          <w:rFonts w:ascii="Arial" w:cs="Arial" w:eastAsia="Arial" w:hAnsi="Arial"/>
          <w:sz w:val="19"/>
          <w:szCs w:val="19"/>
          <w:color w:val="auto"/>
        </w:rPr>
        <w:t>Printed Name: Don Clark</w:t>
      </w:r>
    </w:p>
    <w:p>
      <w:pPr>
        <w:spacing w:after="0" w:line="79" w:lineRule="exact"/>
        <w:rPr>
          <w:sz w:val="20"/>
          <w:szCs w:val="20"/>
          <w:color w:val="auto"/>
        </w:rPr>
      </w:pPr>
    </w:p>
    <w:p>
      <w:pPr>
        <w:ind w:left="5420"/>
        <w:spacing w:after="0"/>
        <w:tabs>
          <w:tab w:leader="none" w:pos="60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(Printed Name and Title</w:t>
      </w:r>
    </w:p>
    <w:p>
      <w:pPr>
        <w:spacing w:after="0" w:line="385"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“TENANT”</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GRAND DESIGN RV,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6100"/>
        <w:spacing w:after="0"/>
        <w:rPr>
          <w:sz w:val="20"/>
          <w:szCs w:val="20"/>
          <w:color w:val="auto"/>
        </w:rPr>
      </w:pPr>
      <w:r>
        <w:rPr>
          <w:rFonts w:ascii="Arial" w:cs="Arial" w:eastAsia="Arial" w:hAnsi="Arial"/>
          <w:sz w:val="19"/>
          <w:szCs w:val="19"/>
          <w:color w:val="auto"/>
        </w:rPr>
        <w:t>Printed Name: Don Clark</w:t>
      </w:r>
    </w:p>
    <w:p>
      <w:pPr>
        <w:spacing w:after="0" w:line="79" w:lineRule="exact"/>
        <w:rPr>
          <w:sz w:val="20"/>
          <w:szCs w:val="20"/>
          <w:color w:val="auto"/>
        </w:rPr>
      </w:pPr>
    </w:p>
    <w:p>
      <w:pPr>
        <w:ind w:left="5420"/>
        <w:spacing w:after="0"/>
        <w:tabs>
          <w:tab w:leader="none" w:pos="60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(Printed Name and Title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19"/>
          </w:cols>
          <w:pgMar w:left="240" w:top="1440" w:right="1440" w:bottom="1440" w:gutter="0" w:footer="0" w:header="0"/>
        </w:sectPr>
      </w:pPr>
    </w:p>
    <w:bookmarkStart w:id="47" w:name="page48"/>
    <w:bookmarkEnd w:id="47"/>
    <w:p>
      <w:pPr>
        <w:spacing w:after="0" w:line="286" w:lineRule="exact"/>
        <w:rPr>
          <w:sz w:val="20"/>
          <w:szCs w:val="20"/>
          <w:color w:val="auto"/>
        </w:rPr>
      </w:pPr>
    </w:p>
    <w:p>
      <w:pPr>
        <w:ind w:left="40"/>
        <w:spacing w:after="0"/>
        <w:tabs>
          <w:tab w:leader="none" w:pos="4520" w:val="left"/>
        </w:tabs>
        <w:rPr>
          <w:sz w:val="20"/>
          <w:szCs w:val="20"/>
          <w:color w:val="auto"/>
        </w:rPr>
      </w:pPr>
      <w:r>
        <w:rPr>
          <w:rFonts w:ascii="Arial" w:cs="Arial" w:eastAsia="Arial" w:hAnsi="Arial"/>
          <w:sz w:val="22"/>
          <w:szCs w:val="22"/>
          <w:color w:val="auto"/>
        </w:rPr>
        <w:t>STATE OF indiana</w:t>
      </w:r>
      <w:r>
        <w:rPr>
          <w:sz w:val="20"/>
          <w:szCs w:val="20"/>
          <w:color w:val="auto"/>
        </w:rPr>
        <w:tab/>
      </w:r>
      <w:r>
        <w:rPr>
          <w:rFonts w:ascii="Arial" w:cs="Arial" w:eastAsia="Arial" w:hAnsi="Arial"/>
          <w:sz w:val="18"/>
          <w:szCs w:val="18"/>
          <w:color w:val="auto"/>
        </w:rPr>
        <w:t>)</w:t>
      </w:r>
    </w:p>
    <w:p>
      <w:pPr>
        <w:spacing w:after="0" w:line="44" w:lineRule="exact"/>
        <w:rPr>
          <w:sz w:val="20"/>
          <w:szCs w:val="20"/>
          <w:color w:val="auto"/>
        </w:rPr>
      </w:pPr>
    </w:p>
    <w:p>
      <w:pPr>
        <w:ind w:left="4540"/>
        <w:spacing w:after="0"/>
        <w:tabs>
          <w:tab w:leader="none" w:pos="47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SS</w:t>
      </w:r>
    </w:p>
    <w:p>
      <w:pPr>
        <w:spacing w:after="0" w:line="44" w:lineRule="exact"/>
        <w:rPr>
          <w:sz w:val="20"/>
          <w:szCs w:val="20"/>
          <w:color w:val="auto"/>
        </w:rPr>
      </w:pPr>
    </w:p>
    <w:p>
      <w:pPr>
        <w:ind w:left="40"/>
        <w:spacing w:after="0"/>
        <w:tabs>
          <w:tab w:leader="none" w:pos="4520" w:val="left"/>
        </w:tabs>
        <w:rPr>
          <w:sz w:val="20"/>
          <w:szCs w:val="20"/>
          <w:color w:val="auto"/>
        </w:rPr>
      </w:pPr>
      <w:r>
        <w:rPr>
          <w:rFonts w:ascii="Arial" w:cs="Arial" w:eastAsia="Arial" w:hAnsi="Arial"/>
          <w:sz w:val="22"/>
          <w:szCs w:val="22"/>
          <w:color w:val="auto"/>
        </w:rPr>
        <w:t>COUNTY OF elkhart</w:t>
      </w:r>
      <w:r>
        <w:rPr>
          <w:sz w:val="20"/>
          <w:szCs w:val="20"/>
          <w:color w:val="auto"/>
        </w:rPr>
        <w:tab/>
      </w:r>
      <w:r>
        <w:rPr>
          <w:rFonts w:ascii="Arial" w:cs="Arial" w:eastAsia="Arial" w:hAnsi="Arial"/>
          <w:sz w:val="18"/>
          <w:szCs w:val="18"/>
          <w:color w:val="auto"/>
        </w:rPr>
        <w:t>)</w:t>
      </w:r>
    </w:p>
    <w:p>
      <w:pPr>
        <w:spacing w:after="0" w:line="2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Before me, the undersigned, a Notary Public in and for said County and State, appeared before me, Don Clark, the President of Three Oaks, LLC, and as such officer for and on behalf of said corporation, acknowledged the execution of the foregoing Lease Agreement as the free act and deed of said corporation as of the date first set forth above.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my hand and Notarial Seal.</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4420" w:type="dxa"/>
            <w:vAlign w:val="bottom"/>
          </w:tcPr>
          <w:p>
            <w:pPr>
              <w:spacing w:after="0"/>
              <w:rPr>
                <w:sz w:val="20"/>
                <w:szCs w:val="20"/>
                <w:color w:val="auto"/>
              </w:rPr>
            </w:pPr>
            <w:r>
              <w:rPr>
                <w:rFonts w:ascii="Arial" w:cs="Arial" w:eastAsia="Arial" w:hAnsi="Arial"/>
                <w:sz w:val="22"/>
                <w:szCs w:val="22"/>
                <w:color w:val="auto"/>
              </w:rPr>
              <w:t>My Commission Expires:</w:t>
            </w:r>
          </w:p>
        </w:tc>
        <w:tc>
          <w:tcPr>
            <w:tcW w:w="6960" w:type="dxa"/>
            <w:vAlign w:val="bottom"/>
            <w:tcBorders>
              <w:bottom w:val="single" w:sz="8" w:color="auto"/>
            </w:tcBorders>
          </w:tcPr>
          <w:p>
            <w:pPr>
              <w:spacing w:after="0"/>
              <w:rPr>
                <w:sz w:val="24"/>
                <w:szCs w:val="24"/>
                <w:color w:val="auto"/>
              </w:rPr>
            </w:pPr>
          </w:p>
        </w:tc>
      </w:tr>
      <w:tr>
        <w:trPr>
          <w:trHeight w:val="249"/>
        </w:trPr>
        <w:tc>
          <w:tcPr>
            <w:tcW w:w="4420" w:type="dxa"/>
            <w:vAlign w:val="bottom"/>
          </w:tcPr>
          <w:p>
            <w:pPr>
              <w:spacing w:after="0"/>
              <w:rPr>
                <w:sz w:val="21"/>
                <w:szCs w:val="21"/>
                <w:color w:val="auto"/>
              </w:rPr>
            </w:pPr>
          </w:p>
        </w:tc>
        <w:tc>
          <w:tcPr>
            <w:tcW w:w="6960" w:type="dxa"/>
            <w:vAlign w:val="bottom"/>
          </w:tcPr>
          <w:p>
            <w:pPr>
              <w:ind w:left="40"/>
              <w:spacing w:after="0" w:line="248" w:lineRule="exact"/>
              <w:rPr>
                <w:sz w:val="20"/>
                <w:szCs w:val="20"/>
                <w:color w:val="auto"/>
              </w:rPr>
            </w:pPr>
            <w:r>
              <w:rPr>
                <w:rFonts w:ascii="Arial" w:cs="Arial" w:eastAsia="Arial" w:hAnsi="Arial"/>
                <w:sz w:val="22"/>
                <w:szCs w:val="22"/>
                <w:color w:val="auto"/>
              </w:rPr>
              <w:t>_______________________________, Notary Public</w:t>
            </w:r>
          </w:p>
        </w:tc>
      </w:tr>
      <w:tr>
        <w:trPr>
          <w:trHeight w:val="275"/>
        </w:trPr>
        <w:tc>
          <w:tcPr>
            <w:tcW w:w="4420" w:type="dxa"/>
            <w:vAlign w:val="bottom"/>
          </w:tcPr>
          <w:p>
            <w:pPr>
              <w:spacing w:after="0"/>
              <w:rPr>
                <w:sz w:val="20"/>
                <w:szCs w:val="20"/>
                <w:color w:val="auto"/>
              </w:rPr>
            </w:pPr>
            <w:r>
              <w:rPr>
                <w:rFonts w:ascii="Arial" w:cs="Arial" w:eastAsia="Arial" w:hAnsi="Arial"/>
                <w:sz w:val="22"/>
                <w:szCs w:val="22"/>
                <w:color w:val="auto"/>
              </w:rPr>
              <w:t>_____________________</w:t>
            </w:r>
          </w:p>
        </w:tc>
        <w:tc>
          <w:tcPr>
            <w:tcW w:w="6960" w:type="dxa"/>
            <w:vAlign w:val="bottom"/>
          </w:tcPr>
          <w:p>
            <w:pPr>
              <w:ind w:left="40"/>
              <w:spacing w:after="0"/>
              <w:rPr>
                <w:sz w:val="20"/>
                <w:szCs w:val="20"/>
                <w:color w:val="auto"/>
              </w:rPr>
            </w:pPr>
            <w:r>
              <w:rPr>
                <w:rFonts w:ascii="Arial" w:cs="Arial" w:eastAsia="Arial" w:hAnsi="Arial"/>
                <w:sz w:val="22"/>
                <w:szCs w:val="22"/>
                <w:color w:val="auto"/>
              </w:rPr>
              <w:t>Residing in ____________ County, ________________</w:t>
            </w:r>
          </w:p>
        </w:tc>
      </w:tr>
      <w:tr>
        <w:trPr>
          <w:trHeight w:val="905"/>
        </w:trPr>
        <w:tc>
          <w:tcPr>
            <w:tcW w:w="4420" w:type="dxa"/>
            <w:vAlign w:val="bottom"/>
          </w:tcPr>
          <w:p>
            <w:pPr>
              <w:spacing w:after="0"/>
              <w:rPr>
                <w:sz w:val="20"/>
                <w:szCs w:val="20"/>
                <w:color w:val="auto"/>
              </w:rPr>
            </w:pPr>
            <w:r>
              <w:rPr>
                <w:rFonts w:ascii="Arial" w:cs="Arial" w:eastAsia="Arial" w:hAnsi="Arial"/>
                <w:sz w:val="22"/>
                <w:szCs w:val="22"/>
                <w:color w:val="auto"/>
              </w:rPr>
              <w:t>STATE OF INDIANA</w:t>
            </w:r>
          </w:p>
        </w:tc>
        <w:tc>
          <w:tcPr>
            <w:tcW w:w="6960" w:type="dxa"/>
            <w:vAlign w:val="bottom"/>
          </w:tcPr>
          <w:p>
            <w:pPr>
              <w:ind w:left="80"/>
              <w:spacing w:after="0"/>
              <w:rPr>
                <w:sz w:val="20"/>
                <w:szCs w:val="20"/>
                <w:color w:val="auto"/>
              </w:rPr>
            </w:pPr>
            <w:r>
              <w:rPr>
                <w:rFonts w:ascii="Arial" w:cs="Arial" w:eastAsia="Arial" w:hAnsi="Arial"/>
                <w:sz w:val="22"/>
                <w:szCs w:val="22"/>
                <w:color w:val="auto"/>
              </w:rPr>
              <w:t>)</w:t>
            </w:r>
          </w:p>
        </w:tc>
      </w:tr>
      <w:tr>
        <w:trPr>
          <w:trHeight w:val="297"/>
        </w:trPr>
        <w:tc>
          <w:tcPr>
            <w:tcW w:w="4420" w:type="dxa"/>
            <w:vAlign w:val="bottom"/>
          </w:tcPr>
          <w:p>
            <w:pPr>
              <w:spacing w:after="0"/>
              <w:rPr>
                <w:sz w:val="24"/>
                <w:szCs w:val="24"/>
                <w:color w:val="auto"/>
              </w:rPr>
            </w:pPr>
          </w:p>
        </w:tc>
        <w:tc>
          <w:tcPr>
            <w:tcW w:w="6960" w:type="dxa"/>
            <w:vAlign w:val="bottom"/>
          </w:tcPr>
          <w:p>
            <w:pPr>
              <w:ind w:left="80"/>
              <w:spacing w:after="0"/>
              <w:rPr>
                <w:sz w:val="20"/>
                <w:szCs w:val="20"/>
                <w:color w:val="auto"/>
              </w:rPr>
            </w:pPr>
            <w:r>
              <w:rPr>
                <w:rFonts w:ascii="Arial" w:cs="Arial" w:eastAsia="Arial" w:hAnsi="Arial"/>
                <w:sz w:val="22"/>
                <w:szCs w:val="22"/>
                <w:color w:val="auto"/>
              </w:rPr>
              <w:t>)  SS</w:t>
            </w:r>
          </w:p>
        </w:tc>
      </w:tr>
      <w:tr>
        <w:trPr>
          <w:trHeight w:val="297"/>
        </w:trPr>
        <w:tc>
          <w:tcPr>
            <w:tcW w:w="4420" w:type="dxa"/>
            <w:vAlign w:val="bottom"/>
          </w:tcPr>
          <w:p>
            <w:pPr>
              <w:spacing w:after="0"/>
              <w:rPr>
                <w:sz w:val="20"/>
                <w:szCs w:val="20"/>
                <w:color w:val="auto"/>
              </w:rPr>
            </w:pPr>
            <w:r>
              <w:rPr>
                <w:rFonts w:ascii="Arial" w:cs="Arial" w:eastAsia="Arial" w:hAnsi="Arial"/>
                <w:sz w:val="22"/>
                <w:szCs w:val="22"/>
                <w:color w:val="auto"/>
              </w:rPr>
              <w:t>COUNTY OF ELKHART</w:t>
            </w:r>
          </w:p>
        </w:tc>
        <w:tc>
          <w:tcPr>
            <w:tcW w:w="6960" w:type="dxa"/>
            <w:vAlign w:val="bottom"/>
          </w:tcPr>
          <w:p>
            <w:pPr>
              <w:ind w:left="80"/>
              <w:spacing w:after="0"/>
              <w:rPr>
                <w:sz w:val="20"/>
                <w:szCs w:val="20"/>
                <w:color w:val="auto"/>
              </w:rPr>
            </w:pPr>
            <w:r>
              <w:rPr>
                <w:rFonts w:ascii="Arial" w:cs="Arial" w:eastAsia="Arial" w:hAnsi="Arial"/>
                <w:sz w:val="22"/>
                <w:szCs w:val="22"/>
                <w:color w:val="auto"/>
              </w:rPr>
              <w:t>)</w:t>
            </w:r>
          </w:p>
        </w:tc>
      </w:tr>
    </w:tbl>
    <w:p>
      <w:pPr>
        <w:spacing w:after="0" w:line="2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Before me, the undersigned, a Notary Public in and for said County and State, appeared before me, Don Clark, the President of Grand Design RV, LLC, and as such officer for and on behalf of said corporation, acknowledged the execution of the foregoing Lease Agreement as the free act and deed of said corporation as of the date first set forth above.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my hand and Notarial Seal.</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24765</wp:posOffset>
            </wp:positionV>
            <wp:extent cx="44164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9"/>
          <w:szCs w:val="19"/>
          <w:color w:val="auto"/>
        </w:rPr>
        <w:t>_____________________</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2080"/>
        <w:spacing w:after="0" w:line="328" w:lineRule="auto"/>
        <w:rPr>
          <w:sz w:val="20"/>
          <w:szCs w:val="20"/>
          <w:color w:val="auto"/>
        </w:rPr>
      </w:pPr>
      <w:r>
        <w:rPr>
          <w:rFonts w:ascii="Arial" w:cs="Arial" w:eastAsia="Arial" w:hAnsi="Arial"/>
          <w:sz w:val="19"/>
          <w:szCs w:val="19"/>
          <w:color w:val="auto"/>
        </w:rPr>
        <w:t>_______________________________, Notary Public Residing in ____________ County, ________________</w:t>
      </w:r>
    </w:p>
    <w:p>
      <w:pPr>
        <w:spacing w:after="0" w:line="200" w:lineRule="exact"/>
        <w:rPr>
          <w:sz w:val="20"/>
          <w:szCs w:val="20"/>
          <w:color w:val="auto"/>
        </w:rPr>
      </w:pPr>
    </w:p>
    <w:p>
      <w:pPr>
        <w:sectPr>
          <w:pgSz w:w="11900" w:h="16838" w:orient="portrait"/>
          <w:cols w:equalWidth="0" w:num="2">
            <w:col w:w="3780" w:space="720"/>
            <w:col w:w="6920"/>
          </w:cols>
          <w:pgMar w:left="240" w:top="1440" w:right="2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instrument was prepared by Joel D. Duthie of the law firm of Barnes &amp; Thornburg LLP, 121 West Franklin Street, Suite 200, Elkhart, Indiana 46516, (574) 293-0681. I affirm, under the penalties for perjury, that I have taken reasonable care to redact each Social Security number in this document, unless required by law. Joel D. Duthie.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440" w:right="239" w:bottom="1440" w:gutter="0" w:footer="0" w:header="0"/>
          <w:type w:val="continuous"/>
        </w:sectPr>
      </w:pPr>
    </w:p>
    <w:bookmarkStart w:id="48" w:name="page49"/>
    <w:bookmarkEnd w:id="48"/>
    <w:p>
      <w:pPr>
        <w:ind w:left="5140"/>
        <w:spacing w:after="0"/>
        <w:rPr>
          <w:sz w:val="20"/>
          <w:szCs w:val="20"/>
          <w:color w:val="auto"/>
        </w:rPr>
      </w:pPr>
      <w:r>
        <w:rPr>
          <w:rFonts w:ascii="Arial" w:cs="Arial" w:eastAsia="Arial" w:hAnsi="Arial"/>
          <w:sz w:val="22"/>
          <w:szCs w:val="22"/>
          <w:b w:val="1"/>
          <w:bCs w:val="1"/>
          <w:color w:val="auto"/>
        </w:rPr>
        <w:t>EXHIBIT A</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described real estate located in Elkhart County, Indiana: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Property Address: 11333 CR 2, Middlebury, IN 46540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File No.: 12-26671</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Lot Numbered One (1) as the said Lot is known and designated on the recorded Plat of Four Seasons’ Planned Unit Development, a Replat of Lot 5 Edgar Millers Planned Unit Development in York Township, Elkhart County, Indiana, said Plat being recorded in Plat Book 23, page 55 in the Office of the Recorder of Elkhart County, Indiana.</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ALSO:</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Lots Numbered Three (3) and Four (4) as the said Lots are known and designated on the recorded Plat of 13 North Industrial Park, a Replat of Lots 1, 3, 4 and 7 of Edgar Millers’ Planned Unit Development, in York Township, Elkhart County, Indiana, said Plat being recorded in Plat Book 28, page 13 in the Office of the Recorder of Elkhart County, Indiana.</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EXCEPTING that part deeded to the State of Indiana for highway purposes: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part of Lots 3-4 of Edgar Miller’s P.U.D. the plat of which is recorded as Instrument #97-006038 and a part of Lot 1 of Four Seasons P.U.D. the plat of which is recorded as Instrument #97-012231 all in the Office of the Recorder of Elkhart County, Indiana, and being all that part of the grantor’s land lying within the right-of-way lines depicted on the attached Right of Way Parcel Plat, described as follows: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Commencing at a point #81 on said plat, which point is on the Northwestern boundary of U.S. 131 and the Northeast corner of said Lot 3; thence along said boundary Southwesterly 116.23 feet (35.428 meters) along an arc to the left and having a radius of 3,852.09 feet (1174.116 meters) and subtended by a long chord having a bearing of South 11 degrees 9 minutes 3 seconds West and a length of 116.23 feet (35.426 meters); thence South 10 degrees 17 minutes 11 seconds West 261.62 feet (79.742 meters) along the boundary of said U.S. 131; thence along said boundary Southwesterly 259.52 feet (79.103 meters) along an arc to the left and having a radius of 53,074.64 feet (16177.150 meters) and subtended by a long chord having a bearing of South 10 degrees 8 minutes 47 seconds West and a length of 259.52 feet (79.103 meters) to the Southwestern line of the grantor’s land; thence South 80 degrees 15 minutes 5 seconds West 15.93 feet (4.854 meters) on said Southwestern line; thence Northeasterly 264.98 feet (80.766 meters) along an arc to the right and having a radius of 53,089.60 feet (16181.710 meters) and subtended by a long chord having a bearing of North 10 degrees 8 minutes 37 seconds West and a length of 264.98 feet (80.766 meters) to point #88 on said plat; thence North 10 degrees 17 minutes 11 seconds East 261.62 feet (79.742 meters) to point #39 on said plat; thence Northeasterly 10.17 feet (3.101 meters) along an arc to the right and having a radius of 3,867.07 feet (1178.684 meters) and subtended by a long chord having a bearing of North 10 degrees 21 minutes 43 seconds East and a length of 10.17 feet (3.101 meters) to point #41 on said plat; thence North 19 degrees 15 minutes 2 seconds East 107.35 feet (32.721 meters) to the point of beginning.</w:t>
      </w:r>
    </w:p>
    <w:p>
      <w:pPr>
        <w:sectPr>
          <w:pgSz w:w="11900" w:h="16838" w:orient="portrait"/>
          <w:cols w:equalWidth="0" w:num="1">
            <w:col w:w="11420"/>
          </w:cols>
          <w:pgMar w:left="240" w:top="625" w:right="239" w:bottom="1440" w:gutter="0" w:footer="0" w:header="0"/>
        </w:sectPr>
      </w:pPr>
    </w:p>
    <w:bookmarkStart w:id="49" w:name="page50"/>
    <w:bookmarkEnd w:id="49"/>
    <w:p>
      <w:pPr>
        <w:ind w:left="5160"/>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The CPI Amount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This Exhibit B shall govern the calculation of Base Rent increases that are subject to the CPA Amount.</w:t>
      </w:r>
    </w:p>
    <w:p>
      <w:pPr>
        <w:spacing w:after="0" w:line="220"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Each calculation shall be made as of January 1. Each January 1 following December 31, 2023, is called an “</w:t>
      </w:r>
      <w:r>
        <w:rPr>
          <w:rFonts w:ascii="Arial" w:cs="Arial" w:eastAsia="Arial" w:hAnsi="Arial"/>
          <w:sz w:val="19"/>
          <w:szCs w:val="19"/>
          <w:u w:val="single" w:color="auto"/>
          <w:color w:val="auto"/>
        </w:rPr>
        <w:t>Adjustment Date</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jc w:val="both"/>
        <w:ind w:firstLine="8"/>
        <w:spacing w:after="0" w:line="290"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For the each Adjustment Date, the year-end average Index (as defined below) that was effective the year prior to the Adjustment Date shall be the Beginning Index (e.g. -- if the Adjustment Date is January 1, 2024, the Beginning Index will be the year-end average Index for calendar year 2022); and the Index that is effective on the Adjustment Date shall be the Extension Index (e.g. - if the Adjustment Date is January 1, 2024, the Extension Index will be the year-end average Index for calendar year 2023). As of the Adjustment Date, Base Rent shall be the amount equal to the Base Rent payable during the previous month of the term multiplied by a fraction, the numerator of which is the applicable Extension Index and the denominator of which is the Beginning Index. For each Adjustment Date thereafter, the Extension Index for the preceding year shall be the Beginning Index, and the new Extension Index shall be the average year-end Index for the calendar year prior to the Adjustment Date..</w:t>
      </w:r>
    </w:p>
    <w:p>
      <w:pPr>
        <w:spacing w:after="0" w:line="156" w:lineRule="exact"/>
        <w:rPr>
          <w:rFonts w:ascii="Arial" w:cs="Arial" w:eastAsia="Arial" w:hAnsi="Arial"/>
          <w:sz w:val="19"/>
          <w:szCs w:val="19"/>
          <w:color w:val="auto"/>
        </w:rPr>
      </w:pPr>
    </w:p>
    <w:p>
      <w:pPr>
        <w:jc w:val="both"/>
        <w:ind w:firstLine="8"/>
        <w:spacing w:after="0" w:line="247" w:lineRule="auto"/>
        <w:tabs>
          <w:tab w:leader="none" w:pos="405"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Index shall be the Consumer Price Index as published by the United States Bureau of Labor Statistics (All Items) for the Midwest Region. If the Index is changed so that a base period other than 1982-84 shall equal 100, then such Index shall be converted in accordance with the conversion factors published by the United States Bureau of Labor Statistics. If such Index is discontinued or revised, the Index designated as the successor or substitute Index by the government of the United States shall be substituted. If no Index is so designated, Landlord and Tenant shall reasonably agree upon an Index prepared by an appropriate government entity, corporation or other entity.</w:t>
      </w:r>
    </w:p>
    <w:p>
      <w:pPr>
        <w:spacing w:after="0" w:line="193" w:lineRule="exact"/>
        <w:rPr>
          <w:rFonts w:ascii="Arial" w:cs="Arial" w:eastAsia="Arial" w:hAnsi="Arial"/>
          <w:sz w:val="22"/>
          <w:szCs w:val="22"/>
          <w:color w:val="auto"/>
        </w:rPr>
      </w:pPr>
    </w:p>
    <w:p>
      <w:pPr>
        <w:jc w:val="both"/>
        <w:ind w:firstLine="8"/>
        <w:spacing w:after="0" w:line="297" w:lineRule="auto"/>
        <w:tabs>
          <w:tab w:leader="none" w:pos="392"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an applicable Index is not available as of an Adjustment Date, then: (i) Tenant shall continue to pay Base Rent in an amount equal to 102% of the Base Rent paid immediately prior to such Adjustment Date; and (ii) Landlord and Tenant will agree to a substantially similar replacement Index; and (iii) Tenant shall within ten days of such agreement pay to Landlord all additional amounts owed as of the relevant effective date (or receive a credit for overpaid rent), and (iv) the Base Rent shall be increased or decreased by the same amount until the next subsequent Adjustment Date or the end of the Term, as appropriate.</w:t>
      </w:r>
    </w:p>
    <w:p>
      <w:pPr>
        <w:sectPr>
          <w:pgSz w:w="11900" w:h="16838" w:orient="portrait"/>
          <w:cols w:equalWidth="0" w:num="1">
            <w:col w:w="11420"/>
          </w:cols>
          <w:pgMar w:left="240" w:top="787" w:right="239" w:bottom="1440" w:gutter="0" w:footer="0" w:header="0"/>
        </w:sectPr>
      </w:pPr>
    </w:p>
    <w:bookmarkStart w:id="50" w:name="page51"/>
    <w:bookmarkEnd w:id="50"/>
    <w:p>
      <w:pPr>
        <w:jc w:val="center"/>
        <w:ind w:right="-1200"/>
        <w:spacing w:after="0"/>
        <w:rPr>
          <w:sz w:val="20"/>
          <w:szCs w:val="20"/>
          <w:color w:val="auto"/>
        </w:rPr>
      </w:pPr>
      <w:r>
        <w:rPr>
          <w:rFonts w:ascii="Arial" w:cs="Arial" w:eastAsia="Arial" w:hAnsi="Arial"/>
          <w:sz w:val="22"/>
          <w:szCs w:val="22"/>
          <w:b w:val="1"/>
          <w:bCs w:val="1"/>
          <w:color w:val="auto"/>
        </w:rPr>
        <w:t>EXHIBIT 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Restrictions on Member Voting Rights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Until this Lease expires or is terminated in accordance with its terms: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Mr. Don Clark will not have any voting rights in any entity that owns all or any portion of the Premises.</w:t>
      </w:r>
    </w:p>
    <w:p>
      <w:pPr>
        <w:sectPr>
          <w:pgSz w:w="11900" w:h="16838" w:orient="portrait"/>
          <w:cols w:equalWidth="0" w:num="1">
            <w:col w:w="10219"/>
          </w:cols>
          <w:pgMar w:left="240" w:top="787" w:right="1440" w:bottom="1440" w:gutter="0" w:footer="0" w:header="0"/>
        </w:sectPr>
      </w:pPr>
    </w:p>
    <w:bookmarkStart w:id="51" w:name="page52"/>
    <w:bookmarkEnd w:id="51"/>
    <w:p>
      <w:pPr>
        <w:ind w:left="5140"/>
        <w:spacing w:after="0"/>
        <w:rPr>
          <w:sz w:val="20"/>
          <w:szCs w:val="20"/>
          <w:color w:val="auto"/>
        </w:rPr>
      </w:pPr>
      <w:r>
        <w:rPr>
          <w:rFonts w:ascii="Arial" w:cs="Arial" w:eastAsia="Arial" w:hAnsi="Arial"/>
          <w:sz w:val="22"/>
          <w:szCs w:val="22"/>
          <w:b w:val="1"/>
          <w:bCs w:val="1"/>
          <w:color w:val="auto"/>
        </w:rPr>
        <w:t>EXHIBIT D</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Restrictions on Transfer of Property or</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Membership Interests of Landlord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Until this Lease expires or is terminated in accordance with its terms: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Landlord will not sell, transfer, or convey the Premises, or any fractional interest in the Premises (including, without limitation, any lien or mortgage on the Property), to any person or entity that engages in or holds any ownership interest in an entity that engages in a business activity that is competitive with Tenant.</w:t>
      </w:r>
    </w:p>
    <w:p>
      <w:pPr>
        <w:sectPr>
          <w:pgSz w:w="11900" w:h="16838" w:orient="portrait"/>
          <w:cols w:equalWidth="0" w:num="1">
            <w:col w:w="11420"/>
          </w:cols>
          <w:pgMar w:left="240" w:top="78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EXHIBIT 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 of First Offer</w:t>
      </w:r>
    </w:p>
    <w:p>
      <w:pPr>
        <w:spacing w:after="0" w:line="200" w:lineRule="exact"/>
        <w:rPr>
          <w:sz w:val="20"/>
          <w:szCs w:val="20"/>
          <w:color w:val="auto"/>
        </w:rPr>
      </w:pPr>
    </w:p>
    <w:p>
      <w:pPr>
        <w:spacing w:after="0" w:line="276" w:lineRule="exact"/>
        <w:rPr>
          <w:sz w:val="20"/>
          <w:szCs w:val="20"/>
          <w:color w:val="auto"/>
        </w:rPr>
      </w:pPr>
    </w:p>
    <w:p>
      <w:pPr>
        <w:jc w:val="both"/>
        <w:ind w:firstLine="8"/>
        <w:spacing w:after="0" w:line="285" w:lineRule="auto"/>
        <w:tabs>
          <w:tab w:leader="none" w:pos="473" w:val="left"/>
        </w:tabs>
        <w:numPr>
          <w:ilvl w:val="0"/>
          <w:numId w:val="43"/>
        </w:numPr>
        <w:rPr>
          <w:rFonts w:ascii="Arial" w:cs="Arial" w:eastAsia="Arial" w:hAnsi="Arial"/>
          <w:sz w:val="19"/>
          <w:szCs w:val="19"/>
          <w:color w:val="auto"/>
        </w:rPr>
      </w:pPr>
      <w:r>
        <w:rPr>
          <w:rFonts w:ascii="Arial" w:cs="Arial" w:eastAsia="Arial" w:hAnsi="Arial"/>
          <w:sz w:val="19"/>
          <w:szCs w:val="19"/>
          <w:color w:val="auto"/>
        </w:rPr>
        <w:t>Landlord hereby grants Tenant the following right of first offer to purchase the Premises from Landlord (the “</w:t>
      </w:r>
      <w:r>
        <w:rPr>
          <w:rFonts w:ascii="Arial" w:cs="Arial" w:eastAsia="Arial" w:hAnsi="Arial"/>
          <w:sz w:val="19"/>
          <w:szCs w:val="19"/>
          <w:b w:val="1"/>
          <w:bCs w:val="1"/>
          <w:color w:val="auto"/>
        </w:rPr>
        <w:t>First Offer</w:t>
      </w:r>
      <w:r>
        <w:rPr>
          <w:rFonts w:ascii="Arial" w:cs="Arial" w:eastAsia="Arial" w:hAnsi="Arial"/>
          <w:sz w:val="19"/>
          <w:szCs w:val="19"/>
          <w:color w:val="auto"/>
        </w:rPr>
        <w:t xml:space="preserve"> </w:t>
      </w:r>
      <w:r>
        <w:rPr>
          <w:rFonts w:ascii="Arial" w:cs="Arial" w:eastAsia="Arial" w:hAnsi="Arial"/>
          <w:sz w:val="19"/>
          <w:szCs w:val="19"/>
          <w:b w:val="1"/>
          <w:bCs w:val="1"/>
          <w:color w:val="auto"/>
        </w:rPr>
        <w:t>Right</w:t>
      </w:r>
      <w:r>
        <w:rPr>
          <w:rFonts w:ascii="Arial" w:cs="Arial" w:eastAsia="Arial" w:hAnsi="Arial"/>
          <w:sz w:val="19"/>
          <w:szCs w:val="19"/>
          <w:color w:val="auto"/>
        </w:rPr>
        <w:t>”), which First Offer Right will remain in effect during the Term of the Lease (as extended by Tenant). If during such Term of</w:t>
      </w:r>
      <w:r>
        <w:rPr>
          <w:rFonts w:ascii="Arial" w:cs="Arial" w:eastAsia="Arial" w:hAnsi="Arial"/>
          <w:sz w:val="19"/>
          <w:szCs w:val="19"/>
          <w:b w:val="1"/>
          <w:bCs w:val="1"/>
          <w:color w:val="auto"/>
        </w:rPr>
        <w:t xml:space="preserve"> </w:t>
      </w:r>
      <w:r>
        <w:rPr>
          <w:rFonts w:ascii="Arial" w:cs="Arial" w:eastAsia="Arial" w:hAnsi="Arial"/>
          <w:sz w:val="19"/>
          <w:szCs w:val="19"/>
          <w:color w:val="auto"/>
        </w:rPr>
        <w:t>the Lease Landlord elects to sell, transfer, assign, or otherwise convey the Property or any part thereof (“</w:t>
      </w:r>
      <w:r>
        <w:rPr>
          <w:rFonts w:ascii="Arial" w:cs="Arial" w:eastAsia="Arial" w:hAnsi="Arial"/>
          <w:sz w:val="19"/>
          <w:szCs w:val="19"/>
          <w:b w:val="1"/>
          <w:bCs w:val="1"/>
          <w:color w:val="auto"/>
        </w:rPr>
        <w:t>Transfer</w:t>
      </w:r>
      <w:r>
        <w:rPr>
          <w:rFonts w:ascii="Arial" w:cs="Arial" w:eastAsia="Arial" w:hAnsi="Arial"/>
          <w:sz w:val="19"/>
          <w:szCs w:val="19"/>
          <w:color w:val="auto"/>
        </w:rPr>
        <w:t>”) to a third party (“</w:t>
      </w:r>
      <w:r>
        <w:rPr>
          <w:rFonts w:ascii="Arial" w:cs="Arial" w:eastAsia="Arial" w:hAnsi="Arial"/>
          <w:sz w:val="19"/>
          <w:szCs w:val="19"/>
          <w:b w:val="1"/>
          <w:bCs w:val="1"/>
          <w:color w:val="auto"/>
        </w:rPr>
        <w:t>BFP</w:t>
      </w:r>
      <w:r>
        <w:rPr>
          <w:rFonts w:ascii="Arial" w:cs="Arial" w:eastAsia="Arial" w:hAnsi="Arial"/>
          <w:sz w:val="19"/>
          <w:szCs w:val="19"/>
          <w:color w:val="auto"/>
        </w:rPr>
        <w:t>”), Landlord shall first notify Tenant in writing of such intention (the “</w:t>
      </w:r>
      <w:r>
        <w:rPr>
          <w:rFonts w:ascii="Arial" w:cs="Arial" w:eastAsia="Arial" w:hAnsi="Arial"/>
          <w:sz w:val="19"/>
          <w:szCs w:val="19"/>
          <w:b w:val="1"/>
          <w:bCs w:val="1"/>
          <w:color w:val="auto"/>
        </w:rPr>
        <w:t>Notice</w:t>
      </w:r>
      <w:r>
        <w:rPr>
          <w:rFonts w:ascii="Arial" w:cs="Arial" w:eastAsia="Arial" w:hAnsi="Arial"/>
          <w:sz w:val="19"/>
          <w:szCs w:val="19"/>
          <w:color w:val="auto"/>
        </w:rPr>
        <w:t>”), which Notice shall be delivered by Federal Express in a manner than enables tracking and verification of delivery, and which Notice will include: (i) a date (which shall not be less than 60 days from the date of the Notice) in which Landlord would like to close on such transaction, and (ii) the minimum price that Landlord will accept for the Property (which price must be at or below Landlord’s reasonable and good faith estimate of such property’s market value) (the “</w:t>
      </w:r>
      <w:r>
        <w:rPr>
          <w:rFonts w:ascii="Arial" w:cs="Arial" w:eastAsia="Arial" w:hAnsi="Arial"/>
          <w:sz w:val="19"/>
          <w:szCs w:val="19"/>
          <w:b w:val="1"/>
          <w:bCs w:val="1"/>
          <w:color w:val="auto"/>
        </w:rPr>
        <w:t>Sales Price</w:t>
      </w:r>
      <w:r>
        <w:rPr>
          <w:rFonts w:ascii="Arial" w:cs="Arial" w:eastAsia="Arial" w:hAnsi="Arial"/>
          <w:sz w:val="19"/>
          <w:szCs w:val="19"/>
          <w:color w:val="auto"/>
        </w:rPr>
        <w:t>”). Tenant shall have 30 days following their receipt of the Notice to elect to purchase the Property by giving written notice of such election to Landlord (“</w:t>
      </w:r>
      <w:r>
        <w:rPr>
          <w:rFonts w:ascii="Arial" w:cs="Arial" w:eastAsia="Arial" w:hAnsi="Arial"/>
          <w:sz w:val="19"/>
          <w:szCs w:val="19"/>
          <w:b w:val="1"/>
          <w:bCs w:val="1"/>
          <w:color w:val="auto"/>
        </w:rPr>
        <w:t>Acceptance Notice</w:t>
      </w:r>
      <w:r>
        <w:rPr>
          <w:rFonts w:ascii="Arial" w:cs="Arial" w:eastAsia="Arial" w:hAnsi="Arial"/>
          <w:sz w:val="19"/>
          <w:szCs w:val="19"/>
          <w:color w:val="auto"/>
        </w:rPr>
        <w:t>”). If such Acceptance Notice is timely given by Tenant, the parties shall in good faith enter into a commercially reasonable purchase agreement providing for the purchase of the Property by Tenant at 98% of the Sales Price, with customary earnest money, contingencies and title examination, and the closing shall occur no later than the date set forth in the Notice. If the Acceptance Notice is not timely given by Tenant, Landlord may proceed to sell the Property to any BFP so long as the consideration given by such BFP is not less than the Sales Price set forth in the Notice. In the event of such a sale to a BFP, Tenant shall have no further right under this paragraph 1 to purchase the Property. Further, if Landlord intends to sell the Property to a BFP at less than 98% of the Sales Price set forth in the Notice (notwithstanding any lack of a timely Acceptance Notice by Landlord), the First Offer Right hereunder shall remain in full force and effect and Landlord is obligated to re-offer to sell the Property to Tenant in accordance with the foregoing provisions of this paragraph 1 at such lower price (except that Tenant shall only have fifteen (15) days instead of thirty (30) days to provide an Acceptance Notice). Upon the expiration of the Offer Period, Tenant’s rights hereunder will lapse and this Agreement will terminate automatically, time being of the essence.</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jc w:val="both"/>
        <w:ind w:firstLine="8"/>
        <w:spacing w:after="0" w:line="253" w:lineRule="auto"/>
        <w:tabs>
          <w:tab w:leader="none" w:pos="405"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Except as set forth in the following sentence, this Agreement shall be binding upon, and inure to the benefit of the parties hereto and their respective successors and assigns. The rights granted to Tenant hereunder are personal to Tenant and may not be assigned.</w:t>
      </w:r>
    </w:p>
    <w:p>
      <w:pPr>
        <w:sectPr>
          <w:pgSz w:w="11900" w:h="16838" w:orient="portrait"/>
          <w:cols w:equalWidth="0" w:num="1">
            <w:col w:w="11420"/>
          </w:cols>
          <w:pgMar w:left="240" w:top="78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LEASE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(Expansion Facility)</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LEASE AGREEMENT (this “</w:t>
      </w:r>
      <w:r>
        <w:rPr>
          <w:rFonts w:ascii="Arial" w:cs="Arial" w:eastAsia="Arial" w:hAnsi="Arial"/>
          <w:sz w:val="22"/>
          <w:szCs w:val="22"/>
          <w:u w:val="single" w:color="auto"/>
          <w:color w:val="auto"/>
        </w:rPr>
        <w:t>Lease</w:t>
      </w:r>
      <w:r>
        <w:rPr>
          <w:rFonts w:ascii="Arial" w:cs="Arial" w:eastAsia="Arial" w:hAnsi="Arial"/>
          <w:sz w:val="22"/>
          <w:szCs w:val="22"/>
          <w:color w:val="auto"/>
        </w:rPr>
        <w:t>”) is made and entered into as of November 8, 2016 (the “</w:t>
      </w:r>
      <w:r>
        <w:rPr>
          <w:rFonts w:ascii="Arial" w:cs="Arial" w:eastAsia="Arial" w:hAnsi="Arial"/>
          <w:sz w:val="22"/>
          <w:szCs w:val="22"/>
          <w:u w:val="single" w:color="auto"/>
          <w:color w:val="auto"/>
        </w:rPr>
        <w:t>Lease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THREE OAKS, LLC</w:t>
      </w:r>
      <w:r>
        <w:rPr>
          <w:rFonts w:ascii="Arial" w:cs="Arial" w:eastAsia="Arial" w:hAnsi="Arial"/>
          <w:sz w:val="22"/>
          <w:szCs w:val="22"/>
          <w:color w:val="auto"/>
        </w:rPr>
        <w:t xml:space="preserve">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GRAND DESIGN RV, LLC</w:t>
      </w:r>
      <w:r>
        <w:rPr>
          <w:rFonts w:ascii="Arial" w:cs="Arial" w:eastAsia="Arial" w:hAnsi="Arial"/>
          <w:sz w:val="22"/>
          <w:szCs w:val="22"/>
          <w:color w:val="auto"/>
        </w:rPr>
        <w:t xml:space="preserve"> (“</w:t>
      </w:r>
      <w:r>
        <w:rPr>
          <w:rFonts w:ascii="Arial" w:cs="Arial" w:eastAsia="Arial" w:hAnsi="Arial"/>
          <w:sz w:val="22"/>
          <w:szCs w:val="22"/>
          <w:u w:val="single" w:color="auto"/>
          <w:color w:val="auto"/>
        </w:rPr>
        <w:t>Tenant</w:t>
      </w:r>
      <w:r>
        <w:rPr>
          <w:rFonts w:ascii="Arial" w:cs="Arial" w:eastAsia="Arial" w:hAnsi="Arial"/>
          <w:sz w:val="22"/>
          <w:szCs w:val="22"/>
          <w:color w:val="auto"/>
        </w:rPr>
        <w:t>”). This lease supersedes and replaces all prior leases affecting the Premises, all of which are hereby terminated.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 xml:space="preserve">Landlord is the owner of the real estate more particularly described on attached </w:t>
      </w:r>
      <w:r>
        <w:rPr>
          <w:rFonts w:ascii="Arial" w:cs="Arial" w:eastAsia="Arial" w:hAnsi="Arial"/>
          <w:sz w:val="21"/>
          <w:szCs w:val="21"/>
          <w:b w:val="1"/>
          <w:bCs w:val="1"/>
          <w:color w:val="auto"/>
        </w:rPr>
        <w:t>Exhibit A</w:t>
      </w:r>
      <w:r>
        <w:rPr>
          <w:rFonts w:ascii="Arial" w:cs="Arial" w:eastAsia="Arial" w:hAnsi="Arial"/>
          <w:sz w:val="21"/>
          <w:szCs w:val="21"/>
          <w:color w:val="auto"/>
        </w:rPr>
        <w:t>, and the improvements on that real estate (the “</w:t>
      </w:r>
      <w:r>
        <w:rPr>
          <w:rFonts w:ascii="Arial" w:cs="Arial" w:eastAsia="Arial" w:hAnsi="Arial"/>
          <w:sz w:val="21"/>
          <w:szCs w:val="21"/>
          <w:u w:val="single" w:color="auto"/>
          <w:color w:val="auto"/>
        </w:rPr>
        <w:t>Premises</w:t>
      </w:r>
      <w:r>
        <w:rPr>
          <w:rFonts w:ascii="Arial" w:cs="Arial" w:eastAsia="Arial" w:hAnsi="Arial"/>
          <w:sz w:val="21"/>
          <w:szCs w:val="21"/>
          <w:color w:val="auto"/>
        </w:rPr>
        <w:t>”), located and commonly known as Vacant Land, CR 2, Middlebury, IN 46540 . Landlord has agreed to construct two buildings on the Premises suitable for use by Tenant in Tenant’s planned business operations on the site (each, a “</w:t>
      </w:r>
      <w:r>
        <w:rPr>
          <w:rFonts w:ascii="Arial" w:cs="Arial" w:eastAsia="Arial" w:hAnsi="Arial"/>
          <w:sz w:val="21"/>
          <w:szCs w:val="21"/>
          <w:u w:val="single" w:color="auto"/>
          <w:color w:val="auto"/>
        </w:rPr>
        <w:t>Facility</w:t>
      </w:r>
      <w:r>
        <w:rPr>
          <w:rFonts w:ascii="Arial" w:cs="Arial" w:eastAsia="Arial" w:hAnsi="Arial"/>
          <w:sz w:val="21"/>
          <w:szCs w:val="21"/>
          <w:color w:val="auto"/>
        </w:rPr>
        <w:t>”, and together the “</w:t>
      </w:r>
      <w:r>
        <w:rPr>
          <w:rFonts w:ascii="Arial" w:cs="Arial" w:eastAsia="Arial" w:hAnsi="Arial"/>
          <w:sz w:val="21"/>
          <w:szCs w:val="21"/>
          <w:u w:val="single" w:color="auto"/>
          <w:color w:val="auto"/>
        </w:rPr>
        <w:t>Facilities</w:t>
      </w:r>
      <w:r>
        <w:rPr>
          <w:rFonts w:ascii="Arial" w:cs="Arial" w:eastAsia="Arial" w:hAnsi="Arial"/>
          <w:sz w:val="21"/>
          <w:szCs w:val="21"/>
          <w:color w:val="auto"/>
        </w:rPr>
        <w:t>”), as agreed to in writing by Tenant.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ind w:firstLine="656"/>
        <w:spacing w:after="0" w:line="350" w:lineRule="auto"/>
        <w:tabs>
          <w:tab w:leader="none" w:pos="1459"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Lease Term</w:t>
      </w:r>
      <w:r>
        <w:rPr>
          <w:rFonts w:ascii="Arial" w:cs="Arial" w:eastAsia="Arial" w:hAnsi="Arial"/>
          <w:sz w:val="19"/>
          <w:szCs w:val="19"/>
          <w:color w:val="auto"/>
        </w:rPr>
        <w:t>. The Tenant shall have and hold the Premises for and during the term commencing on the Lease Date,</w:t>
      </w:r>
      <w:r>
        <w:rPr>
          <w:rFonts w:ascii="Arial" w:cs="Arial" w:eastAsia="Arial" w:hAnsi="Arial"/>
          <w:sz w:val="19"/>
          <w:szCs w:val="19"/>
          <w:b w:val="1"/>
          <w:bCs w:val="1"/>
          <w:color w:val="auto"/>
        </w:rPr>
        <w:t xml:space="preserve"> </w:t>
      </w:r>
      <w:r>
        <w:rPr>
          <w:rFonts w:ascii="Arial" w:cs="Arial" w:eastAsia="Arial" w:hAnsi="Arial"/>
          <w:sz w:val="19"/>
          <w:szCs w:val="19"/>
          <w:color w:val="auto"/>
        </w:rPr>
        <w:t>and ending at midnight on December 31, 2024 or until such earlier termination as provided in this Lease (the “</w:t>
      </w:r>
      <w:r>
        <w:rPr>
          <w:rFonts w:ascii="Arial" w:cs="Arial" w:eastAsia="Arial" w:hAnsi="Arial"/>
          <w:sz w:val="19"/>
          <w:szCs w:val="19"/>
          <w:u w:val="single" w:color="auto"/>
          <w:color w:val="auto"/>
        </w:rPr>
        <w:t>Lease Term</w:t>
      </w:r>
      <w:r>
        <w:rPr>
          <w:rFonts w:ascii="Arial" w:cs="Arial" w:eastAsia="Arial" w:hAnsi="Arial"/>
          <w:sz w:val="19"/>
          <w:szCs w:val="19"/>
          <w:color w:val="auto"/>
        </w:rPr>
        <w:t>”).</w:t>
      </w:r>
    </w:p>
    <w:p>
      <w:pPr>
        <w:spacing w:after="0" w:line="1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Tenant has the right to extend the Lease Term (the “</w:t>
      </w:r>
      <w:r>
        <w:rPr>
          <w:rFonts w:ascii="Arial" w:cs="Arial" w:eastAsia="Arial" w:hAnsi="Arial"/>
          <w:sz w:val="22"/>
          <w:szCs w:val="22"/>
          <w:u w:val="single" w:color="auto"/>
          <w:color w:val="auto"/>
        </w:rPr>
        <w:t>Extension Option</w:t>
      </w:r>
      <w:r>
        <w:rPr>
          <w:rFonts w:ascii="Arial" w:cs="Arial" w:eastAsia="Arial" w:hAnsi="Arial"/>
          <w:sz w:val="22"/>
          <w:szCs w:val="22"/>
          <w:color w:val="auto"/>
        </w:rPr>
        <w:t>”) for five (5) subsequent periods of five (5) years each (each five-year period is an “</w:t>
      </w:r>
      <w:r>
        <w:rPr>
          <w:rFonts w:ascii="Arial" w:cs="Arial" w:eastAsia="Arial" w:hAnsi="Arial"/>
          <w:sz w:val="22"/>
          <w:szCs w:val="22"/>
          <w:u w:val="single" w:color="auto"/>
          <w:color w:val="auto"/>
        </w:rPr>
        <w:t>Extension Period</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To exercise such right, Tenant must provide written notice to Landlord on or before December 15 of the year prior to the expiration of the then-current term. By way of example, if Tenant delivers notice to Landlord on or before December 15, 2023, the first Extension Period will begin January 1, 2025, and will expire at midnight on December 31, 2029. To be effective, notice must be delivered to Landlord at the address specified in Section 22 of this Lease on or before 5:00 p.m. Eastern time, by Federal Express or other national courier delivery service that furnishes verification of delivery.</w:t>
      </w:r>
    </w:p>
    <w:p>
      <w:pPr>
        <w:spacing w:after="0" w:line="17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During the Term, Landlord will proceed to construct and equip two structures on the Premises for use in Tenant’s business opening as described in paragraph 8 below. All construction will be done by Landlord at Landlord’s sole cost and expense, in accordance with all applicable laws, and subject to the reasonable approval of Tenant. Landlord will indemnity, defend, and hold Tenant harmless of and from all claims, demands, causes of action, or expenses associated with or arising from such construction .</w:t>
      </w:r>
    </w:p>
    <w:p>
      <w:pPr>
        <w:spacing w:after="0" w:line="14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parties contemplate that Landlord will first construct and equip a facility (the “</w:t>
      </w:r>
      <w:r>
        <w:rPr>
          <w:rFonts w:ascii="Arial" w:cs="Arial" w:eastAsia="Arial" w:hAnsi="Arial"/>
          <w:sz w:val="21"/>
          <w:szCs w:val="21"/>
          <w:u w:val="single" w:color="auto"/>
          <w:color w:val="auto"/>
        </w:rPr>
        <w:t>First Facility</w:t>
      </w:r>
      <w:r>
        <w:rPr>
          <w:rFonts w:ascii="Arial" w:cs="Arial" w:eastAsia="Arial" w:hAnsi="Arial"/>
          <w:sz w:val="21"/>
          <w:szCs w:val="21"/>
          <w:color w:val="auto"/>
        </w:rPr>
        <w:t>”) of approximately 110,000 square feet, suitable for use as a production facility to manufacture recreational vehicles. The First Facility will be deemed to be at “</w:t>
      </w:r>
      <w:r>
        <w:rPr>
          <w:rFonts w:ascii="Arial" w:cs="Arial" w:eastAsia="Arial" w:hAnsi="Arial"/>
          <w:sz w:val="21"/>
          <w:szCs w:val="21"/>
          <w:u w:val="single" w:color="auto"/>
          <w:color w:val="auto"/>
        </w:rPr>
        <w:t>Completion</w:t>
      </w:r>
      <w:r>
        <w:rPr>
          <w:rFonts w:ascii="Arial" w:cs="Arial" w:eastAsia="Arial" w:hAnsi="Arial"/>
          <w:sz w:val="21"/>
          <w:szCs w:val="21"/>
          <w:color w:val="auto"/>
        </w:rPr>
        <w:t>” when construction in accordance with Exhibit F(1) is substantially completed in accordance with the details set forth in Exhibit F(1), and Landlord has obtained a final certificate of occupancy on the First Facility.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01" w:right="239" w:bottom="1440" w:gutter="0" w:footer="0" w:header="0"/>
        </w:sectPr>
      </w:pPr>
    </w:p>
    <w:bookmarkStart w:id="54" w:name="page55"/>
    <w:bookmarkEnd w:id="54"/>
    <w:p>
      <w:pPr>
        <w:jc w:val="both"/>
        <w:ind w:firstLine="648"/>
        <w:spacing w:after="0" w:line="265" w:lineRule="auto"/>
        <w:rPr>
          <w:sz w:val="20"/>
          <w:szCs w:val="20"/>
          <w:color w:val="auto"/>
        </w:rPr>
      </w:pPr>
      <w:r>
        <w:rPr>
          <w:rFonts w:ascii="Arial" w:cs="Arial" w:eastAsia="Arial" w:hAnsi="Arial"/>
          <w:sz w:val="21"/>
          <w:szCs w:val="21"/>
          <w:color w:val="auto"/>
        </w:rPr>
        <w:t>The parties contemplate that Landlord will construct and equip a facility (the “</w:t>
      </w:r>
      <w:r>
        <w:rPr>
          <w:rFonts w:ascii="Arial" w:cs="Arial" w:eastAsia="Arial" w:hAnsi="Arial"/>
          <w:sz w:val="21"/>
          <w:szCs w:val="21"/>
          <w:u w:val="single" w:color="auto"/>
          <w:color w:val="auto"/>
        </w:rPr>
        <w:t>Second Facility</w:t>
      </w:r>
      <w:r>
        <w:rPr>
          <w:rFonts w:ascii="Arial" w:cs="Arial" w:eastAsia="Arial" w:hAnsi="Arial"/>
          <w:sz w:val="21"/>
          <w:szCs w:val="21"/>
          <w:color w:val="auto"/>
        </w:rPr>
        <w:t>”) of approximately 110,000 square feet, suitable for use as a pre-delivery inspection and customer service facility The Second Facility will be deemed to be at “</w:t>
      </w:r>
      <w:r>
        <w:rPr>
          <w:rFonts w:ascii="Arial" w:cs="Arial" w:eastAsia="Arial" w:hAnsi="Arial"/>
          <w:sz w:val="21"/>
          <w:szCs w:val="21"/>
          <w:u w:val="single" w:color="auto"/>
          <w:color w:val="auto"/>
        </w:rPr>
        <w:t>Completion</w:t>
      </w:r>
      <w:r>
        <w:rPr>
          <w:rFonts w:ascii="Arial" w:cs="Arial" w:eastAsia="Arial" w:hAnsi="Arial"/>
          <w:sz w:val="21"/>
          <w:szCs w:val="21"/>
          <w:color w:val="auto"/>
        </w:rPr>
        <w:t>” when construction in accordance with Exhibit F(2) is substantially completed in accordance with the details set forth in Exhibit F(2), and Landlord has obtained a final certificate of occupancy on the Second Facility.</w:t>
      </w:r>
    </w:p>
    <w:p>
      <w:pPr>
        <w:spacing w:after="0" w:line="170" w:lineRule="exact"/>
        <w:rPr>
          <w:sz w:val="20"/>
          <w:szCs w:val="20"/>
          <w:color w:val="auto"/>
        </w:rPr>
      </w:pPr>
    </w:p>
    <w:p>
      <w:pPr>
        <w:jc w:val="both"/>
        <w:ind w:firstLine="656"/>
        <w:spacing w:after="0" w:line="252" w:lineRule="auto"/>
        <w:tabs>
          <w:tab w:leader="none" w:pos="1459"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Rent</w:t>
      </w:r>
      <w:r>
        <w:rPr>
          <w:rFonts w:ascii="Arial" w:cs="Arial" w:eastAsia="Arial" w:hAnsi="Arial"/>
          <w:sz w:val="22"/>
          <w:szCs w:val="22"/>
          <w:color w:val="auto"/>
        </w:rPr>
        <w:t>. Tenant shall pay Landlord as rent for the Premises (a) for the period commencing on the date of this Lease,</w:t>
      </w:r>
      <w:r>
        <w:rPr>
          <w:rFonts w:ascii="Arial" w:cs="Arial" w:eastAsia="Arial" w:hAnsi="Arial"/>
          <w:sz w:val="22"/>
          <w:szCs w:val="22"/>
          <w:b w:val="1"/>
          <w:bCs w:val="1"/>
          <w:color w:val="auto"/>
        </w:rPr>
        <w:t xml:space="preserve"> </w:t>
      </w:r>
      <w:r>
        <w:rPr>
          <w:rFonts w:ascii="Arial" w:cs="Arial" w:eastAsia="Arial" w:hAnsi="Arial"/>
          <w:sz w:val="22"/>
          <w:szCs w:val="22"/>
          <w:color w:val="auto"/>
        </w:rPr>
        <w:t>rent will be $1.00 per month; (b) for the period commencing on the first day of the calendar month after Completion of the First Facility, rent will be $41,667 per month; (c) for the period commencing on the first day of the calendar month after Completion of the Second Facility, rent will be $75,000 per month.</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Rent will be paid in advance on the first day of each and every successive month during the Lease Term, commencing with the first day of December, 2016. Such rental payments shall be made to Landlord at 358 S. Elkhart Avenue, Suite 200, Elkhart, Indiana, 46516, or at such other place or places as Landlord may designate in writing.</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Tenant exercises any extension option, rent for each year of such extension period (January 1 through December 31) will be increased by the greater of (i) 0% or (ii) the CPI amount (defined below).</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CPI Amount</w:t>
      </w:r>
      <w:r>
        <w:rPr>
          <w:rFonts w:ascii="Arial" w:cs="Arial" w:eastAsia="Arial" w:hAnsi="Arial"/>
          <w:sz w:val="22"/>
          <w:szCs w:val="22"/>
          <w:color w:val="auto"/>
        </w:rPr>
        <w:t xml:space="preserve">” means a percentage increase in rent based on the change in the Consumer Price Index between the year prior to such increase and the effective year of such increase, calculated as set forth on </w:t>
      </w:r>
      <w:r>
        <w:rPr>
          <w:rFonts w:ascii="Arial" w:cs="Arial" w:eastAsia="Arial" w:hAnsi="Arial"/>
          <w:sz w:val="22"/>
          <w:szCs w:val="22"/>
          <w:b w:val="1"/>
          <w:bCs w:val="1"/>
          <w:color w:val="auto"/>
        </w:rPr>
        <w:t>Exhibit B</w:t>
      </w:r>
      <w:r>
        <w:rPr>
          <w:rFonts w:ascii="Arial" w:cs="Arial" w:eastAsia="Arial" w:hAnsi="Arial"/>
          <w:sz w:val="22"/>
          <w:szCs w:val="22"/>
          <w:color w:val="auto"/>
        </w:rPr>
        <w:t xml:space="preserve"> hereto. Notwithstanding the foregoing, in no event will the CPI Amount exceed three percent (3%).</w:t>
      </w:r>
    </w:p>
    <w:p>
      <w:pPr>
        <w:spacing w:after="0" w:line="180" w:lineRule="exact"/>
        <w:rPr>
          <w:sz w:val="20"/>
          <w:szCs w:val="20"/>
          <w:color w:val="auto"/>
        </w:rPr>
      </w:pPr>
    </w:p>
    <w:p>
      <w:pPr>
        <w:jc w:val="both"/>
        <w:ind w:firstLine="656"/>
        <w:spacing w:after="0" w:line="249" w:lineRule="auto"/>
        <w:tabs>
          <w:tab w:leader="none" w:pos="1459"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Net, Net, Net Lease</w:t>
      </w:r>
      <w:r>
        <w:rPr>
          <w:rFonts w:ascii="Arial" w:cs="Arial" w:eastAsia="Arial" w:hAnsi="Arial"/>
          <w:sz w:val="22"/>
          <w:szCs w:val="22"/>
          <w:color w:val="auto"/>
        </w:rPr>
        <w:t>. It is stipulated and understood by the Tenant and the Landlord that this is a net, net, net lease</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Tenant shall pay in addition to the rent provided in Paragraph 2 and as additional rent, all taxes, assessments or levies assessed against the Premises, all insurance premiums, utilities and all maintenance and repairs of the Premises. Tenant shall promptly pay (in addition to the rent) all water, sewerage, electric, power, gas and heating bills taxed, levied, or charged against the Premises for and during the Lease Term.</w:t>
      </w:r>
    </w:p>
    <w:p>
      <w:pPr>
        <w:spacing w:after="0" w:line="227" w:lineRule="exact"/>
        <w:rPr>
          <w:rFonts w:ascii="Arial" w:cs="Arial" w:eastAsia="Arial" w:hAnsi="Arial"/>
          <w:sz w:val="22"/>
          <w:szCs w:val="22"/>
          <w:color w:val="auto"/>
        </w:rPr>
      </w:pPr>
    </w:p>
    <w:p>
      <w:pPr>
        <w:jc w:val="both"/>
        <w:ind w:firstLine="656"/>
        <w:spacing w:after="0" w:line="261" w:lineRule="auto"/>
        <w:tabs>
          <w:tab w:leader="none" w:pos="1459" w:val="left"/>
        </w:tabs>
        <w:numPr>
          <w:ilvl w:val="0"/>
          <w:numId w:val="46"/>
        </w:numPr>
        <w:rPr>
          <w:rFonts w:ascii="Arial" w:cs="Arial" w:eastAsia="Arial" w:hAnsi="Arial"/>
          <w:sz w:val="21"/>
          <w:szCs w:val="21"/>
          <w:color w:val="auto"/>
        </w:rPr>
      </w:pPr>
      <w:r>
        <w:rPr>
          <w:rFonts w:ascii="Arial" w:cs="Arial" w:eastAsia="Arial" w:hAnsi="Arial"/>
          <w:sz w:val="21"/>
          <w:szCs w:val="21"/>
          <w:b w:val="1"/>
          <w:bCs w:val="1"/>
          <w:color w:val="auto"/>
        </w:rPr>
        <w:t>Repair and Maintenance</w:t>
      </w:r>
      <w:r>
        <w:rPr>
          <w:rFonts w:ascii="Arial" w:cs="Arial" w:eastAsia="Arial" w:hAnsi="Arial"/>
          <w:sz w:val="21"/>
          <w:szCs w:val="21"/>
          <w:color w:val="auto"/>
        </w:rPr>
        <w:t>. Tenant will keep the interior and exterior of the Premises in good repair, including the</w:t>
      </w:r>
      <w:r>
        <w:rPr>
          <w:rFonts w:ascii="Arial" w:cs="Arial" w:eastAsia="Arial" w:hAnsi="Arial"/>
          <w:sz w:val="21"/>
          <w:szCs w:val="21"/>
          <w:b w:val="1"/>
          <w:bCs w:val="1"/>
          <w:color w:val="auto"/>
        </w:rPr>
        <w:t xml:space="preserve"> </w:t>
      </w:r>
      <w:r>
        <w:rPr>
          <w:rFonts w:ascii="Arial" w:cs="Arial" w:eastAsia="Arial" w:hAnsi="Arial"/>
          <w:sz w:val="21"/>
          <w:szCs w:val="21"/>
          <w:color w:val="auto"/>
        </w:rPr>
        <w:t>roof and walls, replacing all broken glass with glass of the same size and quality as that broken, and will keep the Premises and appurtenances, as well as all eaves, downspouting, catch basins, drains, stools, lavatories, sidewalks, adjoining alleys and all other facilities and equipment in connection with said premises, in a clean and healthy condition, according to city or county ordinances and state laws, and the direction of the proper public officers, during the term of this Lease, at Tenant’s expense, and upon the termination of this Lease in any way, will yield up the Premises to Landlord in good condition and repair (loss by fire and ordinary wear excepted) and will deliver all keys to the Premises to Landlord.</w:t>
      </w:r>
    </w:p>
    <w:p>
      <w:pPr>
        <w:spacing w:after="0" w:line="214" w:lineRule="exact"/>
        <w:rPr>
          <w:rFonts w:ascii="Arial" w:cs="Arial" w:eastAsia="Arial" w:hAnsi="Arial"/>
          <w:sz w:val="21"/>
          <w:szCs w:val="21"/>
          <w:color w:val="auto"/>
        </w:rPr>
      </w:pPr>
    </w:p>
    <w:p>
      <w:pPr>
        <w:jc w:val="both"/>
        <w:ind w:firstLine="656"/>
        <w:spacing w:after="0" w:line="256" w:lineRule="auto"/>
        <w:tabs>
          <w:tab w:leader="none" w:pos="1459"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No Landlord Liability</w:t>
      </w:r>
      <w:r>
        <w:rPr>
          <w:rFonts w:ascii="Arial" w:cs="Arial" w:eastAsia="Arial" w:hAnsi="Arial"/>
          <w:sz w:val="22"/>
          <w:szCs w:val="22"/>
          <w:color w:val="auto"/>
        </w:rPr>
        <w:t>. Landlord shall not be liable for damage caused by hidden defects or failure to keep the</w:t>
      </w:r>
      <w:r>
        <w:rPr>
          <w:rFonts w:ascii="Arial" w:cs="Arial" w:eastAsia="Arial" w:hAnsi="Arial"/>
          <w:sz w:val="22"/>
          <w:szCs w:val="22"/>
          <w:b w:val="1"/>
          <w:bCs w:val="1"/>
          <w:color w:val="auto"/>
        </w:rPr>
        <w:t xml:space="preserve"> </w:t>
      </w:r>
      <w:r>
        <w:rPr>
          <w:rFonts w:ascii="Arial" w:cs="Arial" w:eastAsia="Arial" w:hAnsi="Arial"/>
          <w:sz w:val="22"/>
          <w:szCs w:val="22"/>
          <w:color w:val="auto"/>
        </w:rPr>
        <w:t>Premises in repair and shall not be liable for any damage done or occasioned by or from plumbing, gas, water, steam, or other pipes, or sewerage, or the bursting or</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45" w:right="239" w:bottom="1440" w:gutter="0" w:footer="0" w:header="0"/>
        </w:sectPr>
      </w:pPr>
    </w:p>
    <w:bookmarkStart w:id="55" w:name="page56"/>
    <w:bookmarkEnd w:id="55"/>
    <w:p>
      <w:pPr>
        <w:jc w:val="both"/>
        <w:spacing w:after="0" w:line="250" w:lineRule="auto"/>
        <w:rPr>
          <w:sz w:val="20"/>
          <w:szCs w:val="20"/>
          <w:color w:val="auto"/>
        </w:rPr>
      </w:pPr>
      <w:r>
        <w:rPr>
          <w:rFonts w:ascii="Arial" w:cs="Arial" w:eastAsia="Arial" w:hAnsi="Arial"/>
          <w:sz w:val="22"/>
          <w:szCs w:val="22"/>
          <w:color w:val="auto"/>
        </w:rPr>
        <w:t>leaking of pipes or of any plumbing or heating fixtures or waste or soil pipe existing in connection with the Premises, nor for damage occasioned by water, snow or ice being upon sidewalks or coming through the roof, sky-light, trap door or otherwise, nor for any damages arising from negligence of co-tenants or other occupants of the Premises, or the agents, employees or servants of any of them, or of any owners or occupants of adjacent or contiguous property.</w:t>
      </w:r>
    </w:p>
    <w:p>
      <w:pPr>
        <w:spacing w:after="0" w:line="223" w:lineRule="exact"/>
        <w:rPr>
          <w:sz w:val="20"/>
          <w:szCs w:val="20"/>
          <w:color w:val="auto"/>
        </w:rPr>
      </w:pPr>
    </w:p>
    <w:p>
      <w:pPr>
        <w:jc w:val="both"/>
        <w:ind w:firstLine="656"/>
        <w:spacing w:after="0" w:line="259" w:lineRule="auto"/>
        <w:tabs>
          <w:tab w:leader="none" w:pos="1459" w:val="left"/>
        </w:tabs>
        <w:numPr>
          <w:ilvl w:val="0"/>
          <w:numId w:val="47"/>
        </w:numPr>
        <w:rPr>
          <w:rFonts w:ascii="Arial" w:cs="Arial" w:eastAsia="Arial" w:hAnsi="Arial"/>
          <w:sz w:val="21"/>
          <w:szCs w:val="21"/>
          <w:color w:val="auto"/>
        </w:rPr>
      </w:pPr>
      <w:r>
        <w:rPr>
          <w:rFonts w:ascii="Arial" w:cs="Arial" w:eastAsia="Arial" w:hAnsi="Arial"/>
          <w:sz w:val="21"/>
          <w:szCs w:val="21"/>
          <w:b w:val="1"/>
          <w:bCs w:val="1"/>
          <w:color w:val="auto"/>
        </w:rPr>
        <w:t>Tenant Indemnification of Landlord</w:t>
      </w:r>
      <w:r>
        <w:rPr>
          <w:rFonts w:ascii="Arial" w:cs="Arial" w:eastAsia="Arial" w:hAnsi="Arial"/>
          <w:sz w:val="21"/>
          <w:szCs w:val="21"/>
          <w:color w:val="auto"/>
        </w:rPr>
        <w:t>. Landlord shall not be liable for any personal injury, death or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damage or destruction or consequential damages suffered by the Tenant or any other person, occurring on or in front of the Premises, irrespective of whether such injury, death, damage or destruction is caused by a defect in the Premises or by reason of the Premises becoming out of repair or arising from any other cause whatsoever, and the Landlord shall not be liable for damage to Tenant’s property or to the property of any other person which may be located in or upon the Premises and the Tenant agrees to indemnify and save harmless the Landlord from any and all claims, damages (whether compensatory, consequential or punitive) and whether determined through adjudication or settlement, and all expenses, including all attorneys’ fees and costs of litigation arising out of personal injuries, death, property damage or destruction, or any other legal injury to persons or property occurring on or about the Premises.</w:t>
      </w:r>
    </w:p>
    <w:p>
      <w:pPr>
        <w:spacing w:after="0" w:line="220" w:lineRule="exact"/>
        <w:rPr>
          <w:rFonts w:ascii="Arial" w:cs="Arial" w:eastAsia="Arial" w:hAnsi="Arial"/>
          <w:sz w:val="21"/>
          <w:szCs w:val="21"/>
          <w:color w:val="auto"/>
        </w:rPr>
      </w:pPr>
    </w:p>
    <w:p>
      <w:pPr>
        <w:jc w:val="both"/>
        <w:ind w:firstLine="656"/>
        <w:spacing w:after="0" w:line="247" w:lineRule="auto"/>
        <w:tabs>
          <w:tab w:leader="none" w:pos="1459"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Use of Premises; No Lease or Transfer</w:t>
      </w:r>
      <w:r>
        <w:rPr>
          <w:rFonts w:ascii="Arial" w:cs="Arial" w:eastAsia="Arial" w:hAnsi="Arial"/>
          <w:sz w:val="22"/>
          <w:szCs w:val="22"/>
          <w:color w:val="auto"/>
        </w:rPr>
        <w:t>. Tenant will use the Premises for the manufacturing, storage, and</w:t>
      </w:r>
      <w:r>
        <w:rPr>
          <w:rFonts w:ascii="Arial" w:cs="Arial" w:eastAsia="Arial" w:hAnsi="Arial"/>
          <w:sz w:val="22"/>
          <w:szCs w:val="22"/>
          <w:b w:val="1"/>
          <w:bCs w:val="1"/>
          <w:color w:val="auto"/>
        </w:rPr>
        <w:t xml:space="preserve"> </w:t>
      </w:r>
      <w:r>
        <w:rPr>
          <w:rFonts w:ascii="Arial" w:cs="Arial" w:eastAsia="Arial" w:hAnsi="Arial"/>
          <w:sz w:val="22"/>
          <w:szCs w:val="22"/>
          <w:color w:val="auto"/>
        </w:rPr>
        <w:t>marketing of recreational vehicles. Other than the activities associated with such use, Tenant will not allow the Premises to be used for any purpose that will increase the rate of insurance on them, nor to be occupied in whole or in part by any other person, and will not sublet the Premises or any part of them, nor assign this Lease or consent of the Landlord, which consent shall not be unreasonably withheld. The Tenant will not permit any transfer, voluntarily or by operation of law, of any interest in the Premises acquired through this Lease, and will not permit the Premises to be used for any unlawful purpose or purposes that will injure the reputation of the Premises.</w:t>
      </w:r>
    </w:p>
    <w:p>
      <w:pPr>
        <w:spacing w:after="0" w:line="230" w:lineRule="exact"/>
        <w:rPr>
          <w:rFonts w:ascii="Arial" w:cs="Arial" w:eastAsia="Arial" w:hAnsi="Arial"/>
          <w:sz w:val="22"/>
          <w:szCs w:val="22"/>
          <w:color w:val="auto"/>
        </w:rPr>
      </w:pPr>
    </w:p>
    <w:p>
      <w:pPr>
        <w:jc w:val="both"/>
        <w:ind w:firstLine="656"/>
        <w:spacing w:after="0" w:line="258" w:lineRule="auto"/>
        <w:tabs>
          <w:tab w:leader="none" w:pos="1459" w:val="left"/>
        </w:tabs>
        <w:numPr>
          <w:ilvl w:val="0"/>
          <w:numId w:val="47"/>
        </w:numPr>
        <w:rPr>
          <w:rFonts w:ascii="Arial" w:cs="Arial" w:eastAsia="Arial" w:hAnsi="Arial"/>
          <w:sz w:val="21"/>
          <w:szCs w:val="21"/>
          <w:color w:val="auto"/>
        </w:rPr>
      </w:pPr>
      <w:r>
        <w:rPr>
          <w:rFonts w:ascii="Arial" w:cs="Arial" w:eastAsia="Arial" w:hAnsi="Arial"/>
          <w:sz w:val="21"/>
          <w:szCs w:val="21"/>
          <w:b w:val="1"/>
          <w:bCs w:val="1"/>
          <w:color w:val="auto"/>
        </w:rPr>
        <w:t>Hazardous Wastes</w:t>
      </w:r>
      <w:r>
        <w:rPr>
          <w:rFonts w:ascii="Arial" w:cs="Arial" w:eastAsia="Arial" w:hAnsi="Arial"/>
          <w:sz w:val="21"/>
          <w:szCs w:val="21"/>
          <w:color w:val="auto"/>
        </w:rPr>
        <w:t>. As a material inducement for Landlord to enter into this Lease, Tenant represents and</w:t>
      </w:r>
      <w:r>
        <w:rPr>
          <w:rFonts w:ascii="Arial" w:cs="Arial" w:eastAsia="Arial" w:hAnsi="Arial"/>
          <w:sz w:val="21"/>
          <w:szCs w:val="21"/>
          <w:b w:val="1"/>
          <w:bCs w:val="1"/>
          <w:color w:val="auto"/>
        </w:rPr>
        <w:t xml:space="preserve"> </w:t>
      </w:r>
      <w:r>
        <w:rPr>
          <w:rFonts w:ascii="Arial" w:cs="Arial" w:eastAsia="Arial" w:hAnsi="Arial"/>
          <w:sz w:val="21"/>
          <w:szCs w:val="21"/>
          <w:color w:val="auto"/>
        </w:rPr>
        <w:t>warrants that Tenant will maintain and use the Premises free from contamination by or from any “hazardous substances” or “hazardous wastes” (as such terms are defined and/or used in applicable state or federal law or the regulations issued under them, including, without limitation, the federal Comprehensive Environmental Response, Compensation and Liability Act (“</w:t>
      </w:r>
      <w:r>
        <w:rPr>
          <w:rFonts w:ascii="Arial" w:cs="Arial" w:eastAsia="Arial" w:hAnsi="Arial"/>
          <w:sz w:val="21"/>
          <w:szCs w:val="21"/>
          <w:u w:val="single" w:color="auto"/>
          <w:color w:val="auto"/>
        </w:rPr>
        <w:t>CERCLA</w:t>
      </w:r>
      <w:r>
        <w:rPr>
          <w:rFonts w:ascii="Arial" w:cs="Arial" w:eastAsia="Arial" w:hAnsi="Arial"/>
          <w:sz w:val="21"/>
          <w:szCs w:val="21"/>
          <w:color w:val="auto"/>
        </w:rPr>
        <w:t>”) and the Resource Conservation and Recovery Act (“</w:t>
      </w:r>
      <w:r>
        <w:rPr>
          <w:rFonts w:ascii="Arial" w:cs="Arial" w:eastAsia="Arial" w:hAnsi="Arial"/>
          <w:sz w:val="21"/>
          <w:szCs w:val="21"/>
          <w:u w:val="single" w:color="auto"/>
          <w:color w:val="auto"/>
        </w:rPr>
        <w:t>RCRA</w:t>
      </w:r>
      <w:r>
        <w:rPr>
          <w:rFonts w:ascii="Arial" w:cs="Arial" w:eastAsia="Arial" w:hAnsi="Arial"/>
          <w:sz w:val="21"/>
          <w:szCs w:val="21"/>
          <w:color w:val="auto"/>
        </w:rPr>
        <w:t>”). Tenant shall not engage in or permit any tenant or subtenant of Tenant under any lease or Lease affecting the Premises to engage in operations at or upon the Premises which involve the generation, manufacture, refining, transportation, treatment, storage, handling or disposal of hazardous substances or hazardous wastes except in strict compliance with all federal, state and local laws, regulations and rules and under and in compliance with all required permits. Tenant further covenants that it will not cause or permit to exist as a result of an intentional or unintentional action or omission on its part or on the part of any tenant or subtenant of Tenant under any lease affecting the Premises, the releasing, spilling, leaking, pumping, pouring, emitting, emptying or dumping from, on or about the Premises of any such hazardous substances or hazardous wastes.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45" w:right="239" w:bottom="1440" w:gutter="0" w:footer="0" w:header="0"/>
        </w:sectPr>
      </w:pPr>
    </w:p>
    <w:bookmarkStart w:id="56" w:name="page57"/>
    <w:bookmarkEnd w:id="56"/>
    <w:p>
      <w:pPr>
        <w:jc w:val="both"/>
        <w:ind w:firstLine="648"/>
        <w:spacing w:after="0" w:line="288" w:lineRule="auto"/>
        <w:rPr>
          <w:sz w:val="20"/>
          <w:szCs w:val="20"/>
          <w:color w:val="auto"/>
        </w:rPr>
      </w:pPr>
      <w:r>
        <w:rPr>
          <w:rFonts w:ascii="Arial" w:cs="Arial" w:eastAsia="Arial" w:hAnsi="Arial"/>
          <w:sz w:val="19"/>
          <w:szCs w:val="19"/>
          <w:color w:val="auto"/>
        </w:rPr>
        <w:t>Tenant agrees to indemnify and hold harmless Landlord and Lessor, its subsidiaries and affiliates, and any officer, director, shareholder, employee, or any agent of Landlord or its affiliates, subsidiaries, successors or assigns (collectively, the “</w:t>
      </w:r>
      <w:r>
        <w:rPr>
          <w:rFonts w:ascii="Arial" w:cs="Arial" w:eastAsia="Arial" w:hAnsi="Arial"/>
          <w:sz w:val="19"/>
          <w:szCs w:val="19"/>
          <w:u w:val="single" w:color="auto"/>
          <w:color w:val="auto"/>
        </w:rPr>
        <w:t>Indemnified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from any and all liability, damages, costs, claims, suits, actions, legal or administrative proceedings, interest, losses, expenses, and reasonable attorneys’ fees and appellate attorneys’ fees (including any such fees and expenses incurred in enforcing this indemnity) resulting from, arising out of, or in any way connected with breach or alleged breach by Tenant of the provisions of the preceding paragraph of this Paragraph, including but not limited to monetary damages, expenses, injury to or the death of any person (including that of any Indemnified Party) or physical damage to property of any kind wherever located and by whomever owned (including that of any Indemnified Party) arising out of or in any way connected with the presence on, in or under the Premises of any asbestos, polychlorinated biphenyls (PCB’s) or the generation, handling, storage or disposal of any hazardous substances or hazardous wastes in violation of the provisions of the preceding paragraph of this Paragraph. This indemnification is an independent covenant and shall survive the termination of this Lease.</w:t>
      </w:r>
    </w:p>
    <w:p>
      <w:pPr>
        <w:spacing w:after="0" w:line="149" w:lineRule="exact"/>
        <w:rPr>
          <w:sz w:val="20"/>
          <w:szCs w:val="20"/>
          <w:color w:val="auto"/>
        </w:rPr>
      </w:pPr>
    </w:p>
    <w:p>
      <w:pPr>
        <w:jc w:val="both"/>
        <w:ind w:firstLine="656"/>
        <w:spacing w:after="0" w:line="288" w:lineRule="auto"/>
        <w:tabs>
          <w:tab w:leader="none" w:pos="1459" w:val="left"/>
        </w:tabs>
        <w:numPr>
          <w:ilvl w:val="0"/>
          <w:numId w:val="48"/>
        </w:numPr>
        <w:rPr>
          <w:rFonts w:ascii="Arial" w:cs="Arial" w:eastAsia="Arial" w:hAnsi="Arial"/>
          <w:sz w:val="19"/>
          <w:szCs w:val="19"/>
          <w:color w:val="auto"/>
        </w:rPr>
      </w:pPr>
      <w:r>
        <w:rPr>
          <w:rFonts w:ascii="Arial" w:cs="Arial" w:eastAsia="Arial" w:hAnsi="Arial"/>
          <w:sz w:val="19"/>
          <w:szCs w:val="19"/>
          <w:b w:val="1"/>
          <w:bCs w:val="1"/>
          <w:color w:val="auto"/>
        </w:rPr>
        <w:t>Alteration to Premises</w:t>
      </w:r>
      <w:r>
        <w:rPr>
          <w:rFonts w:ascii="Arial" w:cs="Arial" w:eastAsia="Arial" w:hAnsi="Arial"/>
          <w:sz w:val="19"/>
          <w:szCs w:val="19"/>
          <w:color w:val="auto"/>
        </w:rPr>
        <w:t>. No alterations, changes or additions to the Premises shall be made without first obtaining</w:t>
      </w:r>
      <w:r>
        <w:rPr>
          <w:rFonts w:ascii="Arial" w:cs="Arial" w:eastAsia="Arial" w:hAnsi="Arial"/>
          <w:sz w:val="19"/>
          <w:szCs w:val="19"/>
          <w:b w:val="1"/>
          <w:bCs w:val="1"/>
          <w:color w:val="auto"/>
        </w:rPr>
        <w:t xml:space="preserve"> </w:t>
      </w:r>
      <w:r>
        <w:rPr>
          <w:rFonts w:ascii="Arial" w:cs="Arial" w:eastAsia="Arial" w:hAnsi="Arial"/>
          <w:sz w:val="19"/>
          <w:szCs w:val="19"/>
          <w:color w:val="auto"/>
        </w:rPr>
        <w:t>Landlord’s written consent, which consent shall not be unreasonably withheld. Tenant shall make such remodeling, alterations or additions at Tenant’s expense and shall promptly pay for all materials and labor involved in making them. Tenant shall not permit any liens or claims or demands of any nature to exist against the Landlord or the Premises. If any lien, claim or demand or any action for enforcement shall be filed or made against the Landlord or the Premises the Tenant shall defend at Tenant’s expense and hold harmless the Landlord from any and all liability or expense arising by virtue of such claim, demand or lien or the defense of any enforcement action. Any alterations, changes or additions which are made to the Premises shall, at the option of Landlord, become a part of the Premises and remain as the property of the Landlord at the termination of this Lease. If the Landlord requires the Tenant to restore the Premises to the original condition of the Premises before the execution of this Lease, then the Tenant shall restore the Premises to such condition at Tenant’s expense, and all of the provisions of this Lease with reference to such restoration contracts, liens, demands and expenses shall apply to the restoration as well as to the original alterations, changes or additions.</w:t>
      </w:r>
    </w:p>
    <w:p>
      <w:pPr>
        <w:spacing w:after="0" w:line="195" w:lineRule="exact"/>
        <w:rPr>
          <w:rFonts w:ascii="Arial" w:cs="Arial" w:eastAsia="Arial" w:hAnsi="Arial"/>
          <w:sz w:val="19"/>
          <w:szCs w:val="19"/>
          <w:color w:val="auto"/>
        </w:rPr>
      </w:pPr>
    </w:p>
    <w:p>
      <w:pPr>
        <w:jc w:val="both"/>
        <w:ind w:firstLine="656"/>
        <w:spacing w:after="0" w:line="267" w:lineRule="auto"/>
        <w:tabs>
          <w:tab w:leader="none" w:pos="1567"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Eminent Domain</w:t>
      </w:r>
      <w:r>
        <w:rPr>
          <w:rFonts w:ascii="Arial" w:cs="Arial" w:eastAsia="Arial" w:hAnsi="Arial"/>
          <w:sz w:val="21"/>
          <w:szCs w:val="21"/>
          <w:color w:val="auto"/>
        </w:rPr>
        <w:t>. If at any time during the term of this Lease a substantial part of the Premises shall be taken for</w:t>
      </w:r>
      <w:r>
        <w:rPr>
          <w:rFonts w:ascii="Arial" w:cs="Arial" w:eastAsia="Arial" w:hAnsi="Arial"/>
          <w:sz w:val="21"/>
          <w:szCs w:val="21"/>
          <w:b w:val="1"/>
          <w:bCs w:val="1"/>
          <w:color w:val="auto"/>
        </w:rPr>
        <w:t xml:space="preserve"> </w:t>
      </w:r>
      <w:r>
        <w:rPr>
          <w:rFonts w:ascii="Arial" w:cs="Arial" w:eastAsia="Arial" w:hAnsi="Arial"/>
          <w:sz w:val="21"/>
          <w:szCs w:val="21"/>
          <w:color w:val="auto"/>
        </w:rPr>
        <w:t>any public or quasi-public use, under any statute, or by right of eminent domain, then when possession shall have been taken of the Premises by the condemning authority, the term of this Lease, and all right of the Tenant under this Lease, shall immediately cease and terminate, and the rent shall be apportioned and paid to the time of such termination.</w:t>
      </w:r>
    </w:p>
    <w:p>
      <w:pPr>
        <w:spacing w:after="0" w:line="2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If less than a substantial portion of the Premises shall be so taken or condemned but the utility of the Premises to Tenant shall be destroyed by such taking or condemnation, Tenant shall have the option to terminate this Lease as of the date of such taking or condemnation by delivery of written notice of exercise of such option to Landlord, not later than thirty (30) days after the condemning authority shall have taken possession. If such option is exercised by Tenant, rent shall be apportioned to the date Tenant surrenders possession of the Premises to Landlord. If Tenant does not exercise such option to terminate this Lease, this Lease shall remain in full force and effect as to the portion of the Premises remaining, except that the rent shall be reduced in the proportion that the floor area of the building(s) on the Premises which are taken or condemned bears to the total floor area of the building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45" w:right="239" w:bottom="1440" w:gutter="0" w:footer="0" w:header="0"/>
        </w:sectPr>
      </w:pPr>
    </w:p>
    <w:bookmarkStart w:id="57" w:name="page58"/>
    <w:bookmarkEnd w:id="57"/>
    <w:p>
      <w:pPr>
        <w:jc w:val="both"/>
        <w:ind w:firstLine="8"/>
        <w:spacing w:after="0" w:line="271" w:lineRule="auto"/>
        <w:tabs>
          <w:tab w:leader="none" w:pos="286" w:val="left"/>
        </w:tabs>
        <w:numPr>
          <w:ilvl w:val="0"/>
          <w:numId w:val="49"/>
        </w:numPr>
        <w:rPr>
          <w:rFonts w:ascii="Arial" w:cs="Arial" w:eastAsia="Arial" w:hAnsi="Arial"/>
          <w:sz w:val="21"/>
          <w:szCs w:val="21"/>
          <w:color w:val="auto"/>
        </w:rPr>
      </w:pPr>
      <w:r>
        <w:rPr>
          <w:rFonts w:ascii="Arial" w:cs="Arial" w:eastAsia="Arial" w:hAnsi="Arial"/>
          <w:sz w:val="21"/>
          <w:szCs w:val="21"/>
          <w:color w:val="auto"/>
        </w:rPr>
        <w:t>on the Premises. If this Lease is not terminated by reason of a condemnation, Landlord shall to the extent of severance damages received by Landlord in connection with such condemnation, repair any damage to the Premises caused by such condemnation, and Tenant shall pay any amount in excess of such severance damages required to complete such repair.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this Lease is terminated because of condemnation, such termination shall be without prejudice to the rights of either</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Landlord or Tenant to recover compensation from the condemning authority for any loss or damage caused by such condemnation.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Neither Landlord nor Tenant shall have any rights in or to any award made to the other by the condemning authority.</w:t>
      </w:r>
    </w:p>
    <w:p>
      <w:pPr>
        <w:spacing w:after="0" w:line="196" w:lineRule="exact"/>
        <w:rPr>
          <w:sz w:val="20"/>
          <w:szCs w:val="20"/>
          <w:color w:val="auto"/>
        </w:rPr>
      </w:pPr>
    </w:p>
    <w:p>
      <w:pPr>
        <w:ind w:left="1560" w:hanging="904"/>
        <w:spacing w:after="0"/>
        <w:tabs>
          <w:tab w:leader="none" w:pos="1560"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Insurance</w:t>
      </w:r>
      <w:r>
        <w:rPr>
          <w:rFonts w:ascii="Arial" w:cs="Arial" w:eastAsia="Arial" w:hAnsi="Arial"/>
          <w:sz w:val="22"/>
          <w:szCs w:val="22"/>
          <w:color w:val="auto"/>
        </w:rPr>
        <w:t>. During the term of this Lease, the Tenant at its own cost and expense shall:</w:t>
      </w:r>
    </w:p>
    <w:p>
      <w:pPr>
        <w:spacing w:after="0" w:line="266" w:lineRule="exact"/>
        <w:rPr>
          <w:rFonts w:ascii="Arial" w:cs="Arial" w:eastAsia="Arial" w:hAnsi="Arial"/>
          <w:sz w:val="22"/>
          <w:szCs w:val="22"/>
          <w:color w:val="auto"/>
        </w:rPr>
      </w:pPr>
    </w:p>
    <w:p>
      <w:pPr>
        <w:jc w:val="both"/>
        <w:ind w:left="660" w:firstLine="645"/>
        <w:spacing w:after="0" w:line="290" w:lineRule="auto"/>
        <w:tabs>
          <w:tab w:leader="none" w:pos="2106" w:val="left"/>
        </w:tabs>
        <w:numPr>
          <w:ilvl w:val="1"/>
          <w:numId w:val="50"/>
        </w:numPr>
        <w:rPr>
          <w:rFonts w:ascii="Arial" w:cs="Arial" w:eastAsia="Arial" w:hAnsi="Arial"/>
          <w:sz w:val="19"/>
          <w:szCs w:val="19"/>
          <w:color w:val="auto"/>
        </w:rPr>
      </w:pPr>
      <w:r>
        <w:rPr>
          <w:rFonts w:ascii="Arial" w:cs="Arial" w:eastAsia="Arial" w:hAnsi="Arial"/>
          <w:sz w:val="19"/>
          <w:szCs w:val="19"/>
          <w:color w:val="auto"/>
        </w:rPr>
        <w:t>Provide and keep in force in such form as shall be satisfactory to the Landlord, public liability insurance policies protecting the Landlord against any and all liability and in the amounts of not less than Two Million Dollars ($2,000,000) in respect to any one accident or disaster and in the amount of not less than Three Hundred Thousand Dollars ($300,000) in respect to injuries to any one person, and property damage of not less than Two Million Dollars ($2,000,000); Tenant shall in addition provide not less than the replacement value of the Premises under fire and extended coverage in a company satisfactory to the Landlord, and such insurance must show the Landlord and Tenant as insureds as their interests may appear. At the request of the Landlord, any mortgagee under a mortgage for the Premises shall also be shown as an insured under a mortgagee endorsement to any such insurance policy.</w:t>
      </w:r>
    </w:p>
    <w:p>
      <w:pPr>
        <w:spacing w:after="0" w:line="197" w:lineRule="exact"/>
        <w:rPr>
          <w:rFonts w:ascii="Arial" w:cs="Arial" w:eastAsia="Arial" w:hAnsi="Arial"/>
          <w:sz w:val="19"/>
          <w:szCs w:val="19"/>
          <w:color w:val="auto"/>
        </w:rPr>
      </w:pPr>
    </w:p>
    <w:p>
      <w:pPr>
        <w:jc w:val="both"/>
        <w:ind w:left="660" w:firstLine="645"/>
        <w:spacing w:after="0" w:line="292" w:lineRule="auto"/>
        <w:tabs>
          <w:tab w:leader="none" w:pos="2119" w:val="left"/>
        </w:tabs>
        <w:numPr>
          <w:ilvl w:val="1"/>
          <w:numId w:val="50"/>
        </w:numPr>
        <w:rPr>
          <w:rFonts w:ascii="Arial" w:cs="Arial" w:eastAsia="Arial" w:hAnsi="Arial"/>
          <w:sz w:val="19"/>
          <w:szCs w:val="19"/>
          <w:color w:val="auto"/>
        </w:rPr>
      </w:pPr>
      <w:r>
        <w:rPr>
          <w:rFonts w:ascii="Arial" w:cs="Arial" w:eastAsia="Arial" w:hAnsi="Arial"/>
          <w:sz w:val="19"/>
          <w:szCs w:val="19"/>
          <w:color w:val="auto"/>
        </w:rPr>
        <w:t>All premiums and charges for all the policies of insurance referred to in subparagraph (a) shall be paid by the Tenant and if the Tenant shall fail to make any such payment when due, or carry any such policy, the Landlord may, but shall not be obligated to, make such payment or carry such policy, and the amount paid by the Landlord, with interest, shall be repaid to the Landlord by the Tenant on demand, and all such amounts so repayable together with interest at the rate of 8% per annum, shall be considered as additional rent, for the collection of which the Landlord shall have all of the remedies provided in this Lease or by law provided for the collection of rent. Payment by the Landlord of any such premium or the carrying by the Landlord of any such policy shall not be deemed to waive or release any default of the Tenant.</w:t>
      </w:r>
    </w:p>
    <w:p>
      <w:pPr>
        <w:spacing w:after="0" w:line="192" w:lineRule="exact"/>
        <w:rPr>
          <w:rFonts w:ascii="Arial" w:cs="Arial" w:eastAsia="Arial" w:hAnsi="Arial"/>
          <w:sz w:val="19"/>
          <w:szCs w:val="19"/>
          <w:color w:val="auto"/>
        </w:rPr>
      </w:pPr>
    </w:p>
    <w:p>
      <w:pPr>
        <w:jc w:val="both"/>
        <w:ind w:left="660" w:firstLine="645"/>
        <w:spacing w:after="0" w:line="250" w:lineRule="auto"/>
        <w:tabs>
          <w:tab w:leader="none" w:pos="2106" w:val="left"/>
        </w:tabs>
        <w:numPr>
          <w:ilvl w:val="1"/>
          <w:numId w:val="50"/>
        </w:numPr>
        <w:rPr>
          <w:rFonts w:ascii="Arial" w:cs="Arial" w:eastAsia="Arial" w:hAnsi="Arial"/>
          <w:sz w:val="22"/>
          <w:szCs w:val="22"/>
          <w:color w:val="auto"/>
        </w:rPr>
      </w:pPr>
      <w:r>
        <w:rPr>
          <w:rFonts w:ascii="Arial" w:cs="Arial" w:eastAsia="Arial" w:hAnsi="Arial"/>
          <w:sz w:val="22"/>
          <w:szCs w:val="22"/>
          <w:color w:val="auto"/>
        </w:rPr>
        <w:t>Ten (10) days prior to the expiration of any policy of insurance referred to in subparagraph (a), the Tenant shall deliver to the Landlord evidence of such insurance and that such coverage is effective. Any certificate or binder evidencing insurance shall provide that at least ten (10) days written notice of any change in or cancellation of insurance coverage shall be given by the insurance company to the Landlord.</w:t>
      </w:r>
    </w:p>
    <w:p>
      <w:pPr>
        <w:spacing w:after="0" w:line="228" w:lineRule="exact"/>
        <w:rPr>
          <w:rFonts w:ascii="Arial" w:cs="Arial" w:eastAsia="Arial" w:hAnsi="Arial"/>
          <w:sz w:val="22"/>
          <w:szCs w:val="22"/>
          <w:color w:val="auto"/>
        </w:rPr>
      </w:pPr>
    </w:p>
    <w:p>
      <w:pPr>
        <w:jc w:val="both"/>
        <w:ind w:left="660" w:firstLine="645"/>
        <w:spacing w:after="0" w:line="250" w:lineRule="auto"/>
        <w:tabs>
          <w:tab w:leader="none" w:pos="2119"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Tenant shall not violate or permit to be violated any of the conditions or provisions of any policy of insurance referred to in subparagraph (a), and the Tenant shall so perform and satisfy the requirements of the company or companies writing such policies of insurance that at all times companies of good standing satisfactory to the Landlord shall be willing to write and continue such insurance.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45" w:right="239" w:bottom="1440" w:gutter="0" w:footer="0" w:header="0"/>
        </w:sectPr>
      </w:pPr>
    </w:p>
    <w:bookmarkStart w:id="58" w:name="page59"/>
    <w:bookmarkEnd w:id="58"/>
    <w:p>
      <w:pPr>
        <w:ind w:left="660" w:right="20" w:firstLine="645"/>
        <w:spacing w:after="0" w:line="287" w:lineRule="auto"/>
        <w:tabs>
          <w:tab w:leader="none" w:pos="2106"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The Tenant and the Landlord shall cooperate with each other and with the appropriate insurance carriers in connection with the collection of any insurance monies that may be due in the event of loss.</w:t>
      </w:r>
    </w:p>
    <w:p>
      <w:pPr>
        <w:spacing w:after="0" w:line="192" w:lineRule="exact"/>
        <w:rPr>
          <w:rFonts w:ascii="Arial" w:cs="Arial" w:eastAsia="Arial" w:hAnsi="Arial"/>
          <w:sz w:val="21"/>
          <w:szCs w:val="21"/>
          <w:color w:val="auto"/>
        </w:rPr>
      </w:pPr>
    </w:p>
    <w:p>
      <w:pPr>
        <w:jc w:val="both"/>
        <w:ind w:left="660" w:firstLine="645"/>
        <w:spacing w:after="0" w:line="288" w:lineRule="auto"/>
        <w:tabs>
          <w:tab w:leader="none" w:pos="2083"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parties mutually agree to release and relieve the other, and waive their entire right of recovery against the other for loss or damage occurring in, on or about the Premises, arising out of fire or other perils resulting from the negligence of the other party, or its agents and employees, where such damage or loss is covered by fire, extended coverage or other insurance of the party sustaining the loss or damage. This release shall apply only to the extent that such loss or damage is covered by fire, extended coverage or other insurance, regardless of whether such insurance is payable to or protects the Landlord, Tenant or all parties. Nothing in this paragraph shall be construed to impose greater liability on either Landlord or Tenant than would have existed in the absence of this paragraph. This release shall be in effect only so long as the applicable insurance policies contain clauses to the effect that this release shall not affect the right of the insured to recover under such policies of fire, extended coverage or other clauses are not contained, this release shall not affect the right of the insured to recover such policies.</w:t>
      </w:r>
    </w:p>
    <w:p>
      <w:pPr>
        <w:spacing w:after="0" w:line="194" w:lineRule="exact"/>
        <w:rPr>
          <w:rFonts w:ascii="Arial" w:cs="Arial" w:eastAsia="Arial" w:hAnsi="Arial"/>
          <w:sz w:val="19"/>
          <w:szCs w:val="19"/>
          <w:color w:val="auto"/>
        </w:rPr>
      </w:pPr>
    </w:p>
    <w:p>
      <w:pPr>
        <w:jc w:val="both"/>
        <w:ind w:firstLine="656"/>
        <w:spacing w:after="0" w:line="262" w:lineRule="auto"/>
        <w:tabs>
          <w:tab w:leader="none" w:pos="1567" w:val="left"/>
        </w:tabs>
        <w:numPr>
          <w:ilvl w:val="0"/>
          <w:numId w:val="52"/>
        </w:numPr>
        <w:rPr>
          <w:rFonts w:ascii="Arial" w:cs="Arial" w:eastAsia="Arial" w:hAnsi="Arial"/>
          <w:sz w:val="21"/>
          <w:szCs w:val="21"/>
          <w:color w:val="auto"/>
        </w:rPr>
      </w:pPr>
      <w:r>
        <w:rPr>
          <w:rFonts w:ascii="Arial" w:cs="Arial" w:eastAsia="Arial" w:hAnsi="Arial"/>
          <w:sz w:val="21"/>
          <w:szCs w:val="21"/>
          <w:b w:val="1"/>
          <w:bCs w:val="1"/>
          <w:color w:val="auto"/>
        </w:rPr>
        <w:t>Repair of Premises</w:t>
      </w:r>
      <w:r>
        <w:rPr>
          <w:rFonts w:ascii="Arial" w:cs="Arial" w:eastAsia="Arial" w:hAnsi="Arial"/>
          <w:sz w:val="21"/>
          <w:szCs w:val="21"/>
          <w:color w:val="auto"/>
        </w:rPr>
        <w:t>. In the event of damage to or destruction of the Premises by fire or other casualty, the</w:t>
      </w:r>
      <w:r>
        <w:rPr>
          <w:rFonts w:ascii="Arial" w:cs="Arial" w:eastAsia="Arial" w:hAnsi="Arial"/>
          <w:sz w:val="21"/>
          <w:szCs w:val="21"/>
          <w:b w:val="1"/>
          <w:bCs w:val="1"/>
          <w:color w:val="auto"/>
        </w:rPr>
        <w:t xml:space="preserve"> </w:t>
      </w:r>
      <w:r>
        <w:rPr>
          <w:rFonts w:ascii="Arial" w:cs="Arial" w:eastAsia="Arial" w:hAnsi="Arial"/>
          <w:sz w:val="21"/>
          <w:szCs w:val="21"/>
          <w:color w:val="auto"/>
        </w:rPr>
        <w:t>Tenant, at its sole expense, shall promptly restore the Premises as nearly as possible to their condition prior to such damage or destruction. All insurance proceeds received by the Landlord pursuant to the provisions of this Lease, less the cost if any of such recovery, shall be applied by the Landlord to the payment of the cost of such restoration, as such restoration progresses. If the proceeds of insurance are insufficient to pay the full cost of restoration or repair, the Tenant shall pay the deficiency. If the insurance proceeds exceed such cost, the excess shall be paid to the Tenant.</w:t>
      </w:r>
    </w:p>
    <w:p>
      <w:pPr>
        <w:spacing w:after="0" w:line="214" w:lineRule="exact"/>
        <w:rPr>
          <w:rFonts w:ascii="Arial" w:cs="Arial" w:eastAsia="Arial" w:hAnsi="Arial"/>
          <w:sz w:val="21"/>
          <w:szCs w:val="21"/>
          <w:color w:val="auto"/>
        </w:rPr>
      </w:pPr>
    </w:p>
    <w:p>
      <w:pPr>
        <w:jc w:val="both"/>
        <w:ind w:firstLine="656"/>
        <w:spacing w:after="0" w:line="298" w:lineRule="auto"/>
        <w:tabs>
          <w:tab w:leader="none" w:pos="1567"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Landlord Performance of Tenant’s Obligations</w:t>
      </w:r>
      <w:r>
        <w:rPr>
          <w:rFonts w:ascii="Arial" w:cs="Arial" w:eastAsia="Arial" w:hAnsi="Arial"/>
          <w:sz w:val="19"/>
          <w:szCs w:val="19"/>
          <w:color w:val="auto"/>
        </w:rPr>
        <w:t>. In case the Landlord shall pay or be compelled to pay any</w:t>
      </w:r>
      <w:r>
        <w:rPr>
          <w:rFonts w:ascii="Arial" w:cs="Arial" w:eastAsia="Arial" w:hAnsi="Arial"/>
          <w:sz w:val="19"/>
          <w:szCs w:val="19"/>
          <w:b w:val="1"/>
          <w:bCs w:val="1"/>
          <w:color w:val="auto"/>
        </w:rPr>
        <w:t xml:space="preserve"> </w:t>
      </w:r>
      <w:r>
        <w:rPr>
          <w:rFonts w:ascii="Arial" w:cs="Arial" w:eastAsia="Arial" w:hAnsi="Arial"/>
          <w:sz w:val="19"/>
          <w:szCs w:val="19"/>
          <w:color w:val="auto"/>
        </w:rPr>
        <w:t>sum of money or do any act which shall require the expenditure of payment of any sum by reason of the failure of the Tenant, after such notice, if any, as the Tenant by the terms of this Lease may be entitled to, to perform any one or more of the terms, covenants, conditions or agreements contained in this Lease, the Tenant shall immediately repay all such amounts to the Landlord upon demand, together with interest at the rate of 8% per annum from the date of demand until fully paid to Landlord.</w:t>
      </w:r>
    </w:p>
    <w:p>
      <w:pPr>
        <w:spacing w:after="0" w:line="183" w:lineRule="exact"/>
        <w:rPr>
          <w:rFonts w:ascii="Arial" w:cs="Arial" w:eastAsia="Arial" w:hAnsi="Arial"/>
          <w:sz w:val="19"/>
          <w:szCs w:val="19"/>
          <w:color w:val="auto"/>
        </w:rPr>
      </w:pPr>
    </w:p>
    <w:p>
      <w:pPr>
        <w:jc w:val="both"/>
        <w:ind w:firstLine="656"/>
        <w:spacing w:after="0" w:line="261" w:lineRule="auto"/>
        <w:tabs>
          <w:tab w:leader="none" w:pos="1567" w:val="left"/>
        </w:tabs>
        <w:numPr>
          <w:ilvl w:val="0"/>
          <w:numId w:val="52"/>
        </w:numPr>
        <w:rPr>
          <w:rFonts w:ascii="Arial" w:cs="Arial" w:eastAsia="Arial" w:hAnsi="Arial"/>
          <w:sz w:val="21"/>
          <w:szCs w:val="21"/>
          <w:color w:val="auto"/>
        </w:rPr>
      </w:pPr>
      <w:r>
        <w:rPr>
          <w:rFonts w:ascii="Arial" w:cs="Arial" w:eastAsia="Arial" w:hAnsi="Arial"/>
          <w:sz w:val="21"/>
          <w:szCs w:val="21"/>
          <w:b w:val="1"/>
          <w:bCs w:val="1"/>
          <w:color w:val="auto"/>
        </w:rPr>
        <w:t>Tenant’s Obligations on Termination</w:t>
      </w:r>
      <w:r>
        <w:rPr>
          <w:rFonts w:ascii="Arial" w:cs="Arial" w:eastAsia="Arial" w:hAnsi="Arial"/>
          <w:sz w:val="21"/>
          <w:szCs w:val="21"/>
          <w:color w:val="auto"/>
        </w:rPr>
        <w:t>. The Tenant shall, on or before the last day of the Lease Term or its</w:t>
      </w:r>
      <w:r>
        <w:rPr>
          <w:rFonts w:ascii="Arial" w:cs="Arial" w:eastAsia="Arial" w:hAnsi="Arial"/>
          <w:sz w:val="21"/>
          <w:szCs w:val="21"/>
          <w:b w:val="1"/>
          <w:bCs w:val="1"/>
          <w:color w:val="auto"/>
        </w:rPr>
        <w:t xml:space="preserve"> </w:t>
      </w:r>
      <w:r>
        <w:rPr>
          <w:rFonts w:ascii="Arial" w:cs="Arial" w:eastAsia="Arial" w:hAnsi="Arial"/>
          <w:sz w:val="21"/>
          <w:szCs w:val="21"/>
          <w:color w:val="auto"/>
        </w:rPr>
        <w:t>earlier termination in accordance with this Lease, peaceably and quietly leave, surrender and yield up unto the Landlord the Premises and all the buildings, improvements or additions to the Premises in good order, condition and state of repair, reasonable wear and tear (consistent with use as a manufacturing facility) and damage by the elements excepted. All movable trade fixtures or movable personal property owned by the Tenant shall be removed by the Tenant on or before the termination of the Lease Term and all property not so removed shall be deemed abandoned by the Tenant to the Landlord, subject, however, to any valid security agreements with any creditor of the Tenant.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45" w:right="239" w:bottom="1440" w:gutter="0" w:footer="0" w:header="0"/>
        </w:sectPr>
      </w:pPr>
    </w:p>
    <w:bookmarkStart w:id="59" w:name="page60"/>
    <w:bookmarkEnd w:id="59"/>
    <w:p>
      <w:pPr>
        <w:ind w:left="1580" w:hanging="924"/>
        <w:spacing w:after="0"/>
        <w:tabs>
          <w:tab w:leader="none" w:pos="1580"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Events of Default</w:t>
      </w:r>
      <w:r>
        <w:rPr>
          <w:rFonts w:ascii="Arial" w:cs="Arial" w:eastAsia="Arial" w:hAnsi="Arial"/>
          <w:sz w:val="19"/>
          <w:szCs w:val="19"/>
          <w:color w:val="auto"/>
        </w:rPr>
        <w:t>. Each of the following shall be deemed a default by the Tenant and a breach of this Lease:</w:t>
      </w:r>
    </w:p>
    <w:p>
      <w:pPr>
        <w:spacing w:after="0" w:line="300" w:lineRule="exact"/>
        <w:rPr>
          <w:rFonts w:ascii="Arial" w:cs="Arial" w:eastAsia="Arial" w:hAnsi="Arial"/>
          <w:sz w:val="19"/>
          <w:szCs w:val="19"/>
          <w:color w:val="auto"/>
        </w:rPr>
      </w:pPr>
    </w:p>
    <w:p>
      <w:pPr>
        <w:ind w:left="660" w:firstLine="645"/>
        <w:spacing w:after="0" w:line="263" w:lineRule="auto"/>
        <w:tabs>
          <w:tab w:leader="none" w:pos="2106" w:val="left"/>
        </w:tabs>
        <w:numPr>
          <w:ilvl w:val="1"/>
          <w:numId w:val="53"/>
        </w:numPr>
        <w:rPr>
          <w:rFonts w:ascii="Arial" w:cs="Arial" w:eastAsia="Arial" w:hAnsi="Arial"/>
          <w:sz w:val="22"/>
          <w:szCs w:val="22"/>
          <w:color w:val="auto"/>
        </w:rPr>
      </w:pPr>
      <w:r>
        <w:rPr>
          <w:rFonts w:ascii="Arial" w:cs="Arial" w:eastAsia="Arial" w:hAnsi="Arial"/>
          <w:sz w:val="22"/>
          <w:szCs w:val="22"/>
          <w:color w:val="auto"/>
        </w:rPr>
        <w:t>Failure to pay the rent, or any part of it, (except for additional rent), for a period of ten (10) days after written notice from Landlord that such rent is due.</w:t>
      </w:r>
    </w:p>
    <w:p>
      <w:pPr>
        <w:spacing w:after="0" w:line="215" w:lineRule="exact"/>
        <w:rPr>
          <w:rFonts w:ascii="Arial" w:cs="Arial" w:eastAsia="Arial" w:hAnsi="Arial"/>
          <w:sz w:val="22"/>
          <w:szCs w:val="22"/>
          <w:color w:val="auto"/>
        </w:rPr>
      </w:pPr>
    </w:p>
    <w:p>
      <w:pPr>
        <w:jc w:val="both"/>
        <w:ind w:left="660" w:firstLine="645"/>
        <w:spacing w:after="0" w:line="250" w:lineRule="auto"/>
        <w:tabs>
          <w:tab w:leader="none" w:pos="2119" w:val="left"/>
        </w:tabs>
        <w:numPr>
          <w:ilvl w:val="1"/>
          <w:numId w:val="53"/>
        </w:numPr>
        <w:rPr>
          <w:rFonts w:ascii="Arial" w:cs="Arial" w:eastAsia="Arial" w:hAnsi="Arial"/>
          <w:sz w:val="22"/>
          <w:szCs w:val="22"/>
          <w:color w:val="auto"/>
        </w:rPr>
      </w:pPr>
      <w:r>
        <w:rPr>
          <w:rFonts w:ascii="Arial" w:cs="Arial" w:eastAsia="Arial" w:hAnsi="Arial"/>
          <w:sz w:val="22"/>
          <w:szCs w:val="22"/>
          <w:color w:val="auto"/>
        </w:rPr>
        <w:t>Failure to do, observe, keep and perform any of the terms, covenants, conditions, agreements and provisions of this Lease on the part of the Tenant to be done, observed, kept and performed, including failure to pay additional rent not subject to subparagraph (a) and other sums due to Landlord under this Lease, if any, for a period of thirty (30) days after written notice mailed by Landlord to Tenant.</w:t>
      </w:r>
    </w:p>
    <w:p>
      <w:pPr>
        <w:spacing w:after="0" w:line="228" w:lineRule="exact"/>
        <w:rPr>
          <w:rFonts w:ascii="Arial" w:cs="Arial" w:eastAsia="Arial" w:hAnsi="Arial"/>
          <w:sz w:val="22"/>
          <w:szCs w:val="22"/>
          <w:color w:val="auto"/>
        </w:rPr>
      </w:pPr>
    </w:p>
    <w:p>
      <w:pPr>
        <w:jc w:val="both"/>
        <w:ind w:left="660" w:firstLine="645"/>
        <w:spacing w:after="0" w:line="246" w:lineRule="auto"/>
        <w:tabs>
          <w:tab w:leader="none" w:pos="2106" w:val="left"/>
        </w:tabs>
        <w:numPr>
          <w:ilvl w:val="1"/>
          <w:numId w:val="53"/>
        </w:numPr>
        <w:rPr>
          <w:rFonts w:ascii="Arial" w:cs="Arial" w:eastAsia="Arial" w:hAnsi="Arial"/>
          <w:sz w:val="22"/>
          <w:szCs w:val="22"/>
          <w:color w:val="auto"/>
        </w:rPr>
      </w:pPr>
      <w:r>
        <w:rPr>
          <w:rFonts w:ascii="Arial" w:cs="Arial" w:eastAsia="Arial" w:hAnsi="Arial"/>
          <w:sz w:val="22"/>
          <w:szCs w:val="22"/>
          <w:color w:val="auto"/>
        </w:rPr>
        <w:t>The abandonment of the Premises by the Tenant, the filing of a voluntary or involuntary petition under the Bankruptcy Act concerning the Tenant, the making by the Tenant of a general assignment for the benefit of creditors, the taking by the Tenant of the benefit of any insolvency act or law, the calling by Tenant of a meeting of creditors, the admission in writing by Tenant of inability to pay its obligations as they become due, the offering by Tenant of a composition to creditors of Tenant, the appointment of a permanent receiver or trustee in bankruptcy for the Tenant’s property, or the appointment of a temporary receiver which is not vacated or set aside within ninety (90) days after the date of such appointment.</w:t>
      </w:r>
    </w:p>
    <w:p>
      <w:pPr>
        <w:spacing w:after="0" w:line="237" w:lineRule="exact"/>
        <w:rPr>
          <w:rFonts w:ascii="Arial" w:cs="Arial" w:eastAsia="Arial" w:hAnsi="Arial"/>
          <w:sz w:val="22"/>
          <w:szCs w:val="22"/>
          <w:color w:val="auto"/>
        </w:rPr>
      </w:pPr>
    </w:p>
    <w:p>
      <w:pPr>
        <w:jc w:val="both"/>
        <w:ind w:left="660" w:firstLine="645"/>
        <w:spacing w:after="0" w:line="260" w:lineRule="auto"/>
        <w:tabs>
          <w:tab w:leader="none" w:pos="2119" w:val="left"/>
        </w:tabs>
        <w:numPr>
          <w:ilvl w:val="1"/>
          <w:numId w:val="53"/>
        </w:numPr>
        <w:rPr>
          <w:rFonts w:ascii="Arial" w:cs="Arial" w:eastAsia="Arial" w:hAnsi="Arial"/>
          <w:sz w:val="21"/>
          <w:szCs w:val="21"/>
          <w:color w:val="auto"/>
        </w:rPr>
      </w:pPr>
      <w:r>
        <w:rPr>
          <w:rFonts w:ascii="Arial" w:cs="Arial" w:eastAsia="Arial" w:hAnsi="Arial"/>
          <w:sz w:val="21"/>
          <w:szCs w:val="21"/>
          <w:color w:val="auto"/>
        </w:rPr>
        <w:t>Dissolution of the Tenant or other disposition of all or substantially all of its assets provided, that the Tenant may, without violating the lease provisions, consolidate with or merge into another domestic corporation (that is, a corporation organized and existing under the laws of one of the States of the United States of America), or permit one or more other corporations to consolidate with or merge into it, or sell or otherwise transfer to another corporation all or substantially all of its assets as an entirety and thereafter dissolve, provided the surviving, resulting or transferee corporation, as the case may be, (i) is authorized to do business in Indiana, (ii) is a domestic corporation as described above and (iii) assumes in writing all of the obligations of Tenant under this Lease.</w:t>
      </w:r>
    </w:p>
    <w:p>
      <w:pPr>
        <w:spacing w:after="0" w:line="221" w:lineRule="exact"/>
        <w:rPr>
          <w:rFonts w:ascii="Arial" w:cs="Arial" w:eastAsia="Arial" w:hAnsi="Arial"/>
          <w:sz w:val="21"/>
          <w:szCs w:val="21"/>
          <w:color w:val="auto"/>
        </w:rPr>
      </w:pPr>
    </w:p>
    <w:p>
      <w:pPr>
        <w:jc w:val="both"/>
        <w:ind w:left="660" w:firstLine="645"/>
        <w:spacing w:after="0" w:line="302" w:lineRule="auto"/>
        <w:tabs>
          <w:tab w:leader="none" w:pos="2106" w:val="left"/>
        </w:tabs>
        <w:numPr>
          <w:ilvl w:val="1"/>
          <w:numId w:val="53"/>
        </w:numPr>
        <w:rPr>
          <w:rFonts w:ascii="Arial" w:cs="Arial" w:eastAsia="Arial" w:hAnsi="Arial"/>
          <w:sz w:val="19"/>
          <w:szCs w:val="19"/>
          <w:color w:val="auto"/>
        </w:rPr>
      </w:pPr>
      <w:r>
        <w:rPr>
          <w:rFonts w:ascii="Arial" w:cs="Arial" w:eastAsia="Arial" w:hAnsi="Arial"/>
          <w:sz w:val="19"/>
          <w:szCs w:val="19"/>
          <w:color w:val="auto"/>
        </w:rPr>
        <w:t>For the purpose of subparagraph (b) of this Paragraph, if a default is other than one which may be cured by the payment of money, no default on the part of the Tenant in the performance of work required to be performed or acts to be done or conditions to be met shall be deemed to exist if steps shall have been commenced promptly by the Tenant to rectify the failure of performance and shall be prosecuted to completion with diligence and continuity.</w:t>
      </w:r>
    </w:p>
    <w:p>
      <w:pPr>
        <w:spacing w:after="0" w:line="18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the event of any default by the Tenant, and at any time thereafter, the Landlord at Landlord’s option may serve a written notice upon the Tenant that the Landlord elects to terminate this Lease upon a specified date after the date of serving such notice and this Lease shall then terminate on the date specified as if that date had been originally fixed as the expiration date of the term of this Lease. No default or failure to perform by the Tenant shall be deemed waived unless the waiver is in writing, signed by the Landlord.</w:t>
      </w:r>
    </w:p>
    <w:p>
      <w:pPr>
        <w:spacing w:after="0" w:line="186" w:lineRule="exact"/>
        <w:rPr>
          <w:sz w:val="20"/>
          <w:szCs w:val="20"/>
          <w:color w:val="auto"/>
        </w:rPr>
      </w:pPr>
    </w:p>
    <w:p>
      <w:pPr>
        <w:ind w:right="20" w:firstLine="656"/>
        <w:spacing w:after="0" w:line="269" w:lineRule="auto"/>
        <w:tabs>
          <w:tab w:leader="none" w:pos="1567"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Termination</w:t>
      </w:r>
      <w:r>
        <w:rPr>
          <w:rFonts w:ascii="Arial" w:cs="Arial" w:eastAsia="Arial" w:hAnsi="Arial"/>
          <w:sz w:val="22"/>
          <w:szCs w:val="22"/>
          <w:color w:val="auto"/>
        </w:rPr>
        <w:t>. If this Lease shall be terminated as provided in Paragraph 15, or if the Premises, or any part of</w:t>
      </w:r>
      <w:r>
        <w:rPr>
          <w:rFonts w:ascii="Arial" w:cs="Arial" w:eastAsia="Arial" w:hAnsi="Arial"/>
          <w:sz w:val="22"/>
          <w:szCs w:val="22"/>
          <w:b w:val="1"/>
          <w:bCs w:val="1"/>
          <w:color w:val="auto"/>
        </w:rPr>
        <w:t xml:space="preserve"> </w:t>
      </w:r>
      <w:r>
        <w:rPr>
          <w:rFonts w:ascii="Arial" w:cs="Arial" w:eastAsia="Arial" w:hAnsi="Arial"/>
          <w:sz w:val="22"/>
          <w:szCs w:val="22"/>
          <w:color w:val="auto"/>
        </w:rPr>
        <w:t>them, shall be abandoned by the Tenant, the Landlord, or Landlord’s agents,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9" w:right="239" w:bottom="1440" w:gutter="0" w:footer="0" w:header="0"/>
        </w:sectPr>
      </w:pPr>
    </w:p>
    <w:bookmarkStart w:id="60" w:name="page61"/>
    <w:bookmarkEnd w:id="60"/>
    <w:p>
      <w:pPr>
        <w:jc w:val="both"/>
        <w:spacing w:after="0" w:line="294" w:lineRule="auto"/>
        <w:rPr>
          <w:sz w:val="20"/>
          <w:szCs w:val="20"/>
          <w:color w:val="auto"/>
        </w:rPr>
      </w:pPr>
      <w:r>
        <w:rPr>
          <w:rFonts w:ascii="Arial" w:cs="Arial" w:eastAsia="Arial" w:hAnsi="Arial"/>
          <w:sz w:val="19"/>
          <w:szCs w:val="19"/>
          <w:color w:val="auto"/>
        </w:rPr>
        <w:t>servants or representatives, may immediately or at any time thereafter, re-enter and resume possession of the Premises or any part so abandoned, and remove all persons and property without judicial process if this can be done without breach of the peace, or may proceed by a suitable action or proceeding at law, or by legal force or otherwise, without being liable for any damage. No re-entry by the Landlord shall be deemed an acceptance of a surrender of this Lease or a liquidation or satisfaction to any extent whatever of Tenant’s liability to pay rent as provided in this Lease. Landlord shall, however, upon taking possession of the Premises attempt reasonably to re-rent the Premises at a reasonable rental to a suitable tenant as quickly as possible.</w:t>
      </w:r>
    </w:p>
    <w:p>
      <w:pPr>
        <w:spacing w:after="0" w:line="184" w:lineRule="exact"/>
        <w:rPr>
          <w:sz w:val="20"/>
          <w:szCs w:val="20"/>
          <w:color w:val="auto"/>
        </w:rPr>
      </w:pPr>
    </w:p>
    <w:p>
      <w:pPr>
        <w:jc w:val="both"/>
        <w:ind w:firstLine="656"/>
        <w:spacing w:after="0" w:line="259" w:lineRule="auto"/>
        <w:tabs>
          <w:tab w:leader="none" w:pos="1567"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Re-Letting Premises</w:t>
      </w:r>
      <w:r>
        <w:rPr>
          <w:rFonts w:ascii="Arial" w:cs="Arial" w:eastAsia="Arial" w:hAnsi="Arial"/>
          <w:sz w:val="21"/>
          <w:szCs w:val="21"/>
          <w:color w:val="auto"/>
        </w:rPr>
        <w:t>. If this Lease shall be terminated as provided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Paragraph 15</w:t>
      </w:r>
      <w:r>
        <w:rPr>
          <w:rFonts w:ascii="Arial" w:cs="Arial" w:eastAsia="Arial" w:hAnsi="Arial"/>
          <w:sz w:val="21"/>
          <w:szCs w:val="21"/>
          <w:color w:val="auto"/>
        </w:rPr>
        <w:t>, or if the Premises, or any</w:t>
      </w:r>
      <w:r>
        <w:rPr>
          <w:rFonts w:ascii="Arial" w:cs="Arial" w:eastAsia="Arial" w:hAnsi="Arial"/>
          <w:sz w:val="21"/>
          <w:szCs w:val="21"/>
          <w:b w:val="1"/>
          <w:bCs w:val="1"/>
          <w:color w:val="auto"/>
        </w:rPr>
        <w:t xml:space="preserve"> </w:t>
      </w:r>
      <w:r>
        <w:rPr>
          <w:rFonts w:ascii="Arial" w:cs="Arial" w:eastAsia="Arial" w:hAnsi="Arial"/>
          <w:sz w:val="21"/>
          <w:szCs w:val="21"/>
          <w:color w:val="auto"/>
        </w:rPr>
        <w:t>part of them, shall be abandoned by the Tenant, the Landord may in its own name, but as agent for the Tenant, if the Lease be not terminated, or if the Lease be terminated, in its own behalf relet the whole or any portion of the Premises, for any period equal to or greater or less than the remainder of the Lease Term, for a reasonable rental, to any lessee which the Landlord believes suitable and satisfactory and for any use and purpose which Landlord may deem appropriate. In no event shall the Landlord be under any obligation to relet the Premises for any purpose which the Landlord may regard as injurious to the Premises, or to any lessee which the Landlord, in Landlord’s sole discretion, shall deem to the objectionable. The Landlord shall not in any event be required to pay the Tenant any surplus of any sums received by the Landlord on a re-letting of the Premises in excess of the rent reserved in this lease.</w:t>
      </w:r>
    </w:p>
    <w:p>
      <w:pPr>
        <w:spacing w:after="0" w:line="220" w:lineRule="exact"/>
        <w:rPr>
          <w:rFonts w:ascii="Arial" w:cs="Arial" w:eastAsia="Arial" w:hAnsi="Arial"/>
          <w:sz w:val="21"/>
          <w:szCs w:val="21"/>
          <w:color w:val="auto"/>
        </w:rPr>
      </w:pPr>
    </w:p>
    <w:p>
      <w:pPr>
        <w:jc w:val="both"/>
        <w:ind w:firstLine="656"/>
        <w:spacing w:after="0" w:line="256" w:lineRule="auto"/>
        <w:tabs>
          <w:tab w:leader="none" w:pos="1567"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Remedies</w:t>
      </w:r>
      <w:r>
        <w:rPr>
          <w:rFonts w:ascii="Arial" w:cs="Arial" w:eastAsia="Arial" w:hAnsi="Arial"/>
          <w:sz w:val="22"/>
          <w:szCs w:val="22"/>
          <w:color w:val="auto"/>
        </w:rPr>
        <w:t>. If this Lease be terminated as provided in Paragraph 15, or if the Premises shall have been abandoned</w:t>
      </w:r>
      <w:r>
        <w:rPr>
          <w:rFonts w:ascii="Arial" w:cs="Arial" w:eastAsia="Arial" w:hAnsi="Arial"/>
          <w:sz w:val="22"/>
          <w:szCs w:val="22"/>
          <w:b w:val="1"/>
          <w:bCs w:val="1"/>
          <w:color w:val="auto"/>
        </w:rPr>
        <w:t xml:space="preserve"> </w:t>
      </w:r>
      <w:r>
        <w:rPr>
          <w:rFonts w:ascii="Arial" w:cs="Arial" w:eastAsia="Arial" w:hAnsi="Arial"/>
          <w:sz w:val="22"/>
          <w:szCs w:val="22"/>
          <w:color w:val="auto"/>
        </w:rPr>
        <w:t>and whether or not the Premises be relet, the Landlord shall be entitled to recover from the Tenant, and the Tenant shall pay to the Landlord, the following:</w:t>
      </w:r>
    </w:p>
    <w:p>
      <w:pPr>
        <w:spacing w:after="0" w:line="222" w:lineRule="exact"/>
        <w:rPr>
          <w:rFonts w:ascii="Arial" w:cs="Arial" w:eastAsia="Arial" w:hAnsi="Arial"/>
          <w:sz w:val="22"/>
          <w:szCs w:val="22"/>
          <w:color w:val="auto"/>
        </w:rPr>
      </w:pPr>
    </w:p>
    <w:p>
      <w:pPr>
        <w:ind w:left="2100" w:hanging="795"/>
        <w:spacing w:after="0"/>
        <w:tabs>
          <w:tab w:leader="none" w:pos="21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All reasonable costs and charges for the care of the Premises while vacant;</w:t>
      </w:r>
    </w:p>
    <w:p>
      <w:pPr>
        <w:spacing w:after="0" w:line="260" w:lineRule="exact"/>
        <w:rPr>
          <w:rFonts w:ascii="Arial" w:cs="Arial" w:eastAsia="Arial" w:hAnsi="Arial"/>
          <w:sz w:val="22"/>
          <w:szCs w:val="22"/>
          <w:color w:val="auto"/>
        </w:rPr>
      </w:pPr>
    </w:p>
    <w:p>
      <w:pPr>
        <w:jc w:val="both"/>
        <w:ind w:left="660" w:firstLine="645"/>
        <w:spacing w:after="0" w:line="248" w:lineRule="auto"/>
        <w:tabs>
          <w:tab w:leader="none" w:pos="2119" w:val="left"/>
        </w:tabs>
        <w:numPr>
          <w:ilvl w:val="1"/>
          <w:numId w:val="55"/>
        </w:numPr>
        <w:rPr>
          <w:rFonts w:ascii="Arial" w:cs="Arial" w:eastAsia="Arial" w:hAnsi="Arial"/>
          <w:sz w:val="22"/>
          <w:szCs w:val="22"/>
          <w:color w:val="auto"/>
        </w:rPr>
      </w:pPr>
      <w:r>
        <w:rPr>
          <w:rFonts w:ascii="Arial" w:cs="Arial" w:eastAsia="Arial" w:hAnsi="Arial"/>
          <w:sz w:val="22"/>
          <w:szCs w:val="22"/>
          <w:color w:val="auto"/>
        </w:rPr>
        <w:t>An amount equal to the amount of all rent and additional sums, if any, due under this Lease, less the rent, if any, collected by the Landlord from the date of re-letting the Premises through the date on which the Lease Term would have expired under Paragraph 1 had the lease not been earlier terminated. Such rent collected on re-letting by the Landlord shall be computed by deducting from the gross rent collected all expenses incurred by the Landlord in connection with the reletting of the Premises; and</w:t>
      </w:r>
    </w:p>
    <w:p>
      <w:pPr>
        <w:spacing w:after="0" w:line="232" w:lineRule="exact"/>
        <w:rPr>
          <w:rFonts w:ascii="Arial" w:cs="Arial" w:eastAsia="Arial" w:hAnsi="Arial"/>
          <w:sz w:val="22"/>
          <w:szCs w:val="22"/>
          <w:color w:val="auto"/>
        </w:rPr>
      </w:pPr>
    </w:p>
    <w:p>
      <w:pPr>
        <w:ind w:left="2100" w:hanging="795"/>
        <w:spacing w:after="0"/>
        <w:tabs>
          <w:tab w:leader="none" w:pos="21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Such costs and expenses, if any, to which Landlord shall be entitled under paragraph 26 of this Lease.</w:t>
      </w:r>
    </w:p>
    <w:p>
      <w:pPr>
        <w:spacing w:after="0" w:line="288" w:lineRule="exact"/>
        <w:rPr>
          <w:rFonts w:ascii="Arial" w:cs="Arial" w:eastAsia="Arial" w:hAnsi="Arial"/>
          <w:sz w:val="19"/>
          <w:szCs w:val="19"/>
          <w:color w:val="auto"/>
        </w:rPr>
      </w:pPr>
    </w:p>
    <w:p>
      <w:pPr>
        <w:jc w:val="both"/>
        <w:ind w:firstLine="656"/>
        <w:spacing w:after="0" w:line="304" w:lineRule="auto"/>
        <w:tabs>
          <w:tab w:leader="none" w:pos="1567"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No Waiver</w:t>
      </w:r>
      <w:r>
        <w:rPr>
          <w:rFonts w:ascii="Arial" w:cs="Arial" w:eastAsia="Arial" w:hAnsi="Arial"/>
          <w:sz w:val="19"/>
          <w:szCs w:val="19"/>
          <w:color w:val="auto"/>
        </w:rPr>
        <w:t>. It is expressly agreed that no waiver shall be deemed to result from the failure of Landlord to require</w:t>
      </w:r>
      <w:r>
        <w:rPr>
          <w:rFonts w:ascii="Arial" w:cs="Arial" w:eastAsia="Arial" w:hAnsi="Arial"/>
          <w:sz w:val="19"/>
          <w:szCs w:val="19"/>
          <w:b w:val="1"/>
          <w:bCs w:val="1"/>
          <w:color w:val="auto"/>
        </w:rPr>
        <w:t xml:space="preserve"> </w:t>
      </w:r>
      <w:r>
        <w:rPr>
          <w:rFonts w:ascii="Arial" w:cs="Arial" w:eastAsia="Arial" w:hAnsi="Arial"/>
          <w:sz w:val="19"/>
          <w:szCs w:val="19"/>
          <w:color w:val="auto"/>
        </w:rPr>
        <w:t>strict performance of any condition, covenant or agreement, but only a written waiver signed by Landlord shall be effective as a waiver. A waiver on one occasion or concerning a particular provision of this Lease shall not estop the Landlord from enforcing such condition, covenant or agreement at any other time, nor be deemed a waiver of any other condition, covenant or agreement.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45" w:right="239" w:bottom="1440" w:gutter="0" w:footer="0" w:header="0"/>
        </w:sectPr>
      </w:pPr>
    </w:p>
    <w:bookmarkStart w:id="61" w:name="page62"/>
    <w:bookmarkEnd w:id="61"/>
    <w:p>
      <w:pPr>
        <w:jc w:val="both"/>
        <w:ind w:left="-20" w:firstLine="656"/>
        <w:spacing w:after="0" w:line="295" w:lineRule="auto"/>
        <w:tabs>
          <w:tab w:leader="none" w:pos="1547"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Inspection; Signs</w:t>
      </w:r>
      <w:r>
        <w:rPr>
          <w:rFonts w:ascii="Arial" w:cs="Arial" w:eastAsia="Arial" w:hAnsi="Arial"/>
          <w:sz w:val="19"/>
          <w:szCs w:val="19"/>
          <w:color w:val="auto"/>
        </w:rPr>
        <w:t>. Landlord, the Landlord’s, or any of them, shall at all times on reasonable notice (which need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 be written, notwithstanding anything to the contrary in </w:t>
      </w:r>
      <w:r>
        <w:rPr>
          <w:rFonts w:ascii="Arial" w:cs="Arial" w:eastAsia="Arial" w:hAnsi="Arial"/>
          <w:sz w:val="19"/>
          <w:szCs w:val="19"/>
          <w:u w:val="single" w:color="auto"/>
          <w:color w:val="auto"/>
        </w:rPr>
        <w:t>Paragraph 22</w:t>
      </w:r>
      <w:r>
        <w:rPr>
          <w:rFonts w:ascii="Arial" w:cs="Arial" w:eastAsia="Arial" w:hAnsi="Arial"/>
          <w:sz w:val="19"/>
          <w:szCs w:val="19"/>
          <w:color w:val="auto"/>
        </w:rPr>
        <w:t>) during business hours be permitted on or about the Premises for the purpose of inspecting the Premises. If Tenant has not notified Landlord of its intention to extend the lease as provided in paragraph 1, then Landlord during the three (3) months preceding the expiration of the Lease Term the Landlord or Landlord’s agents shall have the right to place notices on the front or any part of the Premises, offering the Premises “For Rent” or “For Sale” and the Tenant shall permit those notices to remain without hindrance or molestation.</w:t>
      </w:r>
    </w:p>
    <w:p>
      <w:pPr>
        <w:spacing w:after="0" w:line="184" w:lineRule="exact"/>
        <w:rPr>
          <w:rFonts w:ascii="Arial" w:cs="Arial" w:eastAsia="Arial" w:hAnsi="Arial"/>
          <w:sz w:val="19"/>
          <w:szCs w:val="19"/>
          <w:color w:val="auto"/>
        </w:rPr>
      </w:pPr>
    </w:p>
    <w:p>
      <w:pPr>
        <w:jc w:val="both"/>
        <w:ind w:left="-20" w:firstLine="656"/>
        <w:spacing w:after="0" w:line="256" w:lineRule="auto"/>
        <w:tabs>
          <w:tab w:leader="none" w:pos="1547"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Modification Only in Writing</w:t>
      </w:r>
      <w:r>
        <w:rPr>
          <w:rFonts w:ascii="Arial" w:cs="Arial" w:eastAsia="Arial" w:hAnsi="Arial"/>
          <w:sz w:val="22"/>
          <w:szCs w:val="22"/>
          <w:color w:val="auto"/>
        </w:rPr>
        <w:t>. None of the terms, covenants, conditions and agreements of the Lease shall in</w:t>
      </w:r>
      <w:r>
        <w:rPr>
          <w:rFonts w:ascii="Arial" w:cs="Arial" w:eastAsia="Arial" w:hAnsi="Arial"/>
          <w:sz w:val="22"/>
          <w:szCs w:val="22"/>
          <w:b w:val="1"/>
          <w:bCs w:val="1"/>
          <w:color w:val="auto"/>
        </w:rPr>
        <w:t xml:space="preserve"> </w:t>
      </w:r>
      <w:r>
        <w:rPr>
          <w:rFonts w:ascii="Arial" w:cs="Arial" w:eastAsia="Arial" w:hAnsi="Arial"/>
          <w:sz w:val="22"/>
          <w:szCs w:val="22"/>
          <w:color w:val="auto"/>
        </w:rPr>
        <w:t>any manner be revoked, waived or modified, nor shall term of the Lease or any part of it be surrendered except by a written instrument signed by both Landlord and Tenant.</w:t>
      </w:r>
    </w:p>
    <w:p>
      <w:pPr>
        <w:spacing w:after="0" w:line="216" w:lineRule="exact"/>
        <w:rPr>
          <w:rFonts w:ascii="Arial" w:cs="Arial" w:eastAsia="Arial" w:hAnsi="Arial"/>
          <w:sz w:val="22"/>
          <w:szCs w:val="22"/>
          <w:color w:val="auto"/>
        </w:rPr>
      </w:pPr>
    </w:p>
    <w:p>
      <w:pPr>
        <w:jc w:val="both"/>
        <w:ind w:left="-20" w:firstLine="656"/>
        <w:spacing w:after="0" w:line="249" w:lineRule="auto"/>
        <w:tabs>
          <w:tab w:leader="none" w:pos="1547"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Any notices required or permitted to be given under this Lease either by Landlord to the Tenant, or by</w:t>
      </w:r>
      <w:r>
        <w:rPr>
          <w:rFonts w:ascii="Arial" w:cs="Arial" w:eastAsia="Arial" w:hAnsi="Arial"/>
          <w:sz w:val="22"/>
          <w:szCs w:val="22"/>
          <w:b w:val="1"/>
          <w:bCs w:val="1"/>
          <w:color w:val="auto"/>
        </w:rPr>
        <w:t xml:space="preserve"> </w:t>
      </w:r>
      <w:r>
        <w:rPr>
          <w:rFonts w:ascii="Arial" w:cs="Arial" w:eastAsia="Arial" w:hAnsi="Arial"/>
          <w:sz w:val="22"/>
          <w:szCs w:val="22"/>
          <w:color w:val="auto"/>
        </w:rPr>
        <w:t>the Tenant to the Landlord shall be in writing and shall be deemed given when the party giving such notice shall have deposited such notice in the United States mail with the proper postage prepaid, addressed to the other party as that party shall have furnished for that purpose. Until notice of a different address is given by a party, notices may be given to the respective parties at the following addresses: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If to Landlord:</w:t>
      </w:r>
    </w:p>
    <w:p>
      <w:pPr>
        <w:spacing w:after="0" w:line="36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Three Oaks, LLC</w:t>
      </w:r>
    </w:p>
    <w:p>
      <w:pPr>
        <w:ind w:left="1040"/>
        <w:spacing w:after="0" w:line="238" w:lineRule="auto"/>
        <w:rPr>
          <w:sz w:val="20"/>
          <w:szCs w:val="20"/>
          <w:color w:val="auto"/>
        </w:rPr>
      </w:pPr>
      <w:r>
        <w:rPr>
          <w:rFonts w:ascii="Arial" w:cs="Arial" w:eastAsia="Arial" w:hAnsi="Arial"/>
          <w:sz w:val="22"/>
          <w:szCs w:val="22"/>
          <w:color w:val="auto"/>
        </w:rPr>
        <w:t>358 S. Elkhart Avenue, Suite 200</w:t>
      </w:r>
    </w:p>
    <w:p>
      <w:pPr>
        <w:ind w:left="1040"/>
        <w:spacing w:after="0" w:line="230" w:lineRule="auto"/>
        <w:rPr>
          <w:sz w:val="20"/>
          <w:szCs w:val="20"/>
          <w:color w:val="auto"/>
        </w:rPr>
      </w:pPr>
      <w:r>
        <w:rPr>
          <w:rFonts w:ascii="Arial" w:cs="Arial" w:eastAsia="Arial" w:hAnsi="Arial"/>
          <w:sz w:val="22"/>
          <w:szCs w:val="22"/>
          <w:color w:val="auto"/>
        </w:rPr>
        <w:t>Elkhart, IN 46516</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Attention: Don Clark, President</w:t>
      </w:r>
    </w:p>
    <w:p>
      <w:pPr>
        <w:spacing w:after="0" w:line="26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If to Tenant:</w:t>
      </w:r>
    </w:p>
    <w:p>
      <w:pPr>
        <w:spacing w:after="0" w:line="36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Grand Design RV, LLC</w:t>
      </w:r>
    </w:p>
    <w:p>
      <w:pPr>
        <w:ind w:left="1040"/>
        <w:spacing w:after="0" w:line="238" w:lineRule="auto"/>
        <w:rPr>
          <w:sz w:val="20"/>
          <w:szCs w:val="20"/>
          <w:color w:val="auto"/>
        </w:rPr>
      </w:pPr>
      <w:r>
        <w:rPr>
          <w:rFonts w:ascii="Arial" w:cs="Arial" w:eastAsia="Arial" w:hAnsi="Arial"/>
          <w:sz w:val="22"/>
          <w:szCs w:val="22"/>
          <w:color w:val="auto"/>
        </w:rPr>
        <w:t>11333 County Road 2</w:t>
      </w:r>
    </w:p>
    <w:p>
      <w:pPr>
        <w:ind w:left="1040"/>
        <w:spacing w:after="0" w:line="230" w:lineRule="auto"/>
        <w:rPr>
          <w:sz w:val="20"/>
          <w:szCs w:val="20"/>
          <w:color w:val="auto"/>
        </w:rPr>
      </w:pPr>
      <w:r>
        <w:rPr>
          <w:rFonts w:ascii="Arial" w:cs="Arial" w:eastAsia="Arial" w:hAnsi="Arial"/>
          <w:sz w:val="22"/>
          <w:szCs w:val="22"/>
          <w:color w:val="auto"/>
        </w:rPr>
        <w:t>Middlebury, IN 46540</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Attention: Don Clark, President</w:t>
      </w:r>
    </w:p>
    <w:p>
      <w:pPr>
        <w:spacing w:after="0" w:line="196" w:lineRule="exact"/>
        <w:rPr>
          <w:sz w:val="20"/>
          <w:szCs w:val="20"/>
          <w:color w:val="auto"/>
        </w:rPr>
      </w:pPr>
    </w:p>
    <w:p>
      <w:pPr>
        <w:jc w:val="both"/>
        <w:ind w:left="-20" w:firstLine="656"/>
        <w:spacing w:after="0" w:line="274" w:lineRule="auto"/>
        <w:tabs>
          <w:tab w:leader="none" w:pos="1547"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Quiet Enjoyment</w:t>
      </w:r>
      <w:r>
        <w:rPr>
          <w:rFonts w:ascii="Arial" w:cs="Arial" w:eastAsia="Arial" w:hAnsi="Arial"/>
          <w:sz w:val="21"/>
          <w:szCs w:val="21"/>
          <w:color w:val="auto"/>
        </w:rPr>
        <w:t>. So long as the Tenant pays the rent, and all sums owed by Tenant under this Lease, and fully</w:t>
      </w:r>
      <w:r>
        <w:rPr>
          <w:rFonts w:ascii="Arial" w:cs="Arial" w:eastAsia="Arial" w:hAnsi="Arial"/>
          <w:sz w:val="21"/>
          <w:szCs w:val="21"/>
          <w:b w:val="1"/>
          <w:bCs w:val="1"/>
          <w:color w:val="auto"/>
        </w:rPr>
        <w:t xml:space="preserve"> </w:t>
      </w:r>
      <w:r>
        <w:rPr>
          <w:rFonts w:ascii="Arial" w:cs="Arial" w:eastAsia="Arial" w:hAnsi="Arial"/>
          <w:sz w:val="21"/>
          <w:szCs w:val="21"/>
          <w:color w:val="auto"/>
        </w:rPr>
        <w:t>performs all the terms, covenants, conditions and agreements of this Lease required to be performed by the Tenant, the Tenant shall peaceably and quietly enjoy the Premises, subject however to the terms of this Lease.</w:t>
      </w:r>
    </w:p>
    <w:p>
      <w:pPr>
        <w:spacing w:after="0" w:line="199" w:lineRule="exact"/>
        <w:rPr>
          <w:rFonts w:ascii="Arial" w:cs="Arial" w:eastAsia="Arial" w:hAnsi="Arial"/>
          <w:sz w:val="21"/>
          <w:szCs w:val="21"/>
          <w:color w:val="auto"/>
        </w:rPr>
      </w:pPr>
    </w:p>
    <w:p>
      <w:pPr>
        <w:jc w:val="both"/>
        <w:ind w:left="-20" w:firstLine="656"/>
        <w:spacing w:after="0" w:line="264" w:lineRule="auto"/>
        <w:tabs>
          <w:tab w:leader="none" w:pos="1547"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Consent to Assignments and Mortgage by Landlord</w:t>
      </w:r>
      <w:r>
        <w:rPr>
          <w:rFonts w:ascii="Arial" w:cs="Arial" w:eastAsia="Arial" w:hAnsi="Arial"/>
          <w:sz w:val="21"/>
          <w:szCs w:val="21"/>
          <w:color w:val="auto"/>
        </w:rPr>
        <w:t>. Landlord will obtain from any Lender that now has or</w:t>
      </w:r>
      <w:r>
        <w:rPr>
          <w:rFonts w:ascii="Arial" w:cs="Arial" w:eastAsia="Arial" w:hAnsi="Arial"/>
          <w:sz w:val="21"/>
          <w:szCs w:val="21"/>
          <w:b w:val="1"/>
          <w:bCs w:val="1"/>
          <w:color w:val="auto"/>
        </w:rPr>
        <w:t xml:space="preserve"> </w:t>
      </w:r>
      <w:r>
        <w:rPr>
          <w:rFonts w:ascii="Arial" w:cs="Arial" w:eastAsia="Arial" w:hAnsi="Arial"/>
          <w:sz w:val="21"/>
          <w:szCs w:val="21"/>
          <w:color w:val="auto"/>
        </w:rPr>
        <w:t>may in the future have a mortgage lien on the Premises, a commercially reasonable subordination, non-disturbance and attornment agreement (“SNDA”) that provides that so long as Tenant continues to pay rent and perform the other obligations of Tenant under this Lease, the Tenant’s rights under this Lease will not be terminated or disturbed. Subject to the foregoing, (a) this Lease will be subject and subordinate to any mortgage covering the Premises; and (b) Tenant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60" w:top="639" w:right="23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22"/>
          <w:szCs w:val="22"/>
          <w:color w:val="auto"/>
        </w:rPr>
        <w:t>consents to the assignment of this Lease by Landlord to any bank or banking institution or other lending agency as security for a loan or mortgage on the Premises, and Tenant consents to the granting by Landlord of a mortgage or mortgages in the Premises or any part of them.</w:t>
      </w:r>
    </w:p>
    <w:p>
      <w:pPr>
        <w:spacing w:after="0" w:line="220" w:lineRule="exact"/>
        <w:rPr>
          <w:sz w:val="20"/>
          <w:szCs w:val="20"/>
          <w:color w:val="auto"/>
        </w:rPr>
      </w:pPr>
    </w:p>
    <w:p>
      <w:pPr>
        <w:jc w:val="both"/>
        <w:ind w:firstLine="656"/>
        <w:spacing w:after="0" w:line="304" w:lineRule="auto"/>
        <w:tabs>
          <w:tab w:leader="none" w:pos="1567"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The Tenant shall pay all taxes and assessments on the Premises which become payable during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Term. The Landlord shall furnish to the Tenant a copy of official statements from the appropriate governmental authority indicating the total amount of taxes or assessments on the Premises. The Tenant shall pay the full amount of such taxes and assessments on or before the due date, and furnish copies of receipts or other evidence showing such payments.</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Tenant shall have the right to contest and review by legal proceedings, instituted and conducted by the Tenant at the Tenant’s own expense and free of expense to the Landlord or the Lessor, any real estate taxes, assessments, or other charges imposed upon or against the Premises. If the Tenant exercises its right to review by legal proceedings any such real estate taxes, assessments, or other charges imposed upon or against the Premises, the Tenant shall continue to pay as they become due and payable, the full amount of such taxes, assessments, other charges under protest, if it be so advised. The term “legal proceedings” includes appropriate appeals of any judgments, decrees, orders and certiorari proceedings and appeals of orders in such proceedings, to and including appeals to the court of last resort.</w:t>
      </w:r>
    </w:p>
    <w:p>
      <w:pPr>
        <w:spacing w:after="0" w:line="175" w:lineRule="exact"/>
        <w:rPr>
          <w:sz w:val="20"/>
          <w:szCs w:val="20"/>
          <w:color w:val="auto"/>
        </w:rPr>
      </w:pPr>
    </w:p>
    <w:p>
      <w:pPr>
        <w:jc w:val="both"/>
        <w:ind w:firstLine="656"/>
        <w:spacing w:after="0" w:line="256" w:lineRule="auto"/>
        <w:tabs>
          <w:tab w:leader="none" w:pos="1567"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Legal Fees</w:t>
      </w:r>
      <w:r>
        <w:rPr>
          <w:rFonts w:ascii="Arial" w:cs="Arial" w:eastAsia="Arial" w:hAnsi="Arial"/>
          <w:sz w:val="22"/>
          <w:szCs w:val="22"/>
          <w:color w:val="auto"/>
        </w:rPr>
        <w:t>. If either party to this Lease seeks to enforce such party’s rights under this Lease by legal</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proceedings, the non-prevailing party shall pay all costs and expenses incurred by the prevailing party including, without limitation, all reasonable attorneys’ fees.</w:t>
      </w:r>
    </w:p>
    <w:p>
      <w:pPr>
        <w:spacing w:after="0" w:line="216" w:lineRule="exact"/>
        <w:rPr>
          <w:rFonts w:ascii="Arial" w:cs="Arial" w:eastAsia="Arial" w:hAnsi="Arial"/>
          <w:sz w:val="22"/>
          <w:szCs w:val="22"/>
          <w:color w:val="auto"/>
        </w:rPr>
      </w:pPr>
    </w:p>
    <w:p>
      <w:pPr>
        <w:jc w:val="both"/>
        <w:ind w:firstLine="656"/>
        <w:spacing w:after="0" w:line="252" w:lineRule="auto"/>
        <w:tabs>
          <w:tab w:leader="none" w:pos="1567"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Recording</w:t>
      </w:r>
      <w:r>
        <w:rPr>
          <w:rFonts w:ascii="Arial" w:cs="Arial" w:eastAsia="Arial" w:hAnsi="Arial"/>
          <w:sz w:val="22"/>
          <w:szCs w:val="22"/>
          <w:color w:val="auto"/>
        </w:rPr>
        <w:t>. This Lease shall not be recorded unless agreed to in writing by both Landlord and Tenant.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and Tenant shall, at the option of Tenant, execute and deliver a memorandum of this Lease in recordable form, but any memorandum of this Lease shall not in any circumstances be deemed to change or modify any of the provisions of this Lease, the provisions of which shall in all instances prevail.</w:t>
      </w:r>
    </w:p>
    <w:p>
      <w:pPr>
        <w:spacing w:after="0" w:line="220" w:lineRule="exact"/>
        <w:rPr>
          <w:rFonts w:ascii="Arial" w:cs="Arial" w:eastAsia="Arial" w:hAnsi="Arial"/>
          <w:sz w:val="22"/>
          <w:szCs w:val="22"/>
          <w:color w:val="auto"/>
        </w:rPr>
      </w:pPr>
    </w:p>
    <w:p>
      <w:pPr>
        <w:ind w:firstLine="656"/>
        <w:spacing w:after="0" w:line="293" w:lineRule="auto"/>
        <w:tabs>
          <w:tab w:leader="none" w:pos="1567"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Merger of Prior Leases</w:t>
      </w:r>
      <w:r>
        <w:rPr>
          <w:rFonts w:ascii="Arial" w:cs="Arial" w:eastAsia="Arial" w:hAnsi="Arial"/>
          <w:sz w:val="21"/>
          <w:szCs w:val="21"/>
          <w:color w:val="auto"/>
        </w:rPr>
        <w:t>. Any prior lease of the Premises between the Landlord and Tenant is revoked in its</w:t>
      </w:r>
      <w:r>
        <w:rPr>
          <w:rFonts w:ascii="Arial" w:cs="Arial" w:eastAsia="Arial" w:hAnsi="Arial"/>
          <w:sz w:val="21"/>
          <w:szCs w:val="21"/>
          <w:b w:val="1"/>
          <w:bCs w:val="1"/>
          <w:color w:val="auto"/>
        </w:rPr>
        <w:t xml:space="preserve"> </w:t>
      </w:r>
      <w:r>
        <w:rPr>
          <w:rFonts w:ascii="Arial" w:cs="Arial" w:eastAsia="Arial" w:hAnsi="Arial"/>
          <w:sz w:val="21"/>
          <w:szCs w:val="21"/>
          <w:color w:val="auto"/>
        </w:rPr>
        <w:t>entirety, and this Lease shall supersede any existing lease of the Premises between the Landlord and Tenant.</w:t>
      </w:r>
    </w:p>
    <w:p>
      <w:pPr>
        <w:spacing w:after="0" w:line="180" w:lineRule="exact"/>
        <w:rPr>
          <w:rFonts w:ascii="Arial" w:cs="Arial" w:eastAsia="Arial" w:hAnsi="Arial"/>
          <w:sz w:val="21"/>
          <w:szCs w:val="21"/>
          <w:color w:val="auto"/>
        </w:rPr>
      </w:pPr>
    </w:p>
    <w:p>
      <w:pPr>
        <w:ind w:firstLine="656"/>
        <w:spacing w:after="0" w:line="269" w:lineRule="auto"/>
        <w:tabs>
          <w:tab w:leader="none" w:pos="1567"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 All the terms, covenants, conditions and agreements contained in this Lease shall in every case be</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upon the respective successors and assigns of the respective parties hereto.</w:t>
      </w:r>
    </w:p>
    <w:p>
      <w:pPr>
        <w:spacing w:after="0" w:line="202" w:lineRule="exact"/>
        <w:rPr>
          <w:rFonts w:ascii="Arial" w:cs="Arial" w:eastAsia="Arial" w:hAnsi="Arial"/>
          <w:sz w:val="22"/>
          <w:szCs w:val="22"/>
          <w:color w:val="auto"/>
        </w:rPr>
      </w:pPr>
    </w:p>
    <w:p>
      <w:pPr>
        <w:ind w:firstLine="656"/>
        <w:spacing w:after="0" w:line="269" w:lineRule="auto"/>
        <w:tabs>
          <w:tab w:leader="none" w:pos="1567"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Captions</w:t>
      </w:r>
      <w:r>
        <w:rPr>
          <w:rFonts w:ascii="Arial" w:cs="Arial" w:eastAsia="Arial" w:hAnsi="Arial"/>
          <w:sz w:val="22"/>
          <w:szCs w:val="22"/>
          <w:color w:val="auto"/>
        </w:rPr>
        <w:t>. Captions used in this Lease are for convenience of reference only and are not intended to have any</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substantive effect.</w:t>
      </w:r>
    </w:p>
    <w:p>
      <w:pPr>
        <w:spacing w:after="0" w:line="202" w:lineRule="exact"/>
        <w:rPr>
          <w:rFonts w:ascii="Arial" w:cs="Arial" w:eastAsia="Arial" w:hAnsi="Arial"/>
          <w:sz w:val="22"/>
          <w:szCs w:val="22"/>
          <w:color w:val="auto"/>
        </w:rPr>
      </w:pPr>
    </w:p>
    <w:p>
      <w:pPr>
        <w:jc w:val="both"/>
        <w:ind w:firstLine="656"/>
        <w:spacing w:after="0" w:line="256" w:lineRule="auto"/>
        <w:tabs>
          <w:tab w:leader="none" w:pos="1567"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Rights Cumulative</w:t>
      </w:r>
      <w:r>
        <w:rPr>
          <w:rFonts w:ascii="Arial" w:cs="Arial" w:eastAsia="Arial" w:hAnsi="Arial"/>
          <w:sz w:val="22"/>
          <w:szCs w:val="22"/>
          <w:color w:val="auto"/>
        </w:rPr>
        <w:t>. The rights given to the Landlord in this Lease are in addition to any rights that may be given</w:t>
      </w:r>
      <w:r>
        <w:rPr>
          <w:rFonts w:ascii="Arial" w:cs="Arial" w:eastAsia="Arial" w:hAnsi="Arial"/>
          <w:sz w:val="22"/>
          <w:szCs w:val="22"/>
          <w:b w:val="1"/>
          <w:bCs w:val="1"/>
          <w:color w:val="auto"/>
        </w:rPr>
        <w:t xml:space="preserve"> </w:t>
      </w:r>
      <w:r>
        <w:rPr>
          <w:rFonts w:ascii="Arial" w:cs="Arial" w:eastAsia="Arial" w:hAnsi="Arial"/>
          <w:sz w:val="22"/>
          <w:szCs w:val="22"/>
          <w:color w:val="auto"/>
        </w:rPr>
        <w:t>to the Lessor by any statute, rule of law or otherwise. This Lease shall be governed by and construed under the laws of the State of Indiana.</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45" w:right="239" w:bottom="1440" w:gutter="0" w:footer="0" w:header="0"/>
        </w:sectPr>
      </w:pPr>
    </w:p>
    <w:bookmarkStart w:id="63" w:name="page64"/>
    <w:bookmarkEnd w:id="63"/>
    <w:p>
      <w:pPr>
        <w:jc w:val="both"/>
        <w:ind w:left="-20" w:firstLine="656"/>
        <w:spacing w:after="0" w:line="248" w:lineRule="auto"/>
        <w:tabs>
          <w:tab w:leader="none" w:pos="1547"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Restrictions Applicable to the Landlord and the Property</w:t>
      </w:r>
      <w:r>
        <w:rPr>
          <w:rFonts w:ascii="Arial" w:cs="Arial" w:eastAsia="Arial" w:hAnsi="Arial"/>
          <w:sz w:val="22"/>
          <w:szCs w:val="22"/>
          <w:color w:val="auto"/>
        </w:rPr>
        <w:t>. Until this Lease expires or is terminated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accordance with the terms hereof, Landlord agrees to be bound (and all of Landlord’s successors and assigns will be bound) by and comply with: (a) certain restrictions on voting rights for members of Landlord, as described on </w:t>
      </w:r>
      <w:r>
        <w:rPr>
          <w:rFonts w:ascii="Arial" w:cs="Arial" w:eastAsia="Arial" w:hAnsi="Arial"/>
          <w:sz w:val="22"/>
          <w:szCs w:val="22"/>
          <w:b w:val="1"/>
          <w:bCs w:val="1"/>
          <w:color w:val="auto"/>
        </w:rPr>
        <w:t>Exhibit C</w:t>
      </w:r>
      <w:r>
        <w:rPr>
          <w:rFonts w:ascii="Arial" w:cs="Arial" w:eastAsia="Arial" w:hAnsi="Arial"/>
          <w:sz w:val="22"/>
          <w:szCs w:val="22"/>
          <w:color w:val="auto"/>
        </w:rPr>
        <w:t xml:space="preserve"> hereto; (b) certain restrictions on the sale or transfer of the Premises, or any interest in the Premises, or any ownership interest in Landlord, as described on </w:t>
      </w:r>
      <w:r>
        <w:rPr>
          <w:rFonts w:ascii="Arial" w:cs="Arial" w:eastAsia="Arial" w:hAnsi="Arial"/>
          <w:sz w:val="22"/>
          <w:szCs w:val="22"/>
          <w:b w:val="1"/>
          <w:bCs w:val="1"/>
          <w:color w:val="auto"/>
        </w:rPr>
        <w:t>Exhibit D</w:t>
      </w:r>
      <w:r>
        <w:rPr>
          <w:rFonts w:ascii="Arial" w:cs="Arial" w:eastAsia="Arial" w:hAnsi="Arial"/>
          <w:sz w:val="22"/>
          <w:szCs w:val="22"/>
          <w:color w:val="auto"/>
        </w:rPr>
        <w:t xml:space="preserve"> hereto; and (c) an agreement to provide Tenant with a right of first offer on the Premises, as described on </w:t>
      </w:r>
      <w:r>
        <w:rPr>
          <w:rFonts w:ascii="Arial" w:cs="Arial" w:eastAsia="Arial" w:hAnsi="Arial"/>
          <w:sz w:val="22"/>
          <w:szCs w:val="22"/>
          <w:b w:val="1"/>
          <w:bCs w:val="1"/>
          <w:color w:val="auto"/>
        </w:rPr>
        <w:t xml:space="preserve">Exhibit E </w:t>
      </w:r>
      <w:r>
        <w:rPr>
          <w:rFonts w:ascii="Arial" w:cs="Arial" w:eastAsia="Arial" w:hAnsi="Arial"/>
          <w:sz w:val="22"/>
          <w:szCs w:val="22"/>
          <w:color w:val="auto"/>
        </w:rPr>
        <w:t>hereto.</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[Signatures Shall Appear on Immediately Subsequent Page]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[Remainder of Page Intentionally Left Blank]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60" w:top="639" w:right="239" w:bottom="1440" w:gutter="0" w:footer="0" w:header="0"/>
        </w:sectPr>
      </w:pPr>
    </w:p>
    <w:bookmarkStart w:id="64" w:name="page65"/>
    <w:bookmarkEnd w:id="64"/>
    <w:p>
      <w:pPr>
        <w:spacing w:after="0" w:line="200" w:lineRule="exact"/>
        <w:rPr>
          <w:sz w:val="20"/>
          <w:szCs w:val="20"/>
          <w:color w:val="auto"/>
        </w:rPr>
      </w:pPr>
    </w:p>
    <w:p>
      <w:pPr>
        <w:spacing w:after="0" w:line="215"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“LANDLORD”</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THREE OAKS,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6100"/>
        <w:spacing w:after="0"/>
        <w:rPr>
          <w:sz w:val="20"/>
          <w:szCs w:val="20"/>
          <w:color w:val="auto"/>
        </w:rPr>
      </w:pPr>
      <w:r>
        <w:rPr>
          <w:rFonts w:ascii="Arial" w:cs="Arial" w:eastAsia="Arial" w:hAnsi="Arial"/>
          <w:sz w:val="19"/>
          <w:szCs w:val="19"/>
          <w:color w:val="auto"/>
        </w:rPr>
        <w:t>Printed Name: Don Clark</w:t>
      </w:r>
    </w:p>
    <w:p>
      <w:pPr>
        <w:spacing w:after="0" w:line="79" w:lineRule="exact"/>
        <w:rPr>
          <w:sz w:val="20"/>
          <w:szCs w:val="20"/>
          <w:color w:val="auto"/>
        </w:rPr>
      </w:pPr>
    </w:p>
    <w:p>
      <w:pPr>
        <w:ind w:left="5420"/>
        <w:spacing w:after="0"/>
        <w:tabs>
          <w:tab w:leader="none" w:pos="60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(Printed Name and Title</w:t>
      </w:r>
    </w:p>
    <w:p>
      <w:pPr>
        <w:spacing w:after="0" w:line="317"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“TENANT”</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b w:val="1"/>
          <w:bCs w:val="1"/>
          <w:color w:val="auto"/>
        </w:rPr>
        <w:t>GRAND DESIGN RV,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6100"/>
        <w:spacing w:after="0"/>
        <w:rPr>
          <w:sz w:val="20"/>
          <w:szCs w:val="20"/>
          <w:color w:val="auto"/>
        </w:rPr>
      </w:pPr>
      <w:r>
        <w:rPr>
          <w:rFonts w:ascii="Arial" w:cs="Arial" w:eastAsia="Arial" w:hAnsi="Arial"/>
          <w:sz w:val="19"/>
          <w:szCs w:val="19"/>
          <w:color w:val="auto"/>
        </w:rPr>
        <w:t>Printed Name: Don Clark</w:t>
      </w:r>
    </w:p>
    <w:p>
      <w:pPr>
        <w:spacing w:after="0" w:line="79" w:lineRule="exact"/>
        <w:rPr>
          <w:sz w:val="20"/>
          <w:szCs w:val="20"/>
          <w:color w:val="auto"/>
        </w:rPr>
      </w:pPr>
    </w:p>
    <w:p>
      <w:pPr>
        <w:ind w:left="5420"/>
        <w:spacing w:after="0"/>
        <w:tabs>
          <w:tab w:leader="none" w:pos="60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(Printed Name and Title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19"/>
          </w:cols>
          <w:pgMar w:left="240" w:top="1440" w:right="1440" w:bottom="1440" w:gutter="0" w:footer="0" w:header="0"/>
        </w:sectPr>
      </w:pPr>
    </w:p>
    <w:bookmarkStart w:id="65" w:name="page66"/>
    <w:bookmarkEnd w:id="65"/>
    <w:p>
      <w:pPr>
        <w:spacing w:after="0" w:line="164" w:lineRule="exact"/>
        <w:rPr>
          <w:sz w:val="20"/>
          <w:szCs w:val="20"/>
          <w:color w:val="auto"/>
        </w:rPr>
      </w:pPr>
    </w:p>
    <w:p>
      <w:pPr>
        <w:ind w:left="40"/>
        <w:spacing w:after="0"/>
        <w:tabs>
          <w:tab w:leader="none" w:pos="4520" w:val="left"/>
        </w:tabs>
        <w:rPr>
          <w:sz w:val="20"/>
          <w:szCs w:val="20"/>
          <w:color w:val="auto"/>
        </w:rPr>
      </w:pPr>
      <w:r>
        <w:rPr>
          <w:rFonts w:ascii="Arial" w:cs="Arial" w:eastAsia="Arial" w:hAnsi="Arial"/>
          <w:sz w:val="22"/>
          <w:szCs w:val="22"/>
          <w:color w:val="auto"/>
        </w:rPr>
        <w:t>STATE OF INDIANA</w:t>
      </w:r>
      <w:r>
        <w:rPr>
          <w:sz w:val="20"/>
          <w:szCs w:val="20"/>
          <w:color w:val="auto"/>
        </w:rPr>
        <w:tab/>
      </w:r>
      <w:r>
        <w:rPr>
          <w:rFonts w:ascii="Arial" w:cs="Arial" w:eastAsia="Arial" w:hAnsi="Arial"/>
          <w:sz w:val="18"/>
          <w:szCs w:val="18"/>
          <w:color w:val="auto"/>
        </w:rPr>
        <w:t>)</w:t>
      </w:r>
    </w:p>
    <w:p>
      <w:pPr>
        <w:spacing w:after="0" w:line="44" w:lineRule="exact"/>
        <w:rPr>
          <w:sz w:val="20"/>
          <w:szCs w:val="20"/>
          <w:color w:val="auto"/>
        </w:rPr>
      </w:pPr>
    </w:p>
    <w:p>
      <w:pPr>
        <w:ind w:left="4540"/>
        <w:spacing w:after="0"/>
        <w:tabs>
          <w:tab w:leader="none" w:pos="47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7"/>
          <w:szCs w:val="17"/>
          <w:color w:val="auto"/>
        </w:rPr>
        <w:t>SS</w:t>
      </w:r>
    </w:p>
    <w:p>
      <w:pPr>
        <w:spacing w:after="0" w:line="44" w:lineRule="exact"/>
        <w:rPr>
          <w:sz w:val="20"/>
          <w:szCs w:val="20"/>
          <w:color w:val="auto"/>
        </w:rPr>
      </w:pPr>
    </w:p>
    <w:p>
      <w:pPr>
        <w:ind w:left="40"/>
        <w:spacing w:after="0"/>
        <w:tabs>
          <w:tab w:leader="none" w:pos="4520" w:val="left"/>
        </w:tabs>
        <w:rPr>
          <w:sz w:val="20"/>
          <w:szCs w:val="20"/>
          <w:color w:val="auto"/>
        </w:rPr>
      </w:pPr>
      <w:r>
        <w:rPr>
          <w:rFonts w:ascii="Arial" w:cs="Arial" w:eastAsia="Arial" w:hAnsi="Arial"/>
          <w:sz w:val="22"/>
          <w:szCs w:val="22"/>
          <w:color w:val="auto"/>
        </w:rPr>
        <w:t>COUNTY OF ELKHART</w:t>
      </w:r>
      <w:r>
        <w:rPr>
          <w:sz w:val="20"/>
          <w:szCs w:val="20"/>
          <w:color w:val="auto"/>
        </w:rPr>
        <w:tab/>
      </w:r>
      <w:r>
        <w:rPr>
          <w:rFonts w:ascii="Arial" w:cs="Arial" w:eastAsia="Arial" w:hAnsi="Arial"/>
          <w:sz w:val="18"/>
          <w:szCs w:val="18"/>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Before me, the undersigned, a Notary Public in and for said County and State, appeared before me, Don Clark, the President of Three Oaks, LLC, and as such officer for and on behalf of said corporation, acknowledged the execution of the foregoing Lease Agreement as the free act and deed of said corporation as of the date first set forth above.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my hand and Notarial Seal.</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My Commission Expires:</w:t>
            </w:r>
          </w:p>
        </w:tc>
        <w:tc>
          <w:tcPr>
            <w:tcW w:w="696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42"/>
        </w:trPr>
        <w:tc>
          <w:tcPr>
            <w:tcW w:w="4420" w:type="dxa"/>
            <w:vAlign w:val="bottom"/>
          </w:tcPr>
          <w:p>
            <w:pPr>
              <w:spacing w:after="0"/>
              <w:rPr>
                <w:sz w:val="21"/>
                <w:szCs w:val="21"/>
                <w:color w:val="auto"/>
              </w:rPr>
            </w:pPr>
          </w:p>
        </w:tc>
        <w:tc>
          <w:tcPr>
            <w:tcW w:w="6960" w:type="dxa"/>
            <w:vAlign w:val="bottom"/>
          </w:tcPr>
          <w:p>
            <w:pPr>
              <w:ind w:left="40"/>
              <w:spacing w:after="0" w:line="242" w:lineRule="exact"/>
              <w:rPr>
                <w:sz w:val="20"/>
                <w:szCs w:val="20"/>
                <w:color w:val="auto"/>
              </w:rPr>
            </w:pPr>
            <w:r>
              <w:rPr>
                <w:rFonts w:ascii="Arial" w:cs="Arial" w:eastAsia="Arial" w:hAnsi="Arial"/>
                <w:sz w:val="22"/>
                <w:szCs w:val="22"/>
                <w:color w:val="auto"/>
              </w:rPr>
              <w:t>_______________________________, Notary Public</w:t>
            </w:r>
          </w:p>
        </w:tc>
      </w:tr>
      <w:tr>
        <w:trPr>
          <w:trHeight w:val="275"/>
        </w:trPr>
        <w:tc>
          <w:tcPr>
            <w:tcW w:w="4420" w:type="dxa"/>
            <w:vAlign w:val="bottom"/>
          </w:tcPr>
          <w:p>
            <w:pPr>
              <w:spacing w:after="0"/>
              <w:rPr>
                <w:sz w:val="20"/>
                <w:szCs w:val="20"/>
                <w:color w:val="auto"/>
              </w:rPr>
            </w:pPr>
            <w:r>
              <w:rPr>
                <w:rFonts w:ascii="Arial" w:cs="Arial" w:eastAsia="Arial" w:hAnsi="Arial"/>
                <w:sz w:val="18"/>
                <w:szCs w:val="18"/>
                <w:color w:val="auto"/>
              </w:rPr>
              <w:t>_____________________</w:t>
            </w:r>
          </w:p>
        </w:tc>
        <w:tc>
          <w:tcPr>
            <w:tcW w:w="6960" w:type="dxa"/>
            <w:vAlign w:val="bottom"/>
          </w:tcPr>
          <w:p>
            <w:pPr>
              <w:ind w:left="40"/>
              <w:spacing w:after="0"/>
              <w:rPr>
                <w:sz w:val="20"/>
                <w:szCs w:val="20"/>
                <w:color w:val="auto"/>
              </w:rPr>
            </w:pPr>
            <w:r>
              <w:rPr>
                <w:rFonts w:ascii="Arial" w:cs="Arial" w:eastAsia="Arial" w:hAnsi="Arial"/>
                <w:sz w:val="22"/>
                <w:szCs w:val="22"/>
                <w:color w:val="auto"/>
              </w:rPr>
              <w:t>Residing in ____________ County, ________________</w:t>
            </w:r>
          </w:p>
        </w:tc>
      </w:tr>
      <w:tr>
        <w:trPr>
          <w:trHeight w:val="837"/>
        </w:trPr>
        <w:tc>
          <w:tcPr>
            <w:tcW w:w="4420" w:type="dxa"/>
            <w:vAlign w:val="bottom"/>
          </w:tcPr>
          <w:p>
            <w:pPr>
              <w:spacing w:after="0"/>
              <w:rPr>
                <w:sz w:val="20"/>
                <w:szCs w:val="20"/>
                <w:color w:val="auto"/>
              </w:rPr>
            </w:pPr>
            <w:r>
              <w:rPr>
                <w:rFonts w:ascii="Arial" w:cs="Arial" w:eastAsia="Arial" w:hAnsi="Arial"/>
                <w:sz w:val="22"/>
                <w:szCs w:val="22"/>
                <w:color w:val="auto"/>
              </w:rPr>
              <w:t>STATE OF INDIANA</w:t>
            </w:r>
          </w:p>
        </w:tc>
        <w:tc>
          <w:tcPr>
            <w:tcW w:w="6960" w:type="dxa"/>
            <w:vAlign w:val="bottom"/>
          </w:tcPr>
          <w:p>
            <w:pPr>
              <w:ind w:left="80"/>
              <w:spacing w:after="0"/>
              <w:rPr>
                <w:sz w:val="20"/>
                <w:szCs w:val="20"/>
                <w:color w:val="auto"/>
              </w:rPr>
            </w:pPr>
            <w:r>
              <w:rPr>
                <w:rFonts w:ascii="Arial" w:cs="Arial" w:eastAsia="Arial" w:hAnsi="Arial"/>
                <w:sz w:val="22"/>
                <w:szCs w:val="22"/>
                <w:color w:val="auto"/>
              </w:rPr>
              <w:t>)</w:t>
            </w:r>
          </w:p>
        </w:tc>
      </w:tr>
      <w:tr>
        <w:trPr>
          <w:trHeight w:val="297"/>
        </w:trPr>
        <w:tc>
          <w:tcPr>
            <w:tcW w:w="4420" w:type="dxa"/>
            <w:vAlign w:val="bottom"/>
          </w:tcPr>
          <w:p>
            <w:pPr>
              <w:spacing w:after="0"/>
              <w:rPr>
                <w:sz w:val="24"/>
                <w:szCs w:val="24"/>
                <w:color w:val="auto"/>
              </w:rPr>
            </w:pPr>
          </w:p>
        </w:tc>
        <w:tc>
          <w:tcPr>
            <w:tcW w:w="6960" w:type="dxa"/>
            <w:vAlign w:val="bottom"/>
          </w:tcPr>
          <w:p>
            <w:pPr>
              <w:ind w:left="80"/>
              <w:spacing w:after="0"/>
              <w:rPr>
                <w:sz w:val="20"/>
                <w:szCs w:val="20"/>
                <w:color w:val="auto"/>
              </w:rPr>
            </w:pPr>
            <w:r>
              <w:rPr>
                <w:rFonts w:ascii="Arial" w:cs="Arial" w:eastAsia="Arial" w:hAnsi="Arial"/>
                <w:sz w:val="22"/>
                <w:szCs w:val="22"/>
                <w:color w:val="auto"/>
              </w:rPr>
              <w:t>)  SS</w:t>
            </w:r>
          </w:p>
        </w:tc>
      </w:tr>
      <w:tr>
        <w:trPr>
          <w:trHeight w:val="297"/>
        </w:trPr>
        <w:tc>
          <w:tcPr>
            <w:tcW w:w="4420" w:type="dxa"/>
            <w:vAlign w:val="bottom"/>
          </w:tcPr>
          <w:p>
            <w:pPr>
              <w:spacing w:after="0"/>
              <w:rPr>
                <w:sz w:val="20"/>
                <w:szCs w:val="20"/>
                <w:color w:val="auto"/>
              </w:rPr>
            </w:pPr>
            <w:r>
              <w:rPr>
                <w:rFonts w:ascii="Arial" w:cs="Arial" w:eastAsia="Arial" w:hAnsi="Arial"/>
                <w:sz w:val="22"/>
                <w:szCs w:val="22"/>
                <w:color w:val="auto"/>
              </w:rPr>
              <w:t>COUNTY OF ELKHART</w:t>
            </w:r>
          </w:p>
        </w:tc>
        <w:tc>
          <w:tcPr>
            <w:tcW w:w="6960" w:type="dxa"/>
            <w:vAlign w:val="bottom"/>
          </w:tcPr>
          <w:p>
            <w:pPr>
              <w:ind w:left="80"/>
              <w:spacing w:after="0"/>
              <w:rPr>
                <w:sz w:val="20"/>
                <w:szCs w:val="20"/>
                <w:color w:val="auto"/>
              </w:rPr>
            </w:pPr>
            <w:r>
              <w:rPr>
                <w:rFonts w:ascii="Arial" w:cs="Arial" w:eastAsia="Arial" w:hAnsi="Arial"/>
                <w:sz w:val="22"/>
                <w:szCs w:val="22"/>
                <w:color w:val="auto"/>
              </w:rPr>
              <w:t>)</w:t>
            </w:r>
          </w:p>
        </w:tc>
      </w:tr>
    </w:tbl>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Before me, the undersigned, a Notary Public in and for said County and State, appeared before me, Don Clark, the President of Grand Design RV, LLC, and as such officer for and on behalf of said corporation, acknowledged the execution of the foregoing Lease Agreement as the free act and deed of said corporation as of the date first set forth above.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Witness my hand and Notarial Seal.</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24765</wp:posOffset>
            </wp:positionV>
            <wp:extent cx="44164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9"/>
          <w:szCs w:val="19"/>
          <w:color w:val="auto"/>
        </w:rPr>
        <w:t>_____________________</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2080"/>
        <w:spacing w:after="0" w:line="328" w:lineRule="auto"/>
        <w:rPr>
          <w:sz w:val="20"/>
          <w:szCs w:val="20"/>
          <w:color w:val="auto"/>
        </w:rPr>
      </w:pPr>
      <w:r>
        <w:rPr>
          <w:rFonts w:ascii="Arial" w:cs="Arial" w:eastAsia="Arial" w:hAnsi="Arial"/>
          <w:sz w:val="19"/>
          <w:szCs w:val="19"/>
          <w:color w:val="auto"/>
        </w:rPr>
        <w:t>_______________________________, Notary Public Residing in ____________ County, ________________</w:t>
      </w:r>
    </w:p>
    <w:p>
      <w:pPr>
        <w:spacing w:after="0" w:line="200" w:lineRule="exact"/>
        <w:rPr>
          <w:sz w:val="20"/>
          <w:szCs w:val="20"/>
          <w:color w:val="auto"/>
        </w:rPr>
      </w:pPr>
    </w:p>
    <w:p>
      <w:pPr>
        <w:sectPr>
          <w:pgSz w:w="11900" w:h="16838" w:orient="portrait"/>
          <w:cols w:equalWidth="0" w:num="2">
            <w:col w:w="3780" w:space="720"/>
            <w:col w:w="6920"/>
          </w:cols>
          <w:pgMar w:left="240" w:top="1440" w:right="239"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color w:val="auto"/>
        </w:rPr>
        <w:t>This instrument was prepared by Joel D. Duthie of the law firm of Barnes &amp; Thornburg LLP, 121 West Franklin Street, Suite 200,</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Elkhart, Indiana 46516, (574) 293-0681. I affirm, under the penalties for perjury, that I have taken reasonable care to redact each</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Social Security number in this document, unle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440" w:right="239" w:bottom="1440" w:gutter="0" w:footer="0" w:header="0"/>
          <w:type w:val="continuous"/>
        </w:sectPr>
      </w:pPr>
    </w:p>
    <w:bookmarkStart w:id="66" w:name="page67"/>
    <w:bookmarkEnd w:id="66"/>
    <w:p>
      <w:pPr>
        <w:jc w:val="center"/>
        <w:ind w:right="-39"/>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described real estate located in Elkhart County, Indiana: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Property Address: Vacant Land, CR 2, Middlebury, IN 46540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File No.: 14-26485</w:t>
      </w:r>
    </w:p>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color w:val="auto"/>
        </w:rPr>
        <w:t>A part of the Northeast Quarter of Section 14, being situate in Township 38 North, Range 7 East, York Township, Elkhart County, Indiana, being more particularly described as follows:</w:t>
      </w:r>
    </w:p>
    <w:p>
      <w:pPr>
        <w:spacing w:after="0" w:line="175"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Beginning at an iron pipe marking the Northwest corner of said Northeast Quarter; thence on an assumed bearing of due East along the North line of said Northeast Quarter and the centerline of County Road #2, a distance of 579.17 feet to the Northwest corner of a parcel of land conveyed to Scott and Angela McCraner described recorded in the Office of the Recorder of Elkhart County in Warranty Deed Instrument #87 026970; thence on a bearing of due South, a distance of 361.50 feet to the Southeast corner of said McCraner parcel; thence on a bearing of due East, a distance of 361.50 feet to the Southeast corner of said McCraner parcel; thence on a bearing of due North, a distance of 361.50 feet to the Northeast corner of said McCraner parcel; thence on a bearing of due East along the North line of aforesaid Northeast Quarter and the centerline of County Road #2, a distance of 669.91 feet to the Northwest corner of a parcel of land being conveyed to Morris and Shirley Troyer described and recorded in the Office of the Recorder of Elkhart County in Real Estate Contract Instrument #88 009480; thence on a bearing of due South, a distance of 265.29 feet to the Southwest corner of said Troyer parcel; thence South 89 degrees 9 minutes 0 seconds East along the South line of said Troyer parcel, a distance of 233.05 feet; thence South 1 degree 49 minutes 0 seconds East, a distance of 1168.10 feet to the Northerly line of the Indiana Toll Road Interchange property; thence South 55 degrees 18 minutes 0 seconds West along the Northerly line of said Toll Road property, a distance of 115.74 feet to a concrete monument; thence South 51 degrees 12 minutes 0 seconds West along the Northerly line of said Toll Road property, a distance of 642.80 feet; thence South 86 degrees 10 minutes 13 seconds West along the Northerly line of said Toll Road property, a distance of 140.36 feet; thence South 55 degrees 34 minutes 27 seconds West along the Northerly line of said Toll Road property, a distance of 544.80 feet; thence South 45 degrees 21 minutes 14 seconds West along the Northerly line of said Toll Road property, a distance of 614.53 feet to a concrete monument on the North line of the right-of-way of the Indiana East-West Toll Road; thence South 89 degrees 54 minutes 48 seconds West along the North line of said right-of-way, also the South line of the Northeast Quarter of said Section 14, a distance of 245.50 feet to the Southwest corner of said Northeast Quarter; thence North 0 degrees 16 minutes 2 seconds West along the West line of said Northeast Quarter, a distance of 2654.55 feet to the point of beginning of this description, containing 84.93 Acres, more or less.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LESS AND EXCEPTING the following:</w:t>
      </w:r>
    </w:p>
    <w:p>
      <w:pPr>
        <w:spacing w:after="0" w:line="220"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A part of the Northeast Quarter of Section 14, Township 38 North, Range 7 East, York Township, Elkhart County, Indiana, more particularly described as follows:</w:t>
      </w:r>
    </w:p>
    <w:p>
      <w:pPr>
        <w:sectPr>
          <w:pgSz w:w="11900" w:h="16838" w:orient="portrait"/>
          <w:cols w:equalWidth="0" w:num="1">
            <w:col w:w="11380"/>
          </w:cols>
          <w:pgMar w:left="240" w:top="1111" w:right="279" w:bottom="1440" w:gutter="0" w:footer="0" w:header="0"/>
        </w:sectPr>
      </w:pPr>
    </w:p>
    <w:bookmarkStart w:id="67" w:name="page68"/>
    <w:bookmarkEnd w:id="67"/>
    <w:p>
      <w:pPr>
        <w:spacing w:after="0" w:line="289" w:lineRule="auto"/>
        <w:rPr>
          <w:sz w:val="20"/>
          <w:szCs w:val="20"/>
          <w:color w:val="auto"/>
        </w:rPr>
      </w:pPr>
      <w:r>
        <w:rPr>
          <w:rFonts w:ascii="Arial" w:cs="Arial" w:eastAsia="Arial" w:hAnsi="Arial"/>
          <w:sz w:val="19"/>
          <w:szCs w:val="19"/>
          <w:color w:val="auto"/>
        </w:rPr>
        <w:t>Commencing at an iron pipe marking the Northeast corner of the Northeast Quarter of Section 14, Township 38 North, Range 7 East, York Township, Elkhart County, Indiana; thence due West (assumed bearing) along the North line of said Northeast Quarter and the centerline of County Road 2, a distance of 571 feet to a hex pin; thence due South a distance of 272.50 feet to an iron pin; thence North 89 degrees 9 minutes 0 seconds West, a distance of 253 feet to a rebar and the beginning of this description; thence South 1 degree 49 minutes 0 seconds East, a distance of 1168.10 feet to a rebar in the Northerly line of the Indiana Toll Road Interchange property; thence South 55 degrees 18 minutes 0 seconds West along said Toll Road property, a distance of 115.74 feet to a concrete monument; thence South 51 degrees 12 minutes 0 seconds West along said Toll Road property, a distance of 224.42 feet to a rebar with cap; thence due North a distance of 1377.48 feet to a rebar; thence South 89 degrees 9 minutes 0 seconds East, a distance of 233.05 feet to the beginning, containing 7.36 Acres, more or less.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ALSO LESS AND EXCEPTING THE FOLLOWING:</w:t>
      </w:r>
    </w:p>
    <w:p>
      <w:pPr>
        <w:spacing w:after="0" w:line="220" w:lineRule="exact"/>
        <w:rPr>
          <w:sz w:val="20"/>
          <w:szCs w:val="20"/>
          <w:color w:val="auto"/>
        </w:rPr>
      </w:pPr>
    </w:p>
    <w:p>
      <w:pPr>
        <w:ind w:right="760"/>
        <w:spacing w:after="0" w:line="263" w:lineRule="auto"/>
        <w:rPr>
          <w:sz w:val="20"/>
          <w:szCs w:val="20"/>
          <w:color w:val="auto"/>
        </w:rPr>
      </w:pPr>
      <w:r>
        <w:rPr>
          <w:rFonts w:ascii="Arial" w:cs="Arial" w:eastAsia="Arial" w:hAnsi="Arial"/>
          <w:sz w:val="22"/>
          <w:szCs w:val="22"/>
          <w:color w:val="auto"/>
        </w:rPr>
        <w:t>A part of the Northwest Quarter of Section 14, Township 38 North, Range 7 East, York Township, Elkhart County Indiana, described as follows:</w:t>
      </w:r>
    </w:p>
    <w:p>
      <w:pPr>
        <w:spacing w:after="0" w:line="175" w:lineRule="exact"/>
        <w:rPr>
          <w:sz w:val="20"/>
          <w:szCs w:val="20"/>
          <w:color w:val="auto"/>
        </w:rPr>
      </w:pPr>
    </w:p>
    <w:p>
      <w:pPr>
        <w:ind w:right="20"/>
        <w:spacing w:after="0" w:line="284" w:lineRule="auto"/>
        <w:rPr>
          <w:sz w:val="20"/>
          <w:szCs w:val="20"/>
          <w:color w:val="auto"/>
        </w:rPr>
      </w:pPr>
      <w:r>
        <w:rPr>
          <w:rFonts w:ascii="Arial" w:cs="Arial" w:eastAsia="Arial" w:hAnsi="Arial"/>
          <w:sz w:val="19"/>
          <w:szCs w:val="19"/>
          <w:color w:val="auto"/>
        </w:rPr>
        <w:t>Commencing at the Northwest corner of the Northeast Quarter of said Section 7; thence due East (assumed bearing) on the North line of the Northeast Quarter of said Section 7, a distance of 940.67 feet to a railroad spike at the point of beginning of this description; said point being on the East line of a tract of land deeded to Angela M. McCraner in Document #2003-27093 in the Office of the Recorder of Elkhart County, Indiana; thence continuing due East, on said North line, 669.62 feet to a railroad spike on the West line of a tract of land deeded to Steven W. and Renae L. Ruple in Document #2002-20426 in the Office of the Recorder of Elkhart County, Indiana; thence due South on said West line, and said West line extended, 1642.77 feet to a 5/8 inch capped rebar on the North right of way line of the Indiana Toll Road; thence South 51 degrees 23 minutes 49 seconds West, on said North right of way line, 420.10 feet to a conc. monument; thence South 85 degrees 27 minutes 49 seconds West, on said North right of way line, 140.36 feet to a conc. monument; thence South 54 degrees 54 minutes 15 seconds West, on said North right of way line,</w:t>
      </w:r>
    </w:p>
    <w:p>
      <w:pPr>
        <w:ind w:right="360"/>
        <w:spacing w:after="0" w:line="246" w:lineRule="auto"/>
        <w:rPr>
          <w:sz w:val="20"/>
          <w:szCs w:val="20"/>
          <w:color w:val="auto"/>
        </w:rPr>
      </w:pPr>
      <w:r>
        <w:rPr>
          <w:rFonts w:ascii="Arial" w:cs="Arial" w:eastAsia="Arial" w:hAnsi="Arial"/>
          <w:sz w:val="22"/>
          <w:szCs w:val="22"/>
          <w:color w:val="auto"/>
        </w:rPr>
        <w:t>246.15 feet to a 5/8 inch capped rebar; thence due North 2057.50 feet to the point of beginning. containing 28.69 acres, more or less.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Tax ID No.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20-04-14-200-013.000-032</w:t>
      </w:r>
    </w:p>
    <w:p>
      <w:pPr>
        <w:sectPr>
          <w:pgSz w:w="11900" w:h="16838" w:orient="portrait"/>
          <w:cols w:equalWidth="0" w:num="1">
            <w:col w:w="11400"/>
          </w:cols>
          <w:pgMar w:left="240" w:top="645" w:right="259" w:bottom="1440" w:gutter="0" w:footer="0" w:header="0"/>
        </w:sectPr>
      </w:pPr>
    </w:p>
    <w:bookmarkStart w:id="68" w:name="page69"/>
    <w:bookmarkEnd w:id="68"/>
    <w:p>
      <w:pPr>
        <w:ind w:left="5160"/>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The CPI Amount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This Exhibit B shall govern the calculation of Base Rent increases that are subject to the CPA Amount.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1 Each calculation shall be made as of January 1. Each January 1 following December 31, 2024, is called an “</w:t>
      </w:r>
      <w:r>
        <w:rPr>
          <w:rFonts w:ascii="Arial" w:cs="Arial" w:eastAsia="Arial" w:hAnsi="Arial"/>
          <w:sz w:val="19"/>
          <w:szCs w:val="19"/>
          <w:u w:val="single" w:color="auto"/>
          <w:color w:val="auto"/>
        </w:rPr>
        <w:t>Adjustment Date</w:t>
      </w:r>
      <w:r>
        <w:rPr>
          <w:rFonts w:ascii="Arial" w:cs="Arial" w:eastAsia="Arial" w:hAnsi="Arial"/>
          <w:sz w:val="19"/>
          <w:szCs w:val="19"/>
          <w:color w:val="auto"/>
        </w:rPr>
        <w:t>”.</w:t>
      </w:r>
    </w:p>
    <w:p>
      <w:pPr>
        <w:spacing w:after="0" w:line="254" w:lineRule="exact"/>
        <w:rPr>
          <w:sz w:val="20"/>
          <w:szCs w:val="20"/>
          <w:color w:val="auto"/>
        </w:rPr>
      </w:pPr>
    </w:p>
    <w:p>
      <w:pPr>
        <w:jc w:val="both"/>
        <w:ind w:firstLine="8"/>
        <w:spacing w:after="0" w:line="294" w:lineRule="auto"/>
        <w:tabs>
          <w:tab w:leader="none" w:pos="5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For the each Adjustment Date, the year-end average Index (as defined below) that was effective the year prior to the Adjustment Date shall be the Beginning Index (e.g. -- if the Adjustment Date is January 1, 2025, the Beginning Index will be the year-end average Index for calendar year 2023); and the Index that is effective on the Adjustment Date shall be the Extension Index (e.g. - if the Adjustment Date is January 1, 2025, the Extension Index will be the year-end average Index for calendar year 2024). As of the Adjustment Date, Base Rent shall be the amount equal to the Base Rent payable during the previous month of the term multiplied by a fraction, the numerator of which is the applicable Extension Index and the denominator of which is the Beginning Index. For each Adjustment Date thereafter, the Extension Index for the preceding year shall be the Beginning Index, and the new Extension Index shall be the average year-end Index for the calendar year prior to the Adjustment Date..</w:t>
      </w:r>
    </w:p>
    <w:p>
      <w:pPr>
        <w:spacing w:after="0" w:line="154" w:lineRule="exact"/>
        <w:rPr>
          <w:rFonts w:ascii="Arial" w:cs="Arial" w:eastAsia="Arial" w:hAnsi="Arial"/>
          <w:sz w:val="19"/>
          <w:szCs w:val="19"/>
          <w:color w:val="auto"/>
        </w:rPr>
      </w:pPr>
    </w:p>
    <w:p>
      <w:pPr>
        <w:jc w:val="both"/>
        <w:ind w:firstLine="8"/>
        <w:spacing w:after="0" w:line="252" w:lineRule="auto"/>
        <w:tabs>
          <w:tab w:leader="none" w:pos="383"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Index shall be the Consumer Price Index as published by the United States Bureau of Labor Statistics (All Items) for the Midwest Region. If the Index is changed so that a base period other than 1982-84 shall equal 100, then such Index shall be converted in accordance with the conversion factors published by the United States Bureau of Labor Statistics. If such Index is discontinued or revised, the Index designated as the successor or substitute Index by the government of the United States shall be substituted. If no Index is so designated, Landlord and Tenant shall reasonably agree upon an Index prepared by an appropriate government entity, corporation or other entity.</w:t>
      </w:r>
    </w:p>
    <w:p>
      <w:pPr>
        <w:spacing w:after="0" w:line="189" w:lineRule="exact"/>
        <w:rPr>
          <w:rFonts w:ascii="Arial" w:cs="Arial" w:eastAsia="Arial" w:hAnsi="Arial"/>
          <w:sz w:val="22"/>
          <w:szCs w:val="22"/>
          <w:color w:val="auto"/>
        </w:rPr>
      </w:pPr>
    </w:p>
    <w:p>
      <w:pPr>
        <w:jc w:val="both"/>
        <w:ind w:firstLine="8"/>
        <w:spacing w:after="0" w:line="254" w:lineRule="auto"/>
        <w:tabs>
          <w:tab w:leader="none" w:pos="356" w:val="left"/>
        </w:tabs>
        <w:numPr>
          <w:ilvl w:val="0"/>
          <w:numId w:val="61"/>
        </w:numPr>
        <w:rPr>
          <w:rFonts w:ascii="Arial" w:cs="Arial" w:eastAsia="Arial" w:hAnsi="Arial"/>
          <w:sz w:val="22"/>
          <w:szCs w:val="22"/>
          <w:color w:val="auto"/>
        </w:rPr>
      </w:pPr>
      <w:r>
        <w:rPr>
          <w:rFonts w:ascii="Arial" w:cs="Arial" w:eastAsia="Arial" w:hAnsi="Arial"/>
          <w:sz w:val="22"/>
          <w:szCs w:val="22"/>
          <w:color w:val="auto"/>
        </w:rPr>
        <w:t>If an applicable Index is not available as of an Adjustment Date, then: (i) Tenant shall continue to pay Base Rent in an amount equal to 102% of the Base Rent paid immediately prior to such Adjustment Date; and (ii) Landlord and Tenant will agree to a substantially similar replacement Index; and (iii) Tenant shall within ten days of such agreement pay to Landlord all additional amounts owed as of the relevant effective date, and (iv) the Base Rent shall be increased by the same amount until the next subsequent Adjustment Date or the end of the Term, as appropriate.</w:t>
      </w:r>
    </w:p>
    <w:p>
      <w:pPr>
        <w:sectPr>
          <w:pgSz w:w="11900" w:h="16838" w:orient="portrait"/>
          <w:cols w:equalWidth="0" w:num="1">
            <w:col w:w="11420"/>
          </w:cols>
          <w:pgMar w:left="240" w:top="990" w:right="239" w:bottom="1440" w:gutter="0" w:footer="0" w:header="0"/>
        </w:sectPr>
      </w:pPr>
    </w:p>
    <w:bookmarkStart w:id="69" w:name="page70"/>
    <w:bookmarkEnd w:id="69"/>
    <w:p>
      <w:pPr>
        <w:jc w:val="center"/>
        <w:ind w:right="-1200"/>
        <w:spacing w:after="0"/>
        <w:rPr>
          <w:sz w:val="20"/>
          <w:szCs w:val="20"/>
          <w:color w:val="auto"/>
        </w:rPr>
      </w:pPr>
      <w:r>
        <w:rPr>
          <w:rFonts w:ascii="Arial" w:cs="Arial" w:eastAsia="Arial" w:hAnsi="Arial"/>
          <w:sz w:val="22"/>
          <w:szCs w:val="22"/>
          <w:b w:val="1"/>
          <w:bCs w:val="1"/>
          <w:color w:val="auto"/>
        </w:rPr>
        <w:t>EXHIBIT 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Restrictions on Member Voting Rights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Until this Lease expires or is terminated in accordance with its terms: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Mr. Don Clark will not have any voting rights in any entity that owns all or any portion of the Premises.</w:t>
      </w:r>
    </w:p>
    <w:p>
      <w:pPr>
        <w:sectPr>
          <w:pgSz w:w="11900" w:h="16838" w:orient="portrait"/>
          <w:cols w:equalWidth="0" w:num="1">
            <w:col w:w="10219"/>
          </w:cols>
          <w:pgMar w:left="240" w:top="895" w:right="1440" w:bottom="1440" w:gutter="0" w:footer="0" w:header="0"/>
        </w:sectPr>
      </w:pPr>
    </w:p>
    <w:bookmarkStart w:id="70" w:name="page71"/>
    <w:bookmarkEnd w:id="70"/>
    <w:p>
      <w:pPr>
        <w:ind w:left="5140"/>
        <w:spacing w:after="0"/>
        <w:rPr>
          <w:sz w:val="20"/>
          <w:szCs w:val="20"/>
          <w:color w:val="auto"/>
        </w:rPr>
      </w:pPr>
      <w:r>
        <w:rPr>
          <w:rFonts w:ascii="Arial" w:cs="Arial" w:eastAsia="Arial" w:hAnsi="Arial"/>
          <w:sz w:val="22"/>
          <w:szCs w:val="22"/>
          <w:b w:val="1"/>
          <w:bCs w:val="1"/>
          <w:color w:val="auto"/>
        </w:rPr>
        <w:t>EXHIBIT D</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Restrictions on Transfer of Property or</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Membership Interests of Landlord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Until this Lease expires or is terminated in accordance with its terms: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Landlord will not sell, transfer, hypothecate or convey the Premises, nor any fractional interest in the Premises (including, without limitation, any lien or mortgage on the Premises), nor his membership interest in the entity that is the Landlord, to any person or entity that engages in or holds any ownership interest in an entity that engages in a business activity that is competitive with Tenant.</w:t>
      </w:r>
    </w:p>
    <w:p>
      <w:pPr>
        <w:sectPr>
          <w:pgSz w:w="11900" w:h="16838" w:orient="portrait"/>
          <w:cols w:equalWidth="0" w:num="1">
            <w:col w:w="11420"/>
          </w:cols>
          <w:pgMar w:left="240" w:top="89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b w:val="1"/>
          <w:bCs w:val="1"/>
          <w:color w:val="auto"/>
        </w:rPr>
        <w:t>EXHIBIT 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 of First Offer</w:t>
      </w:r>
    </w:p>
    <w:p>
      <w:pPr>
        <w:spacing w:after="0" w:line="200" w:lineRule="exact"/>
        <w:rPr>
          <w:sz w:val="20"/>
          <w:szCs w:val="20"/>
          <w:color w:val="auto"/>
        </w:rPr>
      </w:pPr>
    </w:p>
    <w:p>
      <w:pPr>
        <w:spacing w:after="0" w:line="209" w:lineRule="exact"/>
        <w:rPr>
          <w:sz w:val="20"/>
          <w:szCs w:val="20"/>
          <w:color w:val="auto"/>
        </w:rPr>
      </w:pPr>
    </w:p>
    <w:p>
      <w:pPr>
        <w:jc w:val="both"/>
        <w:ind w:firstLine="8"/>
        <w:spacing w:after="0" w:line="287" w:lineRule="auto"/>
        <w:tabs>
          <w:tab w:leader="none" w:pos="437" w:val="left"/>
        </w:tabs>
        <w:numPr>
          <w:ilvl w:val="0"/>
          <w:numId w:val="62"/>
        </w:numPr>
        <w:rPr>
          <w:rFonts w:ascii="Arial" w:cs="Arial" w:eastAsia="Arial" w:hAnsi="Arial"/>
          <w:sz w:val="19"/>
          <w:szCs w:val="19"/>
          <w:color w:val="auto"/>
        </w:rPr>
      </w:pPr>
      <w:r>
        <w:rPr>
          <w:rFonts w:ascii="Arial" w:cs="Arial" w:eastAsia="Arial" w:hAnsi="Arial"/>
          <w:sz w:val="19"/>
          <w:szCs w:val="19"/>
          <w:color w:val="auto"/>
        </w:rPr>
        <w:t>Landlord hereby grants Tenant the following right of first offer to purchase the Premises from Landlord (the “</w:t>
      </w:r>
      <w:r>
        <w:rPr>
          <w:rFonts w:ascii="Arial" w:cs="Arial" w:eastAsia="Arial" w:hAnsi="Arial"/>
          <w:sz w:val="19"/>
          <w:szCs w:val="19"/>
          <w:b w:val="1"/>
          <w:bCs w:val="1"/>
          <w:color w:val="auto"/>
        </w:rPr>
        <w:t>First Offer</w:t>
      </w:r>
      <w:r>
        <w:rPr>
          <w:rFonts w:ascii="Arial" w:cs="Arial" w:eastAsia="Arial" w:hAnsi="Arial"/>
          <w:sz w:val="19"/>
          <w:szCs w:val="19"/>
          <w:color w:val="auto"/>
        </w:rPr>
        <w:t xml:space="preserve"> </w:t>
      </w:r>
      <w:r>
        <w:rPr>
          <w:rFonts w:ascii="Arial" w:cs="Arial" w:eastAsia="Arial" w:hAnsi="Arial"/>
          <w:sz w:val="19"/>
          <w:szCs w:val="19"/>
          <w:b w:val="1"/>
          <w:bCs w:val="1"/>
          <w:color w:val="auto"/>
        </w:rPr>
        <w:t>Right</w:t>
      </w:r>
      <w:r>
        <w:rPr>
          <w:rFonts w:ascii="Arial" w:cs="Arial" w:eastAsia="Arial" w:hAnsi="Arial"/>
          <w:sz w:val="19"/>
          <w:szCs w:val="19"/>
          <w:color w:val="auto"/>
        </w:rPr>
        <w:t>”), which First Offer Right will remain in effect during the Term of the Lease (as extended by Tenant). If during such Term of</w:t>
      </w:r>
      <w:r>
        <w:rPr>
          <w:rFonts w:ascii="Arial" w:cs="Arial" w:eastAsia="Arial" w:hAnsi="Arial"/>
          <w:sz w:val="19"/>
          <w:szCs w:val="19"/>
          <w:b w:val="1"/>
          <w:bCs w:val="1"/>
          <w:color w:val="auto"/>
        </w:rPr>
        <w:t xml:space="preserve"> </w:t>
      </w:r>
      <w:r>
        <w:rPr>
          <w:rFonts w:ascii="Arial" w:cs="Arial" w:eastAsia="Arial" w:hAnsi="Arial"/>
          <w:sz w:val="19"/>
          <w:szCs w:val="19"/>
          <w:color w:val="auto"/>
        </w:rPr>
        <w:t>the Lease Landlord elects to sell, transfer, assign, or otherwise convey the Property or any part thereof (“</w:t>
      </w:r>
      <w:r>
        <w:rPr>
          <w:rFonts w:ascii="Arial" w:cs="Arial" w:eastAsia="Arial" w:hAnsi="Arial"/>
          <w:sz w:val="19"/>
          <w:szCs w:val="19"/>
          <w:b w:val="1"/>
          <w:bCs w:val="1"/>
          <w:color w:val="auto"/>
        </w:rPr>
        <w:t>Transfer</w:t>
      </w:r>
      <w:r>
        <w:rPr>
          <w:rFonts w:ascii="Arial" w:cs="Arial" w:eastAsia="Arial" w:hAnsi="Arial"/>
          <w:sz w:val="19"/>
          <w:szCs w:val="19"/>
          <w:color w:val="auto"/>
        </w:rPr>
        <w:t>”) to a third party (“</w:t>
      </w:r>
      <w:r>
        <w:rPr>
          <w:rFonts w:ascii="Arial" w:cs="Arial" w:eastAsia="Arial" w:hAnsi="Arial"/>
          <w:sz w:val="19"/>
          <w:szCs w:val="19"/>
          <w:b w:val="1"/>
          <w:bCs w:val="1"/>
          <w:color w:val="auto"/>
        </w:rPr>
        <w:t>BFP</w:t>
      </w:r>
      <w:r>
        <w:rPr>
          <w:rFonts w:ascii="Arial" w:cs="Arial" w:eastAsia="Arial" w:hAnsi="Arial"/>
          <w:sz w:val="19"/>
          <w:szCs w:val="19"/>
          <w:color w:val="auto"/>
        </w:rPr>
        <w:t>”), Landlord shall first notify Tenant in writing of such intention (the “</w:t>
      </w:r>
      <w:r>
        <w:rPr>
          <w:rFonts w:ascii="Arial" w:cs="Arial" w:eastAsia="Arial" w:hAnsi="Arial"/>
          <w:sz w:val="19"/>
          <w:szCs w:val="19"/>
          <w:b w:val="1"/>
          <w:bCs w:val="1"/>
          <w:color w:val="auto"/>
        </w:rPr>
        <w:t>Notice</w:t>
      </w:r>
      <w:r>
        <w:rPr>
          <w:rFonts w:ascii="Arial" w:cs="Arial" w:eastAsia="Arial" w:hAnsi="Arial"/>
          <w:sz w:val="19"/>
          <w:szCs w:val="19"/>
          <w:color w:val="auto"/>
        </w:rPr>
        <w:t>”), which Notice shall be delivered by Federal Express in a manner than enables tracking and verification of delivery, and which Notice will include: (i) a date (which shall not be less than 60 days from the date of the Notice) in which Landlord would like to close on such transaction, and (ii) the minimum price that Landlord will accept for the Property (which price must be at or below Landlord’s reasonable and good faith estimate of such property’s market value) (the “</w:t>
      </w:r>
      <w:r>
        <w:rPr>
          <w:rFonts w:ascii="Arial" w:cs="Arial" w:eastAsia="Arial" w:hAnsi="Arial"/>
          <w:sz w:val="19"/>
          <w:szCs w:val="19"/>
          <w:b w:val="1"/>
          <w:bCs w:val="1"/>
          <w:color w:val="auto"/>
        </w:rPr>
        <w:t>Sales Price</w:t>
      </w:r>
      <w:r>
        <w:rPr>
          <w:rFonts w:ascii="Arial" w:cs="Arial" w:eastAsia="Arial" w:hAnsi="Arial"/>
          <w:sz w:val="19"/>
          <w:szCs w:val="19"/>
          <w:color w:val="auto"/>
        </w:rPr>
        <w:t>”). Tenant shall have 30 days following their receipt of the Notice to elect to purchase the Property by giving written notice of such election to Landlord (“</w:t>
      </w:r>
      <w:r>
        <w:rPr>
          <w:rFonts w:ascii="Arial" w:cs="Arial" w:eastAsia="Arial" w:hAnsi="Arial"/>
          <w:sz w:val="19"/>
          <w:szCs w:val="19"/>
          <w:b w:val="1"/>
          <w:bCs w:val="1"/>
          <w:color w:val="auto"/>
        </w:rPr>
        <w:t>Acceptance Notice</w:t>
      </w:r>
      <w:r>
        <w:rPr>
          <w:rFonts w:ascii="Arial" w:cs="Arial" w:eastAsia="Arial" w:hAnsi="Arial"/>
          <w:sz w:val="19"/>
          <w:szCs w:val="19"/>
          <w:color w:val="auto"/>
        </w:rPr>
        <w:t>”). If such Acceptance Notice is timely given by Tenant, the parties shall in good faith enter into a commercially reasonable purchase agreement providing for the purchase of the Property by Tenant at 98% of the Sales Price, with customary earnest money, contingencies and title examination, and the closing shall occur no later than the date set forth in the Notice. If the Acceptance Notice is not timely given by Tenant, Landlord may proceed to sell the Property to any BFP so long as the consideration given by such BFP is not less than the Sales Price set forth in the Notice. In the event of such a sale to a BFP, Tenant shall have no further right under this paragraph 1 to purchase the Property. Further, if Landlord intends to sell the Property to a BFP at less than 98% of the Sales Price set forth in the Notice (notwithstanding any lack of a timely Acceptance Notice by Landlord), the First Offer Right hereunder shall remain in full force and effect and Landlord is obligated to re-offer to sell the Property to Tenant in accordance with the foregoing provisions of this paragraph 1 at such lower price (except that Tenant shall only have fifteen (15) days instead of thirty (30) days to provide an Acceptance Notice). Upon the expiration of the Offer Period, Tenant’s rights hereunder will lapse and this Agreement will terminate automatically, time being of the essence.</w:t>
      </w:r>
    </w:p>
    <w:p>
      <w:pPr>
        <w:spacing w:after="0" w:line="389" w:lineRule="exact"/>
        <w:rPr>
          <w:rFonts w:ascii="Arial" w:cs="Arial" w:eastAsia="Arial" w:hAnsi="Arial"/>
          <w:sz w:val="19"/>
          <w:szCs w:val="19"/>
          <w:color w:val="auto"/>
        </w:rPr>
      </w:pPr>
    </w:p>
    <w:p>
      <w:pPr>
        <w:jc w:val="both"/>
        <w:ind w:firstLine="8"/>
        <w:spacing w:after="0" w:line="266" w:lineRule="auto"/>
        <w:tabs>
          <w:tab w:leader="none" w:pos="383"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Except as set forth in the following sentence, this Agreement shall be binding upon, and inure to the benefit of the parties hereto and their respective successors and assigns. The rights granted to Tenant hereunder are personal to Tenant and may not be assigned.</w:t>
      </w:r>
    </w:p>
    <w:p>
      <w:pPr>
        <w:sectPr>
          <w:pgSz w:w="11900" w:h="16838" w:orient="portrait"/>
          <w:cols w:equalWidth="0" w:num="1">
            <w:col w:w="11420"/>
          </w:cols>
          <w:pgMar w:left="240" w:top="828"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22"/>
          <w:szCs w:val="22"/>
          <w:b w:val="1"/>
          <w:bCs w:val="1"/>
          <w:color w:val="auto"/>
        </w:rPr>
        <w:t>EXHIBIT F(1)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Description of First Facility</w:t>
      </w: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color w:val="auto"/>
        </w:rPr>
        <w:t>A facility of approximately 110,000 square feet, suitable for use as a production facility to manufacture recreational vehicles, with:</w:t>
      </w:r>
    </w:p>
    <w:p>
      <w:pPr>
        <w:spacing w:after="0" w:line="56" w:lineRule="exact"/>
        <w:rPr>
          <w:sz w:val="20"/>
          <w:szCs w:val="20"/>
          <w:color w:val="auto"/>
        </w:rPr>
      </w:pPr>
    </w:p>
    <w:p>
      <w:pPr>
        <w:jc w:val="both"/>
        <w:ind w:firstLine="8"/>
        <w:spacing w:after="0" w:line="245" w:lineRule="auto"/>
        <w:tabs>
          <w:tab w:leader="none" w:pos="312" w:val="left"/>
        </w:tabs>
        <w:numPr>
          <w:ilvl w:val="0"/>
          <w:numId w:val="63"/>
        </w:numPr>
        <w:rPr>
          <w:rFonts w:ascii="Arial" w:cs="Arial" w:eastAsia="Arial" w:hAnsi="Arial"/>
          <w:sz w:val="22"/>
          <w:szCs w:val="22"/>
          <w:color w:val="auto"/>
        </w:rPr>
      </w:pPr>
      <w:r>
        <w:rPr>
          <w:rFonts w:ascii="Arial" w:cs="Arial" w:eastAsia="Arial" w:hAnsi="Arial"/>
          <w:sz w:val="22"/>
          <w:szCs w:val="22"/>
          <w:color w:val="auto"/>
        </w:rPr>
        <w:t>steel frame and roof trusses with exterior constructed of metal siding, (b) roof rated for an expected life of approximately 30 years, (c) HVAC units producing a combined tonnage of 2.2 million BTU for manufacturing space and 200,000 BTU for office space, (d) interior office and production space reasonably approved by Tenant.</w:t>
      </w:r>
    </w:p>
    <w:p>
      <w:pPr>
        <w:sectPr>
          <w:pgSz w:w="11900" w:h="16838" w:orient="portrait"/>
          <w:cols w:equalWidth="0" w:num="1">
            <w:col w:w="11420"/>
          </w:cols>
          <w:pgMar w:left="240" w:top="828"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b w:val="1"/>
          <w:bCs w:val="1"/>
          <w:color w:val="auto"/>
        </w:rPr>
        <w:t>EXHIBIT F(2)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Second Facility</w:t>
      </w:r>
    </w:p>
    <w:p>
      <w:pPr>
        <w:spacing w:after="0" w:line="388"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A facility of approximately 110,000 square feet, suitable for use as a pre-delivery inspection and customer service facility for the production and distribution of recreational vehicles, with: (a) steel frame and roof trusses with exterior constructed of metal siding,</w:t>
      </w:r>
    </w:p>
    <w:p>
      <w:pPr>
        <w:spacing w:after="0" w:line="1" w:lineRule="exact"/>
        <w:rPr>
          <w:sz w:val="20"/>
          <w:szCs w:val="20"/>
          <w:color w:val="auto"/>
        </w:rPr>
      </w:pPr>
    </w:p>
    <w:p>
      <w:pPr>
        <w:ind w:firstLine="8"/>
        <w:spacing w:after="0" w:line="323" w:lineRule="auto"/>
        <w:tabs>
          <w:tab w:leader="none" w:pos="306" w:val="left"/>
        </w:tabs>
        <w:numPr>
          <w:ilvl w:val="0"/>
          <w:numId w:val="64"/>
        </w:numPr>
        <w:rPr>
          <w:rFonts w:ascii="Arial" w:cs="Arial" w:eastAsia="Arial" w:hAnsi="Arial"/>
          <w:sz w:val="19"/>
          <w:szCs w:val="19"/>
          <w:color w:val="auto"/>
        </w:rPr>
      </w:pPr>
      <w:r>
        <w:rPr>
          <w:rFonts w:ascii="Arial" w:cs="Arial" w:eastAsia="Arial" w:hAnsi="Arial"/>
          <w:sz w:val="19"/>
          <w:szCs w:val="19"/>
          <w:color w:val="auto"/>
        </w:rPr>
        <w:t>roof rated for an expected life of approximately 30 years, (c) HVAC units producing a combined tonnage of 2.2 million BTU for manufacturing space and 200,000 BTU for office space, (d) interior office and production space reasonably approved by Tenant.</w:t>
      </w:r>
    </w:p>
    <w:sectPr>
      <w:pgSz w:w="11900" w:h="16838" w:orient="portrait"/>
      <w:cols w:equalWidth="0" w:num="1">
        <w:col w:w="11420"/>
      </w:cols>
      <w:pgMar w:left="240" w:top="6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x"/>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lvl w:ilvl="1">
      <w:lvlJc w:val="left"/>
      <w:lvlText w:val="%2."/>
      <w:numFmt w:val="lowerLetter"/>
      <w:start w:val="1"/>
    </w:lvl>
  </w:abstractNum>
  <w:abstractNum w:abstractNumId="21">
    <w:nsid w:val="2A487CB0"/>
    <w:multiLevelType w:val="hybridMultilevel"/>
    <w:lvl w:ilvl="0">
      <w:lvlJc w:val="left"/>
      <w:lvlText w:val="%1."/>
      <w:numFmt w:val="decimal"/>
      <w:start w:val="1"/>
    </w:lvl>
    <w:lvl w:ilvl="1">
      <w:lvlJc w:val="left"/>
      <w:lvlText w:val="%2."/>
      <w:numFmt w:val="lowerLetter"/>
      <w:start w:val="1"/>
    </w:lvl>
  </w:abstractNum>
  <w:abstractNum w:abstractNumId="22">
    <w:nsid w:val="1D4ED43B"/>
    <w:multiLevelType w:val="hybridMultilevel"/>
    <w:lvl w:ilvl="0">
      <w:lvlJc w:val="left"/>
      <w:lvlText w:val="%1."/>
      <w:numFmt w:val="lowerLetter"/>
      <w:start w:val="1"/>
    </w:lvl>
  </w:abstractNum>
  <w:abstractNum w:abstractNumId="23">
    <w:nsid w:val="725A06FB"/>
    <w:multiLevelType w:val="hybridMultilevel"/>
    <w:lvl w:ilvl="0">
      <w:lvlJc w:val="left"/>
      <w:lvlText w:val="%1."/>
      <w:numFmt w:val="lowerLetter"/>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2"/>
    </w:lvl>
  </w:abstractNum>
  <w:abstractNum w:abstractNumId="26">
    <w:nsid w:val="7A6D8D3C"/>
    <w:multiLevelType w:val="hybridMultilevel"/>
    <w:lvl w:ilvl="0">
      <w:lvlJc w:val="left"/>
      <w:lvlText w:val="%1."/>
      <w:numFmt w:val="decimal"/>
      <w:start w:val="3"/>
    </w:lvl>
  </w:abstractNum>
  <w:abstractNum w:abstractNumId="27">
    <w:nsid w:val="4B588F54"/>
    <w:multiLevelType w:val="hybridMultilevel"/>
    <w:lvl w:ilvl="0">
      <w:lvlJc w:val="left"/>
      <w:lvlText w:val="%1."/>
      <w:numFmt w:val="decimal"/>
      <w:start w:val="8"/>
    </w:lvl>
  </w:abstractNum>
  <w:abstractNum w:abstractNumId="28">
    <w:nsid w:val="542289EC"/>
    <w:multiLevelType w:val="hybridMultilevel"/>
    <w:lvl w:ilvl="0">
      <w:lvlJc w:val="left"/>
      <w:lvlText w:val="%1."/>
      <w:numFmt w:val="decimal"/>
      <w:start w:val="9"/>
    </w:lvl>
  </w:abstractNum>
  <w:abstractNum w:abstractNumId="29">
    <w:nsid w:val="6DE91B18"/>
    <w:multiLevelType w:val="hybridMultilevel"/>
    <w:lvl w:ilvl="0">
      <w:lvlJc w:val="left"/>
      <w:lvlText w:val="%1."/>
      <w:numFmt w:val="decimal"/>
      <w:start w:val="10"/>
    </w:lvl>
  </w:abstractNum>
  <w:abstractNum w:abstractNumId="30">
    <w:nsid w:val="38437FDB"/>
    <w:multiLevelType w:val="hybridMultilevel"/>
    <w:lvl w:ilvl="0">
      <w:lvlJc w:val="left"/>
      <w:lvlText w:val="%1."/>
      <w:numFmt w:val="decimal"/>
      <w:start w:val="11"/>
    </w:lvl>
    <w:lvl w:ilvl="1">
      <w:lvlJc w:val="left"/>
      <w:lvlText w:val="%2."/>
      <w:numFmt w:val="lowerLetter"/>
      <w:start w:val="1"/>
    </w:lvl>
  </w:abstractNum>
  <w:abstractNum w:abstractNumId="31">
    <w:nsid w:val="7644A45C"/>
    <w:multiLevelType w:val="hybridMultilevel"/>
    <w:lvl w:ilvl="0">
      <w:lvlJc w:val="left"/>
      <w:lvlText w:val="%1"/>
      <w:numFmt w:val="decimal"/>
      <w:start w:val="1"/>
    </w:lvl>
    <w:lvl w:ilvl="1">
      <w:lvlJc w:val="left"/>
      <w:lvlText w:val="%2."/>
      <w:numFmt w:val="lowerLetter"/>
      <w:start w:val="3"/>
    </w:lvl>
  </w:abstractNum>
  <w:abstractNum w:abstractNumId="32">
    <w:nsid w:val="32FFF902"/>
    <w:multiLevelType w:val="hybridMultilevel"/>
    <w:lvl w:ilvl="0">
      <w:lvlJc w:val="left"/>
      <w:lvlText w:val="%1."/>
      <w:numFmt w:val="decimal"/>
      <w:start w:val="12"/>
    </w:lvl>
    <w:lvl w:ilvl="1">
      <w:lvlJc w:val="left"/>
      <w:lvlText w:val="%2"/>
      <w:numFmt w:val="lowerLetter"/>
      <w:start w:val="1"/>
    </w:lvl>
  </w:abstractNum>
  <w:abstractNum w:abstractNumId="33">
    <w:nsid w:val="684A481A"/>
    <w:multiLevelType w:val="hybridMultilevel"/>
    <w:lvl w:ilvl="0">
      <w:lvlJc w:val="left"/>
      <w:lvlText w:val="%1."/>
      <w:numFmt w:val="decimal"/>
      <w:start w:val="13"/>
    </w:lvl>
    <w:lvl w:ilvl="1">
      <w:lvlJc w:val="left"/>
      <w:lvlText w:val="%2."/>
      <w:numFmt w:val="lowerLetter"/>
      <w:start w:val="1"/>
    </w:lvl>
  </w:abstractNum>
  <w:abstractNum w:abstractNumId="34">
    <w:nsid w:val="579478FE"/>
    <w:multiLevelType w:val="hybridMultilevel"/>
    <w:lvl w:ilvl="0">
      <w:lvlJc w:val="left"/>
      <w:lvlText w:val="%1."/>
      <w:numFmt w:val="lowerLetter"/>
      <w:start w:val="5"/>
    </w:lvl>
  </w:abstractNum>
  <w:abstractNum w:abstractNumId="35">
    <w:nsid w:val="749ABB43"/>
    <w:multiLevelType w:val="hybridMultilevel"/>
    <w:lvl w:ilvl="0">
      <w:lvlJc w:val="left"/>
      <w:lvlText w:val="%1."/>
      <w:numFmt w:val="decimal"/>
      <w:start w:val="16"/>
    </w:lvl>
  </w:abstractNum>
  <w:abstractNum w:abstractNumId="36">
    <w:nsid w:val="3DC240FB"/>
    <w:multiLevelType w:val="hybridMultilevel"/>
    <w:lvl w:ilvl="0">
      <w:lvlJc w:val="left"/>
      <w:lvlText w:val="%1"/>
      <w:numFmt w:val="decimal"/>
      <w:start w:val="1"/>
    </w:lvl>
    <w:lvl w:ilvl="1">
      <w:lvlJc w:val="left"/>
      <w:lvlText w:val="%2."/>
      <w:numFmt w:val="lowerLetter"/>
      <w:start w:val="1"/>
    </w:lvl>
  </w:abstractNum>
  <w:abstractNum w:abstractNumId="37">
    <w:nsid w:val="1BA026FA"/>
    <w:multiLevelType w:val="hybridMultilevel"/>
    <w:lvl w:ilvl="0">
      <w:lvlJc w:val="left"/>
      <w:lvlText w:val="%1."/>
      <w:numFmt w:val="decimal"/>
      <w:start w:val="19"/>
    </w:lvl>
    <w:lvl w:ilvl="1">
      <w:lvlJc w:val="left"/>
      <w:lvlText w:val="%2"/>
      <w:numFmt w:val="lowerLetter"/>
      <w:start w:val="1"/>
    </w:lvl>
  </w:abstractNum>
  <w:abstractNum w:abstractNumId="38">
    <w:nsid w:val="79A1DEAA"/>
    <w:multiLevelType w:val="hybridMultilevel"/>
    <w:lvl w:ilvl="0">
      <w:lvlJc w:val="left"/>
      <w:lvlText w:val="%1."/>
      <w:numFmt w:val="decimal"/>
      <w:start w:val="23"/>
    </w:lvl>
  </w:abstractNum>
  <w:abstractNum w:abstractNumId="39">
    <w:nsid w:val="75C6C33A"/>
    <w:multiLevelType w:val="hybridMultilevel"/>
    <w:lvl w:ilvl="0">
      <w:lvlJc w:val="left"/>
      <w:lvlText w:val="%1."/>
      <w:numFmt w:val="decimal"/>
      <w:start w:val="26"/>
    </w:lvl>
  </w:abstractNum>
  <w:abstractNum w:abstractNumId="40">
    <w:nsid w:val="12E685FB"/>
    <w:multiLevelType w:val="hybridMultilevel"/>
    <w:lvl w:ilvl="0">
      <w:lvlJc w:val="left"/>
      <w:lvlText w:val="%1."/>
      <w:numFmt w:val="decimal"/>
      <w:start w:val="27"/>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2"/>
    </w:lvl>
  </w:abstractNum>
  <w:abstractNum w:abstractNumId="45">
    <w:nsid w:val="23F9C13C"/>
    <w:multiLevelType w:val="hybridMultilevel"/>
    <w:lvl w:ilvl="0">
      <w:lvlJc w:val="left"/>
      <w:lvlText w:val="%1."/>
      <w:numFmt w:val="decimal"/>
      <w:start w:val="3"/>
    </w:lvl>
  </w:abstractNum>
  <w:abstractNum w:abstractNumId="46">
    <w:nsid w:val="649BB77C"/>
    <w:multiLevelType w:val="hybridMultilevel"/>
    <w:lvl w:ilvl="0">
      <w:lvlJc w:val="left"/>
      <w:lvlText w:val="%1."/>
      <w:numFmt w:val="decimal"/>
      <w:start w:val="6"/>
    </w:lvl>
  </w:abstractNum>
  <w:abstractNum w:abstractNumId="47">
    <w:nsid w:val="275AC794"/>
    <w:multiLevelType w:val="hybridMultilevel"/>
    <w:lvl w:ilvl="0">
      <w:lvlJc w:val="left"/>
      <w:lvlText w:val="%1."/>
      <w:numFmt w:val="decimal"/>
      <w:start w:val="9"/>
    </w:lvl>
  </w:abstractNum>
  <w:abstractNum w:abstractNumId="48">
    <w:nsid w:val="39386575"/>
    <w:multiLevelType w:val="hybridMultilevel"/>
    <w:lvl w:ilvl="0">
      <w:lvlJc w:val="left"/>
      <w:lvlText w:val="(%1)"/>
      <w:numFmt w:val="lowerLetter"/>
      <w:start w:val="19"/>
    </w:lvl>
  </w:abstractNum>
  <w:abstractNum w:abstractNumId="49">
    <w:nsid w:val="1CF10FD8"/>
    <w:multiLevelType w:val="hybridMultilevel"/>
    <w:lvl w:ilvl="0">
      <w:lvlJc w:val="left"/>
      <w:lvlText w:val="%1."/>
      <w:numFmt w:val="decimal"/>
      <w:start w:val="11"/>
    </w:lvl>
    <w:lvl w:ilvl="1">
      <w:lvlJc w:val="left"/>
      <w:lvlText w:val="%2."/>
      <w:numFmt w:val="lowerLetter"/>
      <w:start w:val="1"/>
    </w:lvl>
  </w:abstractNum>
  <w:abstractNum w:abstractNumId="50">
    <w:nsid w:val="180115BE"/>
    <w:multiLevelType w:val="hybridMultilevel"/>
    <w:lvl w:ilvl="0">
      <w:lvlJc w:val="left"/>
      <w:lvlText w:val="%1"/>
      <w:numFmt w:val="decimal"/>
      <w:start w:val="1"/>
    </w:lvl>
    <w:lvl w:ilvl="1">
      <w:lvlJc w:val="left"/>
      <w:lvlText w:val="%2."/>
      <w:numFmt w:val="lowerLetter"/>
      <w:start w:val="5"/>
    </w:lvl>
  </w:abstractNum>
  <w:abstractNum w:abstractNumId="51">
    <w:nsid w:val="235BA861"/>
    <w:multiLevelType w:val="hybridMultilevel"/>
    <w:lvl w:ilvl="0">
      <w:lvlJc w:val="left"/>
      <w:lvlText w:val="%1."/>
      <w:numFmt w:val="decimal"/>
      <w:start w:val="12"/>
    </w:lvl>
    <w:lvl w:ilvl="1">
      <w:lvlJc w:val="left"/>
      <w:lvlText w:val="%2"/>
      <w:numFmt w:val="lowerLetter"/>
      <w:start w:val="1"/>
    </w:lvl>
  </w:abstractNum>
  <w:abstractNum w:abstractNumId="52">
    <w:nsid w:val="47398C89"/>
    <w:multiLevelType w:val="hybridMultilevel"/>
    <w:lvl w:ilvl="0">
      <w:lvlJc w:val="left"/>
      <w:lvlText w:val="%1."/>
      <w:numFmt w:val="decimal"/>
      <w:start w:val="15"/>
    </w:lvl>
    <w:lvl w:ilvl="1">
      <w:lvlJc w:val="left"/>
      <w:lvlText w:val="%2."/>
      <w:numFmt w:val="lowerLetter"/>
      <w:start w:val="1"/>
    </w:lvl>
  </w:abstractNum>
  <w:abstractNum w:abstractNumId="53">
    <w:nsid w:val="354FE9F9"/>
    <w:multiLevelType w:val="hybridMultilevel"/>
    <w:lvl w:ilvl="0">
      <w:lvlJc w:val="left"/>
      <w:lvlText w:val="%1."/>
      <w:numFmt w:val="decimal"/>
      <w:start w:val="16"/>
    </w:lvl>
  </w:abstractNum>
  <w:abstractNum w:abstractNumId="54">
    <w:nsid w:val="15B5AF5C"/>
    <w:multiLevelType w:val="hybridMultilevel"/>
    <w:lvl w:ilvl="0">
      <w:lvlJc w:val="left"/>
      <w:lvlText w:val="%1."/>
      <w:numFmt w:val="decimal"/>
      <w:start w:val="17"/>
    </w:lvl>
    <w:lvl w:ilvl="1">
      <w:lvlJc w:val="left"/>
      <w:lvlText w:val="%2."/>
      <w:numFmt w:val="lowerLetter"/>
      <w:start w:val="1"/>
    </w:lvl>
  </w:abstractNum>
  <w:abstractNum w:abstractNumId="55">
    <w:nsid w:val="741226BB"/>
    <w:multiLevelType w:val="hybridMultilevel"/>
    <w:lvl w:ilvl="0">
      <w:lvlJc w:val="left"/>
      <w:lvlText w:val="%1."/>
      <w:numFmt w:val="decimal"/>
      <w:start w:val="20"/>
    </w:lvl>
  </w:abstractNum>
  <w:abstractNum w:abstractNumId="56">
    <w:nsid w:val="D34B6A8"/>
    <w:multiLevelType w:val="hybridMultilevel"/>
    <w:lvl w:ilvl="0">
      <w:lvlJc w:val="left"/>
      <w:lvlText w:val="%1."/>
      <w:numFmt w:val="decimal"/>
      <w:start w:val="23"/>
    </w:lvl>
  </w:abstractNum>
  <w:abstractNum w:abstractNumId="57">
    <w:nsid w:val="10233C99"/>
    <w:multiLevelType w:val="hybridMultilevel"/>
    <w:lvl w:ilvl="0">
      <w:lvlJc w:val="left"/>
      <w:lvlText w:val="%1."/>
      <w:numFmt w:val="decimal"/>
      <w:start w:val="25"/>
    </w:lvl>
  </w:abstractNum>
  <w:abstractNum w:abstractNumId="58">
    <w:nsid w:val="3F6AB60F"/>
    <w:multiLevelType w:val="hybridMultilevel"/>
    <w:lvl w:ilvl="0">
      <w:lvlJc w:val="left"/>
      <w:lvlText w:val="%1."/>
      <w:numFmt w:val="decimal"/>
      <w:start w:val="26"/>
    </w:lvl>
  </w:abstractNum>
  <w:abstractNum w:abstractNumId="59">
    <w:nsid w:val="61574095"/>
    <w:multiLevelType w:val="hybridMultilevel"/>
    <w:lvl w:ilvl="0">
      <w:lvlJc w:val="left"/>
      <w:lvlText w:val="%1."/>
      <w:numFmt w:val="decimal"/>
      <w:start w:val="32"/>
    </w:lvl>
  </w:abstractNum>
  <w:abstractNum w:abstractNumId="60">
    <w:nsid w:val="7E0C57B1"/>
    <w:multiLevelType w:val="hybridMultilevel"/>
    <w:lvl w:ilvl="0">
      <w:lvlJc w:val="left"/>
      <w:lvlText w:val="%1."/>
      <w:numFmt w:val="decimal"/>
      <w:start w:val="2"/>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lowerLetter"/>
      <w:start w:val="1"/>
    </w:lvl>
  </w:abstractNum>
  <w:abstractNum w:abstractNumId="63">
    <w:nsid w:val="310C50B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2019-12-29T08:17:28Z</dcterms:created>
  <dcterms:modified xsi:type="dcterms:W3CDTF">2019-12-29T08:17:28Z</dcterms:modified>
</cp:coreProperties>
</file>