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1181100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001-06403</w:t>
            </w:r>
          </w:p>
        </w:tc>
        <w:tc>
          <w:tcPr>
            <w:tcW w:w="2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(IRS Employer</w:t>
            </w:r>
          </w:p>
        </w:tc>
      </w:tr>
      <w:tr>
        <w:trPr>
          <w:trHeight w:val="217"/>
        </w:trPr>
        <w:tc>
          <w:tcPr>
            <w:tcW w:w="334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8"/>
              </w:rPr>
              <w:t>(Zip Code)</w:t>
            </w:r>
          </w:p>
        </w:tc>
      </w:tr>
      <w:tr>
        <w:trPr>
          <w:trHeight w:val="486"/>
        </w:trPr>
        <w:tc>
          <w:tcPr>
            <w:tcW w:w="6080" w:type="dxa"/>
            <w:vAlign w:val="bottom"/>
            <w:gridSpan w:val="3"/>
          </w:tcPr>
          <w:p>
            <w:pPr>
              <w:ind w:left="192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15"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229235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Winnebago Industries, Inc. is filing herewith a press release issued on March 15, 2012, as Exhibit 99.1 which is included herein. The press release was issued to report earnings for the second quarter of Fiscal 2012 ended February 25, 2012.</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15, 2012.</w:t>
      </w:r>
    </w:p>
    <w:p>
      <w:pPr>
        <w:sectPr>
          <w:pgSz w:w="11900" w:h="16838" w:orient="portrait"/>
          <w:cols w:equalWidth="0" w:num="1">
            <w:col w:w="11020"/>
          </w:cols>
          <w:pgMar w:left="240" w:top="580" w:right="6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8"/>
          <w:szCs w:val="18"/>
          <w:color w:val="auto"/>
        </w:rPr>
        <w:t>Date:</w:t>
        <w:tab/>
        <w:t>March 15,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38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Randy J. Potts</w:t>
      </w:r>
    </w:p>
    <w:p>
      <w:pPr>
        <w:spacing w:after="0" w:line="4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Chairman of the Board, Chief Executive Officer and</w:t>
      </w:r>
    </w:p>
    <w:p>
      <w:pPr>
        <w:ind w:left="3460"/>
        <w:spacing w:after="0"/>
        <w:tabs>
          <w:tab w:leader="none" w:pos="410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1120"/>
          </w:cols>
          <w:pgMar w:left="240" w:top="580" w:right="539" w:bottom="1440" w:gutter="0" w:footer="0" w:header="0"/>
        </w:sectPr>
      </w:pPr>
    </w:p>
    <w:bookmarkStart w:id="3" w:name="page4"/>
    <w:bookmarkEnd w:id="3"/>
    <w:p>
      <w:pPr>
        <w:ind w:left="426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March 15, 2012.</w:t>
      </w:r>
    </w:p>
    <w:p>
      <w:pPr>
        <w:sectPr>
          <w:pgSz w:w="11900" w:h="16838" w:orient="portrait"/>
          <w:cols w:equalWidth="0" w:num="1">
            <w:col w:w="9559"/>
          </w:cols>
          <w:pgMar w:left="900" w:top="58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SECOND QUARTER FISCAL 2012</w:t>
      </w:r>
    </w:p>
    <w:p>
      <w:pPr>
        <w:spacing w:after="0" w:line="27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FOREST CITY, IOWA, March 15, 2012 - Winnebago Industries, Inc. (NYSE:WGO), one of the leading United States (U.S.) recreation vehicle manufacturers, today reported financial results for the Company's second quarter of fiscal year 2012 and first six months of Fiscal 2012.</w:t>
      </w:r>
    </w:p>
    <w:p>
      <w:pPr>
        <w:spacing w:after="0" w:line="142"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Revenues for the second quarter of Fiscal 2012 ended February 25, 2012 were $131.6 million, an increase of 23.5 percent, versus $106.6 million for the second quarter of Fiscal 2011. Included within consolidated revenues was $14.5 million associated with towable products, compared to $1.8 million for the second quarter of Fiscal 2011. The Company reported an operating loss of $1.2 million for the quarter versus an operating profit of $4.1 million for the second quarter of Fiscal 2011. Net loss for the second quarter was $912,000 versus net income of $3.3 million for the second quarter of Fiscal 2011. On a diluted per share basis, the Company had a net loss of $0.03 for the second quarter of Fiscal 2012 versus net income of $0.11 for the second quarter of Fiscal 2011.</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Although revenues were higher as compared to the prior year primarily due to an increase in wholesale deliveries, the second quarter of Fiscal 2012 was negatively impacted by increased discounts and continued aggressive pricing strategies. The additional motor home wholesale volume prevented shortened work weeks that were experienced in the first quarter and also resulted in reduced inventory levels which significantly improved operating cash flows as compared to the prior year. The second quarter of Fiscal 2011 included a $3.5 million pre-tax benefit from the results of an annual physical inventory of work-in-process, due to lower actual inventory scrap and production loss.</w:t>
      </w:r>
    </w:p>
    <w:p>
      <w:pPr>
        <w:spacing w:after="0" w:line="14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Revenues for the first six months of Fiscal 2012 were $263.4 million, an increase of 14.4 percent, compared to $230.3 million for the first six months of Fiscal 2011. The Company reported an operating loss of $537,000 for the first six months of Fiscal 2012, compared to an operating profit of $9.0 million for the same period of Fiscal 2011. Net income for the first six months of Fiscal 2012 was $123,000, or $0.00 per diluted share, versus net income of $7.1 million, or $0.24 per diluted share, for the first six months of the last fiscal year.</w:t>
      </w:r>
    </w:p>
    <w:p>
      <w:pPr>
        <w:spacing w:after="0" w:line="14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“While we saw an increase in year over year wholesale shipments of both our motor homes and towables in the second quarter, we are disappointed with our financial results," said Winnebago Industries' Chairman, CEO and President Randy Potts. "However, we believe that we are better positioned for the future with a stronger sales order backlog as compared to the prior year. Our motor home order position of current model year product is nearly sold out at this time and we are excited about the new 2013 product launch starting in our third quarter. We are cautiously optimistic about growth in the general economy, given the improvement in consumer confidence, employment and housing starts."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25"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March 15, 2012.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1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is a leading U.S. manufacturer of recreation vehicles used primarily in leisure travel and outdoor recreation activities. The Company and its subsidiary build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420"/>
          </w:cols>
          <w:pgMar w:left="240" w:top="60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5"/>
          </w:tcPr>
          <w:p>
            <w:pPr>
              <w:jc w:val="center"/>
              <w:ind w:left="59"/>
              <w:spacing w:after="0"/>
              <w:rPr>
                <w:sz w:val="20"/>
                <w:szCs w:val="20"/>
                <w:color w:val="auto"/>
              </w:rPr>
            </w:pPr>
            <w:r>
              <w:rPr>
                <w:rFonts w:ascii="Arial" w:cs="Arial" w:eastAsia="Arial" w:hAnsi="Arial"/>
                <w:sz w:val="16"/>
                <w:szCs w:val="16"/>
                <w:b w:val="1"/>
                <w:bCs w:val="1"/>
                <w:color w:val="auto"/>
              </w:rPr>
              <w:t>Quarter Ended</w:t>
            </w:r>
          </w:p>
        </w:tc>
        <w:tc>
          <w:tcPr>
            <w:tcW w:w="1540" w:type="dxa"/>
            <w:vAlign w:val="bottom"/>
            <w:tcBorders>
              <w:bottom w:val="single" w:sz="8" w:color="auto"/>
            </w:tcBorders>
          </w:tcPr>
          <w:p>
            <w:pPr>
              <w:spacing w:after="0"/>
              <w:rPr>
                <w:sz w:val="19"/>
                <w:szCs w:val="19"/>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February 25, 2012</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February 26, 2011</w:t>
            </w: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131,600</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106,593</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r>
      <w:tr>
        <w:trPr>
          <w:trHeight w:val="26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124,754</w:t>
            </w:r>
          </w:p>
        </w:tc>
        <w:tc>
          <w:tcPr>
            <w:tcW w:w="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94.8 %</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95,269</w:t>
            </w:r>
          </w:p>
        </w:tc>
        <w:tc>
          <w:tcPr>
            <w:tcW w:w="2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89.4 %</w:t>
            </w:r>
          </w:p>
        </w:tc>
      </w:tr>
      <w:tr>
        <w:trPr>
          <w:trHeight w:val="25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6,846</w:t>
            </w:r>
          </w:p>
        </w:tc>
        <w:tc>
          <w:tcPr>
            <w:tcW w:w="2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5.2 %</w:t>
            </w:r>
          </w:p>
        </w:tc>
        <w:tc>
          <w:tcPr>
            <w:tcW w:w="4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11,324</w:t>
            </w:r>
          </w:p>
        </w:tc>
        <w:tc>
          <w:tcPr>
            <w:tcW w:w="22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10.6 %</w:t>
            </w:r>
          </w:p>
        </w:tc>
      </w:tr>
      <w:tr>
        <w:trPr>
          <w:trHeight w:val="28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3,992</w:t>
            </w:r>
          </w:p>
        </w:tc>
        <w:tc>
          <w:tcPr>
            <w:tcW w:w="2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3.0 %</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3,254</w:t>
            </w:r>
          </w:p>
        </w:tc>
        <w:tc>
          <w:tcPr>
            <w:tcW w:w="22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3.1 %</w:t>
            </w:r>
          </w:p>
        </w:tc>
      </w:tr>
      <w:tr>
        <w:trPr>
          <w:trHeight w:val="273"/>
        </w:trPr>
        <w:tc>
          <w:tcPr>
            <w:tcW w:w="5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4,018</w:t>
            </w:r>
          </w:p>
        </w:tc>
        <w:tc>
          <w:tcPr>
            <w:tcW w:w="2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3.0 %</w:t>
            </w:r>
          </w:p>
        </w:tc>
        <w:tc>
          <w:tcPr>
            <w:tcW w:w="4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4,020</w:t>
            </w:r>
          </w:p>
        </w:tc>
        <w:tc>
          <w:tcPr>
            <w:tcW w:w="2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3.8 %</w:t>
            </w:r>
          </w:p>
        </w:tc>
      </w:tr>
      <w:tr>
        <w:trPr>
          <w:trHeight w:val="250"/>
        </w:trPr>
        <w:tc>
          <w:tcPr>
            <w:tcW w:w="5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8,010</w:t>
            </w:r>
          </w:p>
        </w:tc>
        <w:tc>
          <w:tcPr>
            <w:tcW w:w="2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6.1 %</w:t>
            </w:r>
          </w:p>
        </w:tc>
        <w:tc>
          <w:tcPr>
            <w:tcW w:w="4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7,274</w:t>
            </w:r>
          </w:p>
        </w:tc>
        <w:tc>
          <w:tcPr>
            <w:tcW w:w="2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6.8 %</w:t>
            </w:r>
          </w:p>
        </w:tc>
      </w:tr>
      <w:tr>
        <w:trPr>
          <w:trHeight w:val="284"/>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Operating (loss) income</w:t>
            </w:r>
          </w:p>
        </w:tc>
        <w:tc>
          <w:tcPr>
            <w:tcW w:w="26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(1,164)</w:t>
            </w:r>
          </w:p>
        </w:tc>
        <w:tc>
          <w:tcPr>
            <w:tcW w:w="2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4,050</w:t>
            </w:r>
          </w:p>
        </w:tc>
        <w:tc>
          <w:tcPr>
            <w:tcW w:w="22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3.8 %</w:t>
            </w:r>
          </w:p>
        </w:tc>
      </w:tr>
      <w:tr>
        <w:trPr>
          <w:trHeight w:val="27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(expense) income</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(110)</w:t>
            </w:r>
          </w:p>
        </w:tc>
        <w:tc>
          <w:tcPr>
            <w:tcW w:w="2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4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322</w:t>
            </w:r>
          </w:p>
        </w:tc>
        <w:tc>
          <w:tcPr>
            <w:tcW w:w="2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0.3 %</w:t>
            </w:r>
          </w:p>
        </w:tc>
      </w:tr>
      <w:tr>
        <w:trPr>
          <w:trHeight w:val="24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(Loss) income before income taxes</w:t>
            </w:r>
          </w:p>
        </w:tc>
        <w:tc>
          <w:tcPr>
            <w:tcW w:w="260" w:type="dxa"/>
            <w:vAlign w:val="bottom"/>
          </w:tcPr>
          <w:p>
            <w:pPr>
              <w:spacing w:after="0"/>
              <w:rPr>
                <w:sz w:val="21"/>
                <w:szCs w:val="21"/>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(1,274)</w:t>
            </w:r>
          </w:p>
        </w:tc>
        <w:tc>
          <w:tcPr>
            <w:tcW w:w="200" w:type="dxa"/>
            <w:vAlign w:val="bottom"/>
          </w:tcPr>
          <w:p>
            <w:pPr>
              <w:spacing w:after="0"/>
              <w:rPr>
                <w:sz w:val="21"/>
                <w:szCs w:val="21"/>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4,372</w:t>
            </w:r>
          </w:p>
        </w:tc>
        <w:tc>
          <w:tcPr>
            <w:tcW w:w="220" w:type="dxa"/>
            <w:vAlign w:val="bottom"/>
          </w:tcPr>
          <w:p>
            <w:pPr>
              <w:spacing w:after="0"/>
              <w:rPr>
                <w:sz w:val="21"/>
                <w:szCs w:val="21"/>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4.1 %</w:t>
            </w:r>
          </w:p>
        </w:tc>
      </w:tr>
      <w:tr>
        <w:trPr>
          <w:trHeight w:val="293"/>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(Benefit) provision for taxes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(362)</w:t>
            </w:r>
          </w:p>
        </w:tc>
        <w:tc>
          <w:tcPr>
            <w:tcW w:w="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1,057</w:t>
            </w:r>
          </w:p>
        </w:tc>
        <w:tc>
          <w:tcPr>
            <w:tcW w:w="2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1.0 %</w:t>
            </w:r>
          </w:p>
        </w:tc>
      </w:tr>
      <w:tr>
        <w:trPr>
          <w:trHeight w:val="24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(912)</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3,315</w:t>
            </w: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3.1 %</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7"/>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income per common share: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(0.03)</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0.11</w:t>
            </w: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(0.03)</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0.11</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29,151</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29,118</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51"/>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29,248</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29,120</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567"/>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center"/>
              <w:ind w:left="59"/>
              <w:spacing w:after="0"/>
              <w:rPr>
                <w:sz w:val="20"/>
                <w:szCs w:val="20"/>
                <w:color w:val="auto"/>
              </w:rPr>
            </w:pPr>
            <w:r>
              <w:rPr>
                <w:rFonts w:ascii="Arial" w:cs="Arial" w:eastAsia="Arial" w:hAnsi="Arial"/>
                <w:sz w:val="16"/>
                <w:szCs w:val="16"/>
                <w:b w:val="1"/>
                <w:bCs w:val="1"/>
                <w:color w:val="auto"/>
              </w:rPr>
              <w:t>Six Months Ended</w:t>
            </w:r>
          </w:p>
        </w:tc>
        <w:tc>
          <w:tcPr>
            <w:tcW w:w="1540" w:type="dxa"/>
            <w:vAlign w:val="bottom"/>
            <w:tcBorders>
              <w:bottom w:val="single" w:sz="8" w:color="auto"/>
            </w:tcBorders>
          </w:tcPr>
          <w:p>
            <w:pPr>
              <w:spacing w:after="0"/>
              <w:rPr>
                <w:sz w:val="24"/>
                <w:szCs w:val="24"/>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February 25, 2012</w:t>
            </w:r>
          </w:p>
        </w:tc>
        <w:tc>
          <w:tcPr>
            <w:tcW w:w="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February 26, 2011</w:t>
            </w: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263,437</w:t>
            </w:r>
          </w:p>
        </w:tc>
        <w:tc>
          <w:tcPr>
            <w:tcW w:w="2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100.0 %</w:t>
            </w:r>
          </w:p>
        </w:tc>
        <w:tc>
          <w:tcPr>
            <w:tcW w:w="4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230,304</w:t>
            </w:r>
          </w:p>
        </w:tc>
        <w:tc>
          <w:tcPr>
            <w:tcW w:w="22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100.0 %</w:t>
            </w:r>
          </w:p>
        </w:tc>
      </w:tr>
      <w:tr>
        <w:trPr>
          <w:trHeight w:val="27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248,095</w:t>
            </w:r>
          </w:p>
        </w:tc>
        <w:tc>
          <w:tcPr>
            <w:tcW w:w="2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94.2 %</w:t>
            </w:r>
          </w:p>
        </w:tc>
        <w:tc>
          <w:tcPr>
            <w:tcW w:w="4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207,781</w:t>
            </w:r>
          </w:p>
        </w:tc>
        <w:tc>
          <w:tcPr>
            <w:tcW w:w="2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90.2 %</w:t>
            </w:r>
          </w:p>
        </w:tc>
      </w:tr>
      <w:tr>
        <w:trPr>
          <w:trHeight w:val="250"/>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15,342</w:t>
            </w:r>
          </w:p>
        </w:tc>
        <w:tc>
          <w:tcPr>
            <w:tcW w:w="2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5.8 %</w:t>
            </w:r>
          </w:p>
        </w:tc>
        <w:tc>
          <w:tcPr>
            <w:tcW w:w="4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22,523</w:t>
            </w:r>
          </w:p>
        </w:tc>
        <w:tc>
          <w:tcPr>
            <w:tcW w:w="2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9.8 %</w:t>
            </w:r>
          </w:p>
        </w:tc>
      </w:tr>
      <w:tr>
        <w:trPr>
          <w:trHeight w:val="284"/>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8,154</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3.1 %</w:t>
            </w: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6,521</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2.8 %</w:t>
            </w:r>
          </w:p>
        </w:tc>
      </w:tr>
      <w:tr>
        <w:trPr>
          <w:trHeight w:val="260"/>
        </w:trPr>
        <w:tc>
          <w:tcPr>
            <w:tcW w:w="528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7,725</w:t>
            </w:r>
          </w:p>
        </w:tc>
        <w:tc>
          <w:tcPr>
            <w:tcW w:w="2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2.9 %</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7,671</w:t>
            </w:r>
          </w:p>
        </w:tc>
        <w:tc>
          <w:tcPr>
            <w:tcW w:w="22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3.3 %</w:t>
            </w:r>
          </w:p>
        </w:tc>
      </w:tr>
      <w:tr>
        <w:trPr>
          <w:trHeight w:val="273"/>
        </w:trPr>
        <w:tc>
          <w:tcPr>
            <w:tcW w:w="5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Gain on sale of asset held for sale</w:t>
            </w:r>
          </w:p>
        </w:tc>
        <w:tc>
          <w:tcPr>
            <w:tcW w:w="2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(644)</w:t>
            </w: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r>
      <w:tr>
        <w:trPr>
          <w:trHeight w:val="250"/>
        </w:trPr>
        <w:tc>
          <w:tcPr>
            <w:tcW w:w="5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15,879</w:t>
            </w:r>
          </w:p>
        </w:tc>
        <w:tc>
          <w:tcPr>
            <w:tcW w:w="2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6.0 %</w:t>
            </w:r>
          </w:p>
        </w:tc>
        <w:tc>
          <w:tcPr>
            <w:tcW w:w="4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13,548</w:t>
            </w:r>
          </w:p>
        </w:tc>
        <w:tc>
          <w:tcPr>
            <w:tcW w:w="22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5.9 %</w:t>
            </w:r>
          </w:p>
        </w:tc>
      </w:tr>
      <w:tr>
        <w:trPr>
          <w:trHeight w:val="284"/>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Operating (loss) income</w:t>
            </w:r>
          </w:p>
        </w:tc>
        <w:tc>
          <w:tcPr>
            <w:tcW w:w="26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(537)</w:t>
            </w:r>
          </w:p>
        </w:tc>
        <w:tc>
          <w:tcPr>
            <w:tcW w:w="2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8,975</w:t>
            </w:r>
          </w:p>
        </w:tc>
        <w:tc>
          <w:tcPr>
            <w:tcW w:w="22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3.9 %</w:t>
            </w:r>
          </w:p>
        </w:tc>
      </w:tr>
      <w:tr>
        <w:trPr>
          <w:trHeight w:val="27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147</w:t>
            </w:r>
          </w:p>
        </w:tc>
        <w:tc>
          <w:tcPr>
            <w:tcW w:w="2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4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474</w:t>
            </w:r>
          </w:p>
        </w:tc>
        <w:tc>
          <w:tcPr>
            <w:tcW w:w="2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0.2 %</w:t>
            </w:r>
          </w:p>
        </w:tc>
      </w:tr>
      <w:tr>
        <w:trPr>
          <w:trHeight w:val="247"/>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(Loss) income before income taxes</w:t>
            </w:r>
          </w:p>
        </w:tc>
        <w:tc>
          <w:tcPr>
            <w:tcW w:w="260" w:type="dxa"/>
            <w:vAlign w:val="bottom"/>
          </w:tcPr>
          <w:p>
            <w:pPr>
              <w:spacing w:after="0"/>
              <w:rPr>
                <w:sz w:val="21"/>
                <w:szCs w:val="21"/>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(390)</w:t>
            </w:r>
          </w:p>
        </w:tc>
        <w:tc>
          <w:tcPr>
            <w:tcW w:w="200" w:type="dxa"/>
            <w:vAlign w:val="bottom"/>
          </w:tcPr>
          <w:p>
            <w:pPr>
              <w:spacing w:after="0"/>
              <w:rPr>
                <w:sz w:val="21"/>
                <w:szCs w:val="21"/>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9,449</w:t>
            </w:r>
          </w:p>
        </w:tc>
        <w:tc>
          <w:tcPr>
            <w:tcW w:w="220" w:type="dxa"/>
            <w:vAlign w:val="bottom"/>
          </w:tcPr>
          <w:p>
            <w:pPr>
              <w:spacing w:after="0"/>
              <w:rPr>
                <w:sz w:val="21"/>
                <w:szCs w:val="21"/>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4.1 %</w:t>
            </w:r>
          </w:p>
        </w:tc>
      </w:tr>
      <w:tr>
        <w:trPr>
          <w:trHeight w:val="293"/>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(Benefit) provision for taxes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(513)</w:t>
            </w:r>
          </w:p>
        </w:tc>
        <w:tc>
          <w:tcPr>
            <w:tcW w:w="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(0.2)%</w:t>
            </w:r>
          </w:p>
        </w:tc>
        <w:tc>
          <w:tcPr>
            <w:tcW w:w="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2,348</w:t>
            </w:r>
          </w:p>
        </w:tc>
        <w:tc>
          <w:tcPr>
            <w:tcW w:w="2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1.0 %</w:t>
            </w:r>
          </w:p>
        </w:tc>
      </w:tr>
      <w:tr>
        <w:trPr>
          <w:trHeight w:val="24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123</w:t>
            </w:r>
          </w:p>
        </w:tc>
        <w:tc>
          <w:tcPr>
            <w:tcW w:w="2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7,101</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0.24</w:t>
            </w: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0.24</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29,145</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29,115</w:t>
            </w: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51"/>
        </w:trPr>
        <w:tc>
          <w:tcPr>
            <w:tcW w:w="528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29,231</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29,118</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ectPr>
          <w:pgSz w:w="11900" w:h="16838" w:orient="portrait"/>
          <w:cols w:equalWidth="0" w:num="1">
            <w:col w:w="11420"/>
          </w:cols>
          <w:pgMar w:left="240" w:top="576" w:right="239" w:bottom="1122"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25,</w:t>
            </w:r>
          </w:p>
        </w:tc>
        <w:tc>
          <w:tcPr>
            <w:tcW w:w="22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8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r>
      <w:tr>
        <w:trPr>
          <w:trHeight w:val="27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80,800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69,307</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18,528</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19,981</w:t>
            </w: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60,183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69,165</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5,146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4,227</w:t>
            </w: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1,525</w:t>
            </w:r>
          </w:p>
        </w:tc>
      </w:tr>
      <w:tr>
        <w:trPr>
          <w:trHeight w:val="264"/>
        </w:trPr>
        <w:tc>
          <w:tcPr>
            <w:tcW w:w="8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1,587</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w:t>
            </w:r>
          </w:p>
        </w:tc>
      </w:tr>
      <w:tr>
        <w:trPr>
          <w:trHeight w:val="257"/>
        </w:trPr>
        <w:tc>
          <w:tcPr>
            <w:tcW w:w="82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167,620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164,854</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21,184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22,589</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Long-term investments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9,903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10,627</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23,445</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23,669</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1,228</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1,228</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r>
      <w:tr>
        <w:trPr>
          <w:trHeight w:val="264"/>
        </w:trPr>
        <w:tc>
          <w:tcPr>
            <w:tcW w:w="82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14,656</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15,640</w:t>
            </w:r>
          </w:p>
        </w:tc>
      </w:tr>
      <w:tr>
        <w:trPr>
          <w:trHeight w:val="240"/>
        </w:trPr>
        <w:tc>
          <w:tcPr>
            <w:tcW w:w="82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239,317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239,927</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7"/>
        </w:trPr>
        <w:tc>
          <w:tcPr>
            <w:tcW w:w="8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21,697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21,610</w:t>
            </w: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273"/>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30,113</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29,604</w:t>
            </w:r>
          </w:p>
        </w:tc>
      </w:tr>
      <w:tr>
        <w:trPr>
          <w:trHeight w:val="250"/>
        </w:trPr>
        <w:tc>
          <w:tcPr>
            <w:tcW w:w="8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51,941</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51,318</w:t>
            </w:r>
          </w:p>
        </w:tc>
      </w:tr>
      <w:tr>
        <w:trPr>
          <w:trHeight w:val="27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824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5,034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5,387</w:t>
            </w:r>
          </w:p>
        </w:tc>
      </w:tr>
      <w:tr>
        <w:trPr>
          <w:trHeight w:val="273"/>
        </w:trPr>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69,449</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74,492</w:t>
            </w:r>
          </w:p>
        </w:tc>
      </w:tr>
      <w:tr>
        <w:trPr>
          <w:trHeight w:val="247"/>
        </w:trPr>
        <w:tc>
          <w:tcPr>
            <w:tcW w:w="8240" w:type="dxa"/>
            <w:vAlign w:val="bottom"/>
            <w:gridSpan w:val="2"/>
          </w:tcPr>
          <w:p>
            <w:pPr>
              <w:ind w:left="500"/>
              <w:spacing w:after="0"/>
              <w:rPr>
                <w:sz w:val="20"/>
                <w:szCs w:val="20"/>
                <w:color w:val="auto"/>
              </w:rPr>
            </w:pPr>
            <w:r>
              <w:rPr>
                <w:rFonts w:ascii="Arial" w:cs="Arial" w:eastAsia="Arial" w:hAnsi="Arial"/>
                <w:sz w:val="16"/>
                <w:szCs w:val="16"/>
                <w:color w:val="auto"/>
              </w:rPr>
              <w:t>Total long-term liabilities</w:t>
            </w:r>
          </w:p>
        </w:tc>
        <w:tc>
          <w:tcPr>
            <w:tcW w:w="1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74,483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79,879</w:t>
            </w:r>
          </w:p>
        </w:tc>
      </w:tr>
      <w:tr>
        <w:trPr>
          <w:trHeight w:val="27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112,893</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108,730</w:t>
            </w:r>
          </w:p>
        </w:tc>
      </w:tr>
      <w:tr>
        <w:trPr>
          <w:trHeight w:val="240"/>
        </w:trPr>
        <w:tc>
          <w:tcPr>
            <w:tcW w:w="8240" w:type="dxa"/>
            <w:vAlign w:val="bottom"/>
            <w:gridSpan w:val="2"/>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239,317</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239,927</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25,</w:t>
            </w:r>
          </w:p>
        </w:tc>
        <w:tc>
          <w:tcPr>
            <w:tcW w:w="240" w:type="dxa"/>
            <w:vAlign w:val="bottom"/>
          </w:tcPr>
          <w:p>
            <w:pPr>
              <w:spacing w:after="0"/>
              <w:rPr>
                <w:sz w:val="17"/>
                <w:szCs w:val="17"/>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26,</w:t>
            </w:r>
          </w:p>
        </w:tc>
      </w:tr>
      <w:tr>
        <w:trPr>
          <w:trHeight w:val="228"/>
        </w:trPr>
        <w:tc>
          <w:tcPr>
            <w:tcW w:w="7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2011</w:t>
            </w:r>
          </w:p>
        </w:tc>
      </w:tr>
      <w:tr>
        <w:trPr>
          <w:trHeight w:val="27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123</w:t>
            </w:r>
          </w:p>
        </w:tc>
        <w:tc>
          <w:tcPr>
            <w:tcW w:w="2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7,101</w:t>
            </w:r>
          </w:p>
        </w:tc>
      </w:tr>
      <w:tr>
        <w:trPr>
          <w:trHeight w:val="28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2,590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2,845</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529</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783</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749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124</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583</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448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690</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Provision (reduction) for doubtful accounts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(221)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(300)</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property</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(708)</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Gain on life insurance</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(195)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(372)</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311</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w:t>
            </w:r>
          </w:p>
        </w:tc>
      </w:tr>
      <w:tr>
        <w:trPr>
          <w:trHeight w:val="260"/>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8,453</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(24,990)</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Receivables and prepaid assets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1,222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(1,368)</w:t>
            </w:r>
          </w:p>
        </w:tc>
      </w:tr>
      <w:tr>
        <w:trPr>
          <w:trHeight w:val="280"/>
        </w:trPr>
        <w:tc>
          <w:tcPr>
            <w:tcW w:w="7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(248)</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610</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326</w:t>
            </w:r>
          </w:p>
        </w:tc>
      </w:tr>
      <w:tr>
        <w:trPr>
          <w:trHeight w:val="273"/>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(1,877)</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(1,854)</w:t>
            </w:r>
          </w:p>
        </w:tc>
      </w:tr>
      <w:tr>
        <w:trPr>
          <w:trHeight w:val="250"/>
        </w:trPr>
        <w:tc>
          <w:tcPr>
            <w:tcW w:w="7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11,398</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(16,482)</w:t>
            </w:r>
          </w:p>
        </w:tc>
      </w:tr>
      <w:tr>
        <w:trPr>
          <w:trHeight w:val="284"/>
        </w:trPr>
        <w:tc>
          <w:tcPr>
            <w:tcW w:w="7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6,450</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Proceeds from life insurance</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643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659</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(1,168)</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(1,279)</w:t>
            </w: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3,793</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2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(4,694)</w:t>
            </w:r>
          </w:p>
        </w:tc>
      </w:tr>
      <w:tr>
        <w:trPr>
          <w:trHeight w:val="264"/>
        </w:trPr>
        <w:tc>
          <w:tcPr>
            <w:tcW w:w="78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(461)</w:t>
            </w:r>
          </w:p>
        </w:tc>
      </w:tr>
      <w:tr>
        <w:trPr>
          <w:trHeight w:val="25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297</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4,468</w:t>
            </w:r>
          </w:p>
        </w:tc>
      </w:tr>
      <w:tr>
        <w:trPr>
          <w:trHeight w:val="284"/>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0"/>
        </w:trPr>
        <w:tc>
          <w:tcPr>
            <w:tcW w:w="7860" w:type="dxa"/>
            <w:vAlign w:val="bottom"/>
            <w:gridSpan w:val="2"/>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2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(89)</w:t>
            </w:r>
          </w:p>
        </w:tc>
      </w:tr>
      <w:tr>
        <w:trPr>
          <w:trHeight w:val="280"/>
        </w:trPr>
        <w:tc>
          <w:tcPr>
            <w:tcW w:w="78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Proceeds from exercises of stock options</w:t>
            </w:r>
          </w:p>
        </w:tc>
        <w:tc>
          <w:tcPr>
            <w:tcW w:w="2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w:t>
            </w:r>
          </w:p>
        </w:tc>
      </w:tr>
      <w:tr>
        <w:trPr>
          <w:trHeight w:val="264"/>
        </w:trPr>
        <w:tc>
          <w:tcPr>
            <w:tcW w:w="7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124</w:t>
            </w:r>
          </w:p>
        </w:tc>
      </w:tr>
      <w:tr>
        <w:trPr>
          <w:trHeight w:val="25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(202)</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110</w:t>
            </w:r>
          </w:p>
        </w:tc>
      </w:tr>
      <w:tr>
        <w:trPr>
          <w:trHeight w:val="284"/>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11,493</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(11,904)</w:t>
            </w:r>
          </w:p>
        </w:tc>
      </w:tr>
      <w:tr>
        <w:trPr>
          <w:trHeight w:val="264"/>
        </w:trPr>
        <w:tc>
          <w:tcPr>
            <w:tcW w:w="7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69,307</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74,691</w:t>
            </w:r>
          </w:p>
        </w:tc>
      </w:tr>
      <w:tr>
        <w:trPr>
          <w:trHeight w:val="24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80,800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62,787</w:t>
            </w: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7"/>
        </w:trPr>
        <w:tc>
          <w:tcPr>
            <w:tcW w:w="7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51"/>
        </w:trPr>
        <w:tc>
          <w:tcPr>
            <w:tcW w:w="7860" w:type="dxa"/>
            <w:vAlign w:val="bottom"/>
            <w:gridSpan w:val="2"/>
          </w:tcPr>
          <w:p>
            <w:pPr>
              <w:ind w:left="40"/>
              <w:spacing w:after="0"/>
              <w:rPr>
                <w:sz w:val="20"/>
                <w:szCs w:val="20"/>
                <w:color w:val="auto"/>
              </w:rPr>
            </w:pPr>
            <w:r>
              <w:rPr>
                <w:rFonts w:ascii="Arial" w:cs="Arial" w:eastAsia="Arial" w:hAnsi="Arial"/>
                <w:sz w:val="16"/>
                <w:szCs w:val="16"/>
                <w:color w:val="auto"/>
              </w:rPr>
              <w:t>Income taxes paid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1,153</w:t>
            </w:r>
          </w:p>
        </w:tc>
      </w:tr>
    </w:tbl>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Quarter Ended</w:t>
            </w:r>
          </w:p>
        </w:tc>
        <w:tc>
          <w:tcPr>
            <w:tcW w:w="1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98"/>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February 25, 2012</w:t>
            </w:r>
          </w:p>
        </w:tc>
        <w:tc>
          <w:tcPr>
            <w:tcW w:w="100" w:type="dxa"/>
            <w:vAlign w:val="bottom"/>
            <w:tcBorders>
              <w:bottom w:val="single" w:sz="8" w:color="CCEEFF"/>
            </w:tcBorders>
          </w:tcPr>
          <w:p>
            <w:pPr>
              <w:spacing w:after="0"/>
              <w:rPr>
                <w:sz w:val="19"/>
                <w:szCs w:val="19"/>
                <w:color w:val="auto"/>
              </w:rPr>
            </w:pPr>
          </w:p>
        </w:tc>
        <w:tc>
          <w:tcPr>
            <w:tcW w:w="276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February 26, 2011</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Increase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7"/>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353</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331</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22</w:t>
            </w:r>
          </w:p>
        </w:tc>
        <w:tc>
          <w:tcPr>
            <w:tcW w:w="14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6.6 %</w:t>
            </w:r>
          </w:p>
        </w:tc>
      </w:tr>
      <w:tr>
        <w:trPr>
          <w:trHeight w:val="264"/>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235</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218</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17</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7.8 %</w:t>
            </w:r>
          </w:p>
        </w:tc>
      </w:tr>
      <w:tr>
        <w:trPr>
          <w:trHeight w:val="257"/>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588</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58.7%</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549</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39</w:t>
            </w:r>
          </w:p>
        </w:tc>
        <w:tc>
          <w:tcPr>
            <w:tcW w:w="14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7.1 %</w:t>
            </w:r>
          </w:p>
        </w:tc>
      </w:tr>
      <w:tr>
        <w:trPr>
          <w:trHeight w:val="260"/>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49</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19"/>
              <w:spacing w:after="0"/>
              <w:rPr>
                <w:sz w:val="20"/>
                <w:szCs w:val="20"/>
                <w:color w:val="auto"/>
              </w:rPr>
            </w:pPr>
            <w:r>
              <w:rPr>
                <w:rFonts w:ascii="Arial" w:cs="Arial" w:eastAsia="Arial" w:hAnsi="Arial"/>
                <w:sz w:val="16"/>
                <w:szCs w:val="16"/>
                <w:color w:val="auto"/>
              </w:rPr>
              <w:t>49</w:t>
            </w:r>
          </w:p>
        </w:tc>
        <w:tc>
          <w:tcPr>
            <w:tcW w:w="1480" w:type="dxa"/>
            <w:vAlign w:val="bottom"/>
          </w:tcPr>
          <w:p>
            <w:pPr>
              <w:jc w:val="right"/>
              <w:ind w:right="319"/>
              <w:spacing w:after="0"/>
              <w:rPr>
                <w:sz w:val="20"/>
                <w:szCs w:val="20"/>
                <w:color w:val="auto"/>
              </w:rPr>
            </w:pPr>
            <w:r>
              <w:rPr>
                <w:rFonts w:ascii="Arial" w:cs="Arial" w:eastAsia="Arial" w:hAnsi="Arial"/>
                <w:sz w:val="16"/>
                <w:szCs w:val="16"/>
                <w:color w:val="auto"/>
              </w:rPr>
              <w:t>— %</w:t>
            </w:r>
          </w:p>
        </w:tc>
      </w:tr>
      <w:tr>
        <w:trPr>
          <w:trHeight w:val="273"/>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364</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360</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4</w:t>
            </w:r>
          </w:p>
        </w:tc>
        <w:tc>
          <w:tcPr>
            <w:tcW w:w="14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1.1 %</w:t>
            </w:r>
          </w:p>
        </w:tc>
      </w:tr>
      <w:tr>
        <w:trPr>
          <w:trHeight w:val="280"/>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homes</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1,001</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909</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92</w:t>
            </w: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10.1 %</w:t>
            </w:r>
          </w:p>
        </w:tc>
      </w:tr>
      <w:tr>
        <w:trPr>
          <w:trHeight w:val="267"/>
        </w:trPr>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Fifth wheel</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258</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2"/>
                <w:szCs w:val="22"/>
                <w:color w:val="auto"/>
              </w:rPr>
            </w:pP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21</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color w:val="auto"/>
              </w:rPr>
              <w:t>237</w:t>
            </w:r>
          </w:p>
        </w:tc>
        <w:tc>
          <w:tcPr>
            <w:tcW w:w="1480" w:type="dxa"/>
            <w:vAlign w:val="bottom"/>
          </w:tcPr>
          <w:p>
            <w:pPr>
              <w:jc w:val="center"/>
              <w:spacing w:after="0"/>
              <w:rPr>
                <w:sz w:val="20"/>
                <w:szCs w:val="20"/>
                <w:color w:val="auto"/>
              </w:rPr>
            </w:pPr>
            <w:r>
              <w:rPr>
                <w:rFonts w:ascii="Arial" w:cs="Arial" w:eastAsia="Arial" w:hAnsi="Arial"/>
                <w:sz w:val="16"/>
                <w:szCs w:val="16"/>
                <w:color w:val="auto"/>
              </w:rPr>
              <w:t>NMF</w:t>
            </w:r>
          </w:p>
        </w:tc>
      </w:tr>
      <w:tr>
        <w:trPr>
          <w:trHeight w:val="273"/>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304</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64</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240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NMF</w:t>
            </w:r>
          </w:p>
        </w:tc>
      </w:tr>
      <w:tr>
        <w:trPr>
          <w:trHeight w:val="240"/>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Total towables</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562</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85</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477</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NMF</w:t>
            </w: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ind w:left="960"/>
              <w:spacing w:after="0"/>
              <w:rPr>
                <w:sz w:val="20"/>
                <w:szCs w:val="20"/>
                <w:color w:val="auto"/>
              </w:rPr>
            </w:pPr>
            <w:r>
              <w:rPr>
                <w:rFonts w:ascii="Arial" w:cs="Arial" w:eastAsia="Arial" w:hAnsi="Arial"/>
                <w:sz w:val="16"/>
                <w:szCs w:val="16"/>
                <w:b w:val="1"/>
                <w:bCs w:val="1"/>
                <w:color w:val="auto"/>
              </w:rPr>
              <w:t>Six Months Ended</w:t>
            </w:r>
          </w:p>
        </w:tc>
        <w:tc>
          <w:tcPr>
            <w:tcW w:w="1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8"/>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Borders>
              <w:bottom w:val="single" w:sz="8" w:color="CCEEFF"/>
            </w:tcBorders>
          </w:tcPr>
          <w:p>
            <w:pPr>
              <w:spacing w:after="0"/>
              <w:rPr>
                <w:sz w:val="19"/>
                <w:szCs w:val="19"/>
                <w:color w:val="auto"/>
              </w:rPr>
            </w:pPr>
          </w:p>
        </w:tc>
        <w:tc>
          <w:tcPr>
            <w:tcW w:w="272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February 25, 2012</w:t>
            </w:r>
          </w:p>
        </w:tc>
        <w:tc>
          <w:tcPr>
            <w:tcW w:w="100" w:type="dxa"/>
            <w:vAlign w:val="bottom"/>
            <w:tcBorders>
              <w:bottom w:val="single" w:sz="8" w:color="CCEEFF"/>
            </w:tcBorders>
          </w:tcPr>
          <w:p>
            <w:pPr>
              <w:spacing w:after="0"/>
              <w:rPr>
                <w:sz w:val="19"/>
                <w:szCs w:val="19"/>
                <w:color w:val="auto"/>
              </w:rPr>
            </w:pPr>
          </w:p>
        </w:tc>
        <w:tc>
          <w:tcPr>
            <w:tcW w:w="276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February 26, 2011</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Increase(Decrease)</w:t>
            </w: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734</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720</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14</w:t>
            </w:r>
          </w:p>
        </w:tc>
        <w:tc>
          <w:tcPr>
            <w:tcW w:w="13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1.9 %</w:t>
            </w:r>
          </w:p>
        </w:tc>
      </w:tr>
      <w:tr>
        <w:trPr>
          <w:trHeight w:val="264"/>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Class A diesel</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467</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488</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(21)</w:t>
            </w: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(4.3)%</w:t>
            </w:r>
          </w:p>
        </w:tc>
      </w:tr>
      <w:tr>
        <w:trPr>
          <w:trHeight w:val="257"/>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1,201</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1,208</w:t>
            </w: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w:t>
            </w:r>
          </w:p>
        </w:tc>
        <w:tc>
          <w:tcPr>
            <w:tcW w:w="13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(0.6)%</w:t>
            </w:r>
          </w:p>
        </w:tc>
      </w:tr>
      <w:tr>
        <w:trPr>
          <w:trHeight w:val="260"/>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128</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13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419"/>
              <w:spacing w:after="0"/>
              <w:rPr>
                <w:sz w:val="20"/>
                <w:szCs w:val="20"/>
                <w:color w:val="auto"/>
              </w:rPr>
            </w:pPr>
            <w:r>
              <w:rPr>
                <w:rFonts w:ascii="Arial" w:cs="Arial" w:eastAsia="Arial" w:hAnsi="Arial"/>
                <w:sz w:val="16"/>
                <w:szCs w:val="16"/>
                <w:color w:val="auto"/>
              </w:rPr>
              <w:t>127</w:t>
            </w:r>
          </w:p>
        </w:tc>
        <w:tc>
          <w:tcPr>
            <w:tcW w:w="1380" w:type="dxa"/>
            <w:vAlign w:val="bottom"/>
          </w:tcPr>
          <w:p>
            <w:pPr>
              <w:jc w:val="center"/>
              <w:ind w:right="59"/>
              <w:spacing w:after="0"/>
              <w:rPr>
                <w:sz w:val="20"/>
                <w:szCs w:val="20"/>
                <w:color w:val="auto"/>
              </w:rPr>
            </w:pPr>
            <w:r>
              <w:rPr>
                <w:rFonts w:ascii="Arial" w:cs="Arial" w:eastAsia="Arial" w:hAnsi="Arial"/>
                <w:sz w:val="16"/>
                <w:szCs w:val="16"/>
                <w:color w:val="auto"/>
              </w:rPr>
              <w:t>NMF</w:t>
            </w:r>
          </w:p>
        </w:tc>
      </w:tr>
      <w:tr>
        <w:trPr>
          <w:trHeight w:val="273"/>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712</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815</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(103)</w:t>
            </w:r>
          </w:p>
        </w:tc>
        <w:tc>
          <w:tcPr>
            <w:tcW w:w="13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(12.6)%</w:t>
            </w:r>
          </w:p>
        </w:tc>
      </w:tr>
      <w:tr>
        <w:trPr>
          <w:trHeight w:val="280"/>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 homes</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2,041</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2,024</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17</w:t>
            </w: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0.8 %</w:t>
            </w:r>
          </w:p>
        </w:tc>
      </w:tr>
      <w:tr>
        <w:trPr>
          <w:trHeight w:val="267"/>
        </w:trPr>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Fifth wheel</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426</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2"/>
                <w:szCs w:val="22"/>
                <w:color w:val="auto"/>
              </w:rPr>
            </w:pP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21</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1900" w:type="dxa"/>
            <w:vAlign w:val="bottom"/>
          </w:tcPr>
          <w:p>
            <w:pPr>
              <w:jc w:val="right"/>
              <w:ind w:right="419"/>
              <w:spacing w:after="0"/>
              <w:rPr>
                <w:sz w:val="20"/>
                <w:szCs w:val="20"/>
                <w:color w:val="auto"/>
              </w:rPr>
            </w:pPr>
            <w:r>
              <w:rPr>
                <w:rFonts w:ascii="Arial" w:cs="Arial" w:eastAsia="Arial" w:hAnsi="Arial"/>
                <w:sz w:val="16"/>
                <w:szCs w:val="16"/>
                <w:color w:val="auto"/>
              </w:rPr>
              <w:t>405</w:t>
            </w:r>
          </w:p>
        </w:tc>
        <w:tc>
          <w:tcPr>
            <w:tcW w:w="1380" w:type="dxa"/>
            <w:vAlign w:val="bottom"/>
          </w:tcPr>
          <w:p>
            <w:pPr>
              <w:jc w:val="center"/>
              <w:ind w:right="59"/>
              <w:spacing w:after="0"/>
              <w:rPr>
                <w:sz w:val="20"/>
                <w:szCs w:val="20"/>
                <w:color w:val="auto"/>
              </w:rPr>
            </w:pPr>
            <w:r>
              <w:rPr>
                <w:rFonts w:ascii="Arial" w:cs="Arial" w:eastAsia="Arial" w:hAnsi="Arial"/>
                <w:sz w:val="16"/>
                <w:szCs w:val="16"/>
                <w:color w:val="auto"/>
              </w:rPr>
              <w:t>NMF</w:t>
            </w:r>
          </w:p>
        </w:tc>
      </w:tr>
      <w:tr>
        <w:trPr>
          <w:trHeight w:val="273"/>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571</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64</w:t>
            </w:r>
          </w:p>
        </w:tc>
        <w:tc>
          <w:tcPr>
            <w:tcW w:w="12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507</w:t>
            </w:r>
          </w:p>
        </w:tc>
        <w:tc>
          <w:tcPr>
            <w:tcW w:w="138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rPr>
              <w:t>NMF</w:t>
            </w:r>
          </w:p>
        </w:tc>
      </w:tr>
      <w:tr>
        <w:trPr>
          <w:trHeight w:val="240"/>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Total towables</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997</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85</w:t>
            </w: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912</w:t>
            </w:r>
          </w:p>
        </w:tc>
        <w:tc>
          <w:tcPr>
            <w:tcW w:w="13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NMF</w:t>
            </w: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As Of</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28"/>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3"/>
          </w:tcPr>
          <w:p>
            <w:pPr>
              <w:ind w:left="300"/>
              <w:spacing w:after="0"/>
              <w:rPr>
                <w:sz w:val="20"/>
                <w:szCs w:val="20"/>
                <w:color w:val="auto"/>
              </w:rPr>
            </w:pPr>
            <w:r>
              <w:rPr>
                <w:rFonts w:ascii="Arial" w:cs="Arial" w:eastAsia="Arial" w:hAnsi="Arial"/>
                <w:sz w:val="16"/>
                <w:szCs w:val="16"/>
                <w:b w:val="1"/>
                <w:bCs w:val="1"/>
                <w:color w:val="auto"/>
              </w:rPr>
              <w:t>February 25, 2012</w:t>
            </w:r>
          </w:p>
        </w:tc>
        <w:tc>
          <w:tcPr>
            <w:tcW w:w="340" w:type="dxa"/>
            <w:vAlign w:val="bottom"/>
          </w:tcPr>
          <w:p>
            <w:pPr>
              <w:spacing w:after="0"/>
              <w:rPr>
                <w:sz w:val="19"/>
                <w:szCs w:val="19"/>
                <w:color w:val="auto"/>
              </w:rPr>
            </w:pPr>
          </w:p>
        </w:tc>
        <w:tc>
          <w:tcPr>
            <w:tcW w:w="2280" w:type="dxa"/>
            <w:vAlign w:val="bottom"/>
            <w:gridSpan w:val="3"/>
          </w:tcPr>
          <w:p>
            <w:pPr>
              <w:ind w:left="260"/>
              <w:spacing w:after="0"/>
              <w:rPr>
                <w:sz w:val="20"/>
                <w:szCs w:val="20"/>
                <w:color w:val="auto"/>
              </w:rPr>
            </w:pPr>
            <w:r>
              <w:rPr>
                <w:rFonts w:ascii="Arial" w:cs="Arial" w:eastAsia="Arial" w:hAnsi="Arial"/>
                <w:sz w:val="16"/>
                <w:szCs w:val="16"/>
                <w:b w:val="1"/>
                <w:bCs w:val="1"/>
                <w:color w:val="auto"/>
              </w:rPr>
              <w:t>February 26, 2011</w:t>
            </w:r>
          </w:p>
        </w:tc>
        <w:tc>
          <w:tcPr>
            <w:tcW w:w="160" w:type="dxa"/>
            <w:vAlign w:val="bottom"/>
          </w:tcPr>
          <w:p>
            <w:pPr>
              <w:spacing w:after="0"/>
              <w:rPr>
                <w:sz w:val="19"/>
                <w:szCs w:val="19"/>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Increase(Decrease)</w:t>
            </w: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306</w:t>
            </w: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253</w:t>
            </w:r>
          </w:p>
        </w:tc>
        <w:tc>
          <w:tcPr>
            <w:tcW w:w="13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53</w:t>
            </w:r>
          </w:p>
        </w:tc>
        <w:tc>
          <w:tcPr>
            <w:tcW w:w="12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20.9 %</w:t>
            </w: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196</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157</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39</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24.8 %</w:t>
            </w: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502</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410</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92</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22.4 %</w:t>
            </w: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color w:val="auto"/>
              </w:rPr>
              <w:t>Class B</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83</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82</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ind w:right="4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1.2 %</w:t>
            </w:r>
          </w:p>
        </w:tc>
      </w:tr>
      <w:tr>
        <w:trPr>
          <w:trHeight w:val="273"/>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419</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465</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(46)</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w:t>
            </w:r>
          </w:p>
        </w:tc>
      </w:tr>
      <w:tr>
        <w:trPr>
          <w:trHeight w:val="283"/>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1,004</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957</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47</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4.9 %</w:t>
            </w:r>
          </w:p>
        </w:tc>
      </w:tr>
      <w:tr>
        <w:trPr>
          <w:trHeight w:val="264"/>
        </w:trPr>
        <w:tc>
          <w:tcPr>
            <w:tcW w:w="2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0"/>
        </w:trPr>
        <w:tc>
          <w:tcPr>
            <w:tcW w:w="288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187</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ind w:right="439"/>
              <w:spacing w:after="0"/>
              <w:rPr>
                <w:sz w:val="20"/>
                <w:szCs w:val="20"/>
                <w:color w:val="auto"/>
              </w:rPr>
            </w:pPr>
            <w:r>
              <w:rPr>
                <w:rFonts w:ascii="Arial" w:cs="Arial" w:eastAsia="Arial" w:hAnsi="Arial"/>
                <w:sz w:val="16"/>
                <w:szCs w:val="16"/>
                <w:color w:val="auto"/>
              </w:rPr>
              <w:t>123</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192.2 %</w:t>
            </w:r>
          </w:p>
        </w:tc>
      </w:tr>
      <w:tr>
        <w:trPr>
          <w:trHeight w:val="273"/>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230</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143</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164.4 %</w:t>
            </w:r>
          </w:p>
        </w:tc>
      </w:tr>
      <w:tr>
        <w:trPr>
          <w:trHeight w:val="283"/>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417</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266</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176.2 %</w:t>
            </w:r>
          </w:p>
        </w:tc>
      </w:tr>
      <w:tr>
        <w:trPr>
          <w:trHeight w:val="264"/>
        </w:trPr>
        <w:tc>
          <w:tcPr>
            <w:tcW w:w="2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8"/>
        </w:trPr>
        <w:tc>
          <w:tcPr>
            <w:tcW w:w="2880" w:type="dxa"/>
            <w:vAlign w:val="bottom"/>
          </w:tcPr>
          <w:p>
            <w:pPr>
              <w:ind w:left="40"/>
              <w:spacing w:after="0"/>
              <w:rPr>
                <w:sz w:val="20"/>
                <w:szCs w:val="20"/>
                <w:color w:val="auto"/>
              </w:rPr>
            </w:pPr>
            <w:r>
              <w:rPr>
                <w:rFonts w:ascii="Arial" w:cs="Arial" w:eastAsia="Arial" w:hAnsi="Arial"/>
                <w:sz w:val="16"/>
                <w:szCs w:val="16"/>
                <w:color w:val="auto"/>
              </w:rPr>
              <w:t>Approximate backlog revenue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103,978</w:t>
            </w: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92,782</w:t>
            </w: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11,196</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12.1 %</w:t>
            </w:r>
          </w:p>
        </w:tc>
      </w:tr>
      <w:tr>
        <w:trPr>
          <w:trHeight w:val="251"/>
        </w:trPr>
        <w:tc>
          <w:tcPr>
            <w:tcW w:w="2880" w:type="dxa"/>
            <w:vAlign w:val="bottom"/>
          </w:tcPr>
          <w:p>
            <w:pPr>
              <w:ind w:left="40"/>
              <w:spacing w:after="0"/>
              <w:rPr>
                <w:sz w:val="20"/>
                <w:szCs w:val="20"/>
                <w:color w:val="auto"/>
              </w:rPr>
            </w:pPr>
            <w:r>
              <w:rPr>
                <w:rFonts w:ascii="Arial" w:cs="Arial" w:eastAsia="Arial" w:hAnsi="Arial"/>
                <w:sz w:val="16"/>
                <w:szCs w:val="16"/>
                <w:color w:val="auto"/>
              </w:rPr>
              <w:t>Towables</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10,671</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3,551</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39"/>
              <w:spacing w:after="0"/>
              <w:rPr>
                <w:sz w:val="20"/>
                <w:szCs w:val="20"/>
                <w:color w:val="auto"/>
              </w:rPr>
            </w:pPr>
            <w:r>
              <w:rPr>
                <w:rFonts w:ascii="Arial" w:cs="Arial" w:eastAsia="Arial" w:hAnsi="Arial"/>
                <w:sz w:val="16"/>
                <w:szCs w:val="16"/>
                <w:color w:val="auto"/>
              </w:rPr>
              <w:t>7,120</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200.5 %</w:t>
            </w: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135" w:lineRule="exact"/>
        <w:rPr>
          <w:sz w:val="20"/>
          <w:szCs w:val="20"/>
          <w:color w:val="auto"/>
        </w:rPr>
      </w:pPr>
    </w:p>
    <w:p>
      <w:pPr>
        <w:ind w:left="40" w:right="40" w:hanging="5"/>
        <w:spacing w:after="0" w:line="258" w:lineRule="auto"/>
        <w:tabs>
          <w:tab w:leader="none" w:pos="25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ectPr>
          <w:pgSz w:w="11900" w:h="16838" w:orient="portrait"/>
          <w:cols w:equalWidth="0" w:num="1">
            <w:col w:w="11420"/>
          </w:cols>
          <w:pgMar w:left="240" w:top="576" w:right="239" w:bottom="1440" w:gutter="0" w:footer="0" w:header="0"/>
          <w:type w:val="continuous"/>
        </w:sectPr>
      </w:pPr>
    </w:p>
    <w:bookmarkStart w:id="9" w:name="page10"/>
    <w:bookmarkEnd w:id="9"/>
    <w:p>
      <w:pPr>
        <w:ind w:left="456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Unaudited Dealer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399"/>
              <w:spacing w:after="0"/>
              <w:rPr>
                <w:sz w:val="20"/>
                <w:szCs w:val="20"/>
                <w:color w:val="auto"/>
              </w:rPr>
            </w:pPr>
            <w:r>
              <w:rPr>
                <w:rFonts w:ascii="Arial" w:cs="Arial" w:eastAsia="Arial" w:hAnsi="Arial"/>
                <w:sz w:val="16"/>
                <w:szCs w:val="16"/>
                <w:b w:val="1"/>
                <w:bCs w:val="1"/>
                <w:color w:val="auto"/>
                <w:w w:val="98"/>
              </w:rPr>
              <w:t>As Of</w:t>
            </w:r>
          </w:p>
        </w:tc>
        <w:tc>
          <w:tcPr>
            <w:tcW w:w="1580" w:type="dxa"/>
            <w:vAlign w:val="bottom"/>
            <w:tcBorders>
              <w:bottom w:val="single" w:sz="8" w:color="auto"/>
            </w:tcBorders>
          </w:tcPr>
          <w:p>
            <w:pPr>
              <w:spacing w:after="0"/>
              <w:rPr>
                <w:sz w:val="19"/>
                <w:szCs w:val="19"/>
                <w:color w:val="auto"/>
              </w:rPr>
            </w:pPr>
          </w:p>
        </w:tc>
      </w:tr>
      <w:tr>
        <w:trPr>
          <w:trHeight w:val="198"/>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ind w:left="280"/>
              <w:spacing w:after="0"/>
              <w:rPr>
                <w:sz w:val="20"/>
                <w:szCs w:val="20"/>
                <w:color w:val="auto"/>
              </w:rPr>
            </w:pPr>
            <w:r>
              <w:rPr>
                <w:rFonts w:ascii="Arial" w:cs="Arial" w:eastAsia="Arial" w:hAnsi="Arial"/>
                <w:sz w:val="16"/>
                <w:szCs w:val="16"/>
                <w:b w:val="1"/>
                <w:bCs w:val="1"/>
                <w:color w:val="auto"/>
              </w:rPr>
              <w:t>February 25,</w:t>
            </w: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r>
      <w:tr>
        <w:trPr>
          <w:trHeight w:val="228"/>
        </w:trPr>
        <w:tc>
          <w:tcPr>
            <w:tcW w:w="4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(Decrease)</w:t>
            </w: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2,074</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192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(105)</w:t>
            </w: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(4.8)%</w:t>
            </w:r>
          </w:p>
        </w:tc>
      </w:tr>
      <w:tr>
        <w:trPr>
          <w:trHeight w:val="251"/>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905</w:t>
            </w:r>
          </w:p>
        </w:tc>
        <w:tc>
          <w:tcPr>
            <w:tcW w:w="1920" w:type="dxa"/>
            <w:vAlign w:val="bottom"/>
            <w:gridSpan w:val="3"/>
          </w:tcPr>
          <w:p>
            <w:pPr>
              <w:jc w:val="right"/>
              <w:ind w:right="419"/>
              <w:spacing w:after="0"/>
              <w:rPr>
                <w:sz w:val="20"/>
                <w:szCs w:val="20"/>
                <w:color w:val="auto"/>
              </w:rPr>
            </w:pPr>
            <w:r>
              <w:rPr>
                <w:rFonts w:ascii="Arial" w:cs="Arial" w:eastAsia="Arial" w:hAnsi="Arial"/>
                <w:sz w:val="16"/>
                <w:szCs w:val="16"/>
                <w:color w:val="auto"/>
              </w:rPr>
              <w:t>471</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52.0 %</w:t>
            </w:r>
          </w:p>
        </w:tc>
      </w:tr>
    </w:tbl>
    <w:p>
      <w:pPr>
        <w:spacing w:after="0" w:line="1" w:lineRule="exact"/>
        <w:rPr>
          <w:sz w:val="20"/>
          <w:szCs w:val="20"/>
          <w:color w:val="auto"/>
        </w:rPr>
      </w:pP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2019-12-09T08:17:54Z</dcterms:created>
  <dcterms:modified xsi:type="dcterms:W3CDTF">2019-12-09T08:17:54Z</dcterms:modified>
</cp:coreProperties>
</file>