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99"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w:t>
      </w:r>
    </w:p>
    <w:p>
      <w:pPr>
        <w:spacing w:after="0" w:line="5" w:lineRule="exact"/>
        <w:rPr>
          <w:sz w:val="24"/>
          <w:szCs w:val="24"/>
          <w:color w:val="auto"/>
        </w:rPr>
      </w:pPr>
    </w:p>
    <w:p>
      <w:pPr>
        <w:ind w:left="420" w:right="2079" w:hanging="411"/>
        <w:spacing w:after="0" w:line="247" w:lineRule="auto"/>
        <w:rPr>
          <w:sz w:val="20"/>
          <w:szCs w:val="20"/>
          <w:color w:val="auto"/>
        </w:rPr>
      </w:pPr>
      <w:r>
        <w:rPr>
          <w:rFonts w:ascii="Courier New" w:cs="Courier New" w:eastAsia="Courier New" w:hAnsi="Courier New"/>
          <w:sz w:val="17"/>
          <w:szCs w:val="17"/>
          <w:color w:val="auto"/>
        </w:rPr>
        <w:t>_X_ QUARTERLY REPORT PURSUANT TO SECTION 13 OR 15(d) OF THE SECURITIES EXCHANGE ACT OF 1934</w:t>
      </w:r>
    </w:p>
    <w:p>
      <w:pPr>
        <w:sectPr>
          <w:pgSz w:w="11900" w:h="16838" w:orient="portrait"/>
          <w:cols w:equalWidth="0" w:num="1">
            <w:col w:w="10219"/>
          </w:cols>
          <w:pgMar w:left="240" w:top="643" w:right="1440" w:bottom="615" w:gutter="0" w:footer="0" w:header="0"/>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May 27, 2000</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100" w:space="100"/>
            <w:col w:w="7019"/>
          </w:cols>
          <w:pgMar w:left="240" w:top="643" w:right="1440" w:bottom="615" w:gutter="0" w:footer="0" w:header="0"/>
          <w:type w:val="continuous"/>
        </w:sectPr>
      </w:pPr>
    </w:p>
    <w:p>
      <w:pPr>
        <w:spacing w:after="0" w:line="3"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43" w:right="1440" w:bottom="615" w:gutter="0" w:footer="0" w:header="0"/>
          <w:type w:val="continuous"/>
        </w:sect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w:t>
      </w:r>
    </w:p>
    <w:p>
      <w:pPr>
        <w:spacing w:after="0" w:line="5" w:lineRule="exact"/>
        <w:rPr>
          <w:sz w:val="24"/>
          <w:szCs w:val="24"/>
          <w:color w:val="auto"/>
        </w:rPr>
      </w:pPr>
    </w:p>
    <w:p>
      <w:pPr>
        <w:ind w:left="420" w:right="1979" w:hanging="419"/>
        <w:spacing w:after="0" w:line="247" w:lineRule="auto"/>
        <w:tabs>
          <w:tab w:leader="none" w:pos="400" w:val="left"/>
        </w:tabs>
        <w:rPr>
          <w:sz w:val="20"/>
          <w:szCs w:val="20"/>
          <w:color w:val="auto"/>
        </w:rPr>
      </w:pPr>
      <w:r>
        <w:rPr>
          <w:rFonts w:ascii="Courier New" w:cs="Courier New" w:eastAsia="Courier New" w:hAnsi="Courier New"/>
          <w:sz w:val="17"/>
          <w:szCs w:val="17"/>
          <w:color w:val="auto"/>
        </w:rPr>
        <w:t>___</w:t>
        <w:tab/>
        <w:t>TRANSITION REPORT PURSUANT TO SECTION 13 OR 15(d) OF THE SECURITIES EXCHANGE ACT OF 1934</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transition period from ______________________ to _______________________</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1-6403</w:t>
      </w:r>
    </w:p>
    <w:p>
      <w:pPr>
        <w:spacing w:after="0" w:line="5"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WINNEBAGO INDUSTRIES, INC.</w:t>
      </w: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ind w:left="1040"/>
              <w:spacing w:after="0"/>
              <w:rPr>
                <w:sz w:val="20"/>
                <w:szCs w:val="20"/>
                <w:color w:val="auto"/>
              </w:rPr>
            </w:pPr>
            <w:r>
              <w:rPr>
                <w:rFonts w:ascii="Courier New" w:cs="Courier New" w:eastAsia="Courier New" w:hAnsi="Courier New"/>
                <w:sz w:val="17"/>
                <w:szCs w:val="17"/>
                <w:color w:val="auto"/>
              </w:rPr>
              <w:t>IOWA</w:t>
            </w:r>
          </w:p>
        </w:tc>
        <w:tc>
          <w:tcPr>
            <w:tcW w:w="254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42-0803978</w:t>
            </w:r>
          </w:p>
        </w:tc>
      </w:tr>
      <w:tr>
        <w:trPr>
          <w:trHeight w:val="198"/>
        </w:trPr>
        <w:tc>
          <w:tcPr>
            <w:tcW w:w="468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254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(I.R.S. Employer</w:t>
            </w:r>
          </w:p>
        </w:tc>
      </w:tr>
      <w:tr>
        <w:trPr>
          <w:trHeight w:val="198"/>
        </w:trPr>
        <w:tc>
          <w:tcPr>
            <w:tcW w:w="468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Identification No.)</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P. O. Box 152, Forest City, Iowa</w:t>
            </w:r>
          </w:p>
        </w:tc>
        <w:tc>
          <w:tcPr>
            <w:tcW w:w="254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50436</w:t>
            </w:r>
          </w:p>
        </w:tc>
      </w:tr>
      <w:tr>
        <w:trPr>
          <w:trHeight w:val="198"/>
        </w:trPr>
        <w:tc>
          <w:tcPr>
            <w:tcW w:w="468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254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(Zip Code)</w:t>
            </w:r>
          </w:p>
        </w:tc>
      </w:tr>
    </w:tbl>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 (515) 582-3535</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1" w:lineRule="exact"/>
        <w:rPr>
          <w:sz w:val="24"/>
          <w:szCs w:val="24"/>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There were 21,272,601 shares of $.50 par value common stock outstanding on July 6,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16"/>
                <w:szCs w:val="16"/>
                <w:color w:val="auto"/>
              </w:rPr>
            </w:pPr>
          </w:p>
        </w:tc>
        <w:tc>
          <w:tcPr>
            <w:tcW w:w="6520" w:type="dxa"/>
            <w:vAlign w:val="bottom"/>
          </w:tcPr>
          <w:p>
            <w:pPr>
              <w:ind w:left="1740"/>
              <w:spacing w:after="0"/>
              <w:rPr>
                <w:sz w:val="20"/>
                <w:szCs w:val="20"/>
                <w:color w:val="auto"/>
              </w:rPr>
            </w:pPr>
            <w:r>
              <w:rPr>
                <w:rFonts w:ascii="Courier New" w:cs="Courier New" w:eastAsia="Courier New" w:hAnsi="Courier New"/>
                <w:sz w:val="17"/>
                <w:szCs w:val="17"/>
                <w:color w:val="auto"/>
              </w:rPr>
              <w:t>INDEX TO REPORT ON FORM 10-Q</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94"/>
        </w:trPr>
        <w:tc>
          <w:tcPr>
            <w:tcW w:w="940" w:type="dxa"/>
            <w:vAlign w:val="bottom"/>
          </w:tcPr>
          <w:p>
            <w:pPr>
              <w:spacing w:after="0"/>
              <w:rPr>
                <w:sz w:val="24"/>
                <w:szCs w:val="24"/>
                <w:color w:val="auto"/>
              </w:rPr>
            </w:pPr>
          </w:p>
        </w:tc>
        <w:tc>
          <w:tcPr>
            <w:tcW w:w="7300" w:type="dxa"/>
            <w:vAlign w:val="bottom"/>
            <w:gridSpan w:val="3"/>
          </w:tcPr>
          <w:p>
            <w:pPr>
              <w:ind w:left="6160"/>
              <w:spacing w:after="0"/>
              <w:rPr>
                <w:sz w:val="20"/>
                <w:szCs w:val="20"/>
                <w:color w:val="auto"/>
              </w:rPr>
            </w:pPr>
            <w:r>
              <w:rPr>
                <w:rFonts w:ascii="Courier New" w:cs="Courier New" w:eastAsia="Courier New" w:hAnsi="Courier New"/>
                <w:sz w:val="17"/>
                <w:szCs w:val="17"/>
                <w:color w:val="auto"/>
                <w:w w:val="99"/>
              </w:rPr>
              <w:t>Page Number</w:t>
            </w:r>
          </w:p>
        </w:tc>
      </w:tr>
      <w:tr>
        <w:trPr>
          <w:trHeight w:val="198"/>
        </w:trPr>
        <w:tc>
          <w:tcPr>
            <w:tcW w:w="940" w:type="dxa"/>
            <w:vAlign w:val="bottom"/>
          </w:tcPr>
          <w:p>
            <w:pPr>
              <w:spacing w:after="0"/>
              <w:rPr>
                <w:sz w:val="17"/>
                <w:szCs w:val="17"/>
                <w:color w:val="auto"/>
              </w:rPr>
            </w:pPr>
          </w:p>
        </w:tc>
        <w:tc>
          <w:tcPr>
            <w:tcW w:w="7300" w:type="dxa"/>
            <w:vAlign w:val="bottom"/>
            <w:gridSpan w:val="3"/>
          </w:tcPr>
          <w:p>
            <w:pPr>
              <w:ind w:left="61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96"/>
        </w:trPr>
        <w:tc>
          <w:tcPr>
            <w:tcW w:w="9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Consolidated Balance Sheets (Interim period information</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&amp; 2</w:t>
            </w:r>
          </w:p>
        </w:tc>
      </w:tr>
      <w:tr>
        <w:trPr>
          <w:trHeight w:val="198"/>
        </w:trPr>
        <w:tc>
          <w:tcPr>
            <w:tcW w:w="94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7"/>
                <w:szCs w:val="17"/>
                <w:color w:val="auto"/>
              </w:rPr>
              <w:t>unaudited)</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96"/>
        </w:trPr>
        <w:tc>
          <w:tcPr>
            <w:tcW w:w="9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Unaudited Consolidated Statements of Income</w:t>
            </w:r>
          </w:p>
        </w:tc>
        <w:tc>
          <w:tcPr>
            <w:tcW w:w="3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3</w:t>
            </w:r>
          </w:p>
        </w:tc>
      </w:tr>
      <w:tr>
        <w:trPr>
          <w:trHeight w:val="396"/>
        </w:trPr>
        <w:tc>
          <w:tcPr>
            <w:tcW w:w="9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Unaudited Consolidated Condensed Statements of Cash Flows</w:t>
            </w:r>
          </w:p>
        </w:tc>
        <w:tc>
          <w:tcPr>
            <w:tcW w:w="3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4</w:t>
            </w:r>
          </w:p>
        </w:tc>
      </w:tr>
      <w:tr>
        <w:trPr>
          <w:trHeight w:val="396"/>
        </w:trPr>
        <w:tc>
          <w:tcPr>
            <w:tcW w:w="9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&amp; 6</w:t>
            </w:r>
          </w:p>
        </w:tc>
      </w:tr>
      <w:tr>
        <w:trPr>
          <w:trHeight w:val="396"/>
        </w:trPr>
        <w:tc>
          <w:tcPr>
            <w:tcW w:w="9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- 9</w:t>
            </w:r>
          </w:p>
        </w:tc>
      </w:tr>
      <w:tr>
        <w:trPr>
          <w:trHeight w:val="198"/>
        </w:trPr>
        <w:tc>
          <w:tcPr>
            <w:tcW w:w="94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7"/>
                <w:szCs w:val="17"/>
                <w:color w:val="auto"/>
              </w:rPr>
              <w:t>and Results of Operations</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- 12</w:t>
            </w:r>
          </w:p>
        </w:tc>
      </w:tr>
    </w:tbl>
    <w:p>
      <w:pPr>
        <w:sectPr>
          <w:pgSz w:w="11900" w:h="16838" w:orient="portrait"/>
          <w:cols w:equalWidth="0" w:num="1">
            <w:col w:w="10219"/>
          </w:cols>
          <w:pgMar w:left="240" w:top="643" w:right="1440" w:bottom="61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MAY 27,</w:t>
            </w:r>
          </w:p>
        </w:tc>
        <w:tc>
          <w:tcPr>
            <w:tcW w:w="3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AUGUST 28,</w:t>
            </w:r>
          </w:p>
        </w:tc>
      </w:tr>
      <w:tr>
        <w:trPr>
          <w:trHeight w:val="198"/>
        </w:trPr>
        <w:tc>
          <w:tcPr>
            <w:tcW w:w="5820" w:type="dxa"/>
            <w:vAlign w:val="bottom"/>
          </w:tcPr>
          <w:p>
            <w:pPr>
              <w:ind w:left="1860"/>
              <w:spacing w:after="0"/>
              <w:rPr>
                <w:sz w:val="20"/>
                <w:szCs w:val="20"/>
                <w:color w:val="auto"/>
              </w:rPr>
            </w:pPr>
            <w:r>
              <w:rPr>
                <w:rFonts w:ascii="Courier New" w:cs="Courier New" w:eastAsia="Courier New" w:hAnsi="Courier New"/>
                <w:sz w:val="17"/>
                <w:szCs w:val="17"/>
                <w:color w:val="auto"/>
              </w:rPr>
              <w:t>ASSETS</w:t>
            </w:r>
          </w:p>
        </w:tc>
        <w:tc>
          <w:tcPr>
            <w:tcW w:w="320" w:type="dxa"/>
            <w:vAlign w:val="bottom"/>
          </w:tcPr>
          <w:p>
            <w:pPr>
              <w:spacing w:after="0"/>
              <w:rPr>
                <w:sz w:val="17"/>
                <w:szCs w:val="17"/>
                <w:color w:val="auto"/>
              </w:rPr>
            </w:pPr>
          </w:p>
        </w:tc>
        <w:tc>
          <w:tcPr>
            <w:tcW w:w="148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2000</w:t>
            </w:r>
          </w:p>
        </w:tc>
        <w:tc>
          <w:tcPr>
            <w:tcW w:w="3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82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(Unaudited)</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59,725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48,160</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accounts ($1,224 and $960, respectively)</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32,030</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33,342</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Dealer financing receivables, less allowance</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for doubtful accounts ($97 and $73, respectively)</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31,887</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24,573</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87,040</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87,031</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3,944</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3,593</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6,982</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6,982</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32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221,608</w:t>
            </w:r>
          </w:p>
        </w:tc>
        <w:tc>
          <w:tcPr>
            <w:tcW w:w="3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203,681</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1,176</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1,150</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44,429</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41,136</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77,755</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73,839</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5,416</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5,345</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128,776</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121,470</w:t>
            </w:r>
          </w:p>
        </w:tc>
      </w:tr>
      <w:tr>
        <w:trPr>
          <w:trHeight w:val="198"/>
        </w:trPr>
        <w:tc>
          <w:tcPr>
            <w:tcW w:w="5820" w:type="dxa"/>
            <w:vAlign w:val="bottom"/>
          </w:tcPr>
          <w:p>
            <w:pPr>
              <w:ind w:left="520"/>
              <w:spacing w:after="0"/>
              <w:rPr>
                <w:sz w:val="20"/>
                <w:szCs w:val="20"/>
                <w:color w:val="auto"/>
              </w:rPr>
            </w:pPr>
            <w:r>
              <w:rPr>
                <w:rFonts w:ascii="Courier New" w:cs="Courier New" w:eastAsia="Courier New" w:hAnsi="Courier New"/>
                <w:sz w:val="17"/>
                <w:szCs w:val="17"/>
                <w:color w:val="auto"/>
              </w:rPr>
              <w:t>Less accumulated depreciation</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83,877</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83,099</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ind w:left="520"/>
              <w:spacing w:after="0"/>
              <w:rPr>
                <w:sz w:val="20"/>
                <w:szCs w:val="20"/>
                <w:color w:val="auto"/>
              </w:rPr>
            </w:pPr>
            <w:r>
              <w:rPr>
                <w:rFonts w:ascii="Courier New" w:cs="Courier New" w:eastAsia="Courier New" w:hAnsi="Courier New"/>
                <w:sz w:val="17"/>
                <w:szCs w:val="17"/>
                <w:color w:val="auto"/>
              </w:rPr>
              <w:t>Total property and equipment, net</w:t>
            </w:r>
          </w:p>
        </w:tc>
        <w:tc>
          <w:tcPr>
            <w:tcW w:w="32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44,899</w:t>
            </w:r>
          </w:p>
        </w:tc>
        <w:tc>
          <w:tcPr>
            <w:tcW w:w="3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38,371</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LONG-TERM NOTES RECEIVABLE, less allowances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820" w:type="dxa"/>
            <w:vAlign w:val="bottom"/>
          </w:tcPr>
          <w:p>
            <w:pPr>
              <w:ind w:left="420"/>
              <w:spacing w:after="0"/>
              <w:rPr>
                <w:sz w:val="20"/>
                <w:szCs w:val="20"/>
                <w:color w:val="auto"/>
              </w:rPr>
            </w:pPr>
            <w:r>
              <w:rPr>
                <w:rFonts w:ascii="Courier New" w:cs="Courier New" w:eastAsia="Courier New" w:hAnsi="Courier New"/>
                <w:sz w:val="17"/>
                <w:szCs w:val="17"/>
                <w:color w:val="auto"/>
              </w:rPr>
              <w:t>($289 and $262, respectively)</w:t>
            </w:r>
          </w:p>
        </w:tc>
        <w:tc>
          <w:tcPr>
            <w:tcW w:w="32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853</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787</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INVESTMENT IN LIFE INSURANCE</w:t>
            </w:r>
          </w:p>
        </w:tc>
        <w:tc>
          <w:tcPr>
            <w:tcW w:w="32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20,750</w:t>
            </w:r>
          </w:p>
        </w:tc>
        <w:tc>
          <w:tcPr>
            <w:tcW w:w="3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19,749</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DEFERRED INCOME TAXES, NET</w:t>
            </w:r>
          </w:p>
        </w:tc>
        <w:tc>
          <w:tcPr>
            <w:tcW w:w="32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18,654</w:t>
            </w:r>
          </w:p>
        </w:tc>
        <w:tc>
          <w:tcPr>
            <w:tcW w:w="3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18,654</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2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6,763</w:t>
            </w:r>
          </w:p>
        </w:tc>
        <w:tc>
          <w:tcPr>
            <w:tcW w:w="3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4,647</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313,527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285,889</w:t>
            </w:r>
          </w:p>
        </w:tc>
      </w:tr>
      <w:tr>
        <w:trPr>
          <w:trHeight w:val="198"/>
        </w:trPr>
        <w:tc>
          <w:tcPr>
            <w:tcW w:w="582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907" w:right="1440" w:bottom="1440" w:gutter="0" w:footer="0" w:header="0"/>
        </w:sectPr>
      </w:pPr>
    </w:p>
    <w:bookmarkStart w:id="2" w:name="page3"/>
    <w:bookmarkEnd w:id="2"/>
    <w:p>
      <w:pPr>
        <w:jc w:val="center"/>
        <w:ind w:right="185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MAY 27,</w:t>
            </w:r>
          </w:p>
        </w:tc>
        <w:tc>
          <w:tcPr>
            <w:tcW w:w="3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AUGUST 28,</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17"/>
                <w:szCs w:val="17"/>
                <w:color w:val="auto"/>
              </w:rPr>
            </w:pPr>
          </w:p>
        </w:tc>
        <w:tc>
          <w:tcPr>
            <w:tcW w:w="150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(Unaudited)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Accounts payable, trade</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31,916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38,604</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tax payable</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9,166</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10,201</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180" w:type="dxa"/>
            <w:vAlign w:val="bottom"/>
          </w:tcPr>
          <w:p>
            <w:pPr>
              <w:ind w:left="520"/>
              <w:spacing w:after="0"/>
              <w:rPr>
                <w:sz w:val="20"/>
                <w:szCs w:val="20"/>
                <w:color w:val="auto"/>
              </w:rPr>
            </w:pPr>
            <w:r>
              <w:rPr>
                <w:rFonts w:ascii="Courier New" w:cs="Courier New" w:eastAsia="Courier New" w:hAnsi="Courier New"/>
                <w:sz w:val="17"/>
                <w:szCs w:val="17"/>
                <w:color w:val="auto"/>
              </w:rPr>
              <w:t>Insurance</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5,526</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3,962</w:t>
            </w:r>
          </w:p>
        </w:tc>
      </w:tr>
      <w:tr>
        <w:trPr>
          <w:trHeight w:val="198"/>
        </w:trPr>
        <w:tc>
          <w:tcPr>
            <w:tcW w:w="6180" w:type="dxa"/>
            <w:vAlign w:val="bottom"/>
          </w:tcPr>
          <w:p>
            <w:pPr>
              <w:ind w:left="520"/>
              <w:spacing w:after="0"/>
              <w:rPr>
                <w:sz w:val="20"/>
                <w:szCs w:val="20"/>
                <w:color w:val="auto"/>
              </w:rPr>
            </w:pPr>
            <w:r>
              <w:rPr>
                <w:rFonts w:ascii="Courier New" w:cs="Courier New" w:eastAsia="Courier New" w:hAnsi="Courier New"/>
                <w:sz w:val="17"/>
                <w:szCs w:val="17"/>
                <w:color w:val="auto"/>
              </w:rPr>
              <w:t>Product warranties</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8,610</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6,407</w:t>
            </w:r>
          </w:p>
        </w:tc>
      </w:tr>
      <w:tr>
        <w:trPr>
          <w:trHeight w:val="198"/>
        </w:trPr>
        <w:tc>
          <w:tcPr>
            <w:tcW w:w="6180" w:type="dxa"/>
            <w:vAlign w:val="bottom"/>
          </w:tcPr>
          <w:p>
            <w:pPr>
              <w:ind w:left="520"/>
              <w:spacing w:after="0"/>
              <w:rPr>
                <w:sz w:val="20"/>
                <w:szCs w:val="20"/>
                <w:color w:val="auto"/>
              </w:rPr>
            </w:pPr>
            <w:r>
              <w:rPr>
                <w:rFonts w:ascii="Courier New" w:cs="Courier New" w:eastAsia="Courier New" w:hAnsi="Courier New"/>
                <w:sz w:val="17"/>
                <w:szCs w:val="17"/>
                <w:color w:val="auto"/>
              </w:rPr>
              <w:t>Accrued compensation</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13,455</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13,204</w:t>
            </w:r>
          </w:p>
        </w:tc>
      </w:tr>
      <w:tr>
        <w:trPr>
          <w:trHeight w:val="198"/>
        </w:trPr>
        <w:tc>
          <w:tcPr>
            <w:tcW w:w="6180" w:type="dxa"/>
            <w:vAlign w:val="bottom"/>
          </w:tcPr>
          <w:p>
            <w:pPr>
              <w:ind w:left="520"/>
              <w:spacing w:after="0"/>
              <w:rPr>
                <w:sz w:val="20"/>
                <w:szCs w:val="20"/>
                <w:color w:val="auto"/>
              </w:rPr>
            </w:pPr>
            <w:r>
              <w:rPr>
                <w:rFonts w:ascii="Courier New" w:cs="Courier New" w:eastAsia="Courier New" w:hAnsi="Courier New"/>
                <w:sz w:val="17"/>
                <w:szCs w:val="17"/>
                <w:color w:val="auto"/>
              </w:rPr>
              <w:t>Promotional</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7,731</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2,629</w:t>
            </w:r>
          </w:p>
        </w:tc>
      </w:tr>
      <w:tr>
        <w:trPr>
          <w:trHeight w:val="198"/>
        </w:trPr>
        <w:tc>
          <w:tcPr>
            <w:tcW w:w="618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5,438</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4,954</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6180" w:type="dxa"/>
            <w:vAlign w:val="bottom"/>
          </w:tcPr>
          <w:p>
            <w:pPr>
              <w:ind w:left="820"/>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24"/>
                <w:szCs w:val="24"/>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81,842</w:t>
            </w:r>
          </w:p>
        </w:tc>
        <w:tc>
          <w:tcPr>
            <w:tcW w:w="300" w:type="dxa"/>
            <w:vAlign w:val="bottom"/>
          </w:tcPr>
          <w:p>
            <w:pPr>
              <w:spacing w:after="0"/>
              <w:rPr>
                <w:sz w:val="24"/>
                <w:szCs w:val="24"/>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79,961</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POSTRETIREMENT HEALTH CARE AND DEFERRED</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COMPENSATION BENEFITS</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60,593</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56,544</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Capital stock, common, par value $.50; authorized</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60,000,000 shares:  issued 25,878,000 and 25,874,000</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shares, respectively</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12,939</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12,937</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21,994</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21,907</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Reinvested earnings</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189,781</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151,482</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224,714</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186,326</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Less treasury stock, at cost</w:t>
            </w:r>
          </w:p>
        </w:tc>
        <w:tc>
          <w:tcPr>
            <w:tcW w:w="26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53,622</w:t>
            </w:r>
          </w:p>
        </w:tc>
        <w:tc>
          <w:tcPr>
            <w:tcW w:w="3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36,942</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spacing w:after="0"/>
              <w:rPr>
                <w:sz w:val="24"/>
                <w:szCs w:val="24"/>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171,092</w:t>
            </w:r>
          </w:p>
        </w:tc>
        <w:tc>
          <w:tcPr>
            <w:tcW w:w="300" w:type="dxa"/>
            <w:vAlign w:val="bottom"/>
          </w:tcPr>
          <w:p>
            <w:pPr>
              <w:spacing w:after="0"/>
              <w:rPr>
                <w:sz w:val="24"/>
                <w:szCs w:val="24"/>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149,384</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313,527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285,889</w:t>
            </w:r>
          </w:p>
        </w:tc>
      </w:tr>
      <w:tr>
        <w:trPr>
          <w:trHeight w:val="198"/>
        </w:trPr>
        <w:tc>
          <w:tcPr>
            <w:tcW w:w="6180" w:type="dxa"/>
            <w:vAlign w:val="bottom"/>
          </w:tcPr>
          <w:p>
            <w:pPr>
              <w:spacing w:after="0"/>
              <w:rPr>
                <w:sz w:val="17"/>
                <w:szCs w:val="17"/>
                <w:color w:val="auto"/>
              </w:rPr>
            </w:pPr>
          </w:p>
        </w:tc>
        <w:tc>
          <w:tcPr>
            <w:tcW w:w="17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7" w:right="1440" w:bottom="1440" w:gutter="0" w:footer="0" w:header="0"/>
        </w:sectPr>
      </w:pPr>
    </w:p>
    <w:bookmarkStart w:id="3" w:name="page4"/>
    <w:bookmarkEnd w:id="3"/>
    <w:p>
      <w:pPr>
        <w:jc w:val="center"/>
        <w:ind w:right="3280"/>
        <w:spacing w:after="0" w:line="246" w:lineRule="auto"/>
        <w:rPr>
          <w:sz w:val="20"/>
          <w:szCs w:val="20"/>
          <w:color w:val="auto"/>
        </w:rPr>
      </w:pPr>
      <w:r>
        <w:rPr>
          <w:rFonts w:ascii="Courier New" w:cs="Courier New" w:eastAsia="Courier New" w:hAnsi="Courier New"/>
          <w:sz w:val="17"/>
          <w:szCs w:val="17"/>
          <w:color w:val="auto"/>
        </w:rPr>
        <w:t>WINNEBAGO INDUSTRIES, INC. AND SUBSIDIARIES UNAUDITED CONSOLIDATED STATEMENTS OF INCOME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THIRTEEN</w:t>
            </w: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THIRTY-NINE</w:t>
            </w:r>
          </w:p>
        </w:tc>
        <w:tc>
          <w:tcPr>
            <w:tcW w:w="800" w:type="dxa"/>
            <w:vAlign w:val="bottom"/>
          </w:tcPr>
          <w:p>
            <w:pPr>
              <w:spacing w:after="0"/>
              <w:rPr>
                <w:sz w:val="16"/>
                <w:szCs w:val="16"/>
                <w:color w:val="auto"/>
              </w:rPr>
            </w:pPr>
          </w:p>
        </w:tc>
      </w:tr>
      <w:tr>
        <w:trPr>
          <w:trHeight w:val="198"/>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gridSpan w:val="3"/>
          </w:tcPr>
          <w:p>
            <w:pPr>
              <w:jc w:val="right"/>
              <w:ind w:right="894"/>
              <w:spacing w:after="0"/>
              <w:rPr>
                <w:sz w:val="20"/>
                <w:szCs w:val="20"/>
                <w:color w:val="auto"/>
              </w:rPr>
            </w:pPr>
            <w:r>
              <w:rPr>
                <w:rFonts w:ascii="Courier New" w:cs="Courier New" w:eastAsia="Courier New" w:hAnsi="Courier New"/>
                <w:sz w:val="17"/>
                <w:szCs w:val="17"/>
                <w:color w:val="auto"/>
              </w:rPr>
              <w:t>WEEKS ENDED</w:t>
            </w:r>
          </w:p>
        </w:tc>
        <w:tc>
          <w:tcPr>
            <w:tcW w:w="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WEEKS ENDED</w:t>
            </w:r>
          </w:p>
        </w:tc>
        <w:tc>
          <w:tcPr>
            <w:tcW w:w="800" w:type="dxa"/>
            <w:vAlign w:val="bottom"/>
          </w:tcPr>
          <w:p>
            <w:pPr>
              <w:spacing w:after="0"/>
              <w:rPr>
                <w:sz w:val="17"/>
                <w:szCs w:val="17"/>
                <w:color w:val="auto"/>
              </w:rPr>
            </w:pPr>
          </w:p>
        </w:tc>
      </w:tr>
      <w:tr>
        <w:trPr>
          <w:trHeight w:val="198"/>
        </w:trPr>
        <w:tc>
          <w:tcPr>
            <w:tcW w:w="56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0"/>
              </w:rPr>
              <w:t>---------------------------</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May 27,</w:t>
            </w:r>
          </w:p>
        </w:tc>
        <w:tc>
          <w:tcPr>
            <w:tcW w:w="400" w:type="dxa"/>
            <w:vAlign w:val="bottom"/>
          </w:tcPr>
          <w:p>
            <w:pPr>
              <w:spacing w:after="0"/>
              <w:rPr>
                <w:sz w:val="17"/>
                <w:szCs w:val="17"/>
                <w:color w:val="auto"/>
              </w:rPr>
            </w:pPr>
          </w:p>
        </w:tc>
        <w:tc>
          <w:tcPr>
            <w:tcW w:w="11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May 29,</w:t>
            </w: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May 27,</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7"/>
              </w:rPr>
              <w:t>May 29,</w:t>
            </w:r>
          </w:p>
        </w:tc>
      </w:tr>
      <w:tr>
        <w:trPr>
          <w:trHeight w:val="198"/>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2000</w:t>
            </w:r>
          </w:p>
        </w:tc>
        <w:tc>
          <w:tcPr>
            <w:tcW w:w="400" w:type="dxa"/>
            <w:vAlign w:val="bottom"/>
          </w:tcPr>
          <w:p>
            <w:pPr>
              <w:spacing w:after="0"/>
              <w:rPr>
                <w:sz w:val="17"/>
                <w:szCs w:val="17"/>
                <w:color w:val="auto"/>
              </w:rPr>
            </w:pPr>
          </w:p>
        </w:tc>
        <w:tc>
          <w:tcPr>
            <w:tcW w:w="11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2000</w:t>
            </w:r>
          </w:p>
        </w:tc>
        <w:tc>
          <w:tcPr>
            <w:tcW w:w="58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211,137</w:t>
            </w:r>
          </w:p>
        </w:tc>
        <w:tc>
          <w:tcPr>
            <w:tcW w:w="4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191,546</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580,832</w:t>
            </w:r>
          </w:p>
        </w:tc>
        <w:tc>
          <w:tcPr>
            <w:tcW w:w="5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503,342</w:t>
            </w: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174,363</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157,804</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482,393</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420,355</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ind w:left="520"/>
              <w:spacing w:after="0"/>
              <w:rPr>
                <w:sz w:val="20"/>
                <w:szCs w:val="20"/>
                <w:color w:val="auto"/>
              </w:rPr>
            </w:pPr>
            <w:r>
              <w:rPr>
                <w:rFonts w:ascii="Courier New" w:cs="Courier New" w:eastAsia="Courier New" w:hAnsi="Courier New"/>
                <w:sz w:val="17"/>
                <w:szCs w:val="17"/>
                <w:color w:val="auto"/>
              </w:rPr>
              <w:t>Gross profit</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36,774</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33,742</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98,439</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82,987</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5620" w:type="dxa"/>
            <w:vAlign w:val="bottom"/>
          </w:tcPr>
          <w:p>
            <w:pPr>
              <w:ind w:left="520"/>
              <w:spacing w:after="0"/>
              <w:rPr>
                <w:sz w:val="20"/>
                <w:szCs w:val="20"/>
                <w:color w:val="auto"/>
              </w:rPr>
            </w:pPr>
            <w:r>
              <w:rPr>
                <w:rFonts w:ascii="Courier New" w:cs="Courier New" w:eastAsia="Courier New" w:hAnsi="Courier New"/>
                <w:sz w:val="17"/>
                <w:szCs w:val="17"/>
                <w:color w:val="auto"/>
              </w:rPr>
              <w:t>Selling and delivery</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6,517</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5,997</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18,418</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16,593</w:t>
            </w:r>
          </w:p>
        </w:tc>
      </w:tr>
      <w:tr>
        <w:trPr>
          <w:trHeight w:val="198"/>
        </w:trPr>
        <w:tc>
          <w:tcPr>
            <w:tcW w:w="5620" w:type="dxa"/>
            <w:vAlign w:val="bottom"/>
          </w:tcPr>
          <w:p>
            <w:pPr>
              <w:ind w:left="520"/>
              <w:spacing w:after="0"/>
              <w:rPr>
                <w:sz w:val="20"/>
                <w:szCs w:val="20"/>
                <w:color w:val="auto"/>
              </w:rPr>
            </w:pPr>
            <w:r>
              <w:rPr>
                <w:rFonts w:ascii="Courier New" w:cs="Courier New" w:eastAsia="Courier New" w:hAnsi="Courier New"/>
                <w:sz w:val="17"/>
                <w:szCs w:val="17"/>
                <w:color w:val="auto"/>
              </w:rPr>
              <w:t>General and administrative</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6,544</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6,129</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21,245</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16,112</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ind w:left="520"/>
              <w:spacing w:after="0"/>
              <w:rPr>
                <w:sz w:val="20"/>
                <w:szCs w:val="20"/>
                <w:color w:val="auto"/>
              </w:rPr>
            </w:pPr>
            <w:r>
              <w:rPr>
                <w:rFonts w:ascii="Courier New" w:cs="Courier New" w:eastAsia="Courier New" w:hAnsi="Courier New"/>
                <w:sz w:val="17"/>
                <w:szCs w:val="17"/>
                <w:color w:val="auto"/>
              </w:rPr>
              <w:t>Total operating expenses</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13,061</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12,126</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39,663</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32,705</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6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23,713</w:t>
            </w:r>
          </w:p>
        </w:tc>
        <w:tc>
          <w:tcPr>
            <w:tcW w:w="40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21,616</w:t>
            </w:r>
          </w:p>
        </w:tc>
        <w:tc>
          <w:tcPr>
            <w:tcW w:w="3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58,776</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50,282</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Financial income</w:t>
            </w:r>
          </w:p>
        </w:tc>
        <w:tc>
          <w:tcPr>
            <w:tcW w:w="36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831</w:t>
            </w:r>
          </w:p>
        </w:tc>
        <w:tc>
          <w:tcPr>
            <w:tcW w:w="40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670</w:t>
            </w:r>
          </w:p>
        </w:tc>
        <w:tc>
          <w:tcPr>
            <w:tcW w:w="3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2,389</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1,816</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Pre-tax income</w:t>
            </w:r>
          </w:p>
        </w:tc>
        <w:tc>
          <w:tcPr>
            <w:tcW w:w="36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24,544</w:t>
            </w:r>
          </w:p>
        </w:tc>
        <w:tc>
          <w:tcPr>
            <w:tcW w:w="40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22,286</w:t>
            </w:r>
          </w:p>
        </w:tc>
        <w:tc>
          <w:tcPr>
            <w:tcW w:w="3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61,165</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52,098</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Provision for taxes</w:t>
            </w:r>
          </w:p>
        </w:tc>
        <w:tc>
          <w:tcPr>
            <w:tcW w:w="36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8,287</w:t>
            </w:r>
          </w:p>
        </w:tc>
        <w:tc>
          <w:tcPr>
            <w:tcW w:w="40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7,675</w:t>
            </w:r>
          </w:p>
        </w:tc>
        <w:tc>
          <w:tcPr>
            <w:tcW w:w="3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20,676</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17,884</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16,257</w:t>
            </w:r>
          </w:p>
        </w:tc>
        <w:tc>
          <w:tcPr>
            <w:tcW w:w="4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14,611</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40,489</w:t>
            </w:r>
          </w:p>
        </w:tc>
        <w:tc>
          <w:tcPr>
            <w:tcW w:w="5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34,214</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Earnings per common share (Note 7):</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.76</w:t>
            </w:r>
          </w:p>
        </w:tc>
        <w:tc>
          <w:tcPr>
            <w:tcW w:w="4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.66</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1.86</w:t>
            </w:r>
          </w:p>
        </w:tc>
        <w:tc>
          <w:tcPr>
            <w:tcW w:w="5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r>
      <w:tr>
        <w:trPr>
          <w:trHeight w:val="198"/>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.74</w:t>
            </w:r>
          </w:p>
        </w:tc>
        <w:tc>
          <w:tcPr>
            <w:tcW w:w="4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.65</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1.83</w:t>
            </w:r>
          </w:p>
        </w:tc>
        <w:tc>
          <w:tcPr>
            <w:tcW w:w="5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r>
      <w:tr>
        <w:trPr>
          <w:trHeight w:val="5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 outstanding (Note 7):</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21,531</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22,190</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21,808</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22,186</w:t>
            </w:r>
          </w:p>
        </w:tc>
      </w:tr>
      <w:tr>
        <w:trPr>
          <w:trHeight w:val="198"/>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36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21,848</w:t>
            </w:r>
          </w:p>
        </w:tc>
        <w:tc>
          <w:tcPr>
            <w:tcW w:w="40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22,517</w:t>
            </w:r>
          </w:p>
        </w:tc>
        <w:tc>
          <w:tcPr>
            <w:tcW w:w="3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22,176</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22,483</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907" w:right="139" w:bottom="1440" w:gutter="0" w:footer="0" w:header="0"/>
        </w:sectPr>
      </w:pPr>
    </w:p>
    <w:bookmarkStart w:id="4" w:name="page5"/>
    <w:bookmarkEnd w:id="4"/>
    <w:p>
      <w:pPr>
        <w:jc w:val="center"/>
        <w:ind w:right="224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5" w:lineRule="exact"/>
        <w:rPr>
          <w:sz w:val="20"/>
          <w:szCs w:val="20"/>
          <w:color w:val="auto"/>
        </w:rPr>
      </w:pPr>
    </w:p>
    <w:p>
      <w:pPr>
        <w:jc w:val="center"/>
        <w:ind w:right="2240"/>
        <w:spacing w:after="0"/>
        <w:rPr>
          <w:sz w:val="20"/>
          <w:szCs w:val="20"/>
          <w:color w:val="auto"/>
        </w:rPr>
      </w:pPr>
      <w:r>
        <w:rPr>
          <w:rFonts w:ascii="Courier New" w:cs="Courier New" w:eastAsia="Courier New" w:hAnsi="Courier New"/>
          <w:sz w:val="17"/>
          <w:szCs w:val="17"/>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620" w:type="dxa"/>
            <w:vAlign w:val="bottom"/>
          </w:tcPr>
          <w:p>
            <w:pPr>
              <w:spacing w:after="0"/>
              <w:rPr>
                <w:sz w:val="16"/>
                <w:szCs w:val="16"/>
                <w:color w:val="auto"/>
              </w:rPr>
            </w:pPr>
          </w:p>
        </w:tc>
        <w:tc>
          <w:tcPr>
            <w:tcW w:w="2980" w:type="dxa"/>
            <w:vAlign w:val="bottom"/>
            <w:gridSpan w:val="3"/>
          </w:tcPr>
          <w:p>
            <w:pPr>
              <w:jc w:val="right"/>
              <w:ind w:right="414"/>
              <w:spacing w:after="0"/>
              <w:rPr>
                <w:sz w:val="20"/>
                <w:szCs w:val="20"/>
                <w:color w:val="auto"/>
              </w:rPr>
            </w:pPr>
            <w:r>
              <w:rPr>
                <w:rFonts w:ascii="Courier New" w:cs="Courier New" w:eastAsia="Courier New" w:hAnsi="Courier New"/>
                <w:sz w:val="17"/>
                <w:szCs w:val="17"/>
                <w:color w:val="auto"/>
              </w:rPr>
              <w:t>THIRTY-NINE WEEKS ENDED</w:t>
            </w:r>
          </w:p>
        </w:tc>
      </w:tr>
      <w:tr>
        <w:trPr>
          <w:trHeight w:val="198"/>
        </w:trPr>
        <w:tc>
          <w:tcPr>
            <w:tcW w:w="7000" w:type="dxa"/>
            <w:vAlign w:val="bottom"/>
          </w:tcPr>
          <w:p>
            <w:pPr>
              <w:spacing w:after="0"/>
              <w:rPr>
                <w:sz w:val="17"/>
                <w:szCs w:val="17"/>
                <w:color w:val="auto"/>
              </w:rPr>
            </w:pPr>
          </w:p>
        </w:tc>
        <w:tc>
          <w:tcPr>
            <w:tcW w:w="360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May 27,</w:t>
            </w:r>
          </w:p>
        </w:tc>
        <w:tc>
          <w:tcPr>
            <w:tcW w:w="5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May 29,</w:t>
            </w:r>
          </w:p>
        </w:tc>
      </w:tr>
      <w:tr>
        <w:trPr>
          <w:trHeight w:val="198"/>
        </w:trPr>
        <w:tc>
          <w:tcPr>
            <w:tcW w:w="7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2000</w:t>
            </w:r>
          </w:p>
        </w:tc>
        <w:tc>
          <w:tcPr>
            <w:tcW w:w="52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6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40,489</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34,214</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 by</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operating activities:</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4,826</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4,212</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431</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545</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Change in assets and liabilities:</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Decrease (increase) in receivable and other assets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606</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(24,877)</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Increase in inventories</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(7,589)</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Increase in accounts payable and accrued expenses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2,916</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9,396</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(Decrease) increase in income taxes payable</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(1,035)</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16,746</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Increase in postretirement benefits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3,862</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3,609</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(238)</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52,086</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36,018</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flows used by investing activities:</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Purchases of property and equipment</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(11,715)</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(8,711)</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Investments in dealer receivables</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(81,963)</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(74,494)</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Collections of dealer receivables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74,634</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57,560</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(2,696)</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2,067</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used by investing activities</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(21,740)</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(23,578)</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flows used by financing activities and capital transactions:</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Payments for purchase of common stock</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(17,747)</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(8,975)</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Payment of cash dividends</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(2,189)</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(2,221)</w:t>
            </w:r>
          </w:p>
        </w:tc>
      </w:tr>
      <w:tr>
        <w:trPr>
          <w:trHeight w:val="198"/>
        </w:trPr>
        <w:tc>
          <w:tcPr>
            <w:tcW w:w="70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1,155</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1,349</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used by financing activities and</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000" w:type="dxa"/>
            <w:vAlign w:val="bottom"/>
          </w:tcPr>
          <w:p>
            <w:pPr>
              <w:ind w:left="320"/>
              <w:spacing w:after="0"/>
              <w:rPr>
                <w:sz w:val="20"/>
                <w:szCs w:val="20"/>
                <w:color w:val="auto"/>
              </w:rPr>
            </w:pPr>
            <w:r>
              <w:rPr>
                <w:rFonts w:ascii="Courier New" w:cs="Courier New" w:eastAsia="Courier New" w:hAnsi="Courier New"/>
                <w:sz w:val="17"/>
                <w:szCs w:val="17"/>
                <w:color w:val="auto"/>
              </w:rPr>
              <w:t>capital transactions</w:t>
            </w:r>
          </w:p>
        </w:tc>
        <w:tc>
          <w:tcPr>
            <w:tcW w:w="62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(18,781)</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(9,847)</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62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11,565</w:t>
            </w:r>
          </w:p>
        </w:tc>
        <w:tc>
          <w:tcPr>
            <w:tcW w:w="5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2,593</w:t>
            </w:r>
          </w:p>
        </w:tc>
      </w:tr>
      <w:tr>
        <w:trPr>
          <w:trHeight w:val="3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620" w:type="dxa"/>
            <w:vAlign w:val="bottom"/>
          </w:tcPr>
          <w:p>
            <w:pPr>
              <w:spacing w:after="0"/>
              <w:rPr>
                <w:sz w:val="24"/>
                <w:szCs w:val="24"/>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48,160</w:t>
            </w:r>
          </w:p>
        </w:tc>
        <w:tc>
          <w:tcPr>
            <w:tcW w:w="5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53,859</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6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59,725</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56,452</w:t>
            </w:r>
          </w:p>
        </w:tc>
      </w:tr>
      <w:tr>
        <w:trPr>
          <w:trHeight w:val="198"/>
        </w:trPr>
        <w:tc>
          <w:tcPr>
            <w:tcW w:w="7000" w:type="dxa"/>
            <w:vAlign w:val="bottom"/>
          </w:tcPr>
          <w:p>
            <w:pPr>
              <w:spacing w:after="0"/>
              <w:rPr>
                <w:sz w:val="17"/>
                <w:szCs w:val="17"/>
                <w:color w:val="auto"/>
              </w:rPr>
            </w:pPr>
          </w:p>
        </w:tc>
        <w:tc>
          <w:tcPr>
            <w:tcW w:w="196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600"/>
          </w:cols>
          <w:pgMar w:left="240" w:top="907" w:right="1059"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p>
      <w:pPr>
        <w:spacing w:after="0" w:line="203" w:lineRule="exact"/>
        <w:rPr>
          <w:sz w:val="20"/>
          <w:szCs w:val="20"/>
          <w:color w:val="auto"/>
        </w:rPr>
      </w:pPr>
    </w:p>
    <w:p>
      <w:pPr>
        <w:ind w:left="620" w:right="1979" w:hanging="614"/>
        <w:spacing w:after="0" w:line="246" w:lineRule="auto"/>
        <w:tabs>
          <w:tab w:leader="none" w:pos="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opinion of management, the accompanying unaudited consolidated condensed financial statements contain all adjustments, consisting of normal recurring accruals, necessary to present fairly the consolidated financial position as of May 27, 2000, the consolidated results of operations for the 39 and 13 weeks ended May 27, 2000 and May 29, 1999, and the consolidated cash flows for the 39 weeks ended May 27, 2000 and May 29, 1999. The statements of income for the 39 weeks ended May 27, 2000, are not necessarily indicative of the results to be expected for the full year. The balance sheet data as of August 28, 1999 was derived from audited financial statements, but does not include all disclosures contained in the Company's Annual Report to Shareholders for the year ended August 28, 1999. The interim consolidated financial statements should be read in conjunction with the audited financial statements and notes thereto appearing in the Company's Annual Report to Shareholders for the year ended August 28, 1999.</w:t>
      </w:r>
    </w:p>
    <w:p>
      <w:pPr>
        <w:spacing w:after="0" w:line="206" w:lineRule="exact"/>
        <w:rPr>
          <w:rFonts w:ascii="Courier New" w:cs="Courier New" w:eastAsia="Courier New" w:hAnsi="Courier New"/>
          <w:sz w:val="17"/>
          <w:szCs w:val="17"/>
          <w:color w:val="auto"/>
        </w:rPr>
      </w:pPr>
    </w:p>
    <w:p>
      <w:pPr>
        <w:ind w:left="620" w:right="2179" w:hanging="614"/>
        <w:spacing w:after="0" w:line="246" w:lineRule="auto"/>
        <w:tabs>
          <w:tab w:leader="none" w:pos="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are valued at the lower of cost or market, with cost being determined under the last-in, first-out (LIFO) method and market defined as net realizable value.</w:t>
      </w:r>
    </w:p>
    <w:p>
      <w:pPr>
        <w:spacing w:after="0" w:line="199"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are composed of the following (dollars in thousands):</w:t>
      </w:r>
    </w:p>
    <w:p>
      <w:pPr>
        <w:spacing w:after="0" w:line="203"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ind w:right="414"/>
              <w:spacing w:after="0"/>
              <w:rPr>
                <w:sz w:val="20"/>
                <w:szCs w:val="20"/>
                <w:color w:val="auto"/>
              </w:rPr>
            </w:pPr>
            <w:r>
              <w:rPr>
                <w:rFonts w:ascii="Courier New" w:cs="Courier New" w:eastAsia="Courier New" w:hAnsi="Courier New"/>
                <w:sz w:val="17"/>
                <w:szCs w:val="17"/>
                <w:color w:val="auto"/>
                <w:w w:val="97"/>
              </w:rPr>
              <w:t>May 27,</w:t>
            </w:r>
          </w:p>
        </w:tc>
        <w:tc>
          <w:tcPr>
            <w:tcW w:w="15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August 28,</w:t>
            </w:r>
          </w:p>
        </w:tc>
      </w:tr>
      <w:tr>
        <w:trPr>
          <w:trHeight w:val="198"/>
        </w:trPr>
        <w:tc>
          <w:tcPr>
            <w:tcW w:w="2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2000</w:t>
            </w:r>
          </w:p>
        </w:tc>
        <w:tc>
          <w:tcPr>
            <w:tcW w:w="620" w:type="dxa"/>
            <w:vAlign w:val="bottom"/>
          </w:tcPr>
          <w:p>
            <w:pPr>
              <w:spacing w:after="0"/>
              <w:rPr>
                <w:sz w:val="17"/>
                <w:szCs w:val="17"/>
                <w:color w:val="auto"/>
              </w:rPr>
            </w:pPr>
          </w:p>
        </w:tc>
        <w:tc>
          <w:tcPr>
            <w:tcW w:w="9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780" w:type="dxa"/>
            <w:vAlign w:val="bottom"/>
          </w:tcPr>
          <w:p>
            <w:pPr>
              <w:spacing w:after="0"/>
              <w:rPr>
                <w:sz w:val="17"/>
                <w:szCs w:val="17"/>
                <w:color w:val="auto"/>
              </w:rPr>
            </w:pPr>
          </w:p>
        </w:tc>
        <w:tc>
          <w:tcPr>
            <w:tcW w:w="17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278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33,620</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25,622</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5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22,463</w:t>
            </w:r>
          </w:p>
        </w:tc>
        <w:tc>
          <w:tcPr>
            <w:tcW w:w="62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24,822</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5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51,064</w:t>
            </w:r>
          </w:p>
        </w:tc>
        <w:tc>
          <w:tcPr>
            <w:tcW w:w="62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55,076</w:t>
            </w:r>
          </w:p>
        </w:tc>
      </w:tr>
      <w:tr>
        <w:trPr>
          <w:trHeight w:val="198"/>
        </w:trPr>
        <w:tc>
          <w:tcPr>
            <w:tcW w:w="2780" w:type="dxa"/>
            <w:vAlign w:val="bottom"/>
          </w:tcPr>
          <w:p>
            <w:pPr>
              <w:spacing w:after="0"/>
              <w:rPr>
                <w:sz w:val="17"/>
                <w:szCs w:val="17"/>
                <w:color w:val="auto"/>
              </w:rPr>
            </w:pPr>
          </w:p>
        </w:tc>
        <w:tc>
          <w:tcPr>
            <w:tcW w:w="17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107,147</w:t>
            </w:r>
          </w:p>
        </w:tc>
        <w:tc>
          <w:tcPr>
            <w:tcW w:w="62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105,520</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LIFO reserve.............</w:t>
            </w:r>
          </w:p>
        </w:tc>
        <w:tc>
          <w:tcPr>
            <w:tcW w:w="52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(20,107)</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(18,489)</w:t>
            </w:r>
          </w:p>
        </w:tc>
      </w:tr>
      <w:tr>
        <w:trPr>
          <w:trHeight w:val="198"/>
        </w:trPr>
        <w:tc>
          <w:tcPr>
            <w:tcW w:w="2780" w:type="dxa"/>
            <w:vAlign w:val="bottom"/>
          </w:tcPr>
          <w:p>
            <w:pPr>
              <w:spacing w:after="0"/>
              <w:rPr>
                <w:sz w:val="17"/>
                <w:szCs w:val="17"/>
                <w:color w:val="auto"/>
              </w:rPr>
            </w:pPr>
          </w:p>
        </w:tc>
        <w:tc>
          <w:tcPr>
            <w:tcW w:w="17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78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87,040</w:t>
            </w:r>
          </w:p>
        </w:tc>
        <w:tc>
          <w:tcPr>
            <w:tcW w:w="62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87,031</w:t>
            </w:r>
          </w:p>
        </w:tc>
      </w:tr>
      <w:tr>
        <w:trPr>
          <w:trHeight w:val="198"/>
        </w:trPr>
        <w:tc>
          <w:tcPr>
            <w:tcW w:w="2780" w:type="dxa"/>
            <w:vAlign w:val="bottom"/>
          </w:tcPr>
          <w:p>
            <w:pPr>
              <w:spacing w:after="0"/>
              <w:rPr>
                <w:sz w:val="17"/>
                <w:szCs w:val="17"/>
                <w:color w:val="auto"/>
              </w:rPr>
            </w:pPr>
          </w:p>
        </w:tc>
        <w:tc>
          <w:tcPr>
            <w:tcW w:w="17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left="620" w:right="1979" w:hanging="614"/>
        <w:spacing w:after="0" w:line="246" w:lineRule="auto"/>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March 1992, the Company has had a financing and security agreement with Bank of America Specialty Group (formerly NationsBank Specialty Lending Unit).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May 27, 2000, the Company was in compliance with these financial covenants. There were no outstanding borrowings under the line of credit at May 27, 2000 or August 28, 1999.</w:t>
      </w:r>
    </w:p>
    <w:p>
      <w:pPr>
        <w:spacing w:after="0" w:line="207"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customary practice for companies in the recreation vehicle industry to enter into repurchase agreements with financing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$243,441,000 and $168,552,000 under repurchase agreements with lending institutions as of May 27, 2000 and August 28, 1999, respectively. Included in these contingent liabilities as of May 27, 2000 and August 28, 1999 are approximately $7,076,000 and $7,480,000, respectively, of certain dealer receivables subject to recourse agreements with Bank of America Specialty Group and Conseco Finance Servicing Group (formerly Green Tree Financial).</w:t>
      </w:r>
    </w:p>
    <w:p>
      <w:pPr>
        <w:spacing w:after="0" w:line="205" w:lineRule="exact"/>
        <w:rPr>
          <w:rFonts w:ascii="Courier New" w:cs="Courier New" w:eastAsia="Courier New" w:hAnsi="Courier New"/>
          <w:sz w:val="17"/>
          <w:szCs w:val="17"/>
          <w:color w:val="auto"/>
        </w:rPr>
      </w:pPr>
    </w:p>
    <w:p>
      <w:pPr>
        <w:ind w:left="620" w:right="2799" w:hanging="614"/>
        <w:spacing w:after="0" w:line="247" w:lineRule="auto"/>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periods indicated, the Company paid cash for the following (dollars in thousands):</w:t>
      </w:r>
    </w:p>
    <w:p>
      <w:pPr>
        <w:sectPr>
          <w:pgSz w:w="11900" w:h="16838" w:orient="portrait"/>
          <w:cols w:equalWidth="0" w:num="1">
            <w:col w:w="10219"/>
          </w:cols>
          <w:pgMar w:left="240" w:top="90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Income taxes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THIRTY-NINE 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tabs>
          <w:tab w:leader="none" w:pos="1820" w:val="left"/>
        </w:tabs>
        <w:rPr>
          <w:sz w:val="20"/>
          <w:szCs w:val="20"/>
          <w:color w:val="auto"/>
        </w:rPr>
      </w:pPr>
      <w:r>
        <w:rPr>
          <w:rFonts w:ascii="Courier New" w:cs="Courier New" w:eastAsia="Courier New" w:hAnsi="Courier New"/>
          <w:sz w:val="17"/>
          <w:szCs w:val="17"/>
          <w:color w:val="auto"/>
        </w:rPr>
        <w:t>May 27,</w:t>
      </w:r>
      <w:r>
        <w:rPr>
          <w:sz w:val="20"/>
          <w:szCs w:val="20"/>
          <w:color w:val="auto"/>
        </w:rPr>
        <w:tab/>
      </w:r>
      <w:r>
        <w:rPr>
          <w:rFonts w:ascii="Courier New" w:cs="Courier New" w:eastAsia="Courier New" w:hAnsi="Courier New"/>
          <w:sz w:val="17"/>
          <w:szCs w:val="17"/>
          <w:color w:val="auto"/>
        </w:rPr>
        <w:t>May 29,</w:t>
      </w:r>
    </w:p>
    <w:p>
      <w:pPr>
        <w:spacing w:after="0" w:line="5"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580" w:val="left"/>
          <w:tab w:leader="none" w:pos="1720" w:val="left"/>
          <w:tab w:leader="none" w:pos="2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236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97</w:t>
      </w:r>
    </w:p>
    <w:p>
      <w:pPr>
        <w:spacing w:after="0" w:line="5" w:lineRule="exact"/>
        <w:rPr>
          <w:sz w:val="20"/>
          <w:szCs w:val="20"/>
          <w:color w:val="auto"/>
        </w:rPr>
      </w:pPr>
    </w:p>
    <w:p>
      <w:pPr>
        <w:ind w:left="300"/>
        <w:spacing w:after="0"/>
        <w:tabs>
          <w:tab w:leader="none" w:pos="2040" w:val="left"/>
        </w:tabs>
        <w:rPr>
          <w:sz w:val="20"/>
          <w:szCs w:val="20"/>
          <w:color w:val="auto"/>
        </w:rPr>
      </w:pPr>
      <w:r>
        <w:rPr>
          <w:rFonts w:ascii="Courier New" w:cs="Courier New" w:eastAsia="Courier New" w:hAnsi="Courier New"/>
          <w:sz w:val="16"/>
          <w:szCs w:val="16"/>
          <w:color w:val="auto"/>
        </w:rPr>
        <w:t>21,930</w:t>
      </w:r>
      <w:r>
        <w:rPr>
          <w:sz w:val="20"/>
          <w:szCs w:val="20"/>
          <w:color w:val="auto"/>
        </w:rPr>
        <w:tab/>
      </w:r>
      <w:r>
        <w:rPr>
          <w:rFonts w:ascii="Courier New" w:cs="Courier New" w:eastAsia="Courier New" w:hAnsi="Courier New"/>
          <w:sz w:val="16"/>
          <w:szCs w:val="16"/>
          <w:color w:val="auto"/>
        </w:rPr>
        <w:t>18,800</w:t>
      </w:r>
    </w:p>
    <w:p>
      <w:pPr>
        <w:sectPr>
          <w:pgSz w:w="11900" w:h="16838" w:orient="portrait"/>
          <w:cols w:equalWidth="0" w:num="2">
            <w:col w:w="3000" w:space="720"/>
            <w:col w:w="6499"/>
          </w:cols>
          <w:pgMar w:left="240" w:top="907" w:right="1440" w:bottom="0" w:gutter="0" w:footer="0" w:header="0"/>
          <w:type w:val="continuous"/>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538" w:right="1440" w:bottom="1440" w:gutter="0" w:footer="0" w:header="0"/>
        </w:sectPr>
      </w:pPr>
    </w:p>
    <w:bookmarkStart w:id="7" w:name="page8"/>
    <w:bookmarkEnd w:id="7"/>
    <w:p>
      <w:pPr>
        <w:ind w:left="614" w:right="2980" w:hanging="614"/>
        <w:spacing w:after="0" w:line="246" w:lineRule="auto"/>
        <w:tabs>
          <w:tab w:leader="none" w:pos="6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March 15, 2000, the Board of Directors authorized the repurchase of outstanding shares of the Company's common stock for an aggregate purchase price of up to $15,000,000. As of May 27, 2000, 162,200 shares had been repurchased for an aggregate consideration of $2,747,651 under this authorization.</w:t>
      </w:r>
    </w:p>
    <w:p>
      <w:pPr>
        <w:spacing w:after="0" w:line="200" w:lineRule="exact"/>
        <w:rPr>
          <w:rFonts w:ascii="Courier New" w:cs="Courier New" w:eastAsia="Courier New" w:hAnsi="Courier New"/>
          <w:sz w:val="17"/>
          <w:szCs w:val="17"/>
          <w:color w:val="auto"/>
        </w:rPr>
      </w:pPr>
    </w:p>
    <w:p>
      <w:pPr>
        <w:ind w:left="614" w:right="2980" w:hanging="614"/>
        <w:spacing w:after="0" w:line="247" w:lineRule="auto"/>
        <w:tabs>
          <w:tab w:leader="none" w:pos="6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reflects the calculation of basic and diluted earnings per share for the 13 and 39 weeks ended May 27, 2000 and May 29, 1999:</w:t>
      </w:r>
    </w:p>
    <w:p>
      <w:pPr>
        <w:spacing w:after="0" w:line="200" w:lineRule="exact"/>
        <w:rPr>
          <w:sz w:val="20"/>
          <w:szCs w:val="20"/>
          <w:color w:val="auto"/>
        </w:rPr>
      </w:pPr>
    </w:p>
    <w:p>
      <w:pPr>
        <w:spacing w:after="0" w:line="394" w:lineRule="exact"/>
        <w:rPr>
          <w:sz w:val="20"/>
          <w:szCs w:val="20"/>
          <w:color w:val="auto"/>
        </w:rPr>
      </w:pPr>
    </w:p>
    <w:tbl>
      <w:tblPr>
        <w:tblLayout w:type="fixed"/>
        <w:tblInd w:w="614"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THIRTEEN WEEKS ENDED</w:t>
            </w:r>
          </w:p>
        </w:tc>
        <w:tc>
          <w:tcPr>
            <w:tcW w:w="420" w:type="dxa"/>
            <w:vAlign w:val="bottom"/>
          </w:tcPr>
          <w:p>
            <w:pPr>
              <w:spacing w:after="0"/>
              <w:rPr>
                <w:sz w:val="16"/>
                <w:szCs w:val="16"/>
                <w:color w:val="auto"/>
              </w:rPr>
            </w:pPr>
          </w:p>
        </w:tc>
        <w:tc>
          <w:tcPr>
            <w:tcW w:w="266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THIRTY-NINE WEEKS ENDED</w:t>
            </w:r>
          </w:p>
        </w:tc>
      </w:tr>
      <w:tr>
        <w:trPr>
          <w:trHeight w:val="198"/>
        </w:trPr>
        <w:tc>
          <w:tcPr>
            <w:tcW w:w="422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0"/>
              </w:rPr>
              <w:t>----------------------------</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MAY 27,</w:t>
            </w:r>
          </w:p>
        </w:tc>
        <w:tc>
          <w:tcPr>
            <w:tcW w:w="40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MAY 29,</w:t>
            </w:r>
          </w:p>
        </w:tc>
        <w:tc>
          <w:tcPr>
            <w:tcW w:w="4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MAY 27,</w:t>
            </w:r>
          </w:p>
        </w:tc>
        <w:tc>
          <w:tcPr>
            <w:tcW w:w="42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MAY 29,</w:t>
            </w:r>
          </w:p>
        </w:tc>
      </w:tr>
      <w:tr>
        <w:trPr>
          <w:trHeight w:val="198"/>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IN THOUSANDS EXCEPT PER SHARE DATA</w:t>
            </w:r>
          </w:p>
        </w:tc>
        <w:tc>
          <w:tcPr>
            <w:tcW w:w="52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w:t>
            </w:r>
          </w:p>
        </w:tc>
        <w:tc>
          <w:tcPr>
            <w:tcW w:w="400" w:type="dxa"/>
            <w:vAlign w:val="bottom"/>
          </w:tcPr>
          <w:p>
            <w:pPr>
              <w:spacing w:after="0"/>
              <w:rPr>
                <w:sz w:val="17"/>
                <w:szCs w:val="17"/>
                <w:color w:val="auto"/>
              </w:rPr>
            </w:pPr>
          </w:p>
        </w:tc>
        <w:tc>
          <w:tcPr>
            <w:tcW w:w="12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1999</w:t>
            </w:r>
          </w:p>
        </w:tc>
        <w:tc>
          <w:tcPr>
            <w:tcW w:w="420" w:type="dxa"/>
            <w:vAlign w:val="bottom"/>
          </w:tcPr>
          <w:p>
            <w:pPr>
              <w:spacing w:after="0"/>
              <w:rPr>
                <w:sz w:val="17"/>
                <w:szCs w:val="17"/>
                <w:color w:val="auto"/>
              </w:rPr>
            </w:pPr>
          </w:p>
        </w:tc>
        <w:tc>
          <w:tcPr>
            <w:tcW w:w="122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w:t>
            </w:r>
          </w:p>
        </w:tc>
        <w:tc>
          <w:tcPr>
            <w:tcW w:w="42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16,257</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14,611</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40,489</w:t>
            </w:r>
          </w:p>
        </w:tc>
        <w:tc>
          <w:tcPr>
            <w:tcW w:w="4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34,214</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52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21,531</w:t>
            </w:r>
          </w:p>
        </w:tc>
        <w:tc>
          <w:tcPr>
            <w:tcW w:w="40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22,190</w:t>
            </w:r>
          </w:p>
        </w:tc>
        <w:tc>
          <w:tcPr>
            <w:tcW w:w="420" w:type="dxa"/>
            <w:vAlign w:val="bottom"/>
          </w:tcPr>
          <w:p>
            <w:pPr>
              <w:spacing w:after="0"/>
              <w:rPr>
                <w:sz w:val="17"/>
                <w:szCs w:val="17"/>
                <w:color w:val="auto"/>
              </w:rPr>
            </w:pP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21,808</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22,186</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.76</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.66</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1.86</w:t>
            </w:r>
          </w:p>
        </w:tc>
        <w:tc>
          <w:tcPr>
            <w:tcW w:w="4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16,257</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14,611</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40,489</w:t>
            </w:r>
          </w:p>
        </w:tc>
        <w:tc>
          <w:tcPr>
            <w:tcW w:w="4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34,214</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52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21,531</w:t>
            </w:r>
          </w:p>
        </w:tc>
        <w:tc>
          <w:tcPr>
            <w:tcW w:w="40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22,190</w:t>
            </w:r>
          </w:p>
        </w:tc>
        <w:tc>
          <w:tcPr>
            <w:tcW w:w="420" w:type="dxa"/>
            <w:vAlign w:val="bottom"/>
          </w:tcPr>
          <w:p>
            <w:pPr>
              <w:spacing w:after="0"/>
              <w:rPr>
                <w:sz w:val="17"/>
                <w:szCs w:val="17"/>
                <w:color w:val="auto"/>
              </w:rPr>
            </w:pP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21,808</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22,186</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Dilutive impact of options outstanding</w:t>
            </w:r>
          </w:p>
        </w:tc>
        <w:tc>
          <w:tcPr>
            <w:tcW w:w="52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317</w:t>
            </w:r>
          </w:p>
        </w:tc>
        <w:tc>
          <w:tcPr>
            <w:tcW w:w="40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327</w:t>
            </w:r>
          </w:p>
        </w:tc>
        <w:tc>
          <w:tcPr>
            <w:tcW w:w="420" w:type="dxa"/>
            <w:vAlign w:val="bottom"/>
          </w:tcPr>
          <w:p>
            <w:pPr>
              <w:spacing w:after="0"/>
              <w:rPr>
                <w:sz w:val="17"/>
                <w:szCs w:val="17"/>
                <w:color w:val="auto"/>
              </w:rPr>
            </w:pP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368</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297</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Weighted average shares &amp; potential</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ind w:left="420"/>
              <w:spacing w:after="0"/>
              <w:rPr>
                <w:sz w:val="20"/>
                <w:szCs w:val="20"/>
                <w:color w:val="auto"/>
              </w:rPr>
            </w:pPr>
            <w:r>
              <w:rPr>
                <w:rFonts w:ascii="Courier New" w:cs="Courier New" w:eastAsia="Courier New" w:hAnsi="Courier New"/>
                <w:sz w:val="17"/>
                <w:szCs w:val="17"/>
                <w:color w:val="auto"/>
              </w:rPr>
              <w:t>dilutive shares outstanding</w:t>
            </w:r>
          </w:p>
        </w:tc>
        <w:tc>
          <w:tcPr>
            <w:tcW w:w="52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21,848</w:t>
            </w:r>
          </w:p>
        </w:tc>
        <w:tc>
          <w:tcPr>
            <w:tcW w:w="40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22,517</w:t>
            </w:r>
          </w:p>
        </w:tc>
        <w:tc>
          <w:tcPr>
            <w:tcW w:w="420" w:type="dxa"/>
            <w:vAlign w:val="bottom"/>
          </w:tcPr>
          <w:p>
            <w:pPr>
              <w:spacing w:after="0"/>
              <w:rPr>
                <w:sz w:val="17"/>
                <w:szCs w:val="17"/>
                <w:color w:val="auto"/>
              </w:rPr>
            </w:pP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22,176</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22,483</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.74</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1.83</w:t>
            </w:r>
          </w:p>
        </w:tc>
        <w:tc>
          <w:tcPr>
            <w:tcW w:w="4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r>
      <w:tr>
        <w:trPr>
          <w:trHeight w:val="198"/>
        </w:trPr>
        <w:tc>
          <w:tcPr>
            <w:tcW w:w="4220" w:type="dxa"/>
            <w:vAlign w:val="bottom"/>
          </w:tcPr>
          <w:p>
            <w:pPr>
              <w:spacing w:after="0"/>
              <w:rPr>
                <w:sz w:val="17"/>
                <w:szCs w:val="17"/>
                <w:color w:val="auto"/>
              </w:rPr>
            </w:pP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614" w:right="2980"/>
        <w:spacing w:after="0" w:line="246" w:lineRule="auto"/>
        <w:rPr>
          <w:sz w:val="20"/>
          <w:szCs w:val="20"/>
          <w:color w:val="auto"/>
        </w:rPr>
      </w:pPr>
      <w:r>
        <w:rPr>
          <w:rFonts w:ascii="Courier New" w:cs="Courier New" w:eastAsia="Courier New" w:hAnsi="Courier New"/>
          <w:sz w:val="17"/>
          <w:szCs w:val="17"/>
          <w:color w:val="auto"/>
        </w:rPr>
        <w:t>There were options to purchase 166,800 shares of common stock outstanding at a price of $18.50 per share during the 13 weeks ended May 27, 2000 and options to purchase 14,000 shares of common stock outstanding at a price of $15.375 per share during the 13 weeks ended May 29, 1999. These options were not included in the computation of diluted earnings per share because the options' exercise price was greater than the average market price of the common shares.</w:t>
      </w:r>
    </w:p>
    <w:p>
      <w:pPr>
        <w:spacing w:after="0" w:line="202" w:lineRule="exact"/>
        <w:rPr>
          <w:sz w:val="20"/>
          <w:szCs w:val="20"/>
          <w:color w:val="auto"/>
        </w:rPr>
      </w:pPr>
    </w:p>
    <w:p>
      <w:pPr>
        <w:ind w:left="614" w:right="2980" w:hanging="614"/>
        <w:spacing w:after="0" w:line="246" w:lineRule="auto"/>
        <w:tabs>
          <w:tab w:leader="none" w:pos="6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defines its operations into two business segments: Recreational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unit financing for the Company's dealers whom have limited floorplan financing resources.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208" w:lineRule="exact"/>
        <w:rPr>
          <w:rFonts w:ascii="Courier New" w:cs="Courier New" w:eastAsia="Courier New" w:hAnsi="Courier New"/>
          <w:sz w:val="17"/>
          <w:szCs w:val="17"/>
          <w:color w:val="auto"/>
        </w:rPr>
      </w:pPr>
    </w:p>
    <w:p>
      <w:pPr>
        <w:ind w:left="614" w:right="3700"/>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the 39 weeks ended May 27, 2000 and May 29, 1999, the Company's segment information is as follows:</w:t>
      </w:r>
    </w:p>
    <w:p>
      <w:pPr>
        <w:spacing w:after="0" w:line="200" w:lineRule="exact"/>
        <w:rPr>
          <w:sz w:val="20"/>
          <w:szCs w:val="20"/>
          <w:color w:val="auto"/>
        </w:rPr>
      </w:pPr>
    </w:p>
    <w:p>
      <w:pPr>
        <w:spacing w:after="0" w:line="394" w:lineRule="exact"/>
        <w:rPr>
          <w:sz w:val="20"/>
          <w:szCs w:val="20"/>
          <w:color w:val="auto"/>
        </w:rPr>
      </w:pPr>
    </w:p>
    <w:p>
      <w:pPr>
        <w:ind w:left="3714"/>
        <w:spacing w:after="0"/>
        <w:rPr>
          <w:sz w:val="20"/>
          <w:szCs w:val="20"/>
          <w:color w:val="auto"/>
        </w:rPr>
      </w:pPr>
      <w:r>
        <w:rPr>
          <w:rFonts w:ascii="Courier New" w:cs="Courier New" w:eastAsia="Courier New" w:hAnsi="Courier New"/>
          <w:sz w:val="17"/>
          <w:szCs w:val="17"/>
          <w:color w:val="auto"/>
        </w:rPr>
        <w:t>RECREATION VEHICLES</w:t>
      </w:r>
    </w:p>
    <w:p>
      <w:pPr>
        <w:spacing w:after="0" w:line="5" w:lineRule="exact"/>
        <w:rPr>
          <w:sz w:val="20"/>
          <w:szCs w:val="20"/>
          <w:color w:val="auto"/>
        </w:rPr>
      </w:pPr>
    </w:p>
    <w:p>
      <w:pPr>
        <w:ind w:left="4214"/>
        <w:spacing w:after="0"/>
        <w:rPr>
          <w:sz w:val="20"/>
          <w:szCs w:val="20"/>
          <w:color w:val="auto"/>
        </w:rPr>
      </w:pPr>
      <w:r>
        <w:rPr>
          <w:rFonts w:ascii="Courier New" w:cs="Courier New" w:eastAsia="Courier New" w:hAnsi="Courier New"/>
          <w:sz w:val="17"/>
          <w:szCs w:val="17"/>
          <w:color w:val="auto"/>
        </w:rPr>
        <w:t>&amp; OTHER</w:t>
      </w:r>
    </w:p>
    <w:p>
      <w:pPr>
        <w:spacing w:after="0" w:line="5" w:lineRule="exact"/>
        <w:rPr>
          <w:sz w:val="20"/>
          <w:szCs w:val="20"/>
          <w:color w:val="auto"/>
        </w:rPr>
      </w:pPr>
    </w:p>
    <w:p>
      <w:pPr>
        <w:ind w:left="4014"/>
        <w:spacing w:after="0"/>
        <w:tabs>
          <w:tab w:leader="none" w:pos="5954" w:val="left"/>
          <w:tab w:leader="none" w:pos="7694" w:val="left"/>
        </w:tabs>
        <w:rPr>
          <w:sz w:val="20"/>
          <w:szCs w:val="20"/>
          <w:color w:val="auto"/>
        </w:rPr>
      </w:pPr>
      <w:r>
        <w:rPr>
          <w:rFonts w:ascii="Courier New" w:cs="Courier New" w:eastAsia="Courier New" w:hAnsi="Courier New"/>
          <w:sz w:val="17"/>
          <w:szCs w:val="17"/>
          <w:color w:val="auto"/>
        </w:rPr>
        <w:t>MANUFACTURED</w:t>
      </w:r>
      <w:r>
        <w:rPr>
          <w:sz w:val="20"/>
          <w:szCs w:val="20"/>
          <w:color w:val="auto"/>
        </w:rPr>
        <w:tab/>
      </w:r>
      <w:r>
        <w:rPr>
          <w:rFonts w:ascii="Courier New" w:cs="Courier New" w:eastAsia="Courier New" w:hAnsi="Courier New"/>
          <w:sz w:val="17"/>
          <w:szCs w:val="17"/>
          <w:color w:val="auto"/>
        </w:rPr>
        <w:t>DEALER</w:t>
      </w:r>
      <w:r>
        <w:rPr>
          <w:sz w:val="20"/>
          <w:szCs w:val="20"/>
          <w:color w:val="auto"/>
        </w:rPr>
        <w:tab/>
      </w:r>
      <w:r>
        <w:rPr>
          <w:rFonts w:ascii="Courier New" w:cs="Courier New" w:eastAsia="Courier New" w:hAnsi="Courier New"/>
          <w:sz w:val="17"/>
          <w:szCs w:val="17"/>
          <w:color w:val="auto"/>
        </w:rPr>
        <w:t>GENERAL</w:t>
      </w:r>
    </w:p>
    <w:p>
      <w:pPr>
        <w:spacing w:after="0" w:line="5" w:lineRule="exact"/>
        <w:rPr>
          <w:sz w:val="20"/>
          <w:szCs w:val="20"/>
          <w:color w:val="auto"/>
        </w:rPr>
      </w:pPr>
    </w:p>
    <w:p>
      <w:pPr>
        <w:ind w:left="614"/>
        <w:spacing w:after="0"/>
        <w:tabs>
          <w:tab w:leader="none" w:pos="4194" w:val="left"/>
          <w:tab w:leader="none" w:pos="5854" w:val="left"/>
          <w:tab w:leader="none" w:pos="7594" w:val="left"/>
          <w:tab w:leader="none" w:pos="9654"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PRODUCTS</w:t>
      </w:r>
      <w:r>
        <w:rPr>
          <w:sz w:val="20"/>
          <w:szCs w:val="20"/>
          <w:color w:val="auto"/>
        </w:rPr>
        <w:tab/>
      </w:r>
      <w:r>
        <w:rPr>
          <w:rFonts w:ascii="Courier New" w:cs="Courier New" w:eastAsia="Courier New" w:hAnsi="Courier New"/>
          <w:sz w:val="17"/>
          <w:szCs w:val="17"/>
          <w:color w:val="auto"/>
        </w:rPr>
        <w:t>FINANCING</w:t>
      </w:r>
      <w:r>
        <w:rPr>
          <w:sz w:val="20"/>
          <w:szCs w:val="20"/>
          <w:color w:val="auto"/>
        </w:rPr>
        <w:tab/>
      </w:r>
      <w:r>
        <w:rPr>
          <w:rFonts w:ascii="Courier New" w:cs="Courier New" w:eastAsia="Courier New" w:hAnsi="Courier New"/>
          <w:sz w:val="17"/>
          <w:szCs w:val="17"/>
          <w:color w:val="auto"/>
        </w:rPr>
        <w:t>CORPORATE</w:t>
      </w:r>
      <w:r>
        <w:rPr>
          <w:sz w:val="20"/>
          <w:szCs w:val="20"/>
          <w:color w:val="auto"/>
        </w:rPr>
        <w:tab/>
      </w:r>
      <w:r>
        <w:rPr>
          <w:rFonts w:ascii="Courier New" w:cs="Courier New" w:eastAsia="Courier New" w:hAnsi="Courier New"/>
          <w:sz w:val="17"/>
          <w:szCs w:val="17"/>
          <w:color w:val="auto"/>
        </w:rPr>
        <w:t>TOTAL</w:t>
      </w:r>
    </w:p>
    <w:p>
      <w:pPr>
        <w:spacing w:after="0" w:line="5" w:lineRule="exact"/>
        <w:rPr>
          <w:sz w:val="20"/>
          <w:szCs w:val="20"/>
          <w:color w:val="auto"/>
        </w:rPr>
      </w:pPr>
    </w:p>
    <w:p>
      <w:pPr>
        <w:ind w:left="614"/>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614"/>
        <w:spacing w:after="0"/>
        <w:rPr>
          <w:sz w:val="20"/>
          <w:szCs w:val="20"/>
          <w:color w:val="auto"/>
        </w:rPr>
      </w:pPr>
      <w:r>
        <w:rPr>
          <w:rFonts w:ascii="Courier New" w:cs="Courier New" w:eastAsia="Courier New" w:hAnsi="Courier New"/>
          <w:sz w:val="17"/>
          <w:szCs w:val="17"/>
          <w:color w:val="auto"/>
        </w:rPr>
        <w:t>39 WEEKS ENDED MAY 27, 2000</w:t>
      </w:r>
    </w:p>
    <w:p>
      <w:pPr>
        <w:sectPr>
          <w:pgSz w:w="11900" w:h="16838" w:orient="portrait"/>
          <w:cols w:equalWidth="0" w:num="1">
            <w:col w:w="11214"/>
          </w:cols>
          <w:pgMar w:left="246" w:top="907" w:right="4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577,956</w:t>
            </w:r>
          </w:p>
        </w:tc>
        <w:tc>
          <w:tcPr>
            <w:tcW w:w="60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2,876</w:t>
            </w:r>
          </w:p>
        </w:tc>
        <w:tc>
          <w:tcPr>
            <w:tcW w:w="6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580,832</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4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56,651</w:t>
            </w:r>
          </w:p>
        </w:tc>
        <w:tc>
          <w:tcPr>
            <w:tcW w:w="60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2,695</w:t>
            </w:r>
          </w:p>
        </w:tc>
        <w:tc>
          <w:tcPr>
            <w:tcW w:w="62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58,776</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4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191,612</w:t>
            </w:r>
          </w:p>
        </w:tc>
        <w:tc>
          <w:tcPr>
            <w:tcW w:w="60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32,603</w:t>
            </w:r>
          </w:p>
        </w:tc>
        <w:tc>
          <w:tcPr>
            <w:tcW w:w="6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89,312</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313,527</w:t>
            </w: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39 WEEKS ENDED MAY 29, 1999</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501,065</w:t>
            </w:r>
          </w:p>
        </w:tc>
        <w:tc>
          <w:tcPr>
            <w:tcW w:w="60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2,277</w:t>
            </w:r>
          </w:p>
        </w:tc>
        <w:tc>
          <w:tcPr>
            <w:tcW w:w="6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503,342</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4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47,509</w:t>
            </w:r>
          </w:p>
        </w:tc>
        <w:tc>
          <w:tcPr>
            <w:tcW w:w="60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3,208</w:t>
            </w:r>
          </w:p>
        </w:tc>
        <w:tc>
          <w:tcPr>
            <w:tcW w:w="62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(435)</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50,282</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4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152,100</w:t>
            </w:r>
          </w:p>
        </w:tc>
        <w:tc>
          <w:tcPr>
            <w:tcW w:w="60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31,201</w:t>
            </w:r>
          </w:p>
        </w:tc>
        <w:tc>
          <w:tcPr>
            <w:tcW w:w="6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84,436</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267,737</w:t>
            </w:r>
          </w:p>
        </w:tc>
      </w:tr>
      <w:tr>
        <w:trPr>
          <w:trHeight w:val="792"/>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1114"/>
              <w:spacing w:after="0"/>
              <w:rPr>
                <w:sz w:val="20"/>
                <w:szCs w:val="20"/>
                <w:color w:val="auto"/>
              </w:rPr>
            </w:pPr>
            <w:r>
              <w:rPr>
                <w:rFonts w:ascii="Courier New" w:cs="Courier New" w:eastAsia="Courier New" w:hAnsi="Courier New"/>
                <w:sz w:val="17"/>
                <w:szCs w:val="17"/>
                <w:color w:val="auto"/>
              </w:rPr>
              <w:t>6</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9880"/>
          </w:cols>
          <w:pgMar w:left="860" w:top="142" w:right="11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Item 2.</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Thirteen Weeks Ended May 27, 2000 Compared to Thirteen Weeks Ended May 29, 1999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Net revenues for manufactured products for the 13 weeks ended May 27, 2000 were $210,056,000, an increase of $19,379,000 or 10.2 percent from the 13-week period ended May 29, 1999. Motor home shipments (Class A and C) during the third quarter of fiscal 2000 were 3,033 units, an increase of 52 units, or 1.7 percent, compared to the third quarter of fiscal 1999. As a result of the Company's shipments of more units with slideout features, the percentage increase in net revenues for manufactured products in the third quarter of fiscal 2000 was greater than the percentage increase in motor home shipments for that period. The Company is bracing for a slowdown in sales in light of slipping consumer confidence levels and rising interest rates and gasoline prices. Nonetheless, long-term prospects for the Company remain favorable as demographic studies show that the industry's prime target market of people age 50 and older is growing and will continue to grow over the next 20 years. Order backlog for the Company's Class A and Class C motor homes was approximately 1,800 orders and 2,200 orders at May 27, 2000 and May 29, 1999, respectively.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0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Net revenues for dealer financing of Winnebago Acceptance Corporation (WAC) were $1,081,000 for the 13 weeks ended May 27, 2000, an increase of $211,000 or 24.4 percent from the 13-week period ended May 29, 1999. Increased revenues for dealer financing reflect an increase in average dealer receivable balances and to a lesser extent an increase in interest rates charged when comparing the third quarter of fiscal 2000 to the comparable period of fiscal 1999.</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Gross profit, as a percent of net revenues, was 17.4 percent for the 13 weeks ended May 27, 2000 compared to 17.6 percent for the 13 weeks ended May 29, 1999. The Company's gross profit percentage decreased as a result of increases in raw material costs during the 13 weeks ended May 27, 2000 when compared to the 13 weeks ended May 29, 1999.</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Selling and delivery expenses were $6,517,000 or 3.1 percent of net revenues during the third quarter of fiscal 2000 compared to $5,997,000 or 3.1 percent of net revenues during the third quarter of fiscal 1999. The increase in dollars can be attributed primarily to increases in the Company's promotional programs and advertising costs.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General and administrative expenses were $6,544,000 or 3.1 percent of net revenues during the 13 weeks ended May 27, 2000 compared to $6,129,000 or 3.2 percent of net revenues during the 13 weeks ended May 29, 1999. The increase in dollars when comparing the two quarters was primarily due to increases in Company-wide employee incentive programs.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 had net financial income of $831,000 for the third quarter of fiscal 2000 compared to net financial income of $670,000 for the comparable quarter of fiscal 1999. The increase in net financial income when comparing the two periods was attributed primarily to an increase in net interest income.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For the third quarter of fiscal 2000, the Company had net income of $16,257,000, or $.74 per diluted share, compared to the third quarter of fiscal 1999's net income of $14,611,000, or $.65 per diluted share. Net income and earnings per diluted share increased by 11.3 percent and 13.8 percent, respectively, when comparing the third quarter of fiscal 2000 to the third quarter of fiscal 1999.</w:t>
      </w: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Thirty-Nine Weeks Ended May 27, 2000 Compared to Thirty-Nine Weeks Ended May 29, 1999</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Net revenues for manufactured products for the 39 weeks ended May 27, 2000 were $577,956,000, an increase of $76,891,000, or 15.3 percent from the 39-week period ended May 29, 1999. Motor home shipments (Class A and C) were 8,250 units, an increase of 518 units, or 6.7 percent, during the 39 weeks ended May 27, 2000 when compared to the 39 weeks ended May 29, 1999. The difference in percentages when comparing the percent increase in revenue for manufactured products to the percent increase in unit shipments for the 39 weeks ended May 27, 2000 was caused by the</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7" w:right="1440" w:bottom="0" w:gutter="0" w:footer="0" w:header="0"/>
        </w:sectPr>
      </w:pPr>
    </w:p>
    <w:bookmarkStart w:id="10" w:name="page11"/>
    <w:bookmarkEnd w:id="10"/>
    <w:p>
      <w:pPr>
        <w:ind w:right="1979"/>
        <w:spacing w:after="0" w:line="246" w:lineRule="auto"/>
        <w:rPr>
          <w:sz w:val="20"/>
          <w:szCs w:val="20"/>
          <w:color w:val="auto"/>
        </w:rPr>
      </w:pPr>
      <w:r>
        <w:rPr>
          <w:rFonts w:ascii="Courier New" w:cs="Courier New" w:eastAsia="Courier New" w:hAnsi="Courier New"/>
          <w:sz w:val="17"/>
          <w:szCs w:val="17"/>
          <w:color w:val="auto"/>
        </w:rPr>
        <w:t>shipments of more units with slideout features and to a lesser extent due to a greater number of higher priced diesel-powered Class A vehicles. Industry demand for motorized recreation vehicles remained strong during the 39 weeks ended May 27, 2000 but due to lower levels of consumer confidence and rising interest rates and gasoline prices, the Company is bracing for a slowdown in sales which could make the next quarter or two challenging.</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Net revenues for dealer financing of WAC were $2,876,000 for the 39 weeks ended May 27, 2000; an increase of $599,000 or 26.3 percent from the 39 weeks ended May 29, 1999. Increased revenues for dealer financing reflect an increase in average dealer receivable balances and to a lesser extent, an increase in interest rates charged when comparing year to date of fiscal 2000 to the comparable period of fiscal 1999.</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Gross profit, as a percent of net revenues, was 16.9 percent for the 39 weeks ended May 27, 2000 compared to 16.5 percent for the 39 weeks ended May 29, 1999. The Company's favorable product mix change and increased volume of motor homes during the 39 weeks ended May 27, 2000 were the primary causes of the improved gross margin percentage.</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Selling and delivery expenses were $18,418,000 or 3.2 percent of net revenues during the first nine months of fiscal 2000 compared to $16,593,000 or 3.3 percent of net revenues during the comparable period of fiscal 1999. The increase in dollars can be attributed primarily to increases in the Company's promotional programs and advertising costs.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General and administrative expenses were $21,245,000 or 3.7 percent of net revenues during the 39 weeks ended May 27, 2000 compared to $16,112,000 or 3.2 percent of net revenues during the 39 weeks ended May 29, 1999. Increases in Company-wide employee incentive programs and in insurance costs during the 39 weeks ended May 27, 2000 were the primary reasons for the increases in both dollars and percentages in general and administrative expenses when comparing to the comparable period of fiscal 1999. Also contributing to the increase between the two thirty-nine week periods were monies the Company received and recorded during the 39 weeks ended May 29, 1999 on a previously fully reserved receivable.</w:t>
      </w:r>
    </w:p>
    <w:p>
      <w:pPr>
        <w:spacing w:after="0" w:line="204"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Company had net financial income of $2,389,000 for the 39 weeks ended May 27, 2000 compared to net financial income of $1,816,000 for the 39 weeks ended May 29, 1999. The increase in net financial income when comparing the two periods was attributed primarily to an increase in net interest income.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For the thirty-nine weeks ended May 27, 2000, the Company recorded net income of $40,489,000, or $1.83 per diluted share, compared to net income for the thirty-nine weeks ended May 29, 1999 of $34,214,000, or $1.52 per diluted share. Net income and earnings per diluted share increased by 18.3 percent and 20.4 percent, respectively, when comparing the two thirty-nine week periods.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FINANCIAL CONDITION</w:t>
      </w:r>
    </w:p>
    <w:p>
      <w:pPr>
        <w:spacing w:after="0" w:line="203"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The Company meets its working capital requirements, capital equipment requirements and cash requirements with funds generated internally.</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At May 27, 2000, working capital was $139,766,000, an increase of $16,046,000 from the amount at August 28, 1999. The Company's principal uses of cash during the 39 weeks ended May 27, 2000 were $81,963,000 of dealer receivable investments, $17,747,000 for the purchase of shares of the Company's Common Stock and $11,715,000 for the purchase of property and equipment. The Company's principal sources of cash during the 39 weeks ended May 27, 2000 were the collection of $74,634,000 in dealer receivables and income from operations. The Company's sources and uses of cash during the 39 weeks ended May 27, 2000 are set forth in the unaudited consolidated condensed statement of cash flows for that period.</w:t>
      </w:r>
    </w:p>
    <w:p>
      <w:pPr>
        <w:spacing w:after="0" w:line="200" w:lineRule="exact"/>
        <w:rPr>
          <w:sz w:val="20"/>
          <w:szCs w:val="20"/>
          <w:color w:val="auto"/>
        </w:rPr>
      </w:pP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7" w:right="1440" w:bottom="1440" w:gutter="0" w:footer="0" w:header="0"/>
        </w:sectPr>
      </w:pPr>
    </w:p>
    <w:bookmarkStart w:id="11" w:name="page12"/>
    <w:bookmarkEnd w:id="11"/>
    <w:p>
      <w:pPr>
        <w:ind w:right="2179"/>
        <w:spacing w:after="0" w:line="246" w:lineRule="auto"/>
        <w:rPr>
          <w:sz w:val="20"/>
          <w:szCs w:val="20"/>
          <w:color w:val="auto"/>
        </w:rPr>
      </w:pPr>
      <w:r>
        <w:rPr>
          <w:rFonts w:ascii="Courier New" w:cs="Courier New" w:eastAsia="Courier New" w:hAnsi="Courier New"/>
          <w:sz w:val="17"/>
          <w:szCs w:val="17"/>
          <w:color w:val="auto"/>
        </w:rPr>
        <w:t>Principal known demands at May 27, 2000 on the Company's liquid assets for the remainder of fiscal 2000 include approximately $3,500,000 of capital expenditures and funds for payment of cash dividends. On March 15, 2000, the Board of Directors declared a cash dividend of $.10 per common share payable July 10, 2000, to shareholders of record on June 9, 2000.</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Management currently expects its cash on hand, funds from operations and borrowings available under existing credit facilities to be sufficient to cover both short-term and long-term operating requirements.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CHANGES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Recognition of Derivative Instruments and Hedging Activities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SFAS No. 133, "Accounting for Derivative Instruments and Hedging Activities" was issued in June 1998 and must be adopted by the Company no later than fiscal 2001. This statement requires that an entity recognizes all derivatives as either assets or liabilities in the balance sheet and measure these instruments at fair value. The Company has not completed the process of evaluating the effect of SFAS No. 133 on its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INFORMATION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of chassis, slower than anticipated sales of new or existing products, a significant increase in interest rates, a general slowdown in the economy, or new product introductions by competitors and other factors which may be disclosed throughout this Form</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10-Q or in the Company's Annual Report on Form 10-K for the year ended August 28, 1999. Any forecasts and projections in this report are "forward looking statements," and are based on management's current expectations of the Company's near-term results, based on current information available pertaining to the Company; actual results could differ materially.</w:t>
      </w: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7" w:right="1440" w:bottom="1440" w:gutter="0" w:footer="0" w:header="0"/>
        </w:sectPr>
      </w:pPr>
    </w:p>
    <w:bookmarkStart w:id="12" w:name="page13"/>
    <w:bookmarkEnd w:id="12"/>
    <w:p>
      <w:pPr>
        <w:spacing w:after="0"/>
        <w:tabs>
          <w:tab w:leader="none" w:pos="11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7"/>
          <w:szCs w:val="17"/>
          <w:color w:val="auto"/>
        </w:rPr>
        <w:t>Other Information</w:t>
      </w:r>
    </w:p>
    <w:p>
      <w:pPr>
        <w:spacing w:after="0" w:line="2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p>
    <w:p>
      <w:pPr>
        <w:spacing w:after="0" w:line="203" w:lineRule="exact"/>
        <w:rPr>
          <w:sz w:val="20"/>
          <w:szCs w:val="20"/>
          <w:color w:val="auto"/>
        </w:rPr>
      </w:pPr>
    </w:p>
    <w:p>
      <w:pPr>
        <w:ind w:left="1860" w:hanging="722"/>
        <w:spacing w:after="0"/>
        <w:tabs>
          <w:tab w:leader="none" w:pos="1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 See Exhibit Index on page 12.</w:t>
      </w:r>
    </w:p>
    <w:p>
      <w:pPr>
        <w:spacing w:after="0" w:line="203" w:lineRule="exact"/>
        <w:rPr>
          <w:rFonts w:ascii="Courier New" w:cs="Courier New" w:eastAsia="Courier New" w:hAnsi="Courier New"/>
          <w:sz w:val="17"/>
          <w:szCs w:val="17"/>
          <w:color w:val="auto"/>
        </w:rPr>
      </w:pPr>
    </w:p>
    <w:p>
      <w:pPr>
        <w:ind w:left="1860" w:right="2699" w:hanging="722"/>
        <w:spacing w:after="0" w:line="246" w:lineRule="auto"/>
        <w:tabs>
          <w:tab w:leader="none" w:pos="1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May 10, 2000, the Company filed a report on Form 8-K relative to Winnebago Industries, Inc.'s Rights Plan Agreement.</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07" w:right="1440" w:bottom="1440" w:gutter="0" w:footer="0" w:header="0"/>
        </w:sectPr>
      </w:pPr>
    </w:p>
    <w:bookmarkStart w:id="13" w:name="page14"/>
    <w:bookmarkEnd w:id="13"/>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WINNEBAGO INDUSTRIES, INC.</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July 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and President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3">
            <w:col w:w="420" w:space="100"/>
            <w:col w:w="2780" w:space="720"/>
            <w:col w:w="6199"/>
          </w:cols>
          <w:pgMar w:left="240" w:top="907" w:right="1440"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July 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 Chief Financial Officer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3">
            <w:col w:w="420" w:space="100"/>
            <w:col w:w="2780" w:space="720"/>
            <w:col w:w="6199"/>
          </w:cols>
          <w:pgMar w:left="240" w:top="907" w:right="1440" w:bottom="1440" w:gutter="0" w:footer="0" w:header="0"/>
          <w:type w:val="continuous"/>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07" w:right="1440" w:bottom="1440" w:gutter="0" w:footer="0" w:header="0"/>
          <w:type w:val="continuous"/>
        </w:sectPr>
      </w:pPr>
    </w:p>
    <w:bookmarkStart w:id="14" w:name="page15"/>
    <w:bookmarkEnd w:id="14"/>
    <w:p>
      <w:pPr>
        <w:jc w:val="right"/>
        <w:ind w:right="5379"/>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39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7"/>
          <w:szCs w:val="17"/>
          <w:color w:val="auto"/>
        </w:rPr>
        <w:t>Articles of Incorporation.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7" w:right="1440" w:bottom="1440" w:gutter="0" w:footer="0" w:header="0"/>
        </w:sectPr>
      </w:pPr>
    </w:p>
    <w:bookmarkStart w:id="15" w:name="page16"/>
    <w:bookmarkEnd w:id="15"/>
    <w:p>
      <w:pPr>
        <w:ind w:left="3600"/>
        <w:spacing w:after="0"/>
        <w:rPr>
          <w:sz w:val="20"/>
          <w:szCs w:val="20"/>
          <w:color w:val="auto"/>
        </w:rPr>
      </w:pPr>
      <w:r>
        <w:rPr>
          <w:rFonts w:ascii="Courier New" w:cs="Courier New" w:eastAsia="Courier New" w:hAnsi="Courier New"/>
          <w:sz w:val="17"/>
          <w:szCs w:val="17"/>
          <w:color w:val="auto"/>
        </w:rPr>
        <w:t>EXHIBIT 3a.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Articles of Amendment</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ARTICLES OF AMENDMENT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TO THE SECRETARY OF STATE OF THE STATE OF IOWA:</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Pursuant to Section 1006 of the Iowa Business Corporation Act, the undersigned corporation adopts the following amendments to the corporation's articles of incorporation.</w:t>
      </w:r>
    </w:p>
    <w:p>
      <w:pPr>
        <w:spacing w:after="0" w:line="200" w:lineRule="exact"/>
        <w:rPr>
          <w:sz w:val="20"/>
          <w:szCs w:val="20"/>
          <w:color w:val="auto"/>
        </w:rPr>
      </w:pPr>
    </w:p>
    <w:p>
      <w:pPr>
        <w:ind w:left="1340" w:hanging="305"/>
        <w:spacing w:after="0"/>
        <w:tabs>
          <w:tab w:leader="none" w:pos="13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corporation is Winnebago Industries, Inc.</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34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IV of the Articles of Incorporation of Winnebago Industries, Inc., as previously amended and restated, is further amended to read as follows:</w:t>
      </w:r>
    </w:p>
    <w:p>
      <w:pPr>
        <w:spacing w:after="0" w:line="2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total number of shares of stock which the Corporation shall have authority to issue is: seventy million (70,000,000), of which sixty million (60,000,000) shall be shares of Common Stock, $.50 par value, and ten million</w:t>
      </w:r>
    </w:p>
    <w:p>
      <w:pPr>
        <w:spacing w:after="0" w:line="2"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(10,000,000) shall be shares of Preferred Stock, $.01 par value ("SERIES PREFERENCE STOCK").</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202" w:lineRule="exact"/>
        <w:rPr>
          <w:sz w:val="20"/>
          <w:szCs w:val="20"/>
          <w:color w:val="auto"/>
        </w:rPr>
      </w:pPr>
    </w:p>
    <w:p>
      <w:pPr>
        <w:ind w:left="520" w:hanging="514"/>
        <w:spacing w:after="0"/>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Applicable to All Series of Series Preference Stock.</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204" w:lineRule="exact"/>
        <w:rPr>
          <w:rFonts w:ascii="Courier New" w:cs="Courier New" w:eastAsia="Courier New" w:hAnsi="Courier New"/>
          <w:sz w:val="17"/>
          <w:szCs w:val="17"/>
          <w:color w:val="auto"/>
        </w:rPr>
      </w:pPr>
    </w:p>
    <w:p>
      <w:pPr>
        <w:ind w:left="1040" w:right="2079" w:firstLine="510"/>
        <w:spacing w:after="0" w:line="246"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and times at which, and the terms and conditions on which, dividends on the Series Preference Stock of such series shall be paid;</w:t>
      </w:r>
    </w:p>
    <w:p>
      <w:pPr>
        <w:spacing w:after="0" w:line="199" w:lineRule="exact"/>
        <w:rPr>
          <w:rFonts w:ascii="Courier New" w:cs="Courier New" w:eastAsia="Courier New" w:hAnsi="Courier New"/>
          <w:sz w:val="17"/>
          <w:szCs w:val="17"/>
          <w:color w:val="auto"/>
        </w:rPr>
      </w:pPr>
    </w:p>
    <w:p>
      <w:pPr>
        <w:ind w:left="1040" w:right="2079" w:firstLine="510"/>
        <w:spacing w:after="0" w:line="246"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200" w:lineRule="exact"/>
        <w:rPr>
          <w:rFonts w:ascii="Courier New" w:cs="Courier New" w:eastAsia="Courier New" w:hAnsi="Courier New"/>
          <w:sz w:val="17"/>
          <w:szCs w:val="17"/>
          <w:color w:val="auto"/>
        </w:rPr>
      </w:pPr>
    </w:p>
    <w:p>
      <w:pPr>
        <w:ind w:left="1040" w:right="1979" w:firstLine="510"/>
        <w:spacing w:after="0" w:line="246"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price or prices and the time at which, and the terms and conditions on which, Series Preference Stock of such series may be redeemed;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65" w:lineRule="exact"/>
        <w:rPr>
          <w:rFonts w:ascii="Courier New" w:cs="Courier New" w:eastAsia="Courier New" w:hAnsi="Courier New"/>
          <w:sz w:val="17"/>
          <w:szCs w:val="17"/>
          <w:color w:val="auto"/>
        </w:rPr>
      </w:pPr>
    </w:p>
    <w:p>
      <w:pPr>
        <w:jc w:val="both"/>
        <w:ind w:left="1040" w:right="2079" w:firstLine="510"/>
        <w:spacing w:after="0" w:line="246"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the holders of Series Preference Stock of such series upon the voluntary or involuntary liquidation, distribution or sale of assets, dissolution or winding up of the Corporation;</w:t>
      </w:r>
    </w:p>
    <w:p>
      <w:pPr>
        <w:spacing w:after="0" w:line="199" w:lineRule="exact"/>
        <w:rPr>
          <w:rFonts w:ascii="Courier New" w:cs="Courier New" w:eastAsia="Courier New" w:hAnsi="Courier New"/>
          <w:sz w:val="17"/>
          <w:szCs w:val="17"/>
          <w:color w:val="auto"/>
        </w:rPr>
      </w:pPr>
    </w:p>
    <w:p>
      <w:pPr>
        <w:ind w:left="1040" w:right="2179" w:firstLine="510"/>
        <w:spacing w:after="0" w:line="247"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power, if any, of the Series Preference Stock of such series; and</w:t>
      </w:r>
    </w:p>
    <w:p>
      <w:pPr>
        <w:spacing w:after="0" w:line="197" w:lineRule="exact"/>
        <w:rPr>
          <w:rFonts w:ascii="Courier New" w:cs="Courier New" w:eastAsia="Courier New" w:hAnsi="Courier New"/>
          <w:sz w:val="17"/>
          <w:szCs w:val="17"/>
          <w:color w:val="auto"/>
        </w:rPr>
      </w:pPr>
    </w:p>
    <w:p>
      <w:pPr>
        <w:ind w:left="1040" w:right="2399" w:firstLine="510"/>
        <w:spacing w:after="0" w:line="246" w:lineRule="auto"/>
        <w:tabs>
          <w:tab w:leader="none" w:pos="196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of the sinking fund or redemption or purchase account, if any, to be provided for the Series Preference Stock of such series.</w:t>
      </w:r>
    </w:p>
    <w:p>
      <w:pPr>
        <w:spacing w:after="0" w:line="199"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each series shall be identical in all respects to the other shares of such Series. The rights of the Common Stock of the</w:t>
      </w:r>
    </w:p>
    <w:p>
      <w:pPr>
        <w:sectPr>
          <w:pgSz w:w="11900" w:h="16838" w:orient="portrait"/>
          <w:cols w:equalWidth="0" w:num="1">
            <w:col w:w="10219"/>
          </w:cols>
          <w:pgMar w:left="240" w:top="538" w:right="1440" w:bottom="0" w:gutter="0" w:footer="0" w:header="0"/>
        </w:sectPr>
      </w:pPr>
    </w:p>
    <w:bookmarkStart w:id="16" w:name="page17"/>
    <w:bookmarkEnd w:id="16"/>
    <w:p>
      <w:pPr>
        <w:ind w:left="520" w:right="1979"/>
        <w:spacing w:after="0" w:line="246" w:lineRule="auto"/>
        <w:rPr>
          <w:sz w:val="20"/>
          <w:szCs w:val="20"/>
          <w:color w:val="auto"/>
        </w:rPr>
      </w:pPr>
      <w:r>
        <w:rPr>
          <w:rFonts w:ascii="Courier New" w:cs="Courier New" w:eastAsia="Courier New" w:hAnsi="Courier New"/>
          <w:sz w:val="17"/>
          <w:szCs w:val="17"/>
          <w:color w:val="auto"/>
        </w:rPr>
        <w:t>Corporation shall be subject to the preferences and relative participating, optional and other special rights of the Series Preference Stock of each series as fixed herein and from time to time by the Board of Directors as aforesaid.</w:t>
      </w:r>
    </w:p>
    <w:p>
      <w:pPr>
        <w:spacing w:after="0" w:line="200" w:lineRule="exact"/>
        <w:rPr>
          <w:sz w:val="20"/>
          <w:szCs w:val="20"/>
          <w:color w:val="auto"/>
        </w:rPr>
      </w:pPr>
    </w:p>
    <w:p>
      <w:pPr>
        <w:ind w:left="520" w:hanging="514"/>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Applicable to Common Stock.</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202"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203" w:lineRule="exact"/>
        <w:rPr>
          <w:rFonts w:ascii="Courier New" w:cs="Courier New" w:eastAsia="Courier New" w:hAnsi="Courier New"/>
          <w:sz w:val="17"/>
          <w:szCs w:val="17"/>
          <w:color w:val="auto"/>
        </w:rPr>
      </w:pPr>
    </w:p>
    <w:p>
      <w:pPr>
        <w:ind w:left="520" w:right="1979" w:firstLine="515"/>
        <w:spacing w:after="0" w:line="247" w:lineRule="auto"/>
        <w:tabs>
          <w:tab w:leader="none" w:pos="1446"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holder of Common Stock shall have one vote in respect of each share of such stock held by such holder.</w:t>
      </w:r>
    </w:p>
    <w:p>
      <w:pPr>
        <w:spacing w:after="0" w:line="198"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3. The date of adoption of the amendment to Article IV was January 11,</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2000.</w:t>
      </w:r>
    </w:p>
    <w:p>
      <w:pPr>
        <w:spacing w:after="0" w:line="203" w:lineRule="exact"/>
        <w:rPr>
          <w:sz w:val="20"/>
          <w:szCs w:val="20"/>
          <w:color w:val="auto"/>
        </w:rPr>
      </w:pPr>
    </w:p>
    <w:p>
      <w:pPr>
        <w:ind w:left="520" w:right="2179" w:firstLine="515"/>
        <w:spacing w:after="0" w:line="246" w:lineRule="auto"/>
        <w:tabs>
          <w:tab w:leader="none" w:pos="134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to Article IV was approved by the shareholders. The designation, number of outstanding shares, number of votes entitled to be cast by each voting group entitled to vote separately on the amendment to Article IV, and the number of votes of each voting group indisputably represented at the meeting is as follows:</w:t>
      </w:r>
    </w:p>
    <w:p>
      <w:pPr>
        <w:sectPr>
          <w:pgSz w:w="11900" w:h="16838" w:orient="portrait"/>
          <w:cols w:equalWidth="0" w:num="1">
            <w:col w:w="10219"/>
          </w:cols>
          <w:pgMar w:left="240" w:top="142" w:right="1440" w:bottom="1440" w:gutter="0" w:footer="0" w:header="0"/>
        </w:sectPr>
      </w:pPr>
    </w:p>
    <w:p>
      <w:pPr>
        <w:spacing w:after="0" w:line="39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GROUP</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Common Stock, par</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firstLine="309"/>
        <w:spacing w:after="0" w:line="246" w:lineRule="auto"/>
        <w:rPr>
          <w:sz w:val="20"/>
          <w:szCs w:val="20"/>
          <w:color w:val="auto"/>
        </w:rPr>
      </w:pPr>
      <w:r>
        <w:rPr>
          <w:rFonts w:ascii="Courier New" w:cs="Courier New" w:eastAsia="Courier New" w:hAnsi="Courier New"/>
          <w:sz w:val="17"/>
          <w:szCs w:val="17"/>
          <w:color w:val="auto"/>
        </w:rPr>
        <w:t>SHARES OUTSTANDING ----------- 21,827,651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VOTES ENTITLED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TO BE CAST ON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21,827,651</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VOTES REPRESENTED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 MEETING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19,602,899</w:t>
      </w:r>
    </w:p>
    <w:p>
      <w:pPr>
        <w:spacing w:after="0" w:line="5" w:lineRule="exact"/>
        <w:rPr>
          <w:sz w:val="20"/>
          <w:szCs w:val="20"/>
          <w:color w:val="auto"/>
        </w:rPr>
      </w:pPr>
    </w:p>
    <w:p>
      <w:pPr>
        <w:sectPr>
          <w:pgSz w:w="11900" w:h="16838" w:orient="portrait"/>
          <w:cols w:equalWidth="0" w:num="4">
            <w:col w:w="2280" w:space="500"/>
            <w:col w:w="1140" w:space="400"/>
            <w:col w:w="1460" w:space="500"/>
            <w:col w:w="3939"/>
          </w:cols>
          <w:pgMar w:left="240" w:top="142" w:right="1440" w:bottom="1440" w:gutter="0" w:footer="0" w:header="0"/>
          <w:type w:val="continuous"/>
        </w:sectPr>
      </w:pPr>
    </w:p>
    <w:p>
      <w:pPr>
        <w:ind w:left="940"/>
        <w:spacing w:after="0"/>
        <w:rPr>
          <w:sz w:val="20"/>
          <w:szCs w:val="20"/>
          <w:color w:val="auto"/>
        </w:rPr>
      </w:pPr>
      <w:r>
        <w:rPr>
          <w:rFonts w:ascii="Courier New" w:cs="Courier New" w:eastAsia="Courier New" w:hAnsi="Courier New"/>
          <w:sz w:val="16"/>
          <w:szCs w:val="16"/>
          <w:color w:val="auto"/>
        </w:rPr>
        <w:t>value $.50</w:t>
      </w:r>
    </w:p>
    <w:p>
      <w:pPr>
        <w:sectPr>
          <w:pgSz w:w="11900" w:h="16838" w:orient="portrait"/>
          <w:cols w:equalWidth="0" w:num="1">
            <w:col w:w="10219"/>
          </w:cols>
          <w:pgMar w:left="240" w:top="142" w:right="1440" w:bottom="1440" w:gutter="0" w:footer="0" w:header="0"/>
          <w:type w:val="continuous"/>
        </w:sectPr>
      </w:pPr>
    </w:p>
    <w:p>
      <w:pPr>
        <w:spacing w:after="0" w:line="21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4A. The total number of votes cast for the amendment to Article IV by each voting group entitled to vote separately on the amendment to Article IV is as follows:</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VOTING GROUP</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Common Stock, $.50 par value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246" w:lineRule="auto"/>
        <w:rPr>
          <w:sz w:val="20"/>
          <w:szCs w:val="20"/>
          <w:color w:val="auto"/>
        </w:rPr>
      </w:pPr>
      <w:r>
        <w:rPr>
          <w:rFonts w:ascii="Courier New" w:cs="Courier New" w:eastAsia="Courier New" w:hAnsi="Courier New"/>
          <w:sz w:val="17"/>
          <w:szCs w:val="17"/>
          <w:color w:val="auto"/>
        </w:rPr>
        <w:t>VOTES FOR --------- 12,108,884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line="269" w:lineRule="auto"/>
        <w:rPr>
          <w:sz w:val="20"/>
          <w:szCs w:val="20"/>
          <w:color w:val="auto"/>
        </w:rPr>
      </w:pPr>
      <w:r>
        <w:rPr>
          <w:rFonts w:ascii="Courier New" w:cs="Courier New" w:eastAsia="Courier New" w:hAnsi="Courier New"/>
          <w:sz w:val="16"/>
          <w:szCs w:val="16"/>
          <w:color w:val="auto"/>
        </w:rPr>
        <w:t>VOTES AGAINST ------------- 4,561,968</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VOTES ABSTAINED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2,932,047</w:t>
      </w:r>
    </w:p>
    <w:p>
      <w:pPr>
        <w:spacing w:after="0" w:line="220" w:lineRule="exact"/>
        <w:rPr>
          <w:sz w:val="20"/>
          <w:szCs w:val="20"/>
          <w:color w:val="auto"/>
        </w:rPr>
      </w:pPr>
    </w:p>
    <w:p>
      <w:pPr>
        <w:sectPr>
          <w:pgSz w:w="11900" w:h="16838" w:orient="portrait"/>
          <w:cols w:equalWidth="0" w:num="4">
            <w:col w:w="3500" w:space="320"/>
            <w:col w:w="1020" w:space="220"/>
            <w:col w:w="1320" w:space="320"/>
            <w:col w:w="3519"/>
          </w:cols>
          <w:pgMar w:left="240" w:top="142" w:right="1440" w:bottom="1440" w:gutter="0" w:footer="0" w:header="0"/>
          <w:type w:val="continuous"/>
        </w:sectPr>
      </w:pPr>
    </w:p>
    <w:p>
      <w:pPr>
        <w:spacing w:after="0" w:line="18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17" w:name="page18"/>
    <w:bookmarkEnd w:id="17"/>
    <w:p>
      <w:pPr>
        <w:ind w:right="2399" w:firstLine="515"/>
        <w:spacing w:after="0" w:line="247" w:lineRule="auto"/>
        <w:rPr>
          <w:sz w:val="20"/>
          <w:szCs w:val="20"/>
          <w:color w:val="auto"/>
        </w:rPr>
      </w:pPr>
      <w:r>
        <w:rPr>
          <w:rFonts w:ascii="Courier New" w:cs="Courier New" w:eastAsia="Courier New" w:hAnsi="Courier New"/>
          <w:sz w:val="17"/>
          <w:szCs w:val="17"/>
          <w:color w:val="auto"/>
        </w:rPr>
        <w:t>The number of votes cast for the amendment to Article IV by each voting group was sufficient for approval by that voting group.</w:t>
      </w:r>
    </w:p>
    <w:p>
      <w:pPr>
        <w:spacing w:after="0" w:line="198" w:lineRule="exact"/>
        <w:rPr>
          <w:sz w:val="20"/>
          <w:szCs w:val="20"/>
          <w:color w:val="auto"/>
        </w:rPr>
      </w:pPr>
    </w:p>
    <w:p>
      <w:pPr>
        <w:ind w:right="2079" w:firstLine="520"/>
        <w:spacing w:after="0" w:line="247" w:lineRule="auto"/>
        <w:tabs>
          <w:tab w:leader="none" w:pos="82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VI of the Articles of Incorporation of Winnebago Industries, Inc., as previously amended and restated is further amended to read as follows: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number of directors constituting the Board of Directors of the Corporation shall be not more than fifteen (15) and not less than three (3), the precise number to be determined by resolution of the Board of Directors from time to time.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Effective with the election of the directors at the annual meeting of shareholders to be held in 2000, the directors shall be classified, with respect to the time for which they severally hold office, into three classes, as nearly equal in number as possible, as shall be provided in the manner specified in the By-laws; one class to hold office initially for a term expiring at the annual meeting of shareholders to be held in 2001, another class to hold office initially for a term expiring at the annual meeting of shareholders to be held in 2002, and another class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20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Shareholders may remove directors only for cause.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VI or any provision hereof at any annual or special meeting of shareholders.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 The date of adoption of the amendment to Article VI was January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w:t>
      </w:r>
    </w:p>
    <w:p>
      <w:pPr>
        <w:spacing w:after="0" w:line="203" w:lineRule="exact"/>
        <w:rPr>
          <w:sz w:val="20"/>
          <w:szCs w:val="20"/>
          <w:color w:val="auto"/>
        </w:rPr>
      </w:pPr>
    </w:p>
    <w:p>
      <w:pPr>
        <w:ind w:right="1979" w:firstLine="520"/>
        <w:spacing w:after="0" w:line="246" w:lineRule="auto"/>
        <w:tabs>
          <w:tab w:leader="none" w:pos="8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to Article VI was approved by the shareholders. The designation, number of outstanding shares, number of votes entitled to be cast by each voting group entitled to vote separately on the amendment to Article VI, and the number of votes of each voting group indisputably represented at the meeting is as follows: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0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VOTES ENTITLED</w:t>
            </w:r>
          </w:p>
        </w:tc>
        <w:tc>
          <w:tcPr>
            <w:tcW w:w="2020" w:type="dxa"/>
            <w:vAlign w:val="bottom"/>
          </w:tcPr>
          <w:p>
            <w:pPr>
              <w:spacing w:after="0"/>
              <w:rPr>
                <w:sz w:val="16"/>
                <w:szCs w:val="16"/>
                <w:color w:val="auto"/>
              </w:rPr>
            </w:pPr>
          </w:p>
        </w:tc>
      </w:tr>
      <w:tr>
        <w:trPr>
          <w:trHeight w:val="198"/>
        </w:trPr>
        <w:tc>
          <w:tcPr>
            <w:tcW w:w="200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DESIGNATION OF</w:t>
            </w:r>
          </w:p>
        </w:tc>
        <w:tc>
          <w:tcPr>
            <w:tcW w:w="1600" w:type="dxa"/>
            <w:vAlign w:val="bottom"/>
          </w:tcPr>
          <w:p>
            <w:pPr>
              <w:ind w:left="580"/>
              <w:spacing w:after="0"/>
              <w:rPr>
                <w:sz w:val="20"/>
                <w:szCs w:val="20"/>
                <w:color w:val="auto"/>
              </w:rPr>
            </w:pPr>
            <w:r>
              <w:rPr>
                <w:rFonts w:ascii="Courier New" w:cs="Courier New" w:eastAsia="Courier New" w:hAnsi="Courier New"/>
                <w:sz w:val="17"/>
                <w:szCs w:val="17"/>
                <w:color w:val="auto"/>
              </w:rPr>
              <w:t>SHARES</w:t>
            </w:r>
          </w:p>
        </w:tc>
        <w:tc>
          <w:tcPr>
            <w:tcW w:w="190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TO BE CAST ON</w:t>
            </w:r>
          </w:p>
        </w:tc>
        <w:tc>
          <w:tcPr>
            <w:tcW w:w="2020" w:type="dxa"/>
            <w:vAlign w:val="bottom"/>
          </w:tcPr>
          <w:p>
            <w:pPr>
              <w:ind w:left="260"/>
              <w:spacing w:after="0"/>
              <w:rPr>
                <w:sz w:val="20"/>
                <w:szCs w:val="20"/>
                <w:color w:val="auto"/>
              </w:rPr>
            </w:pPr>
            <w:r>
              <w:rPr>
                <w:rFonts w:ascii="Courier New" w:cs="Courier New" w:eastAsia="Courier New" w:hAnsi="Courier New"/>
                <w:sz w:val="17"/>
                <w:szCs w:val="17"/>
                <w:color w:val="auto"/>
              </w:rPr>
              <w:t>VOTES REPRESENTED</w:t>
            </w:r>
          </w:p>
        </w:tc>
      </w:tr>
      <w:tr>
        <w:trPr>
          <w:trHeight w:val="198"/>
        </w:trPr>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GROUP</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OUTSTANDING</w:t>
            </w:r>
          </w:p>
        </w:tc>
        <w:tc>
          <w:tcPr>
            <w:tcW w:w="1900" w:type="dxa"/>
            <w:vAlign w:val="bottom"/>
          </w:tcPr>
          <w:p>
            <w:pPr>
              <w:ind w:left="520"/>
              <w:spacing w:after="0"/>
              <w:rPr>
                <w:sz w:val="20"/>
                <w:szCs w:val="20"/>
                <w:color w:val="auto"/>
              </w:rPr>
            </w:pPr>
            <w:r>
              <w:rPr>
                <w:rFonts w:ascii="Courier New" w:cs="Courier New" w:eastAsia="Courier New" w:hAnsi="Courier New"/>
                <w:sz w:val="17"/>
                <w:szCs w:val="17"/>
                <w:color w:val="auto"/>
              </w:rPr>
              <w:t>AMENDMENT</w:t>
            </w:r>
          </w:p>
        </w:tc>
        <w:tc>
          <w:tcPr>
            <w:tcW w:w="2020" w:type="dxa"/>
            <w:vAlign w:val="bottom"/>
          </w:tcPr>
          <w:p>
            <w:pPr>
              <w:ind w:left="680"/>
              <w:spacing w:after="0"/>
              <w:rPr>
                <w:sz w:val="20"/>
                <w:szCs w:val="20"/>
                <w:color w:val="auto"/>
              </w:rPr>
            </w:pPr>
            <w:r>
              <w:rPr>
                <w:rFonts w:ascii="Courier New" w:cs="Courier New" w:eastAsia="Courier New" w:hAnsi="Courier New"/>
                <w:sz w:val="17"/>
                <w:szCs w:val="17"/>
                <w:color w:val="auto"/>
              </w:rPr>
              <w:t>AT MEETING</w:t>
            </w:r>
          </w:p>
        </w:tc>
      </w:tr>
      <w:tr>
        <w:trPr>
          <w:trHeight w:val="198"/>
        </w:trPr>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r>
      <w:tr>
        <w:trPr>
          <w:trHeight w:val="198"/>
        </w:trPr>
        <w:tc>
          <w:tcPr>
            <w:tcW w:w="2000" w:type="dxa"/>
            <w:vAlign w:val="bottom"/>
          </w:tcPr>
          <w:p>
            <w:pPr>
              <w:spacing w:after="0"/>
              <w:rPr>
                <w:sz w:val="20"/>
                <w:szCs w:val="20"/>
                <w:color w:val="auto"/>
              </w:rPr>
            </w:pPr>
            <w:r>
              <w:rPr>
                <w:rFonts w:ascii="Courier New" w:cs="Courier New" w:eastAsia="Courier New" w:hAnsi="Courier New"/>
                <w:sz w:val="17"/>
                <w:szCs w:val="17"/>
                <w:color w:val="auto"/>
              </w:rPr>
              <w:t>Common Stock, par</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21,827,651</w:t>
            </w:r>
          </w:p>
        </w:tc>
        <w:tc>
          <w:tcPr>
            <w:tcW w:w="1900" w:type="dxa"/>
            <w:vAlign w:val="bottom"/>
          </w:tcPr>
          <w:p>
            <w:pPr>
              <w:ind w:left="520"/>
              <w:spacing w:after="0"/>
              <w:rPr>
                <w:sz w:val="20"/>
                <w:szCs w:val="20"/>
                <w:color w:val="auto"/>
              </w:rPr>
            </w:pPr>
            <w:r>
              <w:rPr>
                <w:rFonts w:ascii="Courier New" w:cs="Courier New" w:eastAsia="Courier New" w:hAnsi="Courier New"/>
                <w:sz w:val="17"/>
                <w:szCs w:val="17"/>
                <w:color w:val="auto"/>
              </w:rPr>
              <w:t>21,827,651</w:t>
            </w:r>
          </w:p>
        </w:tc>
        <w:tc>
          <w:tcPr>
            <w:tcW w:w="2020" w:type="dxa"/>
            <w:vAlign w:val="bottom"/>
          </w:tcPr>
          <w:p>
            <w:pPr>
              <w:ind w:left="680"/>
              <w:spacing w:after="0"/>
              <w:rPr>
                <w:sz w:val="20"/>
                <w:szCs w:val="20"/>
                <w:color w:val="auto"/>
              </w:rPr>
            </w:pPr>
            <w:r>
              <w:rPr>
                <w:rFonts w:ascii="Courier New" w:cs="Courier New" w:eastAsia="Courier New" w:hAnsi="Courier New"/>
                <w:sz w:val="17"/>
                <w:szCs w:val="17"/>
                <w:color w:val="auto"/>
              </w:rPr>
              <w:t>19,602,899</w:t>
            </w:r>
          </w:p>
        </w:tc>
      </w:tr>
      <w:tr>
        <w:trPr>
          <w:trHeight w:val="198"/>
        </w:trPr>
        <w:tc>
          <w:tcPr>
            <w:tcW w:w="200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value $.50</w:t>
            </w: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4A. The total number of votes cast for and against the amendment to Article VI by each voting group entitled to vote separately on the amendment to Article VI is as follows:</w:t>
      </w:r>
    </w:p>
    <w:p>
      <w:pPr>
        <w:spacing w:after="0" w:line="398"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440" w:type="dxa"/>
            <w:vAlign w:val="bottom"/>
          </w:tcPr>
          <w:p>
            <w:pPr>
              <w:ind w:left="720"/>
              <w:spacing w:after="0"/>
              <w:rPr>
                <w:sz w:val="20"/>
                <w:szCs w:val="20"/>
                <w:color w:val="auto"/>
              </w:rPr>
            </w:pPr>
            <w:r>
              <w:rPr>
                <w:rFonts w:ascii="Courier New" w:cs="Courier New" w:eastAsia="Courier New" w:hAnsi="Courier New"/>
                <w:sz w:val="17"/>
                <w:szCs w:val="17"/>
                <w:color w:val="auto"/>
              </w:rPr>
              <w:t>VOTING</w:t>
            </w:r>
          </w:p>
        </w:tc>
        <w:tc>
          <w:tcPr>
            <w:tcW w:w="160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1280" w:type="dxa"/>
            <w:vAlign w:val="bottom"/>
          </w:tcPr>
          <w:p>
            <w:pPr>
              <w:ind w:left="160"/>
              <w:spacing w:after="0"/>
              <w:rPr>
                <w:sz w:val="20"/>
                <w:szCs w:val="20"/>
                <w:color w:val="auto"/>
              </w:rPr>
            </w:pPr>
            <w:r>
              <w:rPr>
                <w:rFonts w:ascii="Courier New" w:cs="Courier New" w:eastAsia="Courier New" w:hAnsi="Courier New"/>
                <w:sz w:val="17"/>
                <w:szCs w:val="17"/>
                <w:color w:val="auto"/>
              </w:rPr>
              <w:t>VOTES FOR</w:t>
            </w:r>
          </w:p>
        </w:tc>
        <w:tc>
          <w:tcPr>
            <w:tcW w:w="1600" w:type="dxa"/>
            <w:vAlign w:val="bottom"/>
          </w:tcPr>
          <w:p>
            <w:pPr>
              <w:ind w:left="120"/>
              <w:spacing w:after="0"/>
              <w:rPr>
                <w:sz w:val="20"/>
                <w:szCs w:val="20"/>
                <w:color w:val="auto"/>
              </w:rPr>
            </w:pPr>
            <w:r>
              <w:rPr>
                <w:rFonts w:ascii="Courier New" w:cs="Courier New" w:eastAsia="Courier New" w:hAnsi="Courier New"/>
                <w:sz w:val="17"/>
                <w:szCs w:val="17"/>
                <w:color w:val="auto"/>
              </w:rPr>
              <w:t>VOTES AGAINST</w:t>
            </w:r>
          </w:p>
        </w:tc>
        <w:tc>
          <w:tcPr>
            <w:tcW w:w="1700" w:type="dxa"/>
            <w:vAlign w:val="bottom"/>
          </w:tcPr>
          <w:p>
            <w:pPr>
              <w:ind w:left="160"/>
              <w:spacing w:after="0"/>
              <w:rPr>
                <w:sz w:val="20"/>
                <w:szCs w:val="20"/>
                <w:color w:val="auto"/>
              </w:rPr>
            </w:pPr>
            <w:r>
              <w:rPr>
                <w:rFonts w:ascii="Courier New" w:cs="Courier New" w:eastAsia="Courier New" w:hAnsi="Courier New"/>
                <w:sz w:val="17"/>
                <w:szCs w:val="17"/>
                <w:color w:val="auto"/>
                <w:w w:val="99"/>
              </w:rPr>
              <w:t>VOTES ABSTAINED</w:t>
            </w:r>
          </w:p>
        </w:tc>
      </w:tr>
      <w:tr>
        <w:trPr>
          <w:trHeight w:val="198"/>
        </w:trPr>
        <w:tc>
          <w:tcPr>
            <w:tcW w:w="304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44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600" w:type="dxa"/>
            <w:vAlign w:val="bottom"/>
          </w:tcPr>
          <w:p>
            <w:pPr>
              <w:spacing w:after="0"/>
              <w:rPr>
                <w:sz w:val="20"/>
                <w:szCs w:val="20"/>
                <w:color w:val="auto"/>
              </w:rPr>
            </w:pPr>
            <w:r>
              <w:rPr>
                <w:rFonts w:ascii="Courier New" w:cs="Courier New" w:eastAsia="Courier New" w:hAnsi="Courier New"/>
                <w:sz w:val="17"/>
                <w:szCs w:val="17"/>
                <w:color w:val="auto"/>
              </w:rPr>
              <w:t>$.50 par value</w:t>
            </w:r>
          </w:p>
        </w:tc>
        <w:tc>
          <w:tcPr>
            <w:tcW w:w="1280" w:type="dxa"/>
            <w:vAlign w:val="bottom"/>
          </w:tcPr>
          <w:p>
            <w:pPr>
              <w:ind w:left="160"/>
              <w:spacing w:after="0"/>
              <w:rPr>
                <w:sz w:val="20"/>
                <w:szCs w:val="20"/>
                <w:color w:val="auto"/>
              </w:rPr>
            </w:pPr>
            <w:r>
              <w:rPr>
                <w:rFonts w:ascii="Courier New" w:cs="Courier New" w:eastAsia="Courier New" w:hAnsi="Courier New"/>
                <w:sz w:val="17"/>
                <w:szCs w:val="17"/>
                <w:color w:val="auto"/>
              </w:rPr>
              <w:t>11,981,563</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4,714,699</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2,906,637</w:t>
            </w:r>
          </w:p>
        </w:tc>
      </w:tr>
      <w:tr>
        <w:trPr>
          <w:trHeight w:val="594"/>
        </w:trPr>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-3-</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19"/>
          </w:cols>
          <w:pgMar w:left="240" w:top="907" w:right="1440" w:bottom="1440" w:gutter="0" w:footer="0" w:header="0"/>
        </w:sectPr>
      </w:pPr>
    </w:p>
    <w:bookmarkStart w:id="18" w:name="page19"/>
    <w:bookmarkEnd w:id="18"/>
    <w:p>
      <w:pPr>
        <w:ind w:right="2399" w:firstLine="515"/>
        <w:spacing w:after="0" w:line="247" w:lineRule="auto"/>
        <w:rPr>
          <w:sz w:val="20"/>
          <w:szCs w:val="20"/>
          <w:color w:val="auto"/>
        </w:rPr>
      </w:pPr>
      <w:r>
        <w:rPr>
          <w:rFonts w:ascii="Courier New" w:cs="Courier New" w:eastAsia="Courier New" w:hAnsi="Courier New"/>
          <w:sz w:val="17"/>
          <w:szCs w:val="17"/>
          <w:color w:val="auto"/>
        </w:rPr>
        <w:t>The number of votes cast for the amendment to Article VI by each voting group was sufficient for approval by that voting group.</w:t>
      </w:r>
    </w:p>
    <w:p>
      <w:pPr>
        <w:spacing w:after="0" w:line="198"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effective date and time of this document is the time of filing on the date it is filed.</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By /s/ Bruce D. Hertzke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Bruce D. Hertzke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Chairman of the Board,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Chief Executive Officer, and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0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Articles of Amendment</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ARTICLES OF AMENDMENT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TO THE SECRETARY OF STATE OF THE STATE OF IOWA:</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Pursuant to Section 1002 of the Iowa Business Corporation Act, the undersigned corporation adopts the following amendment to the corporation's articles of incorporation.</w:t>
      </w:r>
    </w:p>
    <w:p>
      <w:pPr>
        <w:spacing w:after="0" w:line="200" w:lineRule="exact"/>
        <w:rPr>
          <w:sz w:val="20"/>
          <w:szCs w:val="20"/>
          <w:color w:val="auto"/>
        </w:rPr>
      </w:pPr>
    </w:p>
    <w:p>
      <w:pPr>
        <w:ind w:left="820" w:hanging="300"/>
        <w:spacing w:after="0"/>
        <w:tabs>
          <w:tab w:leader="none" w:pos="8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corporation is Winnebago Industries, Inc.</w:t>
      </w:r>
    </w:p>
    <w:p>
      <w:pPr>
        <w:spacing w:after="0" w:line="203" w:lineRule="exact"/>
        <w:rPr>
          <w:rFonts w:ascii="Courier New" w:cs="Courier New" w:eastAsia="Courier New" w:hAnsi="Courier New"/>
          <w:sz w:val="17"/>
          <w:szCs w:val="17"/>
          <w:color w:val="auto"/>
        </w:rPr>
      </w:pPr>
    </w:p>
    <w:p>
      <w:pPr>
        <w:ind w:right="2179" w:firstLine="520"/>
        <w:spacing w:after="0" w:line="247" w:lineRule="auto"/>
        <w:tabs>
          <w:tab w:leader="none" w:pos="82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Incorporation of Winnebago Industries, Inc., as previously amended and restated are further amendment by adding the following:</w:t>
      </w:r>
    </w:p>
    <w:p>
      <w:pPr>
        <w:spacing w:after="0" w:line="39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CERTIFICATE OF DESIGNATIONS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SERIES A PREFERRED STOCK</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(Pursuant to Section 490.602 of the</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Iowa Business Corporation Act)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Winnebago Industries, Inc., a corporation organized and existing under the Iowa Business Corporation Act (hereinafter referred to as the "CORPORATION"), hereby certifies that the following resolution was adopted by the Board of Directors of the Corporation (hereinafter referred to as the "BOARD OF DIRECTORS") pursuant to Section 490.602 of the Iowa Business Corporation Act at a meeting of the Board of Directors held on May 3, 2000:</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RESOLVED, that pursuant to the authority granted to and vested in the Board of Directors in accordance with the provisions of the Articles of Incorporation of the Corporation and Iowa law, the Board of Directors hereby creates a series of the Preferred Stock, par value $.01 per share (hereinafter referred to as the "PREFERRED STOCK"), of the Corporation and hereby states the designation and number of shares, and fixes the relative rights, preferences and limitations thereof as follows:</w:t>
      </w: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SERIES A PREFERRED STOCK: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1. DESIGNATION AND AMOUNT. The shares of such series shall be designated as "Series A Preferred Stock" (hereinafter referred to as the "SERIES A PREFERRED STOCK") and the number of shares constituting the Series A Preferred Stock shall be 300,000. Such number of shares may be increased or decreased by resolution of the Board of Directors; PROVIDED, HOWEVER,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2. DIVIDENDS AND DISTRIBUTIONS. (A) 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$.50 per share (hereinafter referred to as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7" w:lineRule="exact"/>
        <w:rPr>
          <w:sz w:val="20"/>
          <w:szCs w:val="20"/>
          <w:color w:val="auto"/>
        </w:rPr>
      </w:pPr>
    </w:p>
    <w:p>
      <w:pPr>
        <w:ind w:right="1979" w:firstLine="520"/>
        <w:spacing w:after="0" w:line="246" w:lineRule="auto"/>
        <w:tabs>
          <w:tab w:leader="none" w:pos="92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w:t>
      </w:r>
    </w:p>
    <w:p>
      <w:pPr>
        <w:spacing w:after="0" w:line="200" w:lineRule="exact"/>
        <w:rPr>
          <w:sz w:val="20"/>
          <w:szCs w:val="20"/>
          <w:color w:val="auto"/>
        </w:rPr>
      </w:pP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7" w:right="1440" w:bottom="919" w:gutter="0" w:footer="0" w:header="0"/>
        </w:sectPr>
      </w:pPr>
    </w:p>
    <w:bookmarkStart w:id="21" w:name="page22"/>
    <w:bookmarkEnd w:id="21"/>
    <w:p>
      <w:pPr>
        <w:ind w:right="1979"/>
        <w:spacing w:after="0" w:line="246" w:lineRule="auto"/>
        <w:rPr>
          <w:sz w:val="20"/>
          <w:szCs w:val="20"/>
          <w:color w:val="auto"/>
        </w:rPr>
      </w:pPr>
      <w:r>
        <w:rPr>
          <w:rFonts w:ascii="Courier New" w:cs="Courier New" w:eastAsia="Courier New" w:hAnsi="Courier New"/>
          <w:sz w:val="17"/>
          <w:szCs w:val="17"/>
          <w:color w:val="auto"/>
        </w:rPr>
        <w:t>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202"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SECTION 3. VOTING RIGHTS. The holders of shares of Series A Preferred Stock shall have the following voting rights:</w:t>
      </w:r>
    </w:p>
    <w:p>
      <w:pPr>
        <w:spacing w:after="0" w:line="198" w:lineRule="exact"/>
        <w:rPr>
          <w:sz w:val="20"/>
          <w:szCs w:val="20"/>
          <w:color w:val="auto"/>
        </w:rPr>
      </w:pPr>
    </w:p>
    <w:p>
      <w:pPr>
        <w:ind w:right="2079" w:firstLine="520"/>
        <w:spacing w:after="0" w:line="246" w:lineRule="auto"/>
        <w:tabs>
          <w:tab w:leader="none" w:pos="92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 for adjustment hereinafter set forth, each share of Series A Preferred Stock shall entitle the holder thereof to 100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herein, in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201"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the taking of any corporate action.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SECTION 4. CERTAIN RESTRICTIONS. (A) 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2" w:lineRule="exact"/>
        <w:rPr>
          <w:sz w:val="20"/>
          <w:szCs w:val="20"/>
          <w:color w:val="auto"/>
        </w:rPr>
      </w:pPr>
    </w:p>
    <w:p>
      <w:pPr>
        <w:ind w:left="1040" w:right="1979" w:firstLine="510"/>
        <w:spacing w:after="0" w:line="246" w:lineRule="auto"/>
        <w:tabs>
          <w:tab w:leader="none" w:pos="196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dividends, or make any other distributions, on any shares of stock ranking junior (either as to dividends or upon liquidation, dissolution or winding up) to the Series A Preferred Stock;</w:t>
      </w:r>
    </w:p>
    <w:p>
      <w:pPr>
        <w:spacing w:after="0" w:line="200" w:lineRule="exact"/>
        <w:rPr>
          <w:rFonts w:ascii="Courier New" w:cs="Courier New" w:eastAsia="Courier New" w:hAnsi="Courier New"/>
          <w:sz w:val="17"/>
          <w:szCs w:val="17"/>
          <w:color w:val="auto"/>
        </w:rPr>
      </w:pPr>
    </w:p>
    <w:p>
      <w:pPr>
        <w:ind w:left="1040" w:right="2079" w:firstLine="510"/>
        <w:spacing w:after="0" w:line="246" w:lineRule="auto"/>
        <w:tabs>
          <w:tab w:leader="none" w:pos="207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2" w:lineRule="exact"/>
        <w:rPr>
          <w:rFonts w:ascii="Courier New" w:cs="Courier New" w:eastAsia="Courier New" w:hAnsi="Courier New"/>
          <w:sz w:val="17"/>
          <w:szCs w:val="17"/>
          <w:color w:val="auto"/>
        </w:rPr>
      </w:pPr>
    </w:p>
    <w:p>
      <w:pPr>
        <w:ind w:left="1040" w:right="2079" w:firstLine="510"/>
        <w:spacing w:after="0" w:line="246" w:lineRule="auto"/>
        <w:tabs>
          <w:tab w:leader="none" w:pos="217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105" w:right="1440" w:bottom="1440" w:gutter="0" w:footer="0" w:header="0"/>
        </w:sectPr>
      </w:pPr>
    </w:p>
    <w:bookmarkStart w:id="22" w:name="page23"/>
    <w:bookmarkEnd w:id="22"/>
    <w:p>
      <w:pPr>
        <w:ind w:left="1040" w:right="1979" w:firstLine="510"/>
        <w:spacing w:after="0" w:line="246" w:lineRule="auto"/>
        <w:tabs>
          <w:tab w:leader="none" w:pos="207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Certificate of Designations creating a series of Preferred Stock or any similar stock or as otherwise required by law.</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w:t>
      </w:r>
    </w:p>
    <w:p>
      <w:pPr>
        <w:spacing w:after="0" w:line="14" w:lineRule="exact"/>
        <w:rPr>
          <w:sz w:val="20"/>
          <w:szCs w:val="20"/>
          <w:color w:val="auto"/>
        </w:rPr>
      </w:pPr>
    </w:p>
    <w:p>
      <w:pPr>
        <w:ind w:right="1979" w:firstLine="6"/>
        <w:spacing w:after="0" w:line="246" w:lineRule="auto"/>
        <w:tabs>
          <w:tab w:leader="none" w:pos="4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7" w:right="1440" w:bottom="127" w:gutter="0" w:footer="0" w:header="0"/>
        </w:sectPr>
      </w:pPr>
    </w:p>
    <w:bookmarkStart w:id="23" w:name="page24"/>
    <w:bookmarkEnd w:id="23"/>
    <w:p>
      <w:pPr>
        <w:ind w:right="2079" w:firstLine="515"/>
        <w:spacing w:after="0" w:line="247" w:lineRule="auto"/>
        <w:rPr>
          <w:sz w:val="20"/>
          <w:szCs w:val="20"/>
          <w:color w:val="auto"/>
        </w:rPr>
      </w:pPr>
      <w:r>
        <w:rPr>
          <w:rFonts w:ascii="Courier New" w:cs="Courier New" w:eastAsia="Courier New" w:hAnsi="Courier New"/>
          <w:sz w:val="17"/>
          <w:szCs w:val="17"/>
          <w:color w:val="auto"/>
        </w:rPr>
        <w:t>SECTION 8. NO REDEMPTION. The shares of Series A Preferred Stock shall not be redeemable.</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9. RANK. The Series A Preferred Stock shall rank, with respect to the payment of dividends and the distribution of assets, junior to all series of any other class of the Preferred Stock of the Corporation.</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SECTION 10. AMENDMENT.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02" w:lineRule="exact"/>
        <w:rPr>
          <w:sz w:val="20"/>
          <w:szCs w:val="20"/>
          <w:color w:val="auto"/>
        </w:rPr>
      </w:pPr>
    </w:p>
    <w:p>
      <w:pPr>
        <w:ind w:left="820" w:hanging="300"/>
        <w:spacing w:after="0"/>
        <w:tabs>
          <w:tab w:leader="none" w:pos="8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of adoption of the amendment was May 3, 2000.</w:t>
      </w:r>
    </w:p>
    <w:p>
      <w:pPr>
        <w:spacing w:after="0" w:line="203" w:lineRule="exact"/>
        <w:rPr>
          <w:rFonts w:ascii="Courier New" w:cs="Courier New" w:eastAsia="Courier New" w:hAnsi="Courier New"/>
          <w:sz w:val="17"/>
          <w:szCs w:val="17"/>
          <w:color w:val="auto"/>
        </w:rPr>
      </w:pPr>
    </w:p>
    <w:p>
      <w:pPr>
        <w:ind w:right="2279" w:firstLine="520"/>
        <w:spacing w:after="0" w:line="247" w:lineRule="auto"/>
        <w:tabs>
          <w:tab w:leader="none" w:pos="82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was adopted by the Board of Directors without action by the shareholders.</w:t>
      </w:r>
    </w:p>
    <w:p>
      <w:pPr>
        <w:spacing w:after="0" w:line="198"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effective date and time of this document is the time of filing on the date it is filed.</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By /s/ Bruce D. Hertzke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Bruce D. Hertzke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Chairman of the Board,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Chief Executive Officer, and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3-MOS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AUG-26-2000</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MAY-27-2000</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59,725</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65,238</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1,321</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87,040</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221,608</w:t>
      </w:r>
    </w:p>
    <w:p>
      <w:pPr>
        <w:spacing w:after="0" w:line="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128,776</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83,877</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313,527</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81,842</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12,939</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158,153</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313,527</w:t>
      </w:r>
    </w:p>
    <w:p>
      <w:pPr>
        <w:spacing w:after="0" w:line="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211,137</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211,137</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174,363</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174,363</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13,061</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(831)</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24,544</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8,287</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16,257</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16,257</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.76</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.74</w:t>
      </w:r>
    </w:p>
    <w:sectPr>
      <w:pgSz w:w="11900" w:h="16838" w:orient="portrait"/>
      <w:cols w:equalWidth="0" w:num="1">
        <w:col w:w="10119"/>
      </w:cols>
      <w:pgMar w:left="340" w:top="7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3"/>
    </w:lvl>
  </w:abstractNum>
  <w:abstractNum w:abstractNumId="2">
    <w:nsid w:val="1F16E9E8"/>
    <w:multiLevelType w:val="hybridMultilevel"/>
    <w:lvl w:ilvl="0">
      <w:lvlJc w:val="left"/>
      <w:lvlText w:val="%1."/>
      <w:numFmt w:val="decimal"/>
      <w:start w:val="6"/>
    </w:lvl>
  </w:abstractNum>
  <w:abstractNum w:abstractNumId="3">
    <w:nsid w:val="1190CDE7"/>
    <w:multiLevelType w:val="hybridMultilevel"/>
    <w:lvl w:ilvl="0">
      <w:lvlJc w:val="left"/>
      <w:lvlText w:val="%1."/>
      <w:numFmt w:val="decimal"/>
      <w:start w:val="8"/>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
    <w:nsid w:val="109CF92E"/>
    <w:multiLevelType w:val="hybridMultilevel"/>
    <w:lvl w:ilvl="0">
      <w:lvlJc w:val="left"/>
      <w:lvlText w:val="%1."/>
      <w:numFmt w:val="upperLetter"/>
      <w:start w:val="2"/>
    </w:lvl>
    <w:lvl w:ilvl="1">
      <w:lvlJc w:val="left"/>
      <w:lvlText w:val="(%2)"/>
      <w:numFmt w:val="decimal"/>
      <w:start w:val="1"/>
    </w:lvl>
  </w:abstractNum>
  <w:abstractNum w:abstractNumId="8">
    <w:nsid w:val="DED7263"/>
    <w:multiLevelType w:val="hybridMultilevel"/>
    <w:lvl w:ilvl="0">
      <w:lvlJc w:val="left"/>
      <w:lvlText w:val="%1."/>
      <w:numFmt w:val="decimal"/>
      <w:start w:val="4"/>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2"/>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upperLetter"/>
      <w:start w:val="1"/>
    </w:lvl>
    <w:lvl w:ilvl="1">
      <w:lvlJc w:val="left"/>
      <w:lvlText w:val="(%2)"/>
      <w:numFmt w:val="lowerRoman"/>
      <w:start w:val="4"/>
    </w:lvl>
  </w:abstractNum>
  <w:abstractNum w:abstractNumId="16">
    <w:nsid w:val="431BD7B7"/>
    <w:multiLevelType w:val="hybridMultilevel"/>
    <w:lvl w:ilvl="0">
      <w:lvlJc w:val="left"/>
      <w:lvlText w:val="(%1)"/>
      <w:numFmt w:val="upperLetter"/>
      <w:start w:val="2"/>
    </w:lvl>
    <w:lvl w:ilvl="1">
      <w:lvlJc w:val="left"/>
      <w:lvlText w:val="%2"/>
      <w:numFmt w:val="lowerRoman"/>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2019-12-13T08:33:15Z</dcterms:created>
  <dcterms:modified xsi:type="dcterms:W3CDTF">2019-12-13T08:33:15Z</dcterms:modified>
</cp:coreProperties>
</file>