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11,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64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040" w:type="dxa"/>
            <w:vAlign w:val="bottom"/>
            <w:gridSpan w:val="2"/>
          </w:tcPr>
          <w:p>
            <w:pPr>
              <w:ind w:left="46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(a)[x]</w:t>
      </w:r>
    </w:p>
    <w:p>
      <w:pPr>
        <w:ind w:left="640"/>
        <w:spacing w:after="0"/>
        <w:tabs>
          <w:tab w:leader="none" w:pos="76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(b)[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ectPr>
          <w:pgSz w:w="11900" w:h="16838" w:orient="portrait"/>
          <w:cols w:equalWidth="0" w:num="1">
            <w:col w:w="10219"/>
          </w:cols>
          <w:pgMar w:left="240" w:top="447"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1579"/>
        <w:spacing w:after="0" w:line="236" w:lineRule="auto"/>
        <w:rPr>
          <w:sz w:val="20"/>
          <w:szCs w:val="20"/>
          <w:color w:val="auto"/>
        </w:rPr>
      </w:pPr>
      <w:r>
        <w:rPr>
          <w:rFonts w:ascii="Courier New" w:cs="Courier New" w:eastAsia="Courier New" w:hAnsi="Courier New"/>
          <w:sz w:val="18"/>
          <w:szCs w:val="18"/>
          <w:color w:val="auto"/>
        </w:rPr>
        <w:t>- -------------------------------------------------------------------------------- (5) Check if Disclosure of Legal Proceedings is Required Pursuant [ ] to Items 2(d) or 2(e)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4,126,212+ shares (12.1%)</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40,260+ (includes 200+ shares owned</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wife and 40,000+ shares which</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40,000+ shares which Gerald E.</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70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SHARES</w:t>
            </w:r>
            <w:r>
              <w:rPr>
                <w:rFonts w:ascii="Courier New" w:cs="Courier New" w:eastAsia="Courier New" w:hAnsi="Courier New"/>
                <w:sz w:val="11"/>
                <w:szCs w:val="11"/>
                <w:color w:val="auto"/>
                <w:w w:val="72"/>
              </w:rPr>
              <w:t>------------------------------------------------------------------</w:t>
            </w:r>
          </w:p>
        </w:tc>
        <w:tc>
          <w:tcPr>
            <w:tcW w:w="37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70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5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700" w:type="dxa"/>
            <w:vAlign w:val="bottom"/>
          </w:tcPr>
          <w:p>
            <w:pPr>
              <w:spacing w:after="0"/>
              <w:rPr>
                <w:sz w:val="17"/>
                <w:szCs w:val="17"/>
                <w:color w:val="auto"/>
              </w:rPr>
            </w:pP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5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PERSON</w:t>
            </w:r>
            <w:r>
              <w:rPr>
                <w:rFonts w:ascii="Courier New" w:cs="Courier New" w:eastAsia="Courier New" w:hAnsi="Courier New"/>
                <w:sz w:val="11"/>
                <w:szCs w:val="11"/>
                <w:color w:val="auto"/>
                <w:w w:val="72"/>
              </w:rPr>
              <w:t>------------------------------------------------------------------</w:t>
            </w:r>
          </w:p>
        </w:tc>
        <w:tc>
          <w:tcPr>
            <w:tcW w:w="3700" w:type="dxa"/>
            <w:vAlign w:val="bottom"/>
          </w:tcPr>
          <w:p>
            <w:pPr>
              <w:spacing w:after="0"/>
              <w:rPr>
                <w:sz w:val="17"/>
                <w:szCs w:val="17"/>
                <w:color w:val="auto"/>
              </w:rPr>
            </w:pPr>
          </w:p>
        </w:tc>
      </w:tr>
      <w:tr>
        <w:trPr>
          <w:trHeight w:val="203"/>
        </w:trPr>
        <w:tc>
          <w:tcPr>
            <w:tcW w:w="2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(9)</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4,126,212+ shares (12.1%)</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40,260+ (includes 200+ shares owned</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wife and 40,000+ shares which</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145,496+ (includes 53,070+ shares</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40,000+ shares which Gerald E.</w:t>
            </w:r>
          </w:p>
        </w:tc>
      </w:tr>
      <w:tr>
        <w:trPr>
          <w:trHeight w:val="203"/>
        </w:trPr>
        <w:tc>
          <w:tcPr>
            <w:tcW w:w="2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than 1.0 percent.</w:t>
            </w:r>
          </w:p>
        </w:tc>
        <w:tc>
          <w:tcPr>
            <w:tcW w:w="3700" w:type="dxa"/>
            <w:vAlign w:val="bottom"/>
          </w:tcPr>
          <w:p>
            <w:pPr>
              <w:spacing w:after="0"/>
              <w:rPr>
                <w:sz w:val="17"/>
                <w:szCs w:val="17"/>
                <w:color w:val="auto"/>
              </w:rPr>
            </w:pPr>
          </w:p>
        </w:tc>
      </w:tr>
      <w:tr>
        <w:trPr>
          <w:trHeight w:val="405"/>
        </w:trPr>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2"/>
              </w:rPr>
              <w:t>WITH</w:t>
            </w:r>
            <w:r>
              <w:rPr>
                <w:rFonts w:ascii="Courier New" w:cs="Courier New" w:eastAsia="Courier New" w:hAnsi="Courier New"/>
                <w:sz w:val="11"/>
                <w:szCs w:val="11"/>
                <w:color w:val="auto"/>
                <w:w w:val="72"/>
              </w:rPr>
              <w:t>------------------------------------------------------------------</w:t>
            </w:r>
          </w:p>
        </w:tc>
        <w:tc>
          <w:tcPr>
            <w:tcW w:w="3700" w:type="dxa"/>
            <w:vAlign w:val="bottom"/>
          </w:tcPr>
          <w:p>
            <w:pPr>
              <w:spacing w:after="0"/>
              <w:rPr>
                <w:sz w:val="24"/>
                <w:szCs w:val="24"/>
                <w:color w:val="auto"/>
              </w:rPr>
            </w:pPr>
          </w:p>
        </w:tc>
      </w:tr>
      <w:tr>
        <w:trPr>
          <w:trHeight w:val="203"/>
        </w:trPr>
        <w:tc>
          <w:tcPr>
            <w:tcW w:w="2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(10)</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370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37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73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ectPr>
          <w:pgSz w:w="11900" w:h="16838" w:orient="portrait"/>
          <w:cols w:equalWidth="0" w:num="1">
            <w:col w:w="10219"/>
          </w:cols>
          <w:pgMar w:left="240" w:top="717" w:right="1440" w:bottom="1440" w:gutter="0" w:footer="0" w:header="0"/>
        </w:sectPr>
      </w:pPr>
    </w:p>
    <w:p>
      <w:pPr>
        <w:spacing w:after="0" w:line="214" w:lineRule="exact"/>
        <w:rPr>
          <w:sz w:val="20"/>
          <w:szCs w:val="20"/>
          <w:color w:val="auto"/>
        </w:rPr>
      </w:pPr>
    </w:p>
    <w:p>
      <w:pPr>
        <w:ind w:left="640" w:hanging="639"/>
        <w:spacing w:after="0" w:line="235" w:lineRule="auto"/>
        <w:tabs>
          <w:tab w:leader="none" w:pos="620" w:val="left"/>
        </w:tabs>
        <w:rPr>
          <w:sz w:val="20"/>
          <w:szCs w:val="20"/>
          <w:color w:val="auto"/>
        </w:rPr>
      </w:pPr>
      <w:r>
        <w:rPr>
          <w:rFonts w:ascii="Courier New" w:cs="Courier New" w:eastAsia="Courier New" w:hAnsi="Courier New"/>
          <w:sz w:val="18"/>
          <w:szCs w:val="18"/>
          <w:color w:val="auto"/>
        </w:rPr>
        <w:t>(12)</w:t>
        <w:tab/>
        <w:t>Check if the Aggregate Amount in Row (11) Excludes Certain Shares (See Instructions)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18" w:lineRule="exact"/>
        <w:rPr>
          <w:sz w:val="20"/>
          <w:szCs w:val="20"/>
          <w:color w:val="auto"/>
        </w:rPr>
      </w:pPr>
    </w:p>
    <w:p>
      <w:pPr>
        <w:sectPr>
          <w:pgSz w:w="11900" w:h="16838" w:orient="portrait"/>
          <w:cols w:equalWidth="0" w:num="2">
            <w:col w:w="7480" w:space="640"/>
            <w:col w:w="2099"/>
          </w:cols>
          <w:pgMar w:left="240" w:top="717" w:right="1440" w:bottom="1440" w:gutter="0" w:footer="0" w:header="0"/>
          <w:type w:val="continuous"/>
        </w:sectPr>
      </w:pPr>
    </w:p>
    <w:p>
      <w:pPr>
        <w:spacing w:after="0" w:line="211" w:lineRule="exact"/>
        <w:rPr>
          <w:sz w:val="20"/>
          <w:szCs w:val="20"/>
          <w:color w:val="auto"/>
        </w:rPr>
      </w:pPr>
    </w:p>
    <w:p>
      <w:pPr>
        <w:ind w:left="640" w:right="4319" w:hanging="632"/>
        <w:spacing w:after="0" w:line="470"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103,400 shares of Common Stock as a result of the sale by HCP on March 11, 2004 of 83,400 shares of Common Stock through a broker pursuant to the Rule 10b5-1 Trading Plan (the "TRADING PLAN") with Bessemer Trust Company of Florida and the sale by HCP on March 12, 2004 of 20,000 shares of Common Stock through a broker pursuant to the Trading Plan. Reference is made to Item 4 for a description of the transactions.</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March 11, 2004, HCP sold 83,400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$2,598,589 or an average price per share of $31.1581 and on March 12,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20,000 shares of Common Stock through a broker pursuant to the Trading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 approximate purchase price of $637,966 or an average price per share of</w:t>
      </w:r>
    </w:p>
    <w:p>
      <w:pPr>
        <w:spacing w:after="0" w:line="238" w:lineRule="auto"/>
        <w:rPr>
          <w:sz w:val="20"/>
          <w:szCs w:val="20"/>
          <w:color w:val="auto"/>
        </w:rPr>
      </w:pPr>
      <w:r>
        <w:rPr>
          <w:rFonts w:ascii="Courier New" w:cs="Courier New" w:eastAsia="Courier New" w:hAnsi="Courier New"/>
          <w:sz w:val="18"/>
          <w:szCs w:val="18"/>
          <w:color w:val="auto"/>
        </w:rPr>
        <w:t>$31.8983.</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4,126,212+ shares of Common Stock, which represent approximately 12.1%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739" w:hanging="312"/>
        <w:spacing w:after="0" w:line="235"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4,126,212+ shares of Common Stock of which HCP is the beneficial owner. A majority of the Individual Trustees together with the Corporate Trustee have sole dispositive power with respect to the 4,126,212+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6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152,200 shares of Common Stock by HCP on March 9, 2004 and March 10, 2004, as reported on Schedule 13D (Amendment No. 25),</w:t>
      </w:r>
    </w:p>
    <w:p>
      <w:pPr>
        <w:ind w:left="960" w:right="1779" w:hanging="4"/>
        <w:spacing w:after="0" w:line="238" w:lineRule="auto"/>
        <w:tabs>
          <w:tab w:leader="none" w:pos="159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25,000 shares of Common Stock by HCP on March 5, 2004, as reported on Schedule 13D (Amendment No. 24), (iv) the sale of 46,100 shares of Common Stock by HCP on March 4, 2004, as reported on Schedule 13D (Amendment No. 23), (v) the sale of 24,000 shares of Common Stock by HCP on January 26, 2004, as reported on Schedule 13D (Amendment No. 21), (vi) the sale of an aggregate of 117,300 shares of Common Stock by HCP during the period from January 21, 2004 through January 23, 2004, as reported on Schedule 13D (Amendment No. 20), (vii) the sale of an aggregate of 119,800 shares of Common Stock by HCP during the period from January 15, 2004 through January 20, 2004, as reported on Schedule 13D (Amendment No. 19), (viii) the sale of an aggregate of 106,000 shares of Common Stock by HCP on January 13, 2004 and January 14, 2004, as reported on Schedule 13D (Amendment No. 18), and (ix) the sale of an aggregate of 46,000 shares of Common Stock by HCP during the period from January 6, 2004 through January 12, 2004, as reported on Schedule 13D (Amendment No. 17); none of HCP, John V. Hanson, Mary Joan Boman or Paul D. Hanson has had any transactions in Common Stock during the past 60 days.</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739" w:hanging="312"/>
        <w:spacing w:after="0" w:line="235" w:lineRule="auto"/>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February 12, 2004, HCP entered into the Trading Plan with Bessemer</w:t>
      </w:r>
    </w:p>
    <w:p>
      <w:pPr>
        <w:spacing w:after="0" w:line="238" w:lineRule="auto"/>
        <w:rPr>
          <w:sz w:val="20"/>
          <w:szCs w:val="20"/>
          <w:color w:val="auto"/>
        </w:rPr>
      </w:pPr>
      <w:r>
        <w:rPr>
          <w:rFonts w:ascii="Courier New" w:cs="Courier New" w:eastAsia="Courier New" w:hAnsi="Courier New"/>
          <w:sz w:val="18"/>
          <w:szCs w:val="18"/>
          <w:color w:val="auto"/>
        </w:rPr>
        <w:t>Trust Company. HCP intends to sell up to 2,428,900 shares of Common Stock at a</w:t>
      </w:r>
    </w:p>
    <w:p>
      <w:pPr>
        <w:spacing w:after="0"/>
        <w:rPr>
          <w:sz w:val="20"/>
          <w:szCs w:val="20"/>
          <w:color w:val="auto"/>
        </w:rPr>
      </w:pPr>
      <w:r>
        <w:rPr>
          <w:rFonts w:ascii="Courier New" w:cs="Courier New" w:eastAsia="Courier New" w:hAnsi="Courier New"/>
          <w:sz w:val="18"/>
          <w:szCs w:val="18"/>
          <w:color w:val="auto"/>
        </w:rPr>
        <w:t>minimum price of $30.00 per share pursuant to the Trading Plan. The maximum</w:t>
      </w:r>
    </w:p>
    <w:p>
      <w:pPr>
        <w:spacing w:after="0" w:line="237" w:lineRule="auto"/>
        <w:rPr>
          <w:sz w:val="20"/>
          <w:szCs w:val="20"/>
          <w:color w:val="auto"/>
        </w:rPr>
      </w:pPr>
      <w:r>
        <w:rPr>
          <w:rFonts w:ascii="Courier New" w:cs="Courier New" w:eastAsia="Courier New" w:hAnsi="Courier New"/>
          <w:sz w:val="18"/>
          <w:szCs w:val="18"/>
          <w:color w:val="auto"/>
        </w:rPr>
        <w:t>number of shares of Common Stock that may be sold under the Trading Plan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minimum price at which each share of Common Stock described in the preceding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sentence were adjusted automatically on a proportionate basis to take into</w:t>
      </w:r>
    </w:p>
    <w:p>
      <w:pPr>
        <w:spacing w:after="0" w:line="238" w:lineRule="auto"/>
        <w:rPr>
          <w:sz w:val="20"/>
          <w:szCs w:val="20"/>
          <w:color w:val="auto"/>
        </w:rPr>
      </w:pPr>
      <w:r>
        <w:rPr>
          <w:rFonts w:ascii="Courier New" w:cs="Courier New" w:eastAsia="Courier New" w:hAnsi="Courier New"/>
          <w:sz w:val="18"/>
          <w:szCs w:val="18"/>
          <w:color w:val="auto"/>
        </w:rPr>
        <w:t>account a 2 for 1 dividend of Winnebago's Common Stock on March 5, 2004. The</w:t>
      </w:r>
    </w:p>
    <w:p>
      <w:pPr>
        <w:spacing w:after="0"/>
        <w:rPr>
          <w:sz w:val="20"/>
          <w:szCs w:val="20"/>
          <w:color w:val="auto"/>
        </w:rPr>
      </w:pPr>
      <w:r>
        <w:rPr>
          <w:rFonts w:ascii="Courier New" w:cs="Courier New" w:eastAsia="Courier New" w:hAnsi="Courier New"/>
          <w:sz w:val="18"/>
          <w:szCs w:val="18"/>
          <w:color w:val="auto"/>
        </w:rPr>
        <w:t>Trading Plan terminates on July 31, 2004, unless terminated earlier in</w:t>
      </w:r>
    </w:p>
    <w:p>
      <w:pPr>
        <w:spacing w:after="0" w:line="237" w:lineRule="auto"/>
        <w:rPr>
          <w:sz w:val="20"/>
          <w:szCs w:val="20"/>
          <w:color w:val="auto"/>
        </w:rPr>
      </w:pPr>
      <w:r>
        <w:rPr>
          <w:rFonts w:ascii="Courier New" w:cs="Courier New" w:eastAsia="Courier New" w:hAnsi="Courier New"/>
          <w:sz w:val="18"/>
          <w:szCs w:val="18"/>
          <w:color w:val="auto"/>
        </w:rPr>
        <w:t>accordance with its terms. HCP entered into the Trading Plan as a continuing</w:t>
      </w:r>
    </w:p>
    <w:p>
      <w:pPr>
        <w:spacing w:after="0" w:line="238" w:lineRule="auto"/>
        <w:rPr>
          <w:sz w:val="20"/>
          <w:szCs w:val="20"/>
          <w:color w:val="auto"/>
        </w:rPr>
      </w:pPr>
      <w:r>
        <w:rPr>
          <w:rFonts w:ascii="Courier New" w:cs="Courier New" w:eastAsia="Courier New" w:hAnsi="Courier New"/>
          <w:sz w:val="18"/>
          <w:szCs w:val="18"/>
          <w:color w:val="auto"/>
        </w:rPr>
        <w:t>part of its investment portfolio diversification plan.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3820" w:space="720"/>
            <w:col w:w="5679"/>
          </w:cols>
          <w:pgMar w:left="240" w:top="717" w:right="1440" w:bottom="1440" w:gutter="0" w:footer="0" w:header="0"/>
          <w:type w:val="continuous"/>
        </w:sect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3820" w:space="720"/>
            <w:col w:w="567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March 15,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6"/>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3"/>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2"/>
    </w:lvl>
    <w:lvl w:ilvl="1">
      <w:lvlJc w:val="left"/>
      <w:lvlText w:val="(%2)"/>
      <w:numFmt w:val="lowerLetter"/>
      <w:start w:val="6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2019-12-11T19:24:20Z</dcterms:created>
  <dcterms:modified xsi:type="dcterms:W3CDTF">2019-12-11T19:24:20Z</dcterms:modified>
</cp:coreProperties>
</file>