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38" w:lineRule="auto"/>
        <w:rPr>
          <w:sz w:val="20"/>
          <w:szCs w:val="20"/>
          <w:color w:val="auto"/>
        </w:rPr>
      </w:pPr>
      <w:r>
        <w:rPr>
          <w:rFonts w:ascii="Courier New" w:cs="Courier New" w:eastAsia="Courier New" w:hAnsi="Courier New"/>
          <w:sz w:val="18"/>
          <w:szCs w:val="18"/>
          <w:color w:val="auto"/>
        </w:rPr>
        <w:t>Winnebago Industries,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#974637100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7" w:lineRule="auto"/>
        <w:rPr>
          <w:sz w:val="20"/>
          <w:szCs w:val="20"/>
          <w:color w:val="auto"/>
        </w:rPr>
      </w:pPr>
      <w:r>
        <w:rPr>
          <w:rFonts w:ascii="Courier New" w:cs="Courier New" w:eastAsia="Courier New" w:hAnsi="Courier New"/>
          <w:sz w:val="18"/>
          <w:szCs w:val="18"/>
          <w:color w:val="auto"/>
        </w:rPr>
        <w:t>Item 5: 256,800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2,238,390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2,238,390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10.795%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2,238,390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2,238,390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10.795%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#974637100</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None</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2,238,390</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2,238,390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10.795%</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Winnebago Industries, Inc.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P.O. Box 152,</w:t>
      </w:r>
    </w:p>
    <w:p>
      <w:pPr>
        <w:ind w:left="1700"/>
        <w:spacing w:after="0"/>
        <w:tabs>
          <w:tab w:leader="none" w:pos="3680" w:val="left"/>
        </w:tabs>
        <w:rPr>
          <w:sz w:val="20"/>
          <w:szCs w:val="20"/>
          <w:color w:val="auto"/>
        </w:rPr>
      </w:pPr>
      <w:r>
        <w:rPr>
          <w:rFonts w:ascii="Courier New" w:cs="Courier New" w:eastAsia="Courier New" w:hAnsi="Courier New"/>
          <w:sz w:val="18"/>
          <w:szCs w:val="18"/>
          <w:color w:val="auto"/>
        </w:rPr>
        <w:t>Forest City, Iowa</w:t>
      </w:r>
      <w:r>
        <w:rPr>
          <w:sz w:val="20"/>
          <w:szCs w:val="20"/>
          <w:color w:val="auto"/>
        </w:rPr>
        <w:tab/>
      </w:r>
      <w:r>
        <w:rPr>
          <w:rFonts w:ascii="Courier New" w:cs="Courier New" w:eastAsia="Courier New" w:hAnsi="Courier New"/>
          <w:sz w:val="16"/>
          <w:szCs w:val="16"/>
          <w:color w:val="auto"/>
        </w:rPr>
        <w:t>50436</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974637100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ectPr>
          <w:pgSz w:w="11900" w:h="16838" w:orient="portrait"/>
          <w:cols w:equalWidth="0" w:num="1">
            <w:col w:w="10219"/>
          </w:cols>
          <w:pgMar w:left="240" w:top="244" w:right="1440" w:bottom="0" w:gutter="0" w:footer="0" w:header="0"/>
        </w:sectPr>
      </w:pPr>
    </w:p>
    <w:bookmarkStart w:id="1" w:name="page2"/>
    <w:bookmarkEnd w:id="1"/>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2,238,390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10.795%</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256,800</w:t>
      </w:r>
    </w:p>
    <w:p>
      <w:pPr>
        <w:spacing w:after="0" w:line="200" w:lineRule="exact"/>
        <w:rPr>
          <w:sz w:val="20"/>
          <w:szCs w:val="20"/>
          <w:color w:val="auto"/>
        </w:rPr>
      </w:pPr>
    </w:p>
    <w:p>
      <w:pPr>
        <w:sectPr>
          <w:pgSz w:w="11900" w:h="16838" w:orient="portrait"/>
          <w:cols w:equalWidth="0" w:num="2">
            <w:col w:w="1160" w:space="540"/>
            <w:col w:w="8519"/>
          </w:cols>
          <w:pgMar w:left="240" w:top="142"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2,238,390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Winnebago Industries, Inc.. No</w:t>
      </w:r>
    </w:p>
    <w:p>
      <w:pPr>
        <w:spacing w:after="0" w:line="6" w:lineRule="exact"/>
        <w:rPr>
          <w:sz w:val="20"/>
          <w:szCs w:val="20"/>
          <w:color w:val="auto"/>
        </w:rPr>
      </w:pPr>
    </w:p>
    <w:p>
      <w:pPr>
        <w:ind w:right="4419"/>
        <w:spacing w:after="0" w:line="236" w:lineRule="auto"/>
        <w:rPr>
          <w:sz w:val="20"/>
          <w:szCs w:val="20"/>
          <w:color w:val="auto"/>
        </w:rPr>
      </w:pPr>
      <w:r>
        <w:rPr>
          <w:rFonts w:ascii="Courier New" w:cs="Courier New" w:eastAsia="Courier New" w:hAnsi="Courier New"/>
          <w:sz w:val="18"/>
          <w:szCs w:val="18"/>
          <w:color w:val="auto"/>
        </w:rPr>
        <w:t>one person's interest in the Common Stock of Winnebago Industries, Inc.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Schedule 13G in connection with FMR Corp.'s beneficial ownership of</w:t>
      </w:r>
    </w:p>
    <w:p>
      <w:pPr>
        <w:spacing w:after="0" w:line="1"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the Common Stock of Winnebago Industries, Inc. at July 31, 2001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10, 2001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ectPr>
          <w:pgSz w:w="11900" w:h="16838" w:orient="portrait"/>
          <w:cols w:equalWidth="0" w:num="1">
            <w:col w:w="10219"/>
          </w:cols>
          <w:pgMar w:left="240" w:top="142"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238" w:lineRule="auto"/>
        <w:rPr>
          <w:sz w:val="20"/>
          <w:szCs w:val="20"/>
          <w:color w:val="auto"/>
        </w:rPr>
      </w:pPr>
      <w:r>
        <w:rPr>
          <w:rFonts w:ascii="Courier New" w:cs="Courier New" w:eastAsia="Courier New" w:hAnsi="Courier New"/>
          <w:sz w:val="18"/>
          <w:szCs w:val="18"/>
          <w:color w:val="auto"/>
        </w:rPr>
        <w:t>dated December 30, 1997 by and on behalf</w:t>
      </w:r>
    </w:p>
    <w:p>
      <w:pPr>
        <w:spacing w:after="0"/>
        <w:rPr>
          <w:sz w:val="20"/>
          <w:szCs w:val="20"/>
          <w:color w:val="auto"/>
        </w:rPr>
      </w:pPr>
      <w:r>
        <w:rPr>
          <w:rFonts w:ascii="Courier New" w:cs="Courier New" w:eastAsia="Courier New" w:hAnsi="Courier New"/>
          <w:sz w:val="18"/>
          <w:szCs w:val="18"/>
          <w:color w:val="auto"/>
        </w:rPr>
        <w:t>of FMR Corp. and its direct and indirect</w:t>
      </w:r>
    </w:p>
    <w:p>
      <w:pPr>
        <w:spacing w:after="0" w:line="237"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1,982,590 shares or 9.562% of the Common Stock</w:t>
      </w:r>
    </w:p>
    <w:p>
      <w:pPr>
        <w:spacing w:after="0"/>
        <w:tabs>
          <w:tab w:leader="none" w:pos="4520" w:val="left"/>
        </w:tabs>
        <w:rPr>
          <w:sz w:val="20"/>
          <w:szCs w:val="20"/>
          <w:color w:val="auto"/>
        </w:rPr>
      </w:pPr>
      <w:r>
        <w:rPr>
          <w:rFonts w:ascii="Courier New" w:cs="Courier New" w:eastAsia="Courier New" w:hAnsi="Courier New"/>
          <w:sz w:val="18"/>
          <w:szCs w:val="18"/>
          <w:color w:val="auto"/>
        </w:rPr>
        <w:t>outstanding of Winnebago Industries, Inc.</w:t>
      </w:r>
      <w:r>
        <w:rPr>
          <w:sz w:val="20"/>
          <w:szCs w:val="20"/>
          <w:color w:val="auto"/>
        </w:rPr>
        <w:tab/>
      </w:r>
      <w:r>
        <w:rPr>
          <w:rFonts w:ascii="Courier New" w:cs="Courier New" w:eastAsia="Courier New" w:hAnsi="Courier New"/>
          <w:sz w:val="16"/>
          <w:szCs w:val="16"/>
          <w:color w:val="auto"/>
        </w:rPr>
        <w:t>("the Company")</w:t>
      </w:r>
    </w:p>
    <w:p>
      <w:pPr>
        <w:spacing w:after="0" w:line="237" w:lineRule="auto"/>
        <w:rPr>
          <w:sz w:val="20"/>
          <w:szCs w:val="20"/>
          <w:color w:val="auto"/>
        </w:rPr>
      </w:pPr>
      <w:r>
        <w:rPr>
          <w:rFonts w:ascii="Courier New" w:cs="Courier New" w:eastAsia="Courier New" w:hAnsi="Courier New"/>
          <w:sz w:val="18"/>
          <w:szCs w:val="18"/>
          <w:color w:val="auto"/>
        </w:rPr>
        <w:t>as a result of acting as investment adviser to various</w:t>
      </w:r>
    </w:p>
    <w:p>
      <w:pPr>
        <w:spacing w:after="0"/>
        <w:rPr>
          <w:sz w:val="20"/>
          <w:szCs w:val="20"/>
          <w:color w:val="auto"/>
        </w:rPr>
      </w:pPr>
      <w:r>
        <w:rPr>
          <w:rFonts w:ascii="Courier New" w:cs="Courier New" w:eastAsia="Courier New" w:hAnsi="Courier New"/>
          <w:sz w:val="18"/>
          <w:szCs w:val="18"/>
          <w:color w:val="auto"/>
        </w:rPr>
        <w:t>investment companies registered under Section 8 of the</w:t>
      </w:r>
    </w:p>
    <w:p>
      <w:pPr>
        <w:spacing w:after="0" w:line="237" w:lineRule="auto"/>
        <w:rPr>
          <w:sz w:val="20"/>
          <w:szCs w:val="20"/>
          <w:color w:val="auto"/>
        </w:rPr>
      </w:pPr>
      <w:r>
        <w:rPr>
          <w:rFonts w:ascii="Courier New" w:cs="Courier New" w:eastAsia="Courier New" w:hAnsi="Courier New"/>
          <w:sz w:val="18"/>
          <w:szCs w:val="18"/>
          <w:color w:val="auto"/>
        </w:rPr>
        <w:t>Investment Company Act of 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1,982,590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184,400 shares or 0.889% of the Common Stock outstanding of the Company as a result of its serving as investment manager of the institutional account(s).</w:t>
      </w: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 and FMR Corp., through its</w:t>
      </w:r>
    </w:p>
    <w:p>
      <w:pPr>
        <w:spacing w:after="0" w:line="238" w:lineRule="auto"/>
        <w:rPr>
          <w:sz w:val="20"/>
          <w:szCs w:val="20"/>
          <w:color w:val="auto"/>
        </w:rPr>
      </w:pPr>
      <w:r>
        <w:rPr>
          <w:rFonts w:ascii="Courier New" w:cs="Courier New" w:eastAsia="Courier New" w:hAnsi="Courier New"/>
          <w:sz w:val="18"/>
          <w:szCs w:val="18"/>
          <w:color w:val="auto"/>
        </w:rPr>
        <w:t>control of Fidelity Management Trust Company, each has</w:t>
      </w:r>
    </w:p>
    <w:p>
      <w:pPr>
        <w:spacing w:after="0"/>
        <w:rPr>
          <w:sz w:val="20"/>
          <w:szCs w:val="20"/>
          <w:color w:val="auto"/>
        </w:rPr>
      </w:pPr>
      <w:r>
        <w:rPr>
          <w:rFonts w:ascii="Courier New" w:cs="Courier New" w:eastAsia="Courier New" w:hAnsi="Courier New"/>
          <w:sz w:val="18"/>
          <w:szCs w:val="18"/>
          <w:color w:val="auto"/>
        </w:rPr>
        <w:t>sole dispositive power over 184,400 shares and sole power to</w:t>
      </w:r>
    </w:p>
    <w:p>
      <w:pPr>
        <w:spacing w:after="0" w:line="237" w:lineRule="auto"/>
        <w:rPr>
          <w:sz w:val="20"/>
          <w:szCs w:val="20"/>
          <w:color w:val="auto"/>
        </w:rPr>
      </w:pPr>
      <w:r>
        <w:rPr>
          <w:rFonts w:ascii="Courier New" w:cs="Courier New" w:eastAsia="Courier New" w:hAnsi="Courier New"/>
          <w:sz w:val="18"/>
          <w:szCs w:val="18"/>
          <w:color w:val="auto"/>
        </w:rPr>
        <w:t>vote or to direct the voting of 184,400 shares of Common</w:t>
      </w:r>
    </w:p>
    <w:p>
      <w:pPr>
        <w:spacing w:after="0" w:line="238" w:lineRule="auto"/>
        <w:rPr>
          <w:sz w:val="20"/>
          <w:szCs w:val="20"/>
          <w:color w:val="auto"/>
        </w:rPr>
      </w:pPr>
      <w:r>
        <w:rPr>
          <w:rFonts w:ascii="Courier New" w:cs="Courier New" w:eastAsia="Courier New" w:hAnsi="Courier New"/>
          <w:sz w:val="18"/>
          <w:szCs w:val="18"/>
          <w:color w:val="auto"/>
        </w:rPr>
        <w:t>Stock owned by the institutional account(s) as reported</w:t>
      </w:r>
    </w:p>
    <w:p>
      <w:pPr>
        <w:spacing w:after="0"/>
        <w:rPr>
          <w:sz w:val="20"/>
          <w:szCs w:val="20"/>
          <w:color w:val="auto"/>
        </w:rPr>
      </w:pPr>
      <w:r>
        <w:rPr>
          <w:rFonts w:ascii="Courier New" w:cs="Courier New" w:eastAsia="Courier New" w:hAnsi="Courier New"/>
          <w:sz w:val="18"/>
          <w:szCs w:val="18"/>
          <w:color w:val="auto"/>
        </w:rPr>
        <w:t>above.</w:t>
      </w:r>
    </w:p>
    <w:p>
      <w:pPr>
        <w:spacing w:after="0" w:line="206"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8"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71,400 shares or 0.344% of the Common Stock outstanding</w:t>
      </w:r>
    </w:p>
    <w:p>
      <w:pPr>
        <w:spacing w:after="0" w:line="1" w:lineRule="exact"/>
        <w:rPr>
          <w:sz w:val="20"/>
          <w:szCs w:val="20"/>
          <w:color w:val="auto"/>
        </w:rPr>
      </w:pPr>
    </w:p>
    <w:p>
      <w:pPr>
        <w:jc w:val="both"/>
        <w:ind w:right="4199"/>
        <w:spacing w:after="0" w:line="236" w:lineRule="auto"/>
        <w:rPr>
          <w:sz w:val="20"/>
          <w:szCs w:val="20"/>
          <w:color w:val="auto"/>
        </w:rPr>
      </w:pPr>
      <w:r>
        <w:rPr>
          <w:rFonts w:ascii="Courier New" w:cs="Courier New" w:eastAsia="Courier New" w:hAnsi="Courier New"/>
          <w:sz w:val="18"/>
          <w:szCs w:val="18"/>
          <w:color w:val="auto"/>
        </w:rPr>
        <w:t>of the Company.Additional information with respect to the beneficial ownership of Fidelity International Limited is shown on Exhibit B.</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0" w:gutter="0" w:footer="0" w:header="0"/>
        </w:sectPr>
      </w:pPr>
    </w:p>
    <w:bookmarkStart w:id="3" w:name="page4"/>
    <w:bookmarkEnd w:id="3"/>
    <w:p>
      <w:pPr>
        <w:ind w:right="3459" w:firstLine="843"/>
        <w:spacing w:after="0" w:line="268" w:lineRule="auto"/>
        <w:rPr>
          <w:sz w:val="20"/>
          <w:szCs w:val="20"/>
          <w:color w:val="auto"/>
        </w:rPr>
      </w:pPr>
      <w:r>
        <w:rPr>
          <w:rFonts w:ascii="Courier New" w:cs="Courier New" w:eastAsia="Courier New" w:hAnsi="Courier New"/>
          <w:sz w:val="16"/>
          <w:szCs w:val="16"/>
          <w:color w:val="auto"/>
        </w:rPr>
        <w:t>Pursuant to instructions in Item 7 of Schedule 13G, this Exhibit has been prepared to identify Fidelity International Limited, Pembroke Hall, 42 Crow Lane, Hamilton, Bermuda,</w:t>
      </w:r>
    </w:p>
    <w:p>
      <w:pPr>
        <w:spacing w:after="0" w:line="1" w:lineRule="exact"/>
        <w:rPr>
          <w:sz w:val="20"/>
          <w:szCs w:val="20"/>
          <w:color w:val="auto"/>
        </w:rPr>
      </w:pPr>
    </w:p>
    <w:p>
      <w:pPr>
        <w:ind w:right="3579"/>
        <w:spacing w:after="0"/>
        <w:rPr>
          <w:sz w:val="20"/>
          <w:szCs w:val="20"/>
          <w:color w:val="auto"/>
        </w:rPr>
      </w:pPr>
      <w:r>
        <w:rPr>
          <w:rFonts w:ascii="Courier New" w:cs="Courier New" w:eastAsia="Courier New" w:hAnsi="Courier New"/>
          <w:sz w:val="18"/>
          <w:szCs w:val="18"/>
          <w:color w:val="auto"/>
        </w:rPr>
        <w:t>a Bermudan joint stock company incorporated for an unlimited duration by private act of the Bermuda Legislature (FIL) and an investment adviser to various investment companies (the "International Funds") and certain institutional investors, as a beneficial owner of the 71,400 shares or 0.344% of the Common Stock outstanding of Winnebago Industries, Inc..</w:t>
      </w:r>
    </w:p>
    <w:p>
      <w:pPr>
        <w:spacing w:after="0" w:line="39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4" w:lineRule="exact"/>
        <w:rPr>
          <w:sz w:val="20"/>
          <w:szCs w:val="20"/>
          <w:color w:val="auto"/>
        </w:rPr>
      </w:pPr>
    </w:p>
    <w:p>
      <w:pPr>
        <w:ind w:right="3899" w:firstLine="843"/>
        <w:spacing w:after="0" w:line="268" w:lineRule="auto"/>
        <w:rPr>
          <w:sz w:val="20"/>
          <w:szCs w:val="20"/>
          <w:color w:val="auto"/>
        </w:rPr>
      </w:pPr>
      <w:r>
        <w:rPr>
          <w:rFonts w:ascii="Courier New" w:cs="Courier New" w:eastAsia="Courier New" w:hAnsi="Courier New"/>
          <w:sz w:val="16"/>
          <w:szCs w:val="16"/>
          <w:color w:val="auto"/>
        </w:rPr>
        <w:t>A partnership controlled by Edward C. Johnson 3d and members of his family owns shares of FIL voting stock with</w:t>
      </w:r>
    </w:p>
    <w:p>
      <w:pPr>
        <w:ind w:right="3579"/>
        <w:spacing w:after="0" w:line="268" w:lineRule="auto"/>
        <w:rPr>
          <w:sz w:val="20"/>
          <w:szCs w:val="20"/>
          <w:color w:val="auto"/>
        </w:rPr>
      </w:pPr>
      <w:r>
        <w:rPr>
          <w:rFonts w:ascii="Courier New" w:cs="Courier New" w:eastAsia="Courier New" w:hAnsi="Courier New"/>
          <w:sz w:val="16"/>
          <w:szCs w:val="16"/>
          <w:color w:val="auto"/>
        </w:rPr>
        <w:t>the right to cast approximately 39.89% of the total votes which may be cast by all holders of FIL voting stock. Mr. Johnson 3d is Chairman of FMR Corp. and FIL. FMR Corp. and FIL</w:t>
      </w:r>
    </w:p>
    <w:p>
      <w:pPr>
        <w:spacing w:after="0" w:line="1"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17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10"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w:t>
      </w:r>
    </w:p>
    <w:p>
      <w:pPr>
        <w:spacing w:after="0" w:line="1"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FIL may determine to cease making additional purchases of shares or to increase or decrease the equity interest in the Company by acquiring additional shares, or by disposing of all or a portion of the shares.</w:t>
      </w:r>
    </w:p>
    <w:p>
      <w:pPr>
        <w:spacing w:after="0" w:line="207" w:lineRule="exact"/>
        <w:rPr>
          <w:sz w:val="20"/>
          <w:szCs w:val="20"/>
          <w:color w:val="auto"/>
        </w:rPr>
      </w:pPr>
    </w:p>
    <w:p>
      <w:pPr>
        <w:ind w:right="3679" w:firstLine="843"/>
        <w:spacing w:after="0" w:line="268" w:lineRule="auto"/>
        <w:rPr>
          <w:sz w:val="20"/>
          <w:szCs w:val="20"/>
          <w:color w:val="auto"/>
        </w:rPr>
      </w:pPr>
      <w:r>
        <w:rPr>
          <w:rFonts w:ascii="Courier New" w:cs="Courier New" w:eastAsia="Courier New" w:hAnsi="Courier New"/>
          <w:sz w:val="16"/>
          <w:szCs w:val="16"/>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w:t>
      </w:r>
    </w:p>
    <w:p>
      <w:pPr>
        <w:spacing w:after="0" w:line="1" w:lineRule="exact"/>
        <w:rPr>
          <w:sz w:val="20"/>
          <w:szCs w:val="20"/>
          <w:color w:val="auto"/>
        </w:rPr>
      </w:pPr>
    </w:p>
    <w:p>
      <w:pPr>
        <w:ind w:right="3779"/>
        <w:spacing w:after="0" w:line="272" w:lineRule="auto"/>
        <w:rPr>
          <w:sz w:val="20"/>
          <w:szCs w:val="20"/>
          <w:color w:val="auto"/>
        </w:rPr>
      </w:pPr>
      <w:r>
        <w:rPr>
          <w:rFonts w:ascii="Courier New" w:cs="Courier New" w:eastAsia="Courier New" w:hAnsi="Courier New"/>
          <w:sz w:val="16"/>
          <w:szCs w:val="16"/>
          <w:color w:val="auto"/>
        </w:rPr>
        <w:t>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186" w:lineRule="exact"/>
        <w:rPr>
          <w:sz w:val="20"/>
          <w:szCs w:val="20"/>
          <w:color w:val="auto"/>
        </w:rPr>
      </w:pPr>
    </w:p>
    <w:p>
      <w:pPr>
        <w:ind w:right="4199" w:firstLine="843"/>
        <w:spacing w:after="0" w:line="235" w:lineRule="auto"/>
        <w:rPr>
          <w:sz w:val="20"/>
          <w:szCs w:val="20"/>
          <w:color w:val="auto"/>
        </w:rPr>
      </w:pPr>
      <w:r>
        <w:rPr>
          <w:rFonts w:ascii="Courier New" w:cs="Courier New" w:eastAsia="Courier New" w:hAnsi="Courier New"/>
          <w:sz w:val="18"/>
          <w:szCs w:val="18"/>
          <w:color w:val="auto"/>
        </w:rPr>
        <w:t>FIL has sole power to vote and the sole power to dispose of 71,400 shares.</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SCHEDULE 13G - TO BE INCLUDED IN STATEMENTS</w:t>
      </w:r>
    </w:p>
    <w:p>
      <w:pPr>
        <w:sectPr>
          <w:pgSz w:w="11900" w:h="16838" w:orient="portrait"/>
          <w:cols w:equalWidth="0" w:num="1">
            <w:col w:w="10219"/>
          </w:cols>
          <w:pgMar w:left="240" w:top="142"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persons, on August 10, 2001, agree</w:t>
      </w:r>
    </w:p>
    <w:p>
      <w:pPr>
        <w:spacing w:after="0" w:line="4"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and consent to the joint filing on their behalf of this Schedule 13G in connection with their beneficial ownership of the Common Stock of Winnebago Industries, Inc. at July 31,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/s/Eric</w:t>
            </w:r>
          </w:p>
        </w:tc>
        <w:tc>
          <w:tcPr>
            <w:tcW w:w="3840" w:type="dxa"/>
            <w:vAlign w:val="bottom"/>
          </w:tcPr>
          <w:p>
            <w:pPr>
              <w:jc w:val="right"/>
              <w:ind w:right="2752"/>
              <w:spacing w:after="0"/>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9"/>
              </w:rPr>
              <w:t>of FMR Corp. and its direct and indirect</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subsidiaries</w:t>
            </w:r>
          </w:p>
        </w:tc>
      </w:tr>
      <w:tr>
        <w:trPr>
          <w:trHeight w:val="405"/>
        </w:trPr>
        <w:tc>
          <w:tcPr>
            <w:tcW w:w="38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Edward C. Johnson 3d</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Edward C. Johnson 3d</w:t>
            </w:r>
          </w:p>
        </w:tc>
      </w:tr>
      <w:tr>
        <w:trPr>
          <w:trHeight w:val="405"/>
        </w:trPr>
        <w:tc>
          <w:tcPr>
            <w:tcW w:w="38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Abigail P. Johnson</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Duly</w:t>
            </w:r>
          </w:p>
        </w:tc>
        <w:tc>
          <w:tcPr>
            <w:tcW w:w="3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8"/>
              </w:rPr>
              <w:t>authorized under Power of Attorney</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6"/>
              </w:rPr>
              <w:t>dated December 30, 1997, by and on behalf</w:t>
            </w:r>
          </w:p>
        </w:tc>
      </w:tr>
      <w:tr>
        <w:trPr>
          <w:trHeight w:val="203"/>
        </w:trPr>
        <w:tc>
          <w:tcPr>
            <w:tcW w:w="380" w:type="dxa"/>
            <w:vAlign w:val="bottom"/>
          </w:tcPr>
          <w:p>
            <w:pPr>
              <w:spacing w:after="0"/>
              <w:rPr>
                <w:sz w:val="17"/>
                <w:szCs w:val="17"/>
                <w:color w:val="auto"/>
              </w:rPr>
            </w:pPr>
          </w:p>
        </w:tc>
        <w:tc>
          <w:tcPr>
            <w:tcW w:w="47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of Abigail P. Johnson</w:t>
            </w:r>
          </w:p>
        </w:tc>
      </w:tr>
      <w:tr>
        <w:trPr>
          <w:trHeight w:val="405"/>
        </w:trPr>
        <w:tc>
          <w:tcPr>
            <w:tcW w:w="380" w:type="dxa"/>
            <w:vAlign w:val="bottom"/>
          </w:tcPr>
          <w:p>
            <w:pPr>
              <w:spacing w:after="0"/>
              <w:rPr>
                <w:sz w:val="24"/>
                <w:szCs w:val="24"/>
                <w:color w:val="auto"/>
              </w:rPr>
            </w:pPr>
          </w:p>
        </w:tc>
        <w:tc>
          <w:tcPr>
            <w:tcW w:w="47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Fidelity Management &amp; Research Company</w:t>
            </w: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4780" w:type="dxa"/>
            <w:vAlign w:val="bottom"/>
            <w:gridSpan w:val="2"/>
          </w:tcPr>
          <w:p>
            <w:pPr>
              <w:jc w:val="right"/>
              <w:ind w:right="2752"/>
              <w:spacing w:after="0"/>
              <w:rPr>
                <w:sz w:val="20"/>
                <w:szCs w:val="20"/>
                <w:color w:val="auto"/>
              </w:rPr>
            </w:pPr>
            <w:r>
              <w:rPr>
                <w:rFonts w:ascii="Courier New" w:cs="Courier New" w:eastAsia="Courier New" w:hAnsi="Courier New"/>
                <w:sz w:val="18"/>
                <w:szCs w:val="18"/>
                <w:color w:val="auto"/>
              </w:rPr>
              <w:t>/s/Eric D. Roiter</w:t>
            </w:r>
          </w:p>
        </w:tc>
      </w:tr>
      <w:tr>
        <w:trPr>
          <w:trHeight w:val="203"/>
        </w:trPr>
        <w:tc>
          <w:tcPr>
            <w:tcW w:w="380" w:type="dxa"/>
            <w:vAlign w:val="bottom"/>
          </w:tcPr>
          <w:p>
            <w:pPr>
              <w:spacing w:after="0"/>
              <w:rPr>
                <w:sz w:val="17"/>
                <w:szCs w:val="17"/>
                <w:color w:val="auto"/>
              </w:rPr>
            </w:pPr>
          </w:p>
        </w:tc>
        <w:tc>
          <w:tcPr>
            <w:tcW w:w="9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Eric</w:t>
            </w:r>
          </w:p>
        </w:tc>
        <w:tc>
          <w:tcPr>
            <w:tcW w:w="3840" w:type="dxa"/>
            <w:vAlign w:val="bottom"/>
          </w:tcPr>
          <w:p>
            <w:pPr>
              <w:jc w:val="right"/>
              <w:ind w:right="2752"/>
              <w:spacing w:after="0" w:line="203" w:lineRule="exact"/>
              <w:rPr>
                <w:sz w:val="20"/>
                <w:szCs w:val="20"/>
                <w:color w:val="auto"/>
              </w:rPr>
            </w:pPr>
            <w:r>
              <w:rPr>
                <w:rFonts w:ascii="Courier New" w:cs="Courier New" w:eastAsia="Courier New" w:hAnsi="Courier New"/>
                <w:sz w:val="18"/>
                <w:szCs w:val="18"/>
                <w:color w:val="auto"/>
              </w:rPr>
              <w:t>D. Roiter</w:t>
            </w:r>
          </w:p>
        </w:tc>
      </w:tr>
    </w:tbl>
    <w:p>
      <w:pPr>
        <w:ind w:left="860"/>
        <w:spacing w:after="0" w:line="238" w:lineRule="auto"/>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2019-12-13T08:30:18Z</dcterms:created>
  <dcterms:modified xsi:type="dcterms:W3CDTF">2019-12-13T08:30:18Z</dcterms:modified>
</cp:coreProperties>
</file>