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Bhattacharya Ashis Nayan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400"/>
              <w:spacing w:after="0" w:line="185" w:lineRule="exact"/>
              <w:rPr>
                <w:sz w:val="20"/>
                <w:szCs w:val="20"/>
                <w:color w:val="auto"/>
              </w:rPr>
            </w:pPr>
            <w:r>
              <w:rPr>
                <w:rFonts w:ascii="Times New Roman" w:cs="Times New Roman" w:eastAsia="Times New Roman" w:hAnsi="Times New Roman"/>
                <w:sz w:val="17"/>
                <w:szCs w:val="17"/>
                <w:color w:val="0000FF"/>
              </w:rPr>
              <w:t>SVP-BUSINESS DEVELOPMENT</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10/10/2024</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384</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28,475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306 shares acquired through the Winnebago Industries, Inc. Employee Stock Purchase Program.</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10/11/2024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499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2024-10-11T14:53:34Z</dcterms:created>
  <dcterms:modified xsi:type="dcterms:W3CDTF">2024-10-11T14:53:34Z</dcterms:modified>
</cp:coreProperties>
</file>