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222885</wp:posOffset>
            </wp:positionV>
            <wp:extent cx="147066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97155</wp:posOffset>
            </wp:positionV>
            <wp:extent cx="147066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79"/>
        <w:spacing w:after="0"/>
        <w:tabs>
          <w:tab w:leader="none" w:pos="180" w:val="left"/>
        </w:tabs>
        <w:rPr>
          <w:sz w:val="20"/>
          <w:szCs w:val="20"/>
          <w:color w:val="auto"/>
        </w:rPr>
      </w:pPr>
      <w:r>
        <w:rPr>
          <w:rFonts w:ascii="Arial" w:cs="Arial" w:eastAsia="Arial" w:hAnsi="Arial"/>
          <w:sz w:val="22"/>
          <w:szCs w:val="22"/>
          <w:color w:val="auto"/>
        </w:rPr>
        <w:t>Date of report (Date of earliest event reported)</w:t>
      </w:r>
      <w:r>
        <w:rPr>
          <w:sz w:val="20"/>
          <w:szCs w:val="20"/>
          <w:color w:val="auto"/>
        </w:rPr>
        <w:tab/>
      </w:r>
      <w:r>
        <w:rPr>
          <w:rFonts w:ascii="Arial" w:cs="Arial" w:eastAsia="Arial" w:hAnsi="Arial"/>
          <w:sz w:val="19"/>
          <w:szCs w:val="19"/>
          <w:color w:val="auto"/>
        </w:rPr>
        <w:t>December 17,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227965</wp:posOffset>
            </wp:positionV>
            <wp:extent cx="147066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520" w:type="dxa"/>
        <w:tblCellMar>
          <w:top w:w="0" w:type="dxa"/>
          <w:left w:w="0" w:type="dxa"/>
          <w:bottom w:w="0" w:type="dxa"/>
          <w:right w:w="0" w:type="dxa"/>
        </w:tblCellMar>
      </w:tblPr>
      <w:tr>
        <w:trPr>
          <w:trHeight w:val="262"/>
        </w:trPr>
        <w:tc>
          <w:tcPr>
            <w:tcW w:w="3580" w:type="dxa"/>
            <w:vAlign w:val="bottom"/>
          </w:tcPr>
          <w:p>
            <w:pPr>
              <w:jc w:val="center"/>
              <w:ind w:right="622"/>
              <w:spacing w:after="0"/>
              <w:rPr>
                <w:sz w:val="20"/>
                <w:szCs w:val="20"/>
                <w:color w:val="auto"/>
              </w:rPr>
            </w:pPr>
            <w:r>
              <w:rPr>
                <w:rFonts w:ascii="Arial" w:cs="Arial" w:eastAsia="Arial" w:hAnsi="Arial"/>
                <w:sz w:val="22"/>
                <w:szCs w:val="22"/>
                <w:b w:val="1"/>
                <w:bCs w:val="1"/>
                <w:color w:val="auto"/>
                <w:w w:val="93"/>
              </w:rPr>
              <w:t>Iowa</w:t>
            </w:r>
          </w:p>
        </w:tc>
        <w:tc>
          <w:tcPr>
            <w:tcW w:w="3220" w:type="dxa"/>
            <w:vAlign w:val="bottom"/>
          </w:tcPr>
          <w:p>
            <w:pPr>
              <w:jc w:val="right"/>
              <w:ind w:right="982"/>
              <w:spacing w:after="0"/>
              <w:rPr>
                <w:sz w:val="20"/>
                <w:szCs w:val="20"/>
                <w:color w:val="auto"/>
              </w:rPr>
            </w:pPr>
            <w:r>
              <w:rPr>
                <w:rFonts w:ascii="Arial" w:cs="Arial" w:eastAsia="Arial" w:hAnsi="Arial"/>
                <w:sz w:val="22"/>
                <w:szCs w:val="22"/>
                <w:b w:val="1"/>
                <w:bCs w:val="1"/>
                <w:color w:val="auto"/>
              </w:rPr>
              <w:t>001-06403</w:t>
            </w:r>
          </w:p>
        </w:tc>
        <w:tc>
          <w:tcPr>
            <w:tcW w:w="2880" w:type="dxa"/>
            <w:vAlign w:val="bottom"/>
          </w:tcPr>
          <w:p>
            <w:pPr>
              <w:jc w:val="right"/>
              <w:ind w:right="42"/>
              <w:spacing w:after="0"/>
              <w:rPr>
                <w:sz w:val="20"/>
                <w:szCs w:val="20"/>
                <w:color w:val="auto"/>
              </w:rPr>
            </w:pPr>
            <w:r>
              <w:rPr>
                <w:rFonts w:ascii="Arial" w:cs="Arial" w:eastAsia="Arial" w:hAnsi="Arial"/>
                <w:sz w:val="22"/>
                <w:szCs w:val="22"/>
                <w:b w:val="1"/>
                <w:bCs w:val="1"/>
                <w:color w:val="auto"/>
              </w:rPr>
              <w:t>42-0802678</w:t>
            </w:r>
          </w:p>
        </w:tc>
      </w:tr>
      <w:tr>
        <w:trPr>
          <w:trHeight w:val="216"/>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88"/>
              </w:rPr>
              <w:t>(State or Other Jurisdiction</w:t>
            </w:r>
          </w:p>
        </w:tc>
        <w:tc>
          <w:tcPr>
            <w:tcW w:w="3220" w:type="dxa"/>
            <w:vAlign w:val="bottom"/>
          </w:tcPr>
          <w:p>
            <w:pPr>
              <w:jc w:val="center"/>
              <w:ind w:left="62"/>
              <w:spacing w:after="0"/>
              <w:rPr>
                <w:sz w:val="20"/>
                <w:szCs w:val="20"/>
                <w:color w:val="auto"/>
              </w:rPr>
            </w:pPr>
            <w:r>
              <w:rPr>
                <w:rFonts w:ascii="Arial" w:cs="Arial" w:eastAsia="Arial" w:hAnsi="Arial"/>
                <w:sz w:val="18"/>
                <w:szCs w:val="18"/>
                <w:color w:val="auto"/>
                <w:w w:val="90"/>
              </w:rPr>
              <w:t>(Commission File Number)</w:t>
            </w: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2"/>
              </w:rPr>
              <w:t>(IRS Employer</w:t>
            </w:r>
          </w:p>
        </w:tc>
      </w:tr>
      <w:tr>
        <w:trPr>
          <w:trHeight w:val="222"/>
        </w:trPr>
        <w:tc>
          <w:tcPr>
            <w:tcW w:w="3580" w:type="dxa"/>
            <w:vAlign w:val="bottom"/>
          </w:tcPr>
          <w:p>
            <w:pPr>
              <w:jc w:val="center"/>
              <w:ind w:right="602"/>
              <w:spacing w:after="0"/>
              <w:rPr>
                <w:sz w:val="20"/>
                <w:szCs w:val="20"/>
                <w:color w:val="auto"/>
              </w:rPr>
            </w:pPr>
            <w:r>
              <w:rPr>
                <w:rFonts w:ascii="Arial" w:cs="Arial" w:eastAsia="Arial" w:hAnsi="Arial"/>
                <w:sz w:val="18"/>
                <w:szCs w:val="18"/>
                <w:color w:val="auto"/>
                <w:w w:val="91"/>
              </w:rPr>
              <w:t>of Incorporation)</w:t>
            </w:r>
          </w:p>
        </w:tc>
        <w:tc>
          <w:tcPr>
            <w:tcW w:w="3220" w:type="dxa"/>
            <w:vAlign w:val="bottom"/>
          </w:tcPr>
          <w:p>
            <w:pPr>
              <w:spacing w:after="0"/>
              <w:rPr>
                <w:sz w:val="19"/>
                <w:szCs w:val="19"/>
                <w:color w:val="auto"/>
              </w:rPr>
            </w:pPr>
          </w:p>
        </w:tc>
        <w:tc>
          <w:tcPr>
            <w:tcW w:w="2880" w:type="dxa"/>
            <w:vAlign w:val="bottom"/>
          </w:tcPr>
          <w:p>
            <w:pPr>
              <w:jc w:val="center"/>
              <w:ind w:left="1462"/>
              <w:spacing w:after="0"/>
              <w:rPr>
                <w:sz w:val="20"/>
                <w:szCs w:val="20"/>
                <w:color w:val="auto"/>
              </w:rPr>
            </w:pPr>
            <w:r>
              <w:rPr>
                <w:rFonts w:ascii="Arial" w:cs="Arial" w:eastAsia="Arial" w:hAnsi="Arial"/>
                <w:sz w:val="18"/>
                <w:szCs w:val="18"/>
                <w:color w:val="auto"/>
                <w:w w:val="94"/>
              </w:rPr>
              <w:t>Identification No.)</w:t>
            </w:r>
          </w:p>
        </w:tc>
      </w:tr>
      <w:tr>
        <w:trPr>
          <w:trHeight w:val="453"/>
        </w:trPr>
        <w:tc>
          <w:tcPr>
            <w:tcW w:w="3580" w:type="dxa"/>
            <w:vAlign w:val="bottom"/>
          </w:tcPr>
          <w:p>
            <w:pPr>
              <w:jc w:val="center"/>
              <w:ind w:right="602"/>
              <w:spacing w:after="0"/>
              <w:rPr>
                <w:sz w:val="20"/>
                <w:szCs w:val="20"/>
                <w:color w:val="auto"/>
              </w:rPr>
            </w:pPr>
            <w:r>
              <w:rPr>
                <w:rFonts w:ascii="Arial" w:cs="Arial" w:eastAsia="Arial" w:hAnsi="Arial"/>
                <w:sz w:val="22"/>
                <w:szCs w:val="22"/>
                <w:b w:val="1"/>
                <w:bCs w:val="1"/>
                <w:color w:val="auto"/>
                <w:w w:val="89"/>
              </w:rPr>
              <w:t>P.O. Box 152, Forest City, Iowa</w:t>
            </w:r>
          </w:p>
        </w:tc>
        <w:tc>
          <w:tcPr>
            <w:tcW w:w="3220" w:type="dxa"/>
            <w:vAlign w:val="bottom"/>
          </w:tcPr>
          <w:p>
            <w:pPr>
              <w:spacing w:after="0"/>
              <w:rPr>
                <w:sz w:val="24"/>
                <w:szCs w:val="24"/>
                <w:color w:val="auto"/>
              </w:rPr>
            </w:pPr>
          </w:p>
        </w:tc>
        <w:tc>
          <w:tcPr>
            <w:tcW w:w="2880" w:type="dxa"/>
            <w:vAlign w:val="bottom"/>
          </w:tcPr>
          <w:p>
            <w:pPr>
              <w:jc w:val="right"/>
              <w:ind w:right="282"/>
              <w:spacing w:after="0"/>
              <w:rPr>
                <w:sz w:val="20"/>
                <w:szCs w:val="20"/>
                <w:color w:val="auto"/>
              </w:rPr>
            </w:pPr>
            <w:r>
              <w:rPr>
                <w:rFonts w:ascii="Arial" w:cs="Arial" w:eastAsia="Arial" w:hAnsi="Arial"/>
                <w:sz w:val="22"/>
                <w:szCs w:val="22"/>
                <w:b w:val="1"/>
                <w:bCs w:val="1"/>
                <w:color w:val="auto"/>
              </w:rPr>
              <w:t>50436</w:t>
            </w:r>
          </w:p>
        </w:tc>
      </w:tr>
      <w:tr>
        <w:trPr>
          <w:trHeight w:val="222"/>
        </w:trPr>
        <w:tc>
          <w:tcPr>
            <w:tcW w:w="3580" w:type="dxa"/>
            <w:vAlign w:val="bottom"/>
          </w:tcPr>
          <w:p>
            <w:pPr>
              <w:jc w:val="center"/>
              <w:ind w:right="62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spacing w:after="0"/>
              <w:rPr>
                <w:sz w:val="19"/>
                <w:szCs w:val="19"/>
                <w:color w:val="auto"/>
              </w:rPr>
            </w:pPr>
          </w:p>
        </w:tc>
        <w:tc>
          <w:tcPr>
            <w:tcW w:w="2880" w:type="dxa"/>
            <w:vAlign w:val="bottom"/>
          </w:tcPr>
          <w:p>
            <w:pPr>
              <w:jc w:val="center"/>
              <w:ind w:left="1482"/>
              <w:spacing w:after="0"/>
              <w:rPr>
                <w:sz w:val="20"/>
                <w:szCs w:val="20"/>
                <w:color w:val="auto"/>
              </w:rPr>
            </w:pPr>
            <w:r>
              <w:rPr>
                <w:rFonts w:ascii="Arial" w:cs="Arial" w:eastAsia="Arial" w:hAnsi="Arial"/>
                <w:sz w:val="18"/>
                <w:szCs w:val="18"/>
                <w:color w:val="auto"/>
                <w:w w:val="91"/>
              </w:rPr>
              <w:t>(Zip Code)</w:t>
            </w:r>
          </w:p>
        </w:tc>
      </w:tr>
      <w:tr>
        <w:trPr>
          <w:trHeight w:val="498"/>
        </w:trPr>
        <w:tc>
          <w:tcPr>
            <w:tcW w:w="6800" w:type="dxa"/>
            <w:vAlign w:val="bottom"/>
            <w:gridSpan w:val="2"/>
          </w:tcPr>
          <w:p>
            <w:pPr>
              <w:ind w:left="2260"/>
              <w:spacing w:after="0"/>
              <w:rPr>
                <w:sz w:val="20"/>
                <w:szCs w:val="20"/>
                <w:color w:val="auto"/>
              </w:rPr>
            </w:pPr>
            <w:r>
              <w:rPr>
                <w:rFonts w:ascii="Arial" w:cs="Arial" w:eastAsia="Arial" w:hAnsi="Arial"/>
                <w:sz w:val="22"/>
                <w:szCs w:val="22"/>
                <w:color w:val="auto"/>
                <w:w w:val="89"/>
              </w:rPr>
              <w:t>Registrant’s telephone number, including area code</w:t>
            </w:r>
          </w:p>
        </w:tc>
        <w:tc>
          <w:tcPr>
            <w:tcW w:w="2880" w:type="dxa"/>
            <w:vAlign w:val="bottom"/>
          </w:tcPr>
          <w:p>
            <w:pPr>
              <w:jc w:val="right"/>
              <w:ind w:right="1442"/>
              <w:spacing w:after="0"/>
              <w:rPr>
                <w:sz w:val="20"/>
                <w:szCs w:val="20"/>
                <w:color w:val="auto"/>
              </w:rPr>
            </w:pPr>
            <w:r>
              <w:rPr>
                <w:rFonts w:ascii="Arial" w:cs="Arial" w:eastAsia="Arial" w:hAnsi="Arial"/>
                <w:sz w:val="22"/>
                <w:szCs w:val="22"/>
                <w:color w:val="auto"/>
                <w:w w:val="96"/>
              </w:rPr>
              <w:t>641-585-3535</w:t>
            </w:r>
          </w:p>
        </w:tc>
      </w:tr>
    </w:tbl>
    <w:p>
      <w:pPr>
        <w:spacing w:after="0" w:line="212"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137160</wp:posOffset>
            </wp:positionV>
            <wp:extent cx="147066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(see General Instruction A.2. below):</w:t>
      </w:r>
    </w:p>
    <w:p>
      <w:pPr>
        <w:spacing w:after="0" w:line="200" w:lineRule="exact"/>
        <w:rPr>
          <w:sz w:val="24"/>
          <w:szCs w:val="24"/>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Written communications pursuant to Rule 425 under the Securities Act (17 CFR 230.425)</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2"/>
          <w:szCs w:val="22"/>
          <w:color w:val="auto"/>
        </w:rPr>
      </w:pPr>
      <w:r>
        <w:rPr>
          <w:rFonts w:ascii="Arial" w:cs="Arial" w:eastAsia="Arial" w:hAnsi="Arial"/>
          <w:sz w:val="22"/>
          <w:szCs w:val="22"/>
          <w:color w:val="auto"/>
        </w:rPr>
        <w:t>Soliciting material pursuant to Rule 14a-12 under the Exchange Act (17 CFR 240.14a-12)</w:t>
      </w:r>
    </w:p>
    <w:p>
      <w:pPr>
        <w:spacing w:after="0" w:line="233" w:lineRule="exact"/>
        <w:rPr>
          <w:rFonts w:ascii="Arial" w:cs="Arial" w:eastAsia="Arial" w:hAnsi="Arial"/>
          <w:sz w:val="22"/>
          <w:szCs w:val="22"/>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14d-2(b) under the Exchange Act (17 CFR 240.14d-2(b))</w:t>
      </w:r>
    </w:p>
    <w:p>
      <w:pPr>
        <w:spacing w:after="0" w:line="244" w:lineRule="exact"/>
        <w:rPr>
          <w:rFonts w:ascii="Arial" w:cs="Arial" w:eastAsia="Arial" w:hAnsi="Arial"/>
          <w:sz w:val="21"/>
          <w:szCs w:val="21"/>
          <w:color w:val="auto"/>
        </w:rPr>
      </w:pPr>
    </w:p>
    <w:p>
      <w:pPr>
        <w:ind w:left="700" w:hanging="692"/>
        <w:spacing w:after="0"/>
        <w:tabs>
          <w:tab w:leader="none" w:pos="700" w:val="left"/>
        </w:tabs>
        <w:numPr>
          <w:ilvl w:val="0"/>
          <w:numId w:val="1"/>
        </w:numPr>
        <w:rPr>
          <w:rFonts w:ascii="Arial" w:cs="Arial" w:eastAsia="Arial" w:hAnsi="Arial"/>
          <w:sz w:val="21"/>
          <w:szCs w:val="21"/>
          <w:color w:val="auto"/>
        </w:rPr>
      </w:pPr>
      <w:r>
        <w:rPr>
          <w:rFonts w:ascii="Arial" w:cs="Arial" w:eastAsia="Arial" w:hAnsi="Arial"/>
          <w:sz w:val="21"/>
          <w:szCs w:val="21"/>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595630</wp:posOffset>
            </wp:positionV>
            <wp:extent cx="725043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2.02 Results of Operations and Financial Condition.</w:t>
      </w:r>
    </w:p>
    <w:p>
      <w:pPr>
        <w:spacing w:after="0" w:line="15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Winnebago Industries, Inc. is filing herewith a press release issued on December 17, 2009, as Exhibit 99.1 which is included herein. The press release was issued to report earnings for the first of quarter fiscal 2010 ended November 28, 2009.</w:t>
      </w:r>
    </w:p>
    <w:p>
      <w:pPr>
        <w:spacing w:after="0" w:line="99"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1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19"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9" w:lineRule="exact"/>
        <w:rPr>
          <w:sz w:val="24"/>
          <w:szCs w:val="24"/>
          <w:color w:val="auto"/>
        </w:rPr>
      </w:pPr>
    </w:p>
    <w:p>
      <w:pPr>
        <w:ind w:left="580"/>
        <w:spacing w:after="0"/>
        <w:tabs>
          <w:tab w:leader="none" w:pos="17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17, 2009.</w:t>
      </w:r>
    </w:p>
    <w:p>
      <w:pPr>
        <w:spacing w:after="0" w:line="28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158"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3" w:lineRule="exact"/>
        <w:rPr>
          <w:sz w:val="24"/>
          <w:szCs w:val="24"/>
          <w:color w:val="auto"/>
        </w:rPr>
      </w:pPr>
    </w:p>
    <w:p>
      <w:pPr>
        <w:spacing w:after="0"/>
        <w:tabs>
          <w:tab w:leader="none" w:pos="5680" w:val="left"/>
        </w:tabs>
        <w:rPr>
          <w:sz w:val="20"/>
          <w:szCs w:val="20"/>
          <w:color w:val="auto"/>
        </w:rPr>
      </w:pPr>
      <w:r>
        <w:rPr>
          <w:rFonts w:ascii="Arial" w:cs="Arial" w:eastAsia="Arial" w:hAnsi="Arial"/>
          <w:sz w:val="18"/>
          <w:szCs w:val="18"/>
          <w:color w:val="auto"/>
        </w:rPr>
        <w:t>Dated: December 17, 2009</w:t>
      </w:r>
      <w:r>
        <w:rPr>
          <w:sz w:val="20"/>
          <w:szCs w:val="20"/>
          <w:color w:val="auto"/>
        </w:rPr>
        <w:tab/>
      </w:r>
      <w:r>
        <w:rPr>
          <w:rFonts w:ascii="Arial" w:cs="Arial" w:eastAsia="Arial" w:hAnsi="Arial"/>
          <w:sz w:val="21"/>
          <w:szCs w:val="21"/>
          <w:color w:val="auto"/>
        </w:rPr>
        <w:t>W</w:t>
      </w:r>
      <w:r>
        <w:rPr>
          <w:rFonts w:ascii="Arial" w:cs="Arial" w:eastAsia="Arial" w:hAnsi="Arial"/>
          <w:sz w:val="12"/>
          <w:szCs w:val="12"/>
          <w:color w:val="auto"/>
        </w:rPr>
        <w:t>INNEBAGO</w:t>
      </w:r>
      <w:r>
        <w:rPr>
          <w:rFonts w:ascii="Arial" w:cs="Arial" w:eastAsia="Arial" w:hAnsi="Arial"/>
          <w:sz w:val="21"/>
          <w:szCs w:val="21"/>
          <w:color w:val="auto"/>
        </w:rPr>
        <w:t xml:space="preserve"> I</w:t>
      </w:r>
      <w:r>
        <w:rPr>
          <w:rFonts w:ascii="Arial" w:cs="Arial" w:eastAsia="Arial" w:hAnsi="Arial"/>
          <w:sz w:val="12"/>
          <w:szCs w:val="12"/>
          <w:color w:val="auto"/>
        </w:rPr>
        <w:t>NDUSTRIES,</w:t>
      </w:r>
      <w:r>
        <w:rPr>
          <w:rFonts w:ascii="Arial" w:cs="Arial" w:eastAsia="Arial" w:hAnsi="Arial"/>
          <w:sz w:val="21"/>
          <w:szCs w:val="21"/>
          <w:color w:val="auto"/>
        </w:rPr>
        <w:t xml:space="preserve"> I</w:t>
      </w:r>
      <w:r>
        <w:rPr>
          <w:rFonts w:ascii="Arial" w:cs="Arial" w:eastAsia="Arial" w:hAnsi="Arial"/>
          <w:sz w:val="12"/>
          <w:szCs w:val="12"/>
          <w:color w:val="auto"/>
        </w:rPr>
        <w:t>NC.</w:t>
      </w:r>
    </w:p>
    <w:p>
      <w:pPr>
        <w:sectPr>
          <w:pgSz w:w="11900" w:h="16838" w:orient="portrait"/>
          <w:cols w:equalWidth="0" w:num="1">
            <w:col w:w="11340"/>
          </w:cols>
          <w:pgMar w:left="240" w:top="787" w:right="319" w:bottom="0" w:gutter="0" w:footer="0" w:header="0"/>
        </w:sectPr>
      </w:pPr>
    </w:p>
    <w:bookmarkStart w:id="1" w:name="page2"/>
    <w:bookmarkEnd w:id="1"/>
    <w:p>
      <w:pPr>
        <w:ind w:left="5120"/>
        <w:spacing w:after="0"/>
        <w:tabs>
          <w:tab w:leader="none" w:pos="5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3615690</wp:posOffset>
            </wp:positionH>
            <wp:positionV relativeFrom="paragraph">
              <wp:posOffset>10795</wp:posOffset>
            </wp:positionV>
            <wp:extent cx="31984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Robert J. Olson</w:t>
      </w:r>
    </w:p>
    <w:p>
      <w:pPr>
        <w:spacing w:after="0" w:line="15" w:lineRule="exact"/>
        <w:rPr>
          <w:sz w:val="20"/>
          <w:szCs w:val="20"/>
          <w:color w:val="auto"/>
        </w:rPr>
      </w:pPr>
    </w:p>
    <w:p>
      <w:pPr>
        <w:jc w:val="both"/>
        <w:ind w:left="5120"/>
        <w:spacing w:after="0"/>
        <w:tabs>
          <w:tab w:leader="none" w:pos="5680" w:val="left"/>
        </w:tabs>
        <w:rPr>
          <w:sz w:val="20"/>
          <w:szCs w:val="20"/>
          <w:color w:val="auto"/>
        </w:rPr>
      </w:pPr>
      <w:r>
        <w:rPr>
          <w:rFonts w:ascii="Arial" w:cs="Arial" w:eastAsia="Arial" w:hAnsi="Arial"/>
          <w:sz w:val="18"/>
          <w:szCs w:val="18"/>
          <w:color w:val="auto"/>
        </w:rPr>
        <w:t>Title:</w:t>
        <w:tab/>
        <w:t>Chairman of the Board, Chief Executive Officer and President</w:t>
      </w: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EXHIBIT INDEX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of Winnebago Industries, Inc. dated December 17,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643890</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080"/>
          </w:cols>
          <w:pgMar w:left="820" w:top="131" w:right="9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Contact: Sheila Davis – PR/IR Mgr. - 641-585-6803 – sdavis@winnebagoind.com</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WINNEBAGO INDUSTRIES REPORTS IMPROVED RESULTS FOR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QUARTER FISCAL 2010</w:t>
      </w:r>
    </w:p>
    <w:p>
      <w:pPr>
        <w:jc w:val="center"/>
        <w:spacing w:after="0"/>
        <w:rPr>
          <w:sz w:val="20"/>
          <w:szCs w:val="20"/>
          <w:color w:val="auto"/>
        </w:rPr>
      </w:pPr>
      <w:r>
        <w:rPr>
          <w:rFonts w:ascii="Arial" w:cs="Arial" w:eastAsia="Arial" w:hAnsi="Arial"/>
          <w:sz w:val="22"/>
          <w:szCs w:val="22"/>
          <w:color w:val="auto"/>
        </w:rPr>
        <w:t>-- Sales Order Backlog Increase of 350 Percent --</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FOREST CITY, IOWA, December 17, 2009 – Winnebago Industries, Inc. (NYSE:WGO), the leading United States motor home manufacturer, today reported improved financial results for the Company’s first quarter of fiscal year 2010.</w:t>
      </w:r>
    </w:p>
    <w:p>
      <w:pPr>
        <w:spacing w:after="0" w:line="18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Revenues for the first quarter of fiscal 2010 ended November 28, 2009 were $81.0 million, an increase of 16.7 percent, versus $69.4 million for the first quarter of fiscal 2009. The Company reported an operating loss of $6.0 million for the quarter, versus an operating loss of $16.9 million for the first quarter of fiscal 2009. Net loss for the first quarter was $1.3 million versus $9.6 million for the first quarter of fiscal 2009. On a diluted per share basis, the Company had a net loss of 5 cents for the first quarter of fiscal 2010 versus a net loss of 33 cents for the first quarter of fiscal 2009. The net loss for the first quarter reflected the positive impact of $4.9 million in tax benefits associated with additional fiscal year 2009 net operating loss carryback due to recent tax law changes; however, no tax benefits have been recorded on first quarter fiscal 2010 pre-tax losses which are not immediately subject to refund.</w:t>
      </w:r>
    </w:p>
    <w:p>
      <w:pPr>
        <w:spacing w:after="0" w:line="17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are extremely pleased to see an increase in revenues, as well as posting a small gross profit in our first quarter,” said Winnebago Industries’ Chairman, CEO and President Bob Olson. “As difficult as this recession has been for Winnebago Industries and the entire RV industry, we believe the worst may be over.”</w:t>
      </w:r>
    </w:p>
    <w:p>
      <w:pPr>
        <w:spacing w:after="0" w:line="139"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Winnebago Industries’ sales order backlog was 1,521 motor homes at November 28, 2009, an increase of 350 percent compared to the end of the first quarter of fiscal 2009. This also represents an increase of 62 percent from August 29, 2009, the end of our fourth quarter. “The increased demand for our products is particularly noteworthy since it is seasonally very unusual to have a significant increase at this time of year,” said Olson. “We have seen particular strength in the backlog for our Class A gas and diesel products. Due to the escalation of our sales order backlog, we have increased our production levels and during the first quarter of fiscal 2010, our employment grew by approximately 350 employees.”</w:t>
      </w:r>
    </w:p>
    <w:p>
      <w:pPr>
        <w:spacing w:after="0" w:line="17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“While the economic environment, the availability of credit and the level of retail demand remain tenuous, we believe that dealer inventory has finally bottomed out,” said Olson. “Inventory of Winnebago, Itasca and ERA products on our dealers’ lots declined 52 percent to 1,567 motor homes as of November 28, 2009 versus 3,269 motor homes as of the end of the first quarter of fiscal 2009. Retail sales have been much higher than wholesale shipments throughout the past 18 months, providing further opportunity for added growth in the future through inventory replenishment even without an increase in retail demand.”</w:t>
      </w:r>
    </w:p>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According to Statistical Surveys, Inc., the retail reporting service for the RV industry, Winnebago Industries’ gained market share in the combined Class A and C markets with 19.3 percent for the first 10 months of calendar 2009, compared to 18.3 percent for the same period last year.</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had an excellent reception of our new 2010 products at the recent RVIA National RV Trade Show in Louisville, KY,” continued Olson. “We were pleased with the increased level of orders placed during the show as compared to last year. Many dealers also indicated they are interested in carrying fewer manufacturers’ product lines on their lots, with the intention to partner with manufacturers who are financially stable and able to provide product, sales and service support for the long-term.”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Conference Call</w:t>
      </w:r>
    </w:p>
    <w:p>
      <w:pPr>
        <w:spacing w:after="0" w:line="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Winnebago Industries will conduct a conference call in conjunction with this release at 9 a.m. Central Time today, Thursday, December 17, 2009. Members of the news media, investors and the general public are invited to access a live broadcast of the conference call via the Investor Relations page of the Company’s website at </w:t>
      </w:r>
      <w:r>
        <w:rPr>
          <w:rFonts w:ascii="Arial" w:cs="Arial" w:eastAsia="Arial" w:hAnsi="Arial"/>
          <w:sz w:val="16"/>
          <w:szCs w:val="16"/>
          <w:u w:val="single" w:color="auto"/>
          <w:color w:val="auto"/>
        </w:rPr>
        <w:t>http://www.winnebagoind.com/investor.html</w:t>
      </w:r>
      <w:r>
        <w:rPr>
          <w:rFonts w:ascii="Arial" w:cs="Arial" w:eastAsia="Arial" w:hAnsi="Arial"/>
          <w:sz w:val="16"/>
          <w:szCs w:val="16"/>
          <w:color w:val="auto"/>
        </w:rPr>
        <w:t>. The event will be archived and available for replay for the next 90 days.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1"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 xml:space="preserve">Winnebago Industries, Inc. is the leading U.S. manufacturer of motor homes which are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02" w:lineRule="exact"/>
        <w:rPr>
          <w:sz w:val="20"/>
          <w:szCs w:val="20"/>
          <w:color w:val="auto"/>
        </w:rPr>
      </w:pPr>
    </w:p>
    <w:p>
      <w:pPr>
        <w:ind w:right="20"/>
        <w:spacing w:after="0" w:line="282"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cancellations, slower than anticipated sales of new or existing products, new product introductions by competitors, the effect of global tensions,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ind w:left="47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Unaudited Statements of Income</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(In thousands, except percent and per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Nov. 28, 2009</w:t>
            </w:r>
          </w:p>
        </w:tc>
        <w:tc>
          <w:tcPr>
            <w:tcW w:w="1380" w:type="dxa"/>
            <w:vAlign w:val="bottom"/>
            <w:gridSpan w:val="4"/>
          </w:tcPr>
          <w:p>
            <w:pPr>
              <w:jc w:val="right"/>
              <w:ind w:right="43"/>
              <w:spacing w:after="0"/>
              <w:rPr>
                <w:sz w:val="20"/>
                <w:szCs w:val="20"/>
                <w:color w:val="auto"/>
              </w:rPr>
            </w:pPr>
            <w:r>
              <w:rPr>
                <w:rFonts w:ascii="Arial" w:cs="Arial" w:eastAsia="Arial" w:hAnsi="Arial"/>
                <w:sz w:val="14"/>
                <w:szCs w:val="14"/>
                <w:b w:val="1"/>
                <w:bCs w:val="1"/>
                <w:color w:val="auto"/>
              </w:rPr>
              <w:t>Quarter Ended</w:t>
            </w:r>
          </w:p>
        </w:tc>
        <w:tc>
          <w:tcPr>
            <w:tcW w:w="142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rPr>
              <w:t>Nov. 29, 2008</w:t>
            </w: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vMerge w:val="continue"/>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81,017</w:t>
            </w:r>
          </w:p>
        </w:tc>
        <w:tc>
          <w:tcPr>
            <w:tcW w:w="34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9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D6F3E8"/>
          </w:tcPr>
          <w:p>
            <w:pPr>
              <w:spacing w:after="0"/>
              <w:rPr>
                <w:sz w:val="18"/>
                <w:szCs w:val="18"/>
                <w:color w:val="auto"/>
              </w:rPr>
            </w:pPr>
          </w:p>
        </w:tc>
        <w:tc>
          <w:tcPr>
            <w:tcW w:w="340" w:type="dxa"/>
            <w:vAlign w:val="bottom"/>
            <w:shd w:val="clear" w:color="auto" w:fill="D6F3E8"/>
          </w:tcPr>
          <w:p>
            <w:pPr>
              <w:jc w:val="right"/>
              <w:ind w:right="18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69,398</w:t>
            </w:r>
          </w:p>
        </w:tc>
        <w:tc>
          <w:tcPr>
            <w:tcW w:w="400" w:type="dxa"/>
            <w:vAlign w:val="bottom"/>
            <w:shd w:val="clear" w:color="auto" w:fill="D6F3E8"/>
          </w:tcPr>
          <w:p>
            <w:pPr>
              <w:spacing w:after="0"/>
              <w:rPr>
                <w:sz w:val="18"/>
                <w:szCs w:val="18"/>
                <w:color w:val="auto"/>
              </w:rPr>
            </w:pPr>
          </w:p>
        </w:tc>
        <w:tc>
          <w:tcPr>
            <w:tcW w:w="82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80,493</w:t>
            </w:r>
          </w:p>
        </w:tc>
        <w:tc>
          <w:tcPr>
            <w:tcW w:w="3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78,292</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112.8</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Gross profit (deficit)</w:t>
            </w:r>
          </w:p>
        </w:tc>
        <w:tc>
          <w:tcPr>
            <w:tcW w:w="3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524</w:t>
            </w:r>
          </w:p>
        </w:tc>
        <w:tc>
          <w:tcPr>
            <w:tcW w:w="34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6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0.6</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(8,894)</w:t>
            </w: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820" w:type="dxa"/>
            <w:vAlign w:val="bottom"/>
            <w:gridSpan w:val="2"/>
            <w:shd w:val="clear" w:color="auto" w:fill="D6F3E8"/>
          </w:tcPr>
          <w:p>
            <w:pPr>
              <w:jc w:val="right"/>
              <w:ind w:right="16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020" w:type="dxa"/>
            <w:vAlign w:val="bottom"/>
            <w:tcBorders>
              <w:top w:val="single" w:sz="8" w:color="D6F3E8"/>
            </w:tcBorders>
          </w:tcPr>
          <w:p>
            <w:pPr>
              <w:spacing w:after="0" w:line="201" w:lineRule="exact"/>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D6F3E8"/>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D6F3E8"/>
            </w:tcBorders>
          </w:tcPr>
          <w:p>
            <w:pPr>
              <w:spacing w:after="0"/>
              <w:rPr>
                <w:sz w:val="17"/>
                <w:szCs w:val="17"/>
                <w:color w:val="auto"/>
              </w:rPr>
            </w:pPr>
          </w:p>
        </w:tc>
        <w:tc>
          <w:tcPr>
            <w:tcW w:w="120" w:type="dxa"/>
            <w:vAlign w:val="bottom"/>
            <w:tcBorders>
              <w:top w:val="single" w:sz="8" w:color="D6F3E8"/>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D6F3E8"/>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D6F3E8"/>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Selling</w:t>
            </w:r>
          </w:p>
        </w:tc>
        <w:tc>
          <w:tcPr>
            <w:tcW w:w="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3,229</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3,665</w:t>
            </w:r>
          </w:p>
        </w:tc>
        <w:tc>
          <w:tcPr>
            <w:tcW w:w="4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2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D6F3E8"/>
          </w:tcPr>
          <w:p>
            <w:pPr>
              <w:spacing w:after="0"/>
              <w:rPr>
                <w:sz w:val="18"/>
                <w:szCs w:val="18"/>
                <w:color w:val="auto"/>
              </w:rPr>
            </w:pPr>
          </w:p>
        </w:tc>
        <w:tc>
          <w:tcPr>
            <w:tcW w:w="7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3,272</w:t>
            </w:r>
          </w:p>
        </w:tc>
        <w:tc>
          <w:tcPr>
            <w:tcW w:w="340" w:type="dxa"/>
            <w:vAlign w:val="bottom"/>
            <w:tcBorders>
              <w:bottom w:val="single" w:sz="8" w:color="D6F3E8"/>
            </w:tcBorders>
            <w:shd w:val="clear" w:color="auto" w:fill="D6F3E8"/>
          </w:tcPr>
          <w:p>
            <w:pPr>
              <w:spacing w:after="0"/>
              <w:rPr>
                <w:sz w:val="18"/>
                <w:szCs w:val="18"/>
                <w:color w:val="auto"/>
              </w:rPr>
            </w:pPr>
          </w:p>
        </w:tc>
        <w:tc>
          <w:tcPr>
            <w:tcW w:w="420" w:type="dxa"/>
            <w:vAlign w:val="bottom"/>
            <w:tcBorders>
              <w:bottom w:val="single" w:sz="8" w:color="auto"/>
            </w:tcBorders>
            <w:shd w:val="clear" w:color="auto" w:fill="D6F3E8"/>
          </w:tcPr>
          <w:p>
            <w:pPr>
              <w:spacing w:after="0"/>
              <w:rPr>
                <w:sz w:val="18"/>
                <w:szCs w:val="18"/>
                <w:color w:val="auto"/>
              </w:rPr>
            </w:pPr>
          </w:p>
        </w:tc>
        <w:tc>
          <w:tcPr>
            <w:tcW w:w="6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4.0</w:t>
            </w:r>
          </w:p>
        </w:tc>
        <w:tc>
          <w:tcPr>
            <w:tcW w:w="32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bottom w:val="single" w:sz="8" w:color="D6F3E8"/>
            </w:tcBorders>
            <w:shd w:val="clear" w:color="auto" w:fill="D6F3E8"/>
          </w:tcPr>
          <w:p>
            <w:pPr>
              <w:spacing w:after="0"/>
              <w:rPr>
                <w:sz w:val="18"/>
                <w:szCs w:val="18"/>
                <w:color w:val="auto"/>
              </w:rPr>
            </w:pPr>
          </w:p>
        </w:tc>
        <w:tc>
          <w:tcPr>
            <w:tcW w:w="340" w:type="dxa"/>
            <w:vAlign w:val="bottom"/>
            <w:tcBorders>
              <w:bottom w:val="single" w:sz="8" w:color="auto"/>
            </w:tcBorders>
            <w:shd w:val="clear" w:color="auto" w:fill="D6F3E8"/>
          </w:tcPr>
          <w:p>
            <w:pPr>
              <w:spacing w:after="0"/>
              <w:rPr>
                <w:sz w:val="18"/>
                <w:szCs w:val="18"/>
                <w:color w:val="auto"/>
              </w:rPr>
            </w:pPr>
          </w:p>
        </w:tc>
        <w:tc>
          <w:tcPr>
            <w:tcW w:w="6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4,331</w:t>
            </w:r>
          </w:p>
        </w:tc>
        <w:tc>
          <w:tcPr>
            <w:tcW w:w="340" w:type="dxa"/>
            <w:vAlign w:val="bottom"/>
            <w:tcBorders>
              <w:bottom w:val="single" w:sz="8" w:color="D6F3E8"/>
            </w:tcBorders>
            <w:shd w:val="clear" w:color="auto" w:fill="D6F3E8"/>
          </w:tcPr>
          <w:p>
            <w:pPr>
              <w:spacing w:after="0"/>
              <w:rPr>
                <w:sz w:val="18"/>
                <w:szCs w:val="18"/>
                <w:color w:val="auto"/>
              </w:rPr>
            </w:pPr>
          </w:p>
        </w:tc>
        <w:tc>
          <w:tcPr>
            <w:tcW w:w="400" w:type="dxa"/>
            <w:vAlign w:val="bottom"/>
            <w:tcBorders>
              <w:bottom w:val="single" w:sz="8" w:color="auto"/>
            </w:tcBorders>
            <w:shd w:val="clear" w:color="auto" w:fill="D6F3E8"/>
          </w:tcPr>
          <w:p>
            <w:pPr>
              <w:spacing w:after="0"/>
              <w:rPr>
                <w:sz w:val="18"/>
                <w:szCs w:val="18"/>
                <w:color w:val="auto"/>
              </w:rPr>
            </w:pPr>
          </w:p>
        </w:tc>
        <w:tc>
          <w:tcPr>
            <w:tcW w:w="6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w:t>
            </w:r>
          </w:p>
        </w:tc>
        <w:tc>
          <w:tcPr>
            <w:tcW w:w="22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6,501</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7,996</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11.5</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Operating loss</w:t>
            </w:r>
          </w:p>
        </w:tc>
        <w:tc>
          <w:tcPr>
            <w:tcW w:w="30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(5,977)</w:t>
            </w:r>
          </w:p>
        </w:tc>
        <w:tc>
          <w:tcPr>
            <w:tcW w:w="340" w:type="dxa"/>
            <w:vAlign w:val="bottom"/>
            <w:shd w:val="clear" w:color="auto" w:fill="D6F3E8"/>
          </w:tcPr>
          <w:p>
            <w:pPr>
              <w:spacing w:after="0"/>
              <w:rPr>
                <w:sz w:val="18"/>
                <w:szCs w:val="18"/>
                <w:color w:val="auto"/>
              </w:rPr>
            </w:pPr>
          </w:p>
        </w:tc>
        <w:tc>
          <w:tcPr>
            <w:tcW w:w="42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(7.4)</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8"/>
              </w:rPr>
              <w:t>(16,890)</w:t>
            </w:r>
          </w:p>
        </w:tc>
        <w:tc>
          <w:tcPr>
            <w:tcW w:w="340" w:type="dxa"/>
            <w:vAlign w:val="bottom"/>
            <w:shd w:val="clear" w:color="auto" w:fill="D6F3E8"/>
          </w:tcPr>
          <w:p>
            <w:pPr>
              <w:spacing w:after="0"/>
              <w:rPr>
                <w:sz w:val="18"/>
                <w:szCs w:val="18"/>
                <w:color w:val="auto"/>
              </w:rPr>
            </w:pPr>
          </w:p>
        </w:tc>
        <w:tc>
          <w:tcPr>
            <w:tcW w:w="40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(24.3)</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Financial (expense) income</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(233)</w:t>
            </w:r>
          </w:p>
        </w:tc>
        <w:tc>
          <w:tcPr>
            <w:tcW w:w="4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524</w:t>
            </w:r>
          </w:p>
        </w:tc>
        <w:tc>
          <w:tcPr>
            <w:tcW w:w="4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(6,210)</w:t>
            </w:r>
          </w:p>
        </w:tc>
        <w:tc>
          <w:tcPr>
            <w:tcW w:w="340" w:type="dxa"/>
            <w:vAlign w:val="bottom"/>
            <w:shd w:val="clear" w:color="auto" w:fill="D6F3E8"/>
          </w:tcPr>
          <w:p>
            <w:pPr>
              <w:spacing w:after="0"/>
              <w:rPr>
                <w:sz w:val="18"/>
                <w:szCs w:val="18"/>
                <w:color w:val="auto"/>
              </w:rPr>
            </w:pPr>
          </w:p>
        </w:tc>
        <w:tc>
          <w:tcPr>
            <w:tcW w:w="42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40" w:type="dxa"/>
            <w:vAlign w:val="bottom"/>
            <w:tcBorders>
              <w:top w:val="single" w:sz="8" w:color="auto"/>
            </w:tcBorders>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98"/>
              </w:rPr>
              <w:t>(16,366)</w:t>
            </w:r>
          </w:p>
        </w:tc>
        <w:tc>
          <w:tcPr>
            <w:tcW w:w="340" w:type="dxa"/>
            <w:vAlign w:val="bottom"/>
            <w:shd w:val="clear" w:color="auto" w:fill="D6F3E8"/>
          </w:tcPr>
          <w:p>
            <w:pPr>
              <w:spacing w:after="0"/>
              <w:rPr>
                <w:sz w:val="18"/>
                <w:szCs w:val="18"/>
                <w:color w:val="auto"/>
              </w:rPr>
            </w:pPr>
          </w:p>
        </w:tc>
        <w:tc>
          <w:tcPr>
            <w:tcW w:w="400" w:type="dxa"/>
            <w:vAlign w:val="bottom"/>
            <w:tcBorders>
              <w:top w:val="single" w:sz="8" w:color="auto"/>
            </w:tcBorders>
            <w:shd w:val="clear" w:color="auto" w:fill="D6F3E8"/>
          </w:tcPr>
          <w:p>
            <w:pPr>
              <w:spacing w:after="0"/>
              <w:rPr>
                <w:sz w:val="18"/>
                <w:szCs w:val="18"/>
                <w:color w:val="auto"/>
              </w:rPr>
            </w:pPr>
          </w:p>
        </w:tc>
        <w:tc>
          <w:tcPr>
            <w:tcW w:w="6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(23.6)</w:t>
            </w: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gridSpan w:val="2"/>
          </w:tcPr>
          <w:p>
            <w:pPr>
              <w:spacing w:after="0"/>
              <w:rPr>
                <w:sz w:val="20"/>
                <w:szCs w:val="20"/>
                <w:color w:val="auto"/>
              </w:rPr>
            </w:pPr>
            <w:r>
              <w:rPr>
                <w:rFonts w:ascii="Arial" w:cs="Arial" w:eastAsia="Arial" w:hAnsi="Arial"/>
                <w:sz w:val="18"/>
                <w:szCs w:val="18"/>
                <w:color w:val="auto"/>
              </w:rPr>
              <w:t>Benefit for taxes</w:t>
            </w:r>
          </w:p>
        </w:tc>
        <w:tc>
          <w:tcPr>
            <w:tcW w:w="3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(4,866)</w:t>
            </w:r>
          </w:p>
        </w:tc>
        <w:tc>
          <w:tcPr>
            <w:tcW w:w="4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(6,770)</w:t>
            </w:r>
          </w:p>
        </w:tc>
        <w:tc>
          <w:tcPr>
            <w:tcW w:w="4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40" w:type="dxa"/>
            <w:vAlign w:val="bottom"/>
            <w:gridSpan w:val="2"/>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(1,344)</w:t>
            </w:r>
          </w:p>
        </w:tc>
        <w:tc>
          <w:tcPr>
            <w:tcW w:w="340" w:type="dxa"/>
            <w:vAlign w:val="bottom"/>
            <w:shd w:val="clear" w:color="auto" w:fill="D6F3E8"/>
          </w:tcPr>
          <w:p>
            <w:pPr>
              <w:spacing w:after="0"/>
              <w:rPr>
                <w:sz w:val="21"/>
                <w:szCs w:val="21"/>
                <w:color w:val="auto"/>
              </w:rPr>
            </w:pPr>
          </w:p>
        </w:tc>
        <w:tc>
          <w:tcPr>
            <w:tcW w:w="420" w:type="dxa"/>
            <w:vAlign w:val="bottom"/>
            <w:shd w:val="clear" w:color="auto" w:fill="D6F3E8"/>
          </w:tcPr>
          <w:p>
            <w:pPr>
              <w:spacing w:after="0"/>
              <w:rPr>
                <w:sz w:val="21"/>
                <w:szCs w:val="21"/>
                <w:color w:val="auto"/>
              </w:rPr>
            </w:pPr>
          </w:p>
        </w:tc>
        <w:tc>
          <w:tcPr>
            <w:tcW w:w="9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D6F3E8"/>
          </w:tcPr>
          <w:p>
            <w:pPr>
              <w:spacing w:after="0"/>
              <w:rPr>
                <w:sz w:val="21"/>
                <w:szCs w:val="21"/>
                <w:color w:val="auto"/>
              </w:rPr>
            </w:pPr>
          </w:p>
        </w:tc>
        <w:tc>
          <w:tcPr>
            <w:tcW w:w="340" w:type="dxa"/>
            <w:vAlign w:val="bottom"/>
            <w:shd w:val="clear" w:color="auto" w:fill="D6F3E8"/>
          </w:tcPr>
          <w:p>
            <w:pPr>
              <w:jc w:val="right"/>
              <w:ind w:right="1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(9,596)</w:t>
            </w:r>
          </w:p>
        </w:tc>
        <w:tc>
          <w:tcPr>
            <w:tcW w:w="340" w:type="dxa"/>
            <w:vAlign w:val="bottom"/>
            <w:shd w:val="clear" w:color="auto" w:fill="D6F3E8"/>
          </w:tcPr>
          <w:p>
            <w:pPr>
              <w:spacing w:after="0"/>
              <w:rPr>
                <w:sz w:val="21"/>
                <w:szCs w:val="21"/>
                <w:color w:val="auto"/>
              </w:rPr>
            </w:pPr>
          </w:p>
        </w:tc>
        <w:tc>
          <w:tcPr>
            <w:tcW w:w="400" w:type="dxa"/>
            <w:vAlign w:val="bottom"/>
            <w:shd w:val="clear" w:color="auto" w:fill="D6F3E8"/>
          </w:tcPr>
          <w:p>
            <w:pPr>
              <w:spacing w:after="0"/>
              <w:rPr>
                <w:sz w:val="21"/>
                <w:szCs w:val="21"/>
                <w:color w:val="auto"/>
              </w:rPr>
            </w:pPr>
          </w:p>
        </w:tc>
        <w:tc>
          <w:tcPr>
            <w:tcW w:w="82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(13.8)%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Borders>
              <w:top w:val="single" w:sz="8" w:color="D6F3E8"/>
            </w:tcBorders>
          </w:tcPr>
          <w:p>
            <w:pPr>
              <w:spacing w:after="0" w:line="196" w:lineRule="exact"/>
              <w:rPr>
                <w:sz w:val="20"/>
                <w:szCs w:val="20"/>
                <w:color w:val="auto"/>
              </w:rPr>
            </w:pPr>
            <w:r>
              <w:rPr>
                <w:rFonts w:ascii="Arial" w:cs="Arial" w:eastAsia="Arial" w:hAnsi="Arial"/>
                <w:sz w:val="18"/>
                <w:szCs w:val="18"/>
                <w:color w:val="auto"/>
              </w:rPr>
              <w:t>Loss per common share:</w:t>
            </w:r>
          </w:p>
        </w:tc>
        <w:tc>
          <w:tcPr>
            <w:tcW w:w="3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40" w:type="dxa"/>
            <w:vAlign w:val="bottom"/>
            <w:tcBorders>
              <w:top w:val="single" w:sz="8" w:color="D6F3E8"/>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20" w:type="dxa"/>
            <w:vAlign w:val="bottom"/>
            <w:tcBorders>
              <w:top w:val="single" w:sz="8" w:color="D6F3E8"/>
            </w:tcBorders>
          </w:tcPr>
          <w:p>
            <w:pPr>
              <w:spacing w:after="0"/>
              <w:rPr>
                <w:sz w:val="17"/>
                <w:szCs w:val="17"/>
                <w:color w:val="auto"/>
              </w:rPr>
            </w:pPr>
          </w:p>
        </w:tc>
        <w:tc>
          <w:tcPr>
            <w:tcW w:w="120" w:type="dxa"/>
            <w:vAlign w:val="bottom"/>
            <w:tcBorders>
              <w:top w:val="single" w:sz="8" w:color="D6F3E8"/>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Borders>
              <w:top w:val="single" w:sz="8" w:color="D6F3E8"/>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20" w:type="dxa"/>
            <w:vAlign w:val="bottom"/>
            <w:tcBorders>
              <w:top w:val="single" w:sz="8" w:color="D6F3E8"/>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D6F3E8"/>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(0.05)</w:t>
            </w:r>
          </w:p>
        </w:tc>
        <w:tc>
          <w:tcPr>
            <w:tcW w:w="42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460" w:type="dxa"/>
            <w:vAlign w:val="bottom"/>
            <w:gridSpan w:val="2"/>
            <w:shd w:val="clear" w:color="auto" w:fill="D6F3E8"/>
          </w:tcPr>
          <w:p>
            <w:pPr>
              <w:jc w:val="right"/>
              <w:ind w:right="183"/>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(0.33)</w:t>
            </w:r>
          </w:p>
        </w:tc>
        <w:tc>
          <w:tcPr>
            <w:tcW w:w="40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(0.05)</w:t>
            </w: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ind w:right="183"/>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(0.33)</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shd w:val="clear" w:color="auto" w:fill="D6F3E8"/>
          </w:tcPr>
          <w:p>
            <w:pPr>
              <w:spacing w:after="0"/>
              <w:rPr>
                <w:sz w:val="20"/>
                <w:szCs w:val="20"/>
                <w:color w:val="auto"/>
              </w:rPr>
            </w:pPr>
            <w:r>
              <w:rPr>
                <w:rFonts w:ascii="Arial" w:cs="Arial" w:eastAsia="Arial" w:hAnsi="Arial"/>
                <w:sz w:val="18"/>
                <w:szCs w:val="18"/>
                <w:color w:val="auto"/>
              </w:rPr>
              <w:t>Weighted average common</w:t>
            </w:r>
          </w:p>
        </w:tc>
        <w:tc>
          <w:tcPr>
            <w:tcW w:w="300" w:type="dxa"/>
            <w:vAlign w:val="bottom"/>
            <w:shd w:val="clear" w:color="auto" w:fill="D6F3E8"/>
          </w:tcPr>
          <w:p>
            <w:pPr>
              <w:spacing w:after="0"/>
              <w:rPr>
                <w:sz w:val="18"/>
                <w:szCs w:val="18"/>
                <w:color w:val="auto"/>
              </w:rPr>
            </w:pPr>
          </w:p>
        </w:tc>
        <w:tc>
          <w:tcPr>
            <w:tcW w:w="70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6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40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shares outstanding:</w:t>
            </w:r>
          </w:p>
        </w:tc>
        <w:tc>
          <w:tcPr>
            <w:tcW w:w="300" w:type="dxa"/>
            <w:vAlign w:val="bottom"/>
            <w:shd w:val="clear" w:color="auto" w:fill="D6F3E8"/>
          </w:tcPr>
          <w:p>
            <w:pPr>
              <w:spacing w:after="0"/>
              <w:rPr>
                <w:sz w:val="19"/>
                <w:szCs w:val="19"/>
                <w:color w:val="auto"/>
              </w:rPr>
            </w:pPr>
          </w:p>
        </w:tc>
        <w:tc>
          <w:tcPr>
            <w:tcW w:w="70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420" w:type="dxa"/>
            <w:vAlign w:val="bottom"/>
            <w:shd w:val="clear" w:color="auto" w:fill="D6F3E8"/>
          </w:tcPr>
          <w:p>
            <w:pPr>
              <w:spacing w:after="0"/>
              <w:rPr>
                <w:sz w:val="19"/>
                <w:szCs w:val="19"/>
                <w:color w:val="auto"/>
              </w:rPr>
            </w:pPr>
          </w:p>
        </w:tc>
        <w:tc>
          <w:tcPr>
            <w:tcW w:w="600" w:type="dxa"/>
            <w:vAlign w:val="bottom"/>
            <w:shd w:val="clear" w:color="auto" w:fill="D6F3E8"/>
          </w:tcPr>
          <w:p>
            <w:pPr>
              <w:spacing w:after="0"/>
              <w:rPr>
                <w:sz w:val="19"/>
                <w:szCs w:val="19"/>
                <w:color w:val="auto"/>
              </w:rPr>
            </w:pPr>
          </w:p>
        </w:tc>
        <w:tc>
          <w:tcPr>
            <w:tcW w:w="320" w:type="dxa"/>
            <w:vAlign w:val="bottom"/>
            <w:shd w:val="clear" w:color="auto" w:fill="D6F3E8"/>
          </w:tcPr>
          <w:p>
            <w:pPr>
              <w:spacing w:after="0"/>
              <w:rPr>
                <w:sz w:val="19"/>
                <w:szCs w:val="19"/>
                <w:color w:val="auto"/>
              </w:rPr>
            </w:pPr>
          </w:p>
        </w:tc>
        <w:tc>
          <w:tcPr>
            <w:tcW w:w="12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680" w:type="dxa"/>
            <w:vAlign w:val="bottom"/>
            <w:shd w:val="clear" w:color="auto" w:fill="D6F3E8"/>
          </w:tcPr>
          <w:p>
            <w:pPr>
              <w:spacing w:after="0"/>
              <w:rPr>
                <w:sz w:val="19"/>
                <w:szCs w:val="19"/>
                <w:color w:val="auto"/>
              </w:rPr>
            </w:pPr>
          </w:p>
        </w:tc>
        <w:tc>
          <w:tcPr>
            <w:tcW w:w="340" w:type="dxa"/>
            <w:vAlign w:val="bottom"/>
            <w:shd w:val="clear" w:color="auto" w:fill="D6F3E8"/>
          </w:tcPr>
          <w:p>
            <w:pPr>
              <w:spacing w:after="0"/>
              <w:rPr>
                <w:sz w:val="19"/>
                <w:szCs w:val="19"/>
                <w:color w:val="auto"/>
              </w:rPr>
            </w:pPr>
          </w:p>
        </w:tc>
        <w:tc>
          <w:tcPr>
            <w:tcW w:w="400" w:type="dxa"/>
            <w:vAlign w:val="bottom"/>
            <w:shd w:val="clear" w:color="auto" w:fill="D6F3E8"/>
          </w:tcPr>
          <w:p>
            <w:pPr>
              <w:spacing w:after="0"/>
              <w:rPr>
                <w:sz w:val="19"/>
                <w:szCs w:val="19"/>
                <w:color w:val="auto"/>
              </w:rPr>
            </w:pPr>
          </w:p>
        </w:tc>
        <w:tc>
          <w:tcPr>
            <w:tcW w:w="600" w:type="dxa"/>
            <w:vAlign w:val="bottom"/>
            <w:shd w:val="clear" w:color="auto" w:fill="D6F3E8"/>
          </w:tcPr>
          <w:p>
            <w:pPr>
              <w:spacing w:after="0"/>
              <w:rPr>
                <w:sz w:val="19"/>
                <w:szCs w:val="19"/>
                <w:color w:val="auto"/>
              </w:rPr>
            </w:pPr>
          </w:p>
        </w:tc>
        <w:tc>
          <w:tcPr>
            <w:tcW w:w="22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4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29,073</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29,027</w:t>
            </w: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29,086</w:t>
            </w:r>
          </w:p>
        </w:tc>
        <w:tc>
          <w:tcPr>
            <w:tcW w:w="340" w:type="dxa"/>
            <w:vAlign w:val="bottom"/>
            <w:shd w:val="clear" w:color="auto" w:fill="D6F3E8"/>
          </w:tcPr>
          <w:p>
            <w:pPr>
              <w:spacing w:after="0"/>
              <w:rPr>
                <w:sz w:val="18"/>
                <w:szCs w:val="18"/>
                <w:color w:val="auto"/>
              </w:rPr>
            </w:pPr>
          </w:p>
        </w:tc>
        <w:tc>
          <w:tcPr>
            <w:tcW w:w="42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29,039</w:t>
            </w:r>
          </w:p>
        </w:tc>
        <w:tc>
          <w:tcPr>
            <w:tcW w:w="400" w:type="dxa"/>
            <w:vAlign w:val="bottom"/>
            <w:shd w:val="clear" w:color="auto" w:fill="D6F3E8"/>
          </w:tcPr>
          <w:p>
            <w:pPr>
              <w:spacing w:after="0"/>
              <w:rPr>
                <w:sz w:val="18"/>
                <w:szCs w:val="18"/>
                <w:color w:val="auto"/>
              </w:rPr>
            </w:pPr>
          </w:p>
        </w:tc>
        <w:tc>
          <w:tcPr>
            <w:tcW w:w="6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20" w:type="dxa"/>
            <w:vAlign w:val="bottom"/>
            <w:tcBorders>
              <w:bottom w:val="single" w:sz="8" w:color="808080"/>
            </w:tcBorders>
          </w:tcPr>
          <w:p>
            <w:pPr>
              <w:spacing w:after="0"/>
              <w:rPr>
                <w:sz w:val="24"/>
                <w:szCs w:val="24"/>
                <w:color w:val="auto"/>
              </w:rPr>
            </w:pPr>
          </w:p>
        </w:tc>
        <w:tc>
          <w:tcPr>
            <w:tcW w:w="60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5" w:name="page6"/>
    <w:bookmarkEnd w:id="5"/>
    <w:p>
      <w:pPr>
        <w:jc w:val="center"/>
        <w:ind w:right="8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Unaudited Condensed Balance Sheets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173"/>
              <w:spacing w:after="0"/>
              <w:rPr>
                <w:sz w:val="20"/>
                <w:szCs w:val="20"/>
                <w:color w:val="auto"/>
              </w:rPr>
            </w:pPr>
            <w:r>
              <w:rPr>
                <w:rFonts w:ascii="Arial" w:cs="Arial" w:eastAsia="Arial" w:hAnsi="Arial"/>
                <w:sz w:val="14"/>
                <w:szCs w:val="14"/>
                <w:b w:val="1"/>
                <w:bCs w:val="1"/>
                <w:color w:val="auto"/>
                <w:w w:val="92"/>
              </w:rPr>
              <w:t>Nov. 28, 2009</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Aug. 29, 2009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29,205</w:t>
            </w:r>
          </w:p>
        </w:tc>
        <w:tc>
          <w:tcPr>
            <w:tcW w:w="4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36,566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11,963</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11,717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51,079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46,850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receivable</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22,140</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17,356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Prepaid and other</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3,351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D6F3E8"/>
          </w:tcPr>
          <w:p>
            <w:pPr>
              <w:ind w:left="30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131,438</w:t>
            </w:r>
          </w:p>
        </w:tc>
        <w:tc>
          <w:tcPr>
            <w:tcW w:w="32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129,414</w:t>
            </w: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26,826</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28,040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Assets held for sale</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6,515</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6,515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Long-term investments, less impairments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Investment in life insurance</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22,752</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22,451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44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223,406</w:t>
            </w:r>
          </w:p>
        </w:tc>
        <w:tc>
          <w:tcPr>
            <w:tcW w:w="32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220,466</w:t>
            </w:r>
          </w:p>
        </w:tc>
        <w:tc>
          <w:tcPr>
            <w:tcW w:w="10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8460" w:type="dxa"/>
            <w:vAlign w:val="bottom"/>
            <w:gridSpan w:val="2"/>
          </w:tcPr>
          <w:p>
            <w:pPr>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14,308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10,370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Short-term ARS borrowings</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9,100</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30,348</w:t>
            </w:r>
          </w:p>
        </w:tc>
        <w:tc>
          <w:tcPr>
            <w:tcW w:w="32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30,185</w:t>
            </w:r>
          </w:p>
        </w:tc>
        <w:tc>
          <w:tcPr>
            <w:tcW w:w="10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54,069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49,954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Long-term liabilities:</w:t>
            </w:r>
          </w:p>
        </w:tc>
        <w:tc>
          <w:tcPr>
            <w:tcW w:w="18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Unrecognized tax benefits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8,984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Postretirement health care and deferred</w:t>
            </w:r>
          </w:p>
        </w:tc>
        <w:tc>
          <w:tcPr>
            <w:tcW w:w="180" w:type="dxa"/>
            <w:vAlign w:val="bottom"/>
            <w:shd w:val="clear" w:color="auto" w:fill="D6F3E8"/>
          </w:tcPr>
          <w:p>
            <w:pPr>
              <w:spacing w:after="0"/>
              <w:rPr>
                <w:sz w:val="18"/>
                <w:szCs w:val="18"/>
                <w:color w:val="auto"/>
              </w:rPr>
            </w:pPr>
          </w:p>
        </w:tc>
        <w:tc>
          <w:tcPr>
            <w:tcW w:w="11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70,143</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vMerge w:val="restart"/>
            <w:shd w:val="clear" w:color="auto" w:fill="D6F3E8"/>
          </w:tcPr>
          <w:p>
            <w:pPr>
              <w:jc w:val="right"/>
              <w:spacing w:after="0"/>
              <w:rPr>
                <w:sz w:val="20"/>
                <w:szCs w:val="20"/>
                <w:color w:val="auto"/>
              </w:rPr>
            </w:pPr>
            <w:r>
              <w:rPr>
                <w:rFonts w:ascii="Arial" w:cs="Arial" w:eastAsia="Arial" w:hAnsi="Arial"/>
                <w:sz w:val="18"/>
                <w:szCs w:val="18"/>
                <w:color w:val="auto"/>
              </w:rPr>
              <w:t>69,169</w:t>
            </w:r>
          </w:p>
        </w:tc>
        <w:tc>
          <w:tcPr>
            <w:tcW w:w="100" w:type="dxa"/>
            <w:vAlign w:val="bottom"/>
            <w:vMerge w:val="restart"/>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compensation benefits, net of current portion</w:t>
            </w:r>
          </w:p>
        </w:tc>
        <w:tc>
          <w:tcPr>
            <w:tcW w:w="18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vMerge w:val="continue"/>
            <w:shd w:val="clear" w:color="auto" w:fill="D6F3E8"/>
          </w:tcPr>
          <w:p>
            <w:pPr>
              <w:spacing w:after="0"/>
              <w:rPr>
                <w:sz w:val="18"/>
                <w:szCs w:val="18"/>
                <w:color w:val="auto"/>
              </w:rPr>
            </w:pPr>
          </w:p>
        </w:tc>
        <w:tc>
          <w:tcPr>
            <w:tcW w:w="32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vMerge w:val="continue"/>
            <w:shd w:val="clear" w:color="auto" w:fill="D6F3E8"/>
          </w:tcPr>
          <w:p>
            <w:pPr>
              <w:spacing w:after="0"/>
              <w:rPr>
                <w:sz w:val="18"/>
                <w:szCs w:val="18"/>
                <w:color w:val="auto"/>
              </w:rPr>
            </w:pPr>
          </w:p>
        </w:tc>
        <w:tc>
          <w:tcPr>
            <w:tcW w:w="100" w:type="dxa"/>
            <w:vAlign w:val="bottom"/>
            <w:tcBorders>
              <w:bottom w:val="single" w:sz="8" w:color="D6F3E8"/>
            </w:tcBorders>
            <w:vMerge w:val="continue"/>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Total long-term liabilities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79,127</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78,181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46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90,210</w:t>
            </w:r>
          </w:p>
        </w:tc>
        <w:tc>
          <w:tcPr>
            <w:tcW w:w="32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110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92,331</w:t>
            </w:r>
          </w:p>
        </w:tc>
        <w:tc>
          <w:tcPr>
            <w:tcW w:w="10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Pr>
          <w:p>
            <w:pPr>
              <w:ind w:left="4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223,406</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220,466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Borders>
              <w:bottom w:val="single" w:sz="8" w:color="808080"/>
            </w:tcBorders>
          </w:tcPr>
          <w:p>
            <w:pPr>
              <w:spacing w:after="0"/>
              <w:rPr>
                <w:sz w:val="24"/>
                <w:szCs w:val="24"/>
                <w:color w:val="auto"/>
              </w:rPr>
            </w:pPr>
          </w:p>
        </w:tc>
        <w:tc>
          <w:tcPr>
            <w:tcW w:w="84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 Condensed Statement of Cash Flows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4"/>
              </w:rPr>
              <w:t>Quarter Ended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Quarter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Nov. 28, 2009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Nov. 29, 2008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(1,344)</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(9,596)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loss to net</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shd w:val="clear" w:color="auto" w:fill="D6F3E8"/>
          </w:tcPr>
          <w:p>
            <w:pPr>
              <w:spacing w:after="0"/>
              <w:rPr>
                <w:sz w:val="19"/>
                <w:szCs w:val="19"/>
                <w:color w:val="auto"/>
              </w:rPr>
            </w:pPr>
          </w:p>
        </w:tc>
        <w:tc>
          <w:tcPr>
            <w:tcW w:w="1140" w:type="dxa"/>
            <w:vAlign w:val="bottom"/>
            <w:shd w:val="clear" w:color="auto" w:fill="D6F3E8"/>
          </w:tcPr>
          <w:p>
            <w:pPr>
              <w:spacing w:after="0"/>
              <w:rPr>
                <w:sz w:val="19"/>
                <w:szCs w:val="19"/>
                <w:color w:val="auto"/>
              </w:rPr>
            </w:pPr>
          </w:p>
        </w:tc>
        <w:tc>
          <w:tcPr>
            <w:tcW w:w="18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40" w:type="dxa"/>
            <w:vAlign w:val="bottom"/>
            <w:shd w:val="clear" w:color="auto" w:fill="D6F3E8"/>
          </w:tcPr>
          <w:p>
            <w:pPr>
              <w:spacing w:after="0"/>
              <w:rPr>
                <w:sz w:val="19"/>
                <w:szCs w:val="19"/>
                <w:color w:val="auto"/>
              </w:rPr>
            </w:pPr>
          </w:p>
        </w:tc>
        <w:tc>
          <w:tcPr>
            <w:tcW w:w="1120" w:type="dxa"/>
            <w:vAlign w:val="bottom"/>
            <w:shd w:val="clear" w:color="auto" w:fill="D6F3E8"/>
          </w:tcPr>
          <w:p>
            <w:pPr>
              <w:spacing w:after="0"/>
              <w:rPr>
                <w:sz w:val="19"/>
                <w:szCs w:val="19"/>
                <w:color w:val="auto"/>
              </w:rPr>
            </w:pPr>
          </w:p>
        </w:tc>
        <w:tc>
          <w:tcPr>
            <w:tcW w:w="100" w:type="dxa"/>
            <w:vAlign w:val="bottom"/>
            <w:shd w:val="clear" w:color="auto" w:fill="D6F3E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Stock-based compensation</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288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Postretirement benefit income and deferred</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ind w:left="300"/>
              <w:spacing w:after="0"/>
              <w:rPr>
                <w:sz w:val="20"/>
                <w:szCs w:val="20"/>
                <w:color w:val="auto"/>
              </w:rPr>
            </w:pPr>
            <w:r>
              <w:rPr>
                <w:rFonts w:ascii="Arial" w:cs="Arial" w:eastAsia="Arial" w:hAnsi="Arial"/>
                <w:sz w:val="18"/>
                <w:szCs w:val="18"/>
                <w:color w:val="auto"/>
              </w:rPr>
              <w:t>compensation expense</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(1,008)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Increase in cash surrender value of life insurance policies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(4,229)</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27,302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Receivables and prepaid assets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(449)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4,704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receivable and unrecognized tax benefits</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(4,887)</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(4,510)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(5,951)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Postretirement and deferred compensation benefits</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(837)</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460" w:type="dxa"/>
            <w:vAlign w:val="bottom"/>
            <w:gridSpan w:val="2"/>
          </w:tcPr>
          <w:p>
            <w:pPr>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(5,857)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Proceeds from the sale or maturity of investments</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(712)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(929)</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40" w:type="dxa"/>
            <w:vAlign w:val="bottom"/>
            <w:shd w:val="clear" w:color="auto" w:fill="D6F3E8"/>
          </w:tcPr>
          <w:p>
            <w:pPr>
              <w:spacing w:after="0"/>
              <w:rPr>
                <w:sz w:val="18"/>
                <w:szCs w:val="18"/>
                <w:color w:val="auto"/>
              </w:rPr>
            </w:pPr>
          </w:p>
        </w:tc>
        <w:tc>
          <w:tcPr>
            <w:tcW w:w="13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(249)</w:t>
            </w: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Payments of cash dividends</w:t>
            </w:r>
          </w:p>
        </w:tc>
        <w:tc>
          <w:tcPr>
            <w:tcW w:w="14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issuance of treasury stock</w:t>
            </w:r>
          </w:p>
        </w:tc>
        <w:tc>
          <w:tcPr>
            <w:tcW w:w="140" w:type="dxa"/>
            <w:vAlign w:val="bottom"/>
            <w:shd w:val="clear" w:color="auto" w:fill="D6F3E8"/>
          </w:tcPr>
          <w:p>
            <w:pPr>
              <w:spacing w:after="0"/>
              <w:rPr>
                <w:sz w:val="18"/>
                <w:szCs w:val="18"/>
                <w:color w:val="auto"/>
              </w:rPr>
            </w:pPr>
          </w:p>
        </w:tc>
        <w:tc>
          <w:tcPr>
            <w:tcW w:w="11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2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(575)</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top w:val="single" w:sz="8" w:color="auto"/>
              <w:bottom w:val="single" w:sz="8" w:color="auto"/>
            </w:tcBorders>
            <w:shd w:val="clear" w:color="auto" w:fill="D6F3E8"/>
          </w:tcPr>
          <w:p>
            <w:pPr>
              <w:spacing w:after="0"/>
              <w:rPr>
                <w:sz w:val="18"/>
                <w:szCs w:val="18"/>
                <w:color w:val="auto"/>
              </w:rPr>
            </w:pP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(3,651)</w:t>
            </w:r>
          </w:p>
        </w:tc>
        <w:tc>
          <w:tcPr>
            <w:tcW w:w="10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846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40" w:type="dxa"/>
            <w:vAlign w:val="bottom"/>
          </w:tcPr>
          <w:p>
            <w:pPr>
              <w:spacing w:after="0"/>
              <w:rPr>
                <w:sz w:val="24"/>
                <w:szCs w:val="24"/>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(7,361)</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10,914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846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shd w:val="clear" w:color="auto" w:fill="D6F3E8"/>
          </w:tcPr>
          <w:p>
            <w:pPr>
              <w:spacing w:after="0"/>
              <w:rPr>
                <w:sz w:val="18"/>
                <w:szCs w:val="18"/>
                <w:color w:val="auto"/>
              </w:rPr>
            </w:pPr>
          </w:p>
        </w:tc>
        <w:tc>
          <w:tcPr>
            <w:tcW w:w="11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36,566</w:t>
            </w:r>
          </w:p>
        </w:tc>
        <w:tc>
          <w:tcPr>
            <w:tcW w:w="18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17,851</w:t>
            </w:r>
          </w:p>
        </w:tc>
        <w:tc>
          <w:tcPr>
            <w:tcW w:w="10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29,205</w:t>
            </w:r>
          </w:p>
        </w:tc>
        <w:tc>
          <w:tcPr>
            <w:tcW w:w="18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28,765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20" w:type="dxa"/>
            <w:vAlign w:val="bottom"/>
            <w:tcBorders>
              <w:bottom w:val="single" w:sz="8" w:color="808080"/>
            </w:tcBorders>
          </w:tcPr>
          <w:p>
            <w:pPr>
              <w:spacing w:after="0"/>
              <w:rPr>
                <w:sz w:val="24"/>
                <w:szCs w:val="24"/>
                <w:color w:val="auto"/>
              </w:rPr>
            </w:pPr>
          </w:p>
        </w:tc>
        <w:tc>
          <w:tcPr>
            <w:tcW w:w="84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7" w:name="page8"/>
    <w:bookmarkEnd w:id="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Motor home unit deliveries</w:t>
      </w: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Class A Gas</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Class A Diesel</w:t>
      </w:r>
    </w:p>
    <w:p>
      <w:pPr>
        <w:spacing w:after="0" w:line="1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Class A</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Class B</w:t>
      </w:r>
    </w:p>
    <w:p>
      <w:pPr>
        <w:spacing w:after="0" w:line="1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Class C</w:t>
      </w:r>
    </w:p>
    <w:p>
      <w:pPr>
        <w:spacing w:after="0" w:line="5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Total deliveries</w:t>
      </w:r>
    </w:p>
    <w:p>
      <w:pPr>
        <w:spacing w:after="0" w:line="20" w:lineRule="exact"/>
        <w:rPr>
          <w:sz w:val="20"/>
          <w:szCs w:val="20"/>
          <w:color w:val="auto"/>
        </w:rPr>
      </w:pPr>
      <w:r>
        <w:rPr>
          <w:sz w:val="20"/>
          <w:szCs w:val="20"/>
          <w:color w:val="auto"/>
        </w:rPr>
        <w:br w:type="column"/>
      </w:r>
    </w:p>
    <w:p>
      <w:pPr>
        <w:jc w:val="center"/>
        <w:ind w:right="4440"/>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Unaudited Motor Home Deliveries</w:t>
      </w:r>
    </w:p>
    <w:p>
      <w:pPr>
        <w:spacing w:after="0" w:line="238" w:lineRule="exact"/>
        <w:rPr>
          <w:sz w:val="20"/>
          <w:szCs w:val="20"/>
          <w:color w:val="auto"/>
        </w:rPr>
      </w:pPr>
    </w:p>
    <w:tbl>
      <w:tblPr>
        <w:tblLayout w:type="fixed"/>
        <w:tblInd w:w="2620" w:type="dxa"/>
        <w:tblCellMar>
          <w:top w:w="0" w:type="dxa"/>
          <w:left w:w="0" w:type="dxa"/>
          <w:bottom w:w="0" w:type="dxa"/>
          <w:right w:w="0" w:type="dxa"/>
        </w:tblCellMar>
      </w:tblPr>
      <w:tr>
        <w:trPr>
          <w:trHeight w:val="161"/>
        </w:trPr>
        <w:tc>
          <w:tcPr>
            <w:tcW w:w="2400" w:type="dxa"/>
            <w:vAlign w:val="bottom"/>
            <w:gridSpan w:val="3"/>
          </w:tcPr>
          <w:p>
            <w:pPr>
              <w:jc w:val="right"/>
              <w:ind w:right="675"/>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Pr>
          <w:p>
            <w:pPr>
              <w:spacing w:after="0"/>
              <w:rPr>
                <w:sz w:val="14"/>
                <w:szCs w:val="14"/>
                <w:color w:val="auto"/>
              </w:rPr>
            </w:pPr>
          </w:p>
        </w:tc>
        <w:tc>
          <w:tcPr>
            <w:tcW w:w="1040" w:type="dxa"/>
            <w:vAlign w:val="bottom"/>
            <w:gridSpan w:val="3"/>
          </w:tcPr>
          <w:p>
            <w:pPr>
              <w:ind w:left="520"/>
              <w:spacing w:after="0"/>
              <w:rPr>
                <w:sz w:val="20"/>
                <w:szCs w:val="20"/>
                <w:color w:val="auto"/>
              </w:rPr>
            </w:pPr>
            <w:r>
              <w:rPr>
                <w:rFonts w:ascii="Arial" w:cs="Arial" w:eastAsia="Arial" w:hAnsi="Arial"/>
                <w:sz w:val="14"/>
                <w:szCs w:val="14"/>
                <w:b w:val="1"/>
                <w:bCs w:val="1"/>
                <w:color w:val="auto"/>
                <w:w w:val="97"/>
              </w:rPr>
              <w:t>Change</w:t>
            </w: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1"/>
        </w:trPr>
        <w:tc>
          <w:tcPr>
            <w:tcW w:w="104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w w:val="99"/>
              </w:rPr>
              <w:t>Nov. 28, 2009</w:t>
            </w: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99"/>
              </w:rPr>
              <w:t>Nov. 29, 2008</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Units</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r>
      <w:tr>
        <w:trPr>
          <w:trHeight w:val="417"/>
        </w:trPr>
        <w:tc>
          <w:tcPr>
            <w:tcW w:w="104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42.4</w:t>
            </w:r>
          </w:p>
        </w:tc>
      </w:tr>
      <w:tr>
        <w:trPr>
          <w:trHeight w:val="223"/>
        </w:trPr>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52.5</w:t>
            </w:r>
          </w:p>
        </w:tc>
      </w:tr>
      <w:tr>
        <w:trPr>
          <w:trHeight w:val="202"/>
        </w:trPr>
        <w:tc>
          <w:tcPr>
            <w:tcW w:w="10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415</w:t>
            </w:r>
          </w:p>
        </w:tc>
        <w:tc>
          <w:tcPr>
            <w:tcW w:w="340" w:type="dxa"/>
            <w:vAlign w:val="bottom"/>
          </w:tcPr>
          <w:p>
            <w:pPr>
              <w:spacing w:after="0"/>
              <w:rPr>
                <w:sz w:val="17"/>
                <w:szCs w:val="17"/>
                <w:color w:val="auto"/>
              </w:rPr>
            </w:pPr>
          </w:p>
        </w:tc>
        <w:tc>
          <w:tcPr>
            <w:tcW w:w="102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283</w:t>
            </w:r>
          </w:p>
        </w:tc>
        <w:tc>
          <w:tcPr>
            <w:tcW w:w="340" w:type="dxa"/>
            <w:vAlign w:val="bottom"/>
          </w:tcPr>
          <w:p>
            <w:pPr>
              <w:spacing w:after="0"/>
              <w:rPr>
                <w:sz w:val="17"/>
                <w:szCs w:val="17"/>
                <w:color w:val="auto"/>
              </w:rPr>
            </w:pPr>
          </w:p>
        </w:tc>
        <w:tc>
          <w:tcPr>
            <w:tcW w:w="56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132</w:t>
            </w:r>
          </w:p>
        </w:tc>
        <w:tc>
          <w:tcPr>
            <w:tcW w:w="3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46.6</w:t>
            </w:r>
          </w:p>
        </w:tc>
        <w:tc>
          <w:tcPr>
            <w:tcW w:w="60" w:type="dxa"/>
            <w:vAlign w:val="bottom"/>
          </w:tcPr>
          <w:p>
            <w:pPr>
              <w:spacing w:after="0"/>
              <w:rPr>
                <w:sz w:val="17"/>
                <w:szCs w:val="17"/>
                <w:color w:val="auto"/>
              </w:rPr>
            </w:pPr>
          </w:p>
        </w:tc>
      </w:tr>
      <w:tr>
        <w:trPr>
          <w:trHeight w:val="216"/>
        </w:trPr>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77.1</w:t>
            </w:r>
          </w:p>
        </w:tc>
      </w:tr>
      <w:tr>
        <w:trPr>
          <w:trHeight w:val="224"/>
        </w:trPr>
        <w:tc>
          <w:tcPr>
            <w:tcW w:w="1040" w:type="dxa"/>
            <w:vAlign w:val="bottom"/>
          </w:tcPr>
          <w:p>
            <w:pPr>
              <w:jc w:val="right"/>
              <w:spacing w:after="0"/>
              <w:rPr>
                <w:sz w:val="20"/>
                <w:szCs w:val="20"/>
                <w:color w:val="auto"/>
              </w:rPr>
            </w:pPr>
            <w:r>
              <w:rPr>
                <w:rFonts w:ascii="Arial" w:cs="Arial" w:eastAsia="Arial" w:hAnsi="Arial"/>
                <w:sz w:val="18"/>
                <w:szCs w:val="18"/>
                <w:color w:val="auto"/>
              </w:rPr>
              <w:t>317</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w:t>
            </w:r>
          </w:p>
        </w:tc>
        <w:tc>
          <w:tcPr>
            <w:tcW w:w="1240" w:type="dxa"/>
            <w:vAlign w:val="bottom"/>
            <w:gridSpan w:val="3"/>
          </w:tcPr>
          <w:p>
            <w:pPr>
              <w:jc w:val="right"/>
              <w:ind w:right="2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(6.2)</w:t>
            </w:r>
          </w:p>
        </w:tc>
      </w:tr>
      <w:tr>
        <w:trPr>
          <w:trHeight w:val="210"/>
        </w:trPr>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w:t>
            </w:r>
          </w:p>
        </w:tc>
        <w:tc>
          <w:tcPr>
            <w:tcW w:w="3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3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60" w:type="dxa"/>
            <w:vAlign w:val="bottom"/>
          </w:tcPr>
          <w:p>
            <w:pPr>
              <w:spacing w:after="0"/>
              <w:rPr>
                <w:sz w:val="18"/>
                <w:szCs w:val="18"/>
                <w:color w:val="auto"/>
              </w:rPr>
            </w:pPr>
          </w:p>
        </w:tc>
      </w:tr>
      <w:tr>
        <w:trPr>
          <w:trHeight w:val="20"/>
        </w:trPr>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-1002665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-728345</wp:posOffset>
            </wp:positionV>
            <wp:extent cx="72466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-445135</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-162560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-2840990</wp:posOffset>
            </wp:positionH>
            <wp:positionV relativeFrom="paragraph">
              <wp:posOffset>220980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3760" w:space="720"/>
            <w:col w:w="6900"/>
          </w:cols>
          <w:pgMar w:left="240" w:top="131"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Winnebago Industries,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Backlog and Dealer Inventory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Nov. 28, 2009</w:t>
            </w:r>
          </w:p>
        </w:tc>
        <w:tc>
          <w:tcPr>
            <w:tcW w:w="10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Nov. 29, 2008</w:t>
            </w: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Units</w:t>
            </w:r>
          </w:p>
        </w:tc>
        <w:tc>
          <w:tcPr>
            <w:tcW w:w="56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D6F3E8"/>
          </w:tcPr>
          <w:p>
            <w:pPr>
              <w:spacing w:after="0"/>
              <w:rPr>
                <w:sz w:val="20"/>
                <w:szCs w:val="20"/>
                <w:color w:val="auto"/>
              </w:rPr>
            </w:pPr>
            <w:r>
              <w:rPr>
                <w:rFonts w:ascii="Arial" w:cs="Arial" w:eastAsia="Arial" w:hAnsi="Arial"/>
                <w:sz w:val="18"/>
                <w:szCs w:val="18"/>
                <w:color w:val="auto"/>
              </w:rPr>
              <w:t>Sales order backlog</w:t>
            </w:r>
          </w:p>
        </w:tc>
        <w:tc>
          <w:tcPr>
            <w:tcW w:w="140" w:type="dxa"/>
            <w:vAlign w:val="bottom"/>
            <w:tcBorders>
              <w:top w:val="single" w:sz="8" w:color="auto"/>
            </w:tcBorders>
            <w:shd w:val="clear" w:color="auto" w:fill="D6F3E8"/>
          </w:tcPr>
          <w:p>
            <w:pPr>
              <w:spacing w:after="0"/>
              <w:rPr>
                <w:sz w:val="18"/>
                <w:szCs w:val="18"/>
                <w:color w:val="auto"/>
              </w:rPr>
            </w:pPr>
          </w:p>
        </w:tc>
        <w:tc>
          <w:tcPr>
            <w:tcW w:w="1000" w:type="dxa"/>
            <w:vAlign w:val="bottom"/>
            <w:tcBorders>
              <w:top w:val="single" w:sz="8" w:color="auto"/>
            </w:tcBorders>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20" w:type="dxa"/>
            <w:vAlign w:val="bottom"/>
            <w:tcBorders>
              <w:top w:val="single" w:sz="8" w:color="auto"/>
            </w:tcBorders>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680" w:type="dxa"/>
            <w:vAlign w:val="bottom"/>
            <w:tcBorders>
              <w:top w:val="single" w:sz="8" w:color="auto"/>
            </w:tcBorders>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560" w:type="dxa"/>
            <w:vAlign w:val="bottom"/>
            <w:tcBorders>
              <w:top w:val="single" w:sz="8" w:color="auto"/>
            </w:tcBorders>
            <w:shd w:val="clear" w:color="auto" w:fill="D6F3E8"/>
          </w:tcPr>
          <w:p>
            <w:pPr>
              <w:spacing w:after="0"/>
              <w:rPr>
                <w:sz w:val="18"/>
                <w:szCs w:val="18"/>
                <w:color w:val="auto"/>
              </w:rPr>
            </w:pP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jc w:val="center"/>
              <w:ind w:right="5672"/>
              <w:spacing w:after="0"/>
              <w:rPr>
                <w:sz w:val="20"/>
                <w:szCs w:val="20"/>
                <w:color w:val="auto"/>
              </w:rPr>
            </w:pPr>
            <w:r>
              <w:rPr>
                <w:rFonts w:ascii="Arial" w:cs="Arial" w:eastAsia="Arial" w:hAnsi="Arial"/>
                <w:sz w:val="18"/>
                <w:szCs w:val="18"/>
                <w:color w:val="auto"/>
                <w:w w:val="87"/>
              </w:rPr>
              <w:t>Class A Gas</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447</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Class A Diesel</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w:t>
            </w:r>
          </w:p>
        </w:tc>
        <w:tc>
          <w:tcPr>
            <w:tcW w:w="3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346</w:t>
            </w:r>
          </w:p>
        </w:tc>
        <w:tc>
          <w:tcPr>
            <w:tcW w:w="34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988.6</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shd w:val="clear" w:color="auto" w:fill="D6F3E8"/>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tcPr>
          <w:p>
            <w:pPr>
              <w:ind w:left="300"/>
              <w:spacing w:after="0"/>
              <w:rPr>
                <w:sz w:val="20"/>
                <w:szCs w:val="20"/>
                <w:color w:val="auto"/>
              </w:rPr>
            </w:pPr>
            <w:r>
              <w:rPr>
                <w:rFonts w:ascii="Arial" w:cs="Arial" w:eastAsia="Arial" w:hAnsi="Arial"/>
                <w:sz w:val="18"/>
                <w:szCs w:val="18"/>
                <w:color w:val="auto"/>
              </w:rPr>
              <w:t>Total Class A</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680" w:type="dxa"/>
            <w:vAlign w:val="bottom"/>
          </w:tcPr>
          <w:p>
            <w:pPr>
              <w:jc w:val="right"/>
              <w:spacing w:after="0"/>
              <w:rPr>
                <w:sz w:val="20"/>
                <w:szCs w:val="20"/>
                <w:color w:val="auto"/>
              </w:rPr>
            </w:pPr>
            <w:r>
              <w:rPr>
                <w:rFonts w:ascii="Arial" w:cs="Arial" w:eastAsia="Arial" w:hAnsi="Arial"/>
                <w:sz w:val="18"/>
                <w:szCs w:val="18"/>
                <w:color w:val="auto"/>
              </w:rPr>
              <w:t>793</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D6F3E8"/>
          </w:tcPr>
          <w:p>
            <w:pPr>
              <w:jc w:val="center"/>
              <w:ind w:right="5692"/>
              <w:spacing w:after="0"/>
              <w:rPr>
                <w:sz w:val="20"/>
                <w:szCs w:val="20"/>
                <w:color w:val="auto"/>
              </w:rPr>
            </w:pPr>
            <w:r>
              <w:rPr>
                <w:rFonts w:ascii="Arial" w:cs="Arial" w:eastAsia="Arial" w:hAnsi="Arial"/>
                <w:sz w:val="18"/>
                <w:szCs w:val="18"/>
                <w:color w:val="auto"/>
                <w:w w:val="87"/>
              </w:rPr>
              <w:t>Class B</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D6F3E8"/>
          </w:tcPr>
          <w:p>
            <w:pPr>
              <w:spacing w:after="0"/>
              <w:rPr>
                <w:sz w:val="18"/>
                <w:szCs w:val="18"/>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D6F3E8"/>
          </w:tcPr>
          <w:p>
            <w:pPr>
              <w:spacing w:after="0"/>
              <w:rPr>
                <w:sz w:val="18"/>
                <w:szCs w:val="18"/>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112.5</w:t>
            </w:r>
          </w:p>
        </w:tc>
        <w:tc>
          <w:tcPr>
            <w:tcW w:w="6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jc w:val="center"/>
              <w:ind w:right="5692"/>
              <w:spacing w:after="0"/>
              <w:rPr>
                <w:sz w:val="20"/>
                <w:szCs w:val="20"/>
                <w:color w:val="auto"/>
              </w:rPr>
            </w:pPr>
            <w:r>
              <w:rPr>
                <w:rFonts w:ascii="Arial" w:cs="Arial" w:eastAsia="Arial" w:hAnsi="Arial"/>
                <w:sz w:val="18"/>
                <w:szCs w:val="18"/>
                <w:color w:val="auto"/>
                <w:w w:val="85"/>
              </w:rPr>
              <w:t>Class C</w:t>
            </w: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211</w:t>
            </w:r>
          </w:p>
        </w:tc>
        <w:tc>
          <w:tcPr>
            <w:tcW w:w="680" w:type="dxa"/>
            <w:vAlign w:val="bottom"/>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920" w:type="dxa"/>
            <w:vAlign w:val="bottom"/>
            <w:shd w:val="clear" w:color="auto" w:fill="D6F3E8"/>
          </w:tcPr>
          <w:p>
            <w:pPr>
              <w:ind w:left="460"/>
              <w:spacing w:after="0"/>
              <w:rPr>
                <w:sz w:val="20"/>
                <w:szCs w:val="20"/>
                <w:color w:val="auto"/>
              </w:rPr>
            </w:pPr>
            <w:r>
              <w:rPr>
                <w:rFonts w:ascii="Arial" w:cs="Arial" w:eastAsia="Arial" w:hAnsi="Arial"/>
                <w:sz w:val="18"/>
                <w:szCs w:val="18"/>
                <w:color w:val="auto"/>
              </w:rPr>
              <w:t>Total backlog*</w:t>
            </w:r>
          </w:p>
        </w:tc>
        <w:tc>
          <w:tcPr>
            <w:tcW w:w="140" w:type="dxa"/>
            <w:vAlign w:val="bottom"/>
            <w:shd w:val="clear" w:color="auto" w:fill="D6F3E8"/>
          </w:tcPr>
          <w:p>
            <w:pPr>
              <w:spacing w:after="0"/>
              <w:rPr>
                <w:sz w:val="19"/>
                <w:szCs w:val="19"/>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D6F3E8"/>
          </w:tcPr>
          <w:p>
            <w:pPr>
              <w:spacing w:after="0"/>
              <w:rPr>
                <w:sz w:val="19"/>
                <w:szCs w:val="19"/>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338</w:t>
            </w:r>
          </w:p>
        </w:tc>
        <w:tc>
          <w:tcPr>
            <w:tcW w:w="340" w:type="dxa"/>
            <w:vAlign w:val="bottom"/>
            <w:shd w:val="clear" w:color="auto" w:fill="D6F3E8"/>
          </w:tcPr>
          <w:p>
            <w:pPr>
              <w:spacing w:after="0"/>
              <w:rPr>
                <w:sz w:val="19"/>
                <w:szCs w:val="19"/>
                <w:color w:val="auto"/>
              </w:rPr>
            </w:pPr>
          </w:p>
        </w:tc>
        <w:tc>
          <w:tcPr>
            <w:tcW w:w="6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1,183</w:t>
            </w:r>
          </w:p>
        </w:tc>
        <w:tc>
          <w:tcPr>
            <w:tcW w:w="340" w:type="dxa"/>
            <w:vAlign w:val="bottom"/>
            <w:shd w:val="clear" w:color="auto" w:fill="D6F3E8"/>
          </w:tcPr>
          <w:p>
            <w:pPr>
              <w:spacing w:after="0"/>
              <w:rPr>
                <w:sz w:val="19"/>
                <w:szCs w:val="19"/>
                <w:color w:val="auto"/>
              </w:rPr>
            </w:pPr>
          </w:p>
        </w:tc>
        <w:tc>
          <w:tcPr>
            <w:tcW w:w="5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350.0</w:t>
            </w:r>
          </w:p>
        </w:tc>
        <w:tc>
          <w:tcPr>
            <w:tcW w:w="60" w:type="dxa"/>
            <w:vAlign w:val="bottom"/>
            <w:shd w:val="clear" w:color="auto" w:fill="D6F3E8"/>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Borders>
              <w:top w:val="single" w:sz="8" w:color="D6F3E8"/>
            </w:tcBorders>
            <w:shd w:val="clear" w:color="auto" w:fill="D6F3E8"/>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940" w:type="dxa"/>
            <w:vAlign w:val="bottom"/>
            <w:gridSpan w:val="2"/>
          </w:tcPr>
          <w:p>
            <w:pPr>
              <w:spacing w:after="0"/>
              <w:rPr>
                <w:sz w:val="20"/>
                <w:szCs w:val="20"/>
                <w:color w:val="auto"/>
              </w:rPr>
            </w:pPr>
            <w:r>
              <w:rPr>
                <w:rFonts w:ascii="Arial" w:cs="Arial" w:eastAsia="Arial" w:hAnsi="Arial"/>
                <w:sz w:val="18"/>
                <w:szCs w:val="18"/>
                <w:color w:val="auto"/>
              </w:rPr>
              <w:t>Total approximate revenue dollars (in thousands)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149,501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27,648</w:t>
            </w:r>
          </w:p>
        </w:tc>
        <w:tc>
          <w:tcPr>
            <w:tcW w:w="3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2"/>
              </w:rPr>
              <w:t>$ 121,853</w:t>
            </w:r>
          </w:p>
        </w:tc>
        <w:tc>
          <w:tcPr>
            <w:tcW w:w="3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6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D6F3E8"/>
          </w:tcPr>
          <w:p>
            <w:pPr>
              <w:jc w:val="center"/>
              <w:ind w:right="5652"/>
              <w:spacing w:after="0"/>
              <w:rPr>
                <w:sz w:val="20"/>
                <w:szCs w:val="20"/>
                <w:color w:val="auto"/>
              </w:rPr>
            </w:pPr>
            <w:r>
              <w:rPr>
                <w:rFonts w:ascii="Arial" w:cs="Arial" w:eastAsia="Arial" w:hAnsi="Arial"/>
                <w:sz w:val="18"/>
                <w:szCs w:val="18"/>
                <w:color w:val="auto"/>
                <w:w w:val="90"/>
              </w:rPr>
              <w:t>Dealer inventory</w:t>
            </w:r>
          </w:p>
        </w:tc>
        <w:tc>
          <w:tcPr>
            <w:tcW w:w="140" w:type="dxa"/>
            <w:vAlign w:val="bottom"/>
            <w:shd w:val="clear" w:color="auto" w:fill="D6F3E8"/>
          </w:tcPr>
          <w:p>
            <w:pPr>
              <w:spacing w:after="0"/>
              <w:rPr>
                <w:sz w:val="18"/>
                <w:szCs w:val="18"/>
                <w:color w:val="auto"/>
              </w:rPr>
            </w:pPr>
          </w:p>
        </w:tc>
        <w:tc>
          <w:tcPr>
            <w:tcW w:w="13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1,567</w:t>
            </w:r>
          </w:p>
        </w:tc>
        <w:tc>
          <w:tcPr>
            <w:tcW w:w="100" w:type="dxa"/>
            <w:vAlign w:val="bottom"/>
            <w:shd w:val="clear" w:color="auto" w:fill="D6F3E8"/>
          </w:tcPr>
          <w:p>
            <w:pPr>
              <w:spacing w:after="0"/>
              <w:rPr>
                <w:sz w:val="18"/>
                <w:szCs w:val="18"/>
                <w:color w:val="auto"/>
              </w:rPr>
            </w:pPr>
          </w:p>
        </w:tc>
        <w:tc>
          <w:tcPr>
            <w:tcW w:w="9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3,269</w:t>
            </w:r>
          </w:p>
        </w:tc>
        <w:tc>
          <w:tcPr>
            <w:tcW w:w="34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(1,702)</w:t>
            </w:r>
          </w:p>
        </w:tc>
        <w:tc>
          <w:tcPr>
            <w:tcW w:w="62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740" w:firstLine="8"/>
        <w:spacing w:after="0" w:line="370" w:lineRule="auto"/>
        <w:tabs>
          <w:tab w:leader="none" w:pos="132" w:val="left"/>
        </w:tabs>
        <w:numPr>
          <w:ilvl w:val="0"/>
          <w:numId w:val="2"/>
        </w:numPr>
        <w:rPr>
          <w:rFonts w:ascii="Arial" w:cs="Arial" w:eastAsia="Arial" w:hAnsi="Arial"/>
          <w:sz w:val="15"/>
          <w:szCs w:val="15"/>
          <w:color w:val="auto"/>
        </w:rPr>
      </w:pPr>
      <w:r>
        <w:rPr>
          <w:rFonts w:ascii="Arial" w:cs="Arial" w:eastAsia="Arial" w:hAnsi="Arial"/>
          <w:sz w:val="15"/>
          <w:szCs w:val="15"/>
          <w:color w:val="auto"/>
        </w:rPr>
        <w:t>The Company includes in its backlog all accepted orders from dealers to be shipped within the next six months. Orders in backlog can be cancelled or postponed at the option of the purchaser at any time without penalty and, therefore, backlog may not necessarily be an accurate measure of future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2019-12-10T03:53:34Z</dcterms:created>
  <dcterms:modified xsi:type="dcterms:W3CDTF">2019-12-10T03:53:34Z</dcterms:modified>
</cp:coreProperties>
</file>