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40"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ind w:right="380" w:firstLine="8"/>
        <w:spacing w:after="0" w:line="268"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6"/>
          <w:szCs w:val="16"/>
          <w:color w:val="auto"/>
        </w:rPr>
        <w:t>for the fiscal year ended August 29,</w:t>
      </w:r>
      <w:r>
        <w:rPr>
          <w:rFonts w:ascii="Arial" w:cs="Arial" w:eastAsia="Arial" w:hAnsi="Arial"/>
          <w:sz w:val="16"/>
          <w:szCs w:val="16"/>
          <w:b w:val="1"/>
          <w:bCs w:val="1"/>
          <w:color w:val="auto"/>
        </w:rPr>
        <w:t xml:space="preserve"> </w:t>
      </w:r>
      <w:r>
        <w:rPr>
          <w:rFonts w:ascii="Arial" w:cs="Arial" w:eastAsia="Arial" w:hAnsi="Arial"/>
          <w:sz w:val="16"/>
          <w:szCs w:val="16"/>
          <w:color w:val="auto"/>
        </w:rPr>
        <w:t>2020; or</w:t>
      </w:r>
    </w:p>
    <w:p>
      <w:pPr>
        <w:spacing w:after="0" w:line="1" w:lineRule="exact"/>
        <w:rPr>
          <w:rFonts w:ascii="MS PGothic" w:cs="MS PGothic" w:eastAsia="MS PGothic" w:hAnsi="MS PGothic"/>
          <w:sz w:val="18"/>
          <w:szCs w:val="18"/>
          <w:color w:val="auto"/>
        </w:rPr>
      </w:pPr>
    </w:p>
    <w:p>
      <w:pPr>
        <w:spacing w:after="0" w:line="196" w:lineRule="exact"/>
        <w:rPr>
          <w:rFonts w:ascii="MS PGothic" w:cs="MS PGothic" w:eastAsia="MS PGothic" w:hAnsi="MS PGothic"/>
          <w:sz w:val="18"/>
          <w:szCs w:val="18"/>
          <w:color w:val="auto"/>
        </w:rPr>
      </w:pPr>
      <w:r>
        <w:rPr>
          <w:rFonts w:ascii="MS PGothic" w:cs="MS PGothic" w:eastAsia="MS PGothic" w:hAnsi="MS PGothic"/>
          <w:sz w:val="17"/>
          <w:szCs w:val="17"/>
          <w:color w:val="auto"/>
        </w:rPr>
        <w:t>☐</w:t>
      </w:r>
      <w:r>
        <w:rPr>
          <w:rFonts w:ascii="Arial" w:cs="Arial" w:eastAsia="Arial" w:hAnsi="Arial"/>
          <w:sz w:val="16"/>
          <w:szCs w:val="16"/>
          <w:b w:val="1"/>
          <w:bCs w:val="1"/>
          <w:color w:val="auto"/>
        </w:rPr>
        <w:t xml:space="preserve"> TRANSITION REPORT PURSUANT TO SECTION 13 OR 15(D) OF THE SECURITIES EXCHANGE ACT OF 1934 </w:t>
      </w:r>
      <w:r>
        <w:rPr>
          <w:rFonts w:ascii="Arial" w:cs="Arial" w:eastAsia="Arial" w:hAnsi="Arial"/>
          <w:sz w:val="16"/>
          <w:szCs w:val="16"/>
          <w:color w:val="auto"/>
        </w:rPr>
        <w:t>for the transition period from</w:t>
      </w:r>
    </w:p>
    <w:p>
      <w:pPr>
        <w:spacing w:after="0" w:line="14"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6"/>
          <w:szCs w:val="16"/>
          <w:color w:val="auto"/>
        </w:rPr>
        <w:t>___________________ to _______________________</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 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36195</wp:posOffset>
            </wp:positionV>
            <wp:extent cx="2417445"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17445" cy="342900"/>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WINNEBAGO INDUSTRIES,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52" w:lineRule="exact"/>
        <w:rPr>
          <w:sz w:val="24"/>
          <w:szCs w:val="24"/>
          <w:color w:val="auto"/>
        </w:rPr>
      </w:pPr>
    </w:p>
    <w:tbl>
      <w:tblPr>
        <w:tblLayout w:type="fixed"/>
        <w:tblInd w:w="10" w:type="dxa"/>
        <w:tblCellMar>
          <w:top w:w="0" w:type="dxa"/>
          <w:left w:w="0" w:type="dxa"/>
          <w:bottom w:w="0" w:type="dxa"/>
          <w:right w:w="0" w:type="dxa"/>
        </w:tblCellMar>
      </w:tblPr>
      <w:tr>
        <w:trPr>
          <w:trHeight w:val="208"/>
        </w:trPr>
        <w:tc>
          <w:tcPr>
            <w:tcW w:w="50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Iowa</w:t>
            </w:r>
          </w:p>
        </w:tc>
        <w:tc>
          <w:tcPr>
            <w:tcW w:w="6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4540" w:type="dxa"/>
            <w:vAlign w:val="bottom"/>
            <w:tcBorders>
              <w:bottom w:val="single" w:sz="8" w:color="auto"/>
            </w:tcBorders>
            <w:gridSpan w:val="2"/>
          </w:tcPr>
          <w:p>
            <w:pPr>
              <w:jc w:val="right"/>
              <w:ind w:right="1759"/>
              <w:spacing w:after="0"/>
              <w:rPr>
                <w:sz w:val="20"/>
                <w:szCs w:val="20"/>
                <w:color w:val="auto"/>
              </w:rPr>
            </w:pPr>
            <w:r>
              <w:rPr>
                <w:rFonts w:ascii="Arial" w:cs="Arial" w:eastAsia="Arial" w:hAnsi="Arial"/>
                <w:sz w:val="16"/>
                <w:szCs w:val="16"/>
                <w:color w:val="auto"/>
              </w:rPr>
              <w:t>42-0802678</w:t>
            </w:r>
          </w:p>
        </w:tc>
        <w:tc>
          <w:tcPr>
            <w:tcW w:w="160" w:type="dxa"/>
            <w:vAlign w:val="bottom"/>
          </w:tcPr>
          <w:p>
            <w:pPr>
              <w:spacing w:after="0"/>
              <w:rPr>
                <w:sz w:val="18"/>
                <w:szCs w:val="18"/>
                <w:color w:val="auto"/>
              </w:rPr>
            </w:pPr>
          </w:p>
        </w:tc>
      </w:tr>
      <w:tr>
        <w:trPr>
          <w:trHeight w:val="223"/>
        </w:trPr>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20" w:type="dxa"/>
            <w:vAlign w:val="bottom"/>
          </w:tcPr>
          <w:p>
            <w:pPr>
              <w:jc w:val="center"/>
              <w:ind w:right="119"/>
              <w:spacing w:after="0"/>
              <w:rPr>
                <w:sz w:val="20"/>
                <w:szCs w:val="20"/>
                <w:color w:val="auto"/>
              </w:rPr>
            </w:pPr>
            <w:r>
              <w:rPr>
                <w:rFonts w:ascii="Arial" w:cs="Arial" w:eastAsia="Arial" w:hAnsi="Arial"/>
                <w:sz w:val="16"/>
                <w:szCs w:val="16"/>
                <w:color w:val="auto"/>
              </w:rPr>
              <w:t>(State or other jurisdiction of</w:t>
            </w: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40" w:type="dxa"/>
            <w:vAlign w:val="bottom"/>
          </w:tcPr>
          <w:p>
            <w:pPr>
              <w:jc w:val="center"/>
              <w:ind w:right="19"/>
              <w:spacing w:after="0"/>
              <w:rPr>
                <w:sz w:val="20"/>
                <w:szCs w:val="20"/>
                <w:color w:val="auto"/>
              </w:rPr>
            </w:pPr>
            <w:r>
              <w:rPr>
                <w:rFonts w:ascii="Arial" w:cs="Arial" w:eastAsia="Arial" w:hAnsi="Arial"/>
                <w:sz w:val="16"/>
                <w:szCs w:val="16"/>
                <w:color w:val="auto"/>
              </w:rPr>
              <w:t>(I.R.S. Employer Identification No.)</w:t>
            </w:r>
          </w:p>
        </w:tc>
        <w:tc>
          <w:tcPr>
            <w:tcW w:w="160" w:type="dxa"/>
            <w:vAlign w:val="bottom"/>
          </w:tcPr>
          <w:p>
            <w:pPr>
              <w:spacing w:after="0"/>
              <w:rPr>
                <w:sz w:val="19"/>
                <w:szCs w:val="19"/>
                <w:color w:val="auto"/>
              </w:rPr>
            </w:pPr>
          </w:p>
        </w:tc>
      </w:tr>
      <w:tr>
        <w:trPr>
          <w:trHeight w:val="243"/>
        </w:trPr>
        <w:tc>
          <w:tcPr>
            <w:tcW w:w="500" w:type="dxa"/>
            <w:vAlign w:val="bottom"/>
          </w:tcPr>
          <w:p>
            <w:pPr>
              <w:spacing w:after="0"/>
              <w:rPr>
                <w:sz w:val="21"/>
                <w:szCs w:val="21"/>
                <w:color w:val="auto"/>
              </w:rPr>
            </w:pPr>
          </w:p>
        </w:tc>
        <w:tc>
          <w:tcPr>
            <w:tcW w:w="3460" w:type="dxa"/>
            <w:vAlign w:val="bottom"/>
            <w:gridSpan w:val="2"/>
          </w:tcPr>
          <w:p>
            <w:pPr>
              <w:jc w:val="center"/>
              <w:ind w:left="959"/>
              <w:spacing w:after="0"/>
              <w:rPr>
                <w:sz w:val="20"/>
                <w:szCs w:val="20"/>
                <w:color w:val="auto"/>
              </w:rPr>
            </w:pPr>
            <w:r>
              <w:rPr>
                <w:rFonts w:ascii="Arial" w:cs="Arial" w:eastAsia="Arial" w:hAnsi="Arial"/>
                <w:sz w:val="16"/>
                <w:szCs w:val="16"/>
                <w:color w:val="auto"/>
              </w:rPr>
              <w:t>incorporation or organization)</w:t>
            </w: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04"/>
        </w:trPr>
        <w:tc>
          <w:tcPr>
            <w:tcW w:w="500" w:type="dxa"/>
            <w:vAlign w:val="bottom"/>
          </w:tcPr>
          <w:p>
            <w:pPr>
              <w:spacing w:after="0"/>
              <w:rPr>
                <w:sz w:val="24"/>
                <w:szCs w:val="24"/>
                <w:color w:val="auto"/>
              </w:rPr>
            </w:pPr>
          </w:p>
        </w:tc>
        <w:tc>
          <w:tcPr>
            <w:tcW w:w="12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w w:val="98"/>
              </w:rPr>
              <w:t>P.O. Box 152</w:t>
            </w:r>
          </w:p>
        </w:tc>
        <w:tc>
          <w:tcPr>
            <w:tcW w:w="22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Forest City</w:t>
            </w:r>
          </w:p>
        </w:tc>
        <w:tc>
          <w:tcPr>
            <w:tcW w:w="10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Iowa</w:t>
            </w:r>
          </w:p>
        </w:tc>
        <w:tc>
          <w:tcPr>
            <w:tcW w:w="1200" w:type="dxa"/>
            <w:vAlign w:val="bottom"/>
          </w:tcPr>
          <w:p>
            <w:pPr>
              <w:spacing w:after="0"/>
              <w:rPr>
                <w:sz w:val="24"/>
                <w:szCs w:val="24"/>
                <w:color w:val="auto"/>
              </w:rPr>
            </w:pPr>
          </w:p>
        </w:tc>
        <w:tc>
          <w:tcPr>
            <w:tcW w:w="4540" w:type="dxa"/>
            <w:vAlign w:val="bottom"/>
            <w:tcBorders>
              <w:bottom w:val="single" w:sz="8" w:color="auto"/>
            </w:tcBorders>
            <w:gridSpan w:val="2"/>
          </w:tcPr>
          <w:p>
            <w:pPr>
              <w:jc w:val="right"/>
              <w:ind w:right="1959"/>
              <w:spacing w:after="0"/>
              <w:rPr>
                <w:sz w:val="20"/>
                <w:szCs w:val="20"/>
                <w:color w:val="auto"/>
              </w:rPr>
            </w:pPr>
            <w:r>
              <w:rPr>
                <w:rFonts w:ascii="Arial" w:cs="Arial" w:eastAsia="Arial" w:hAnsi="Arial"/>
                <w:sz w:val="16"/>
                <w:szCs w:val="16"/>
                <w:color w:val="auto"/>
              </w:rPr>
              <w:t>50436</w:t>
            </w:r>
          </w:p>
        </w:tc>
        <w:tc>
          <w:tcPr>
            <w:tcW w:w="160" w:type="dxa"/>
            <w:vAlign w:val="bottom"/>
          </w:tcPr>
          <w:p>
            <w:pPr>
              <w:spacing w:after="0"/>
              <w:rPr>
                <w:sz w:val="24"/>
                <w:szCs w:val="24"/>
                <w:color w:val="auto"/>
              </w:rPr>
            </w:pPr>
          </w:p>
        </w:tc>
      </w:tr>
      <w:tr>
        <w:trPr>
          <w:trHeight w:val="224"/>
        </w:trPr>
        <w:tc>
          <w:tcPr>
            <w:tcW w:w="500" w:type="dxa"/>
            <w:vAlign w:val="bottom"/>
          </w:tcPr>
          <w:p>
            <w:pPr>
              <w:spacing w:after="0"/>
              <w:rPr>
                <w:sz w:val="19"/>
                <w:szCs w:val="19"/>
                <w:color w:val="auto"/>
              </w:rPr>
            </w:pPr>
          </w:p>
        </w:tc>
        <w:tc>
          <w:tcPr>
            <w:tcW w:w="5700" w:type="dxa"/>
            <w:vAlign w:val="bottom"/>
            <w:gridSpan w:val="5"/>
          </w:tcPr>
          <w:p>
            <w:pPr>
              <w:jc w:val="center"/>
              <w:ind w:right="1099"/>
              <w:spacing w:after="0"/>
              <w:rPr>
                <w:sz w:val="20"/>
                <w:szCs w:val="20"/>
                <w:color w:val="auto"/>
              </w:rPr>
            </w:pPr>
            <w:r>
              <w:rPr>
                <w:rFonts w:ascii="Arial" w:cs="Arial" w:eastAsia="Arial" w:hAnsi="Arial"/>
                <w:sz w:val="16"/>
                <w:szCs w:val="16"/>
                <w:color w:val="auto"/>
              </w:rPr>
              <w:t>(Address of principal executive offices)</w:t>
            </w:r>
          </w:p>
        </w:tc>
        <w:tc>
          <w:tcPr>
            <w:tcW w:w="100" w:type="dxa"/>
            <w:vAlign w:val="bottom"/>
          </w:tcPr>
          <w:p>
            <w:pPr>
              <w:spacing w:after="0"/>
              <w:rPr>
                <w:sz w:val="19"/>
                <w:szCs w:val="19"/>
                <w:color w:val="auto"/>
              </w:rPr>
            </w:pPr>
          </w:p>
        </w:tc>
        <w:tc>
          <w:tcPr>
            <w:tcW w:w="4440" w:type="dxa"/>
            <w:vAlign w:val="bottom"/>
          </w:tcPr>
          <w:p>
            <w:pPr>
              <w:jc w:val="center"/>
              <w:ind w:right="19"/>
              <w:spacing w:after="0"/>
              <w:rPr>
                <w:sz w:val="20"/>
                <w:szCs w:val="20"/>
                <w:color w:val="auto"/>
              </w:rPr>
            </w:pPr>
            <w:r>
              <w:rPr>
                <w:rFonts w:ascii="Arial" w:cs="Arial" w:eastAsia="Arial" w:hAnsi="Arial"/>
                <w:sz w:val="16"/>
                <w:szCs w:val="16"/>
                <w:color w:val="auto"/>
              </w:rPr>
              <w:t>(Zip Code)</w:t>
            </w:r>
          </w:p>
        </w:tc>
        <w:tc>
          <w:tcPr>
            <w:tcW w:w="160" w:type="dxa"/>
            <w:vAlign w:val="bottom"/>
          </w:tcPr>
          <w:p>
            <w:pPr>
              <w:spacing w:after="0"/>
              <w:rPr>
                <w:sz w:val="19"/>
                <w:szCs w:val="19"/>
                <w:color w:val="auto"/>
              </w:rPr>
            </w:pPr>
          </w:p>
        </w:tc>
      </w:tr>
      <w:tr>
        <w:trPr>
          <w:trHeight w:val="324"/>
        </w:trPr>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0" w:type="dxa"/>
            <w:vAlign w:val="bottom"/>
            <w:gridSpan w:val="6"/>
          </w:tcPr>
          <w:p>
            <w:pPr>
              <w:ind w:left="1440"/>
              <w:spacing w:after="0" w:line="184" w:lineRule="exact"/>
              <w:rPr>
                <w:sz w:val="20"/>
                <w:szCs w:val="20"/>
                <w:color w:val="auto"/>
              </w:rPr>
            </w:pPr>
            <w:r>
              <w:rPr>
                <w:rFonts w:ascii="Arial" w:cs="Arial" w:eastAsia="Arial" w:hAnsi="Arial"/>
                <w:sz w:val="16"/>
                <w:szCs w:val="16"/>
                <w:color w:val="auto"/>
              </w:rPr>
              <w:t>Registrant's telephone number, including area code: (641) 585</w:t>
            </w:r>
            <w:r>
              <w:rPr>
                <w:rFonts w:ascii="MS PGothic" w:cs="MS PGothic" w:eastAsia="MS PGothic" w:hAnsi="MS PGothic"/>
                <w:sz w:val="16"/>
                <w:szCs w:val="16"/>
                <w:color w:val="auto"/>
              </w:rPr>
              <w:t>‑</w:t>
            </w:r>
            <w:r>
              <w:rPr>
                <w:rFonts w:ascii="Arial" w:cs="Arial" w:eastAsia="Arial" w:hAnsi="Arial"/>
                <w:sz w:val="16"/>
                <w:szCs w:val="16"/>
                <w:color w:val="auto"/>
              </w:rPr>
              <w:t>3535</w:t>
            </w:r>
          </w:p>
        </w:tc>
        <w:tc>
          <w:tcPr>
            <w:tcW w:w="160" w:type="dxa"/>
            <w:vAlign w:val="bottom"/>
          </w:tcPr>
          <w:p>
            <w:pPr>
              <w:spacing w:after="0"/>
              <w:rPr>
                <w:sz w:val="24"/>
                <w:szCs w:val="24"/>
                <w:color w:val="auto"/>
              </w:rPr>
            </w:pPr>
          </w:p>
        </w:tc>
      </w:tr>
      <w:tr>
        <w:trPr>
          <w:trHeight w:val="445"/>
        </w:trPr>
        <w:tc>
          <w:tcPr>
            <w:tcW w:w="6200" w:type="dxa"/>
            <w:vAlign w:val="bottom"/>
            <w:tcBorders>
              <w:bottom w:val="single" w:sz="8" w:color="auto"/>
            </w:tcBorders>
            <w:gridSpan w:val="6"/>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236"/>
        </w:trPr>
        <w:tc>
          <w:tcPr>
            <w:tcW w:w="500" w:type="dxa"/>
            <w:vAlign w:val="bottom"/>
            <w:tcBorders>
              <w:left w:val="single" w:sz="8" w:color="auto"/>
              <w:bottom w:val="single" w:sz="8" w:color="auto"/>
            </w:tcBorders>
          </w:tcPr>
          <w:p>
            <w:pPr>
              <w:spacing w:after="0"/>
              <w:rPr>
                <w:sz w:val="20"/>
                <w:szCs w:val="20"/>
                <w:color w:val="auto"/>
              </w:rPr>
            </w:pPr>
          </w:p>
        </w:tc>
        <w:tc>
          <w:tcPr>
            <w:tcW w:w="3460" w:type="dxa"/>
            <w:vAlign w:val="bottom"/>
            <w:tcBorders>
              <w:bottom w:val="single" w:sz="8" w:color="auto"/>
            </w:tcBorders>
            <w:gridSpan w:val="2"/>
          </w:tcPr>
          <w:p>
            <w:pPr>
              <w:ind w:left="1160"/>
              <w:spacing w:after="0"/>
              <w:rPr>
                <w:sz w:val="20"/>
                <w:szCs w:val="20"/>
                <w:color w:val="auto"/>
              </w:rPr>
            </w:pPr>
            <w:r>
              <w:rPr>
                <w:rFonts w:ascii="Arial" w:cs="Arial" w:eastAsia="Arial" w:hAnsi="Arial"/>
                <w:sz w:val="16"/>
                <w:szCs w:val="16"/>
                <w:color w:val="auto"/>
              </w:rPr>
              <w:t>Title of each class</w:t>
            </w:r>
          </w:p>
        </w:tc>
        <w:tc>
          <w:tcPr>
            <w:tcW w:w="6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Trading Symbol(s)</w:t>
            </w:r>
          </w:p>
        </w:tc>
        <w:tc>
          <w:tcPr>
            <w:tcW w:w="100" w:type="dxa"/>
            <w:vAlign w:val="bottom"/>
            <w:tcBorders>
              <w:bottom w:val="single" w:sz="8" w:color="auto"/>
              <w:right w:val="single" w:sz="8" w:color="auto"/>
            </w:tcBorders>
          </w:tcPr>
          <w:p>
            <w:pPr>
              <w:spacing w:after="0"/>
              <w:rPr>
                <w:sz w:val="20"/>
                <w:szCs w:val="20"/>
                <w:color w:val="auto"/>
              </w:rPr>
            </w:pPr>
          </w:p>
        </w:tc>
        <w:tc>
          <w:tcPr>
            <w:tcW w:w="444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rPr>
              <w:t>Name of each exchange on which registered</w:t>
            </w:r>
          </w:p>
        </w:tc>
        <w:tc>
          <w:tcPr>
            <w:tcW w:w="160" w:type="dxa"/>
            <w:vAlign w:val="bottom"/>
            <w:tcBorders>
              <w:bottom w:val="single" w:sz="8" w:color="auto"/>
              <w:right w:val="single" w:sz="8" w:color="auto"/>
            </w:tcBorders>
          </w:tcPr>
          <w:p>
            <w:pPr>
              <w:spacing w:after="0"/>
              <w:rPr>
                <w:sz w:val="20"/>
                <w:szCs w:val="20"/>
                <w:color w:val="auto"/>
              </w:rPr>
            </w:pPr>
          </w:p>
        </w:tc>
      </w:tr>
      <w:tr>
        <w:trPr>
          <w:trHeight w:val="237"/>
        </w:trPr>
        <w:tc>
          <w:tcPr>
            <w:tcW w:w="500" w:type="dxa"/>
            <w:vAlign w:val="bottom"/>
            <w:tcBorders>
              <w:left w:val="single" w:sz="8" w:color="auto"/>
              <w:bottom w:val="single" w:sz="8" w:color="auto"/>
            </w:tcBorders>
          </w:tcPr>
          <w:p>
            <w:pPr>
              <w:spacing w:after="0"/>
              <w:rPr>
                <w:sz w:val="20"/>
                <w:szCs w:val="20"/>
                <w:color w:val="auto"/>
              </w:rPr>
            </w:pPr>
          </w:p>
        </w:tc>
        <w:tc>
          <w:tcPr>
            <w:tcW w:w="3460" w:type="dxa"/>
            <w:vAlign w:val="bottom"/>
            <w:tcBorders>
              <w:bottom w:val="single" w:sz="8" w:color="auto"/>
            </w:tcBorders>
            <w:gridSpan w:val="2"/>
          </w:tcPr>
          <w:p>
            <w:pPr>
              <w:ind w:left="280"/>
              <w:spacing w:after="0"/>
              <w:rPr>
                <w:sz w:val="20"/>
                <w:szCs w:val="20"/>
                <w:color w:val="auto"/>
              </w:rPr>
            </w:pPr>
            <w:r>
              <w:rPr>
                <w:rFonts w:ascii="Arial" w:cs="Arial" w:eastAsia="Arial" w:hAnsi="Arial"/>
                <w:sz w:val="16"/>
                <w:szCs w:val="16"/>
                <w:color w:val="auto"/>
              </w:rPr>
              <w:t>Common Stock, $0.50 par value per share</w:t>
            </w:r>
          </w:p>
        </w:tc>
        <w:tc>
          <w:tcPr>
            <w:tcW w:w="6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color w:val="auto"/>
                <w:w w:val="99"/>
              </w:rPr>
              <w:t>WGO</w:t>
            </w:r>
          </w:p>
        </w:tc>
        <w:tc>
          <w:tcPr>
            <w:tcW w:w="100" w:type="dxa"/>
            <w:vAlign w:val="bottom"/>
            <w:tcBorders>
              <w:bottom w:val="single" w:sz="8" w:color="auto"/>
              <w:right w:val="single" w:sz="8" w:color="auto"/>
            </w:tcBorders>
          </w:tcPr>
          <w:p>
            <w:pPr>
              <w:spacing w:after="0"/>
              <w:rPr>
                <w:sz w:val="20"/>
                <w:szCs w:val="20"/>
                <w:color w:val="auto"/>
              </w:rPr>
            </w:pPr>
          </w:p>
        </w:tc>
        <w:tc>
          <w:tcPr>
            <w:tcW w:w="444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rPr>
              <w:t>New York Stock Exchange</w:t>
            </w:r>
          </w:p>
        </w:tc>
        <w:tc>
          <w:tcPr>
            <w:tcW w:w="160" w:type="dxa"/>
            <w:vAlign w:val="bottom"/>
            <w:tcBorders>
              <w:bottom w:val="single" w:sz="8" w:color="auto"/>
              <w:right w:val="single" w:sz="8" w:color="auto"/>
            </w:tcBorders>
          </w:tcPr>
          <w:p>
            <w:pPr>
              <w:spacing w:after="0"/>
              <w:rPr>
                <w:sz w:val="20"/>
                <w:szCs w:val="20"/>
                <w:color w:val="auto"/>
              </w:rPr>
            </w:pPr>
          </w:p>
        </w:tc>
      </w:tr>
    </w:tbl>
    <w:p>
      <w:pPr>
        <w:spacing w:after="0" w:line="113"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57" w:lineRule="exact"/>
        <w:rPr>
          <w:sz w:val="24"/>
          <w:szCs w:val="24"/>
          <w:color w:val="auto"/>
        </w:rPr>
      </w:pPr>
    </w:p>
    <w:p>
      <w:pPr>
        <w:ind w:right="2780"/>
        <w:spacing w:after="0" w:line="303"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91" w:lineRule="exact"/>
        <w:rPr>
          <w:sz w:val="24"/>
          <w:szCs w:val="24"/>
          <w:color w:val="auto"/>
        </w:rPr>
      </w:pPr>
    </w:p>
    <w:p>
      <w:pPr>
        <w:ind w:right="80"/>
        <w:spacing w:after="0" w:line="212" w:lineRule="exact"/>
        <w:rPr>
          <w:sz w:val="20"/>
          <w:szCs w:val="20"/>
          <w:color w:val="auto"/>
        </w:rPr>
      </w:pPr>
      <w:r>
        <w:rPr>
          <w:rFonts w:ascii="Arial" w:cs="Arial" w:eastAsia="Arial" w:hAnsi="Arial"/>
          <w:sz w:val="16"/>
          <w:szCs w:val="16"/>
          <w:color w:val="auto"/>
        </w:rPr>
        <w:t>I</w:t>
      </w:r>
      <w:r>
        <w:rPr>
          <w:rFonts w:ascii="Arial" w:cs="Arial" w:eastAsia="Arial" w:hAnsi="Arial"/>
          <w:sz w:val="14"/>
          <w:szCs w:val="14"/>
          <w:color w:val="auto"/>
        </w:rPr>
        <w:t>ndicate by check mark whether the registrant (1) has filed all reports required to be filed by Section 13 or 15(d) of the Securities Exchange Act of 1934 during the preceding 12</w:t>
      </w:r>
      <w:r>
        <w:rPr>
          <w:rFonts w:ascii="Arial" w:cs="Arial" w:eastAsia="Arial" w:hAnsi="Arial"/>
          <w:sz w:val="16"/>
          <w:szCs w:val="16"/>
          <w:color w:val="auto"/>
        </w:rPr>
        <w:t xml:space="preserve"> </w:t>
      </w:r>
      <w:r>
        <w:rPr>
          <w:rFonts w:ascii="Arial" w:cs="Arial" w:eastAsia="Arial" w:hAnsi="Arial"/>
          <w:sz w:val="14"/>
          <w:szCs w:val="14"/>
          <w:color w:val="auto"/>
        </w:rPr>
        <w:t xml:space="preserve">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94" w:lineRule="exact"/>
        <w:rPr>
          <w:sz w:val="24"/>
          <w:szCs w:val="24"/>
          <w:color w:val="auto"/>
        </w:rPr>
      </w:pPr>
    </w:p>
    <w:p>
      <w:pPr>
        <w:ind w:right="660"/>
        <w:spacing w:after="0" w:line="19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94" w:lineRule="exact"/>
        <w:rPr>
          <w:sz w:val="24"/>
          <w:szCs w:val="24"/>
          <w:color w:val="auto"/>
        </w:rPr>
      </w:pPr>
    </w:p>
    <w:p>
      <w:pPr>
        <w:ind w:right="22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4" w:lineRule="exact"/>
        <w:rPr>
          <w:sz w:val="24"/>
          <w:szCs w:val="24"/>
          <w:color w:val="auto"/>
        </w:rPr>
      </w:pPr>
    </w:p>
    <w:p>
      <w:pPr>
        <w:spacing w:after="0" w:line="196" w:lineRule="exact"/>
        <w:tabs>
          <w:tab w:leader="none" w:pos="1840" w:val="left"/>
          <w:tab w:leader="none" w:pos="326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4"/>
          <w:szCs w:val="14"/>
          <w:color w:val="auto"/>
        </w:rPr>
        <w:tab/>
        <w:t xml:space="preserve">Accelerated Filer </w:t>
      </w:r>
      <w:r>
        <w:rPr>
          <w:rFonts w:ascii="MS PGothic" w:cs="MS PGothic" w:eastAsia="MS PGothic" w:hAnsi="MS PGothic"/>
          <w:sz w:val="17"/>
          <w:szCs w:val="17"/>
          <w:color w:val="auto"/>
        </w:rPr>
        <w:t>☐</w:t>
      </w:r>
      <w:r>
        <w:rPr>
          <w:rFonts w:ascii="Arial" w:cs="Arial" w:eastAsia="Arial" w:hAnsi="Arial"/>
          <w:sz w:val="14"/>
          <w:szCs w:val="14"/>
          <w:color w:val="auto"/>
        </w:rPr>
        <w:tab/>
        <w:t xml:space="preserve">Non-accelerated filer </w:t>
      </w:r>
      <w:r>
        <w:rPr>
          <w:rFonts w:ascii="MS PGothic" w:cs="MS PGothic" w:eastAsia="MS PGothic" w:hAnsi="MS PGothic"/>
          <w:sz w:val="17"/>
          <w:szCs w:val="17"/>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7"/>
          <w:szCs w:val="17"/>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7"/>
          <w:szCs w:val="17"/>
          <w:color w:val="auto"/>
        </w:rPr>
        <w:t>☐</w:t>
      </w:r>
    </w:p>
    <w:p>
      <w:pPr>
        <w:spacing w:after="0" w:line="180" w:lineRule="exact"/>
        <w:rPr>
          <w:sz w:val="24"/>
          <w:szCs w:val="24"/>
          <w:color w:val="auto"/>
        </w:rPr>
      </w:pPr>
    </w:p>
    <w:p>
      <w:pPr>
        <w:ind w:right="280"/>
        <w:spacing w:after="0" w:line="19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4" w:lineRule="exact"/>
        <w:rPr>
          <w:sz w:val="24"/>
          <w:szCs w:val="24"/>
          <w:color w:val="auto"/>
        </w:rPr>
      </w:pPr>
    </w:p>
    <w:p>
      <w:pPr>
        <w:ind w:right="400"/>
        <w:spacing w:after="0" w:line="19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42" w:lineRule="exact"/>
        <w:rPr>
          <w:sz w:val="24"/>
          <w:szCs w:val="24"/>
          <w:color w:val="auto"/>
        </w:rPr>
      </w:pPr>
    </w:p>
    <w:p>
      <w:pPr>
        <w:spacing w:after="0" w:line="19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180" w:lineRule="exact"/>
        <w:rPr>
          <w:sz w:val="24"/>
          <w:szCs w:val="24"/>
          <w:color w:val="auto"/>
        </w:rPr>
      </w:pPr>
    </w:p>
    <w:p>
      <w:pPr>
        <w:spacing w:after="0" w:line="258" w:lineRule="auto"/>
        <w:rPr>
          <w:sz w:val="20"/>
          <w:szCs w:val="20"/>
          <w:color w:val="auto"/>
        </w:rPr>
      </w:pPr>
      <w:r>
        <w:rPr>
          <w:rFonts w:ascii="Arial" w:cs="Arial" w:eastAsia="Arial" w:hAnsi="Arial"/>
          <w:sz w:val="14"/>
          <w:szCs w:val="14"/>
          <w:color w:val="auto"/>
        </w:rPr>
        <w:t>Aggregate market value of the common stock held by non-affiliates of the registrant: $1,670,376,429 (32,190,720 shares at the closing price on the New York Stock Exchange of $51.89 on February 28, 2020).</w:t>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Common stock outstanding on October 16, 2020: 33,758,021 shares.</w:t>
      </w:r>
    </w:p>
    <w:p>
      <w:pPr>
        <w:spacing w:after="0" w:line="329"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5" w:lineRule="exact"/>
        <w:rPr>
          <w:sz w:val="24"/>
          <w:szCs w:val="24"/>
          <w:color w:val="auto"/>
        </w:rPr>
      </w:pPr>
    </w:p>
    <w:p>
      <w:pPr>
        <w:ind w:right="100"/>
        <w:spacing w:after="0" w:line="260" w:lineRule="auto"/>
        <w:rPr>
          <w:sz w:val="20"/>
          <w:szCs w:val="20"/>
          <w:color w:val="auto"/>
        </w:rPr>
      </w:pPr>
      <w:r>
        <w:rPr>
          <w:rFonts w:ascii="Arial" w:cs="Arial" w:eastAsia="Arial" w:hAnsi="Arial"/>
          <w:sz w:val="16"/>
          <w:szCs w:val="16"/>
          <w:color w:val="auto"/>
        </w:rPr>
        <w:t>Portions of the registrant's Proxy Statement relating to the registrant's 2020 Annual Meeting of Shareholders, scheduled to be held December 15, 2020, are incorporated by reference into Part III of this Annual Report on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542925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4" w:right="35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2020 Form 10-K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of Contents</w:t>
      </w: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00" w:type="dxa"/>
            <w:vAlign w:val="bottom"/>
          </w:tcPr>
          <w:p>
            <w:pPr>
              <w:spacing w:after="0"/>
              <w:rPr>
                <w:rFonts w:ascii="Arial" w:cs="Arial" w:eastAsia="Arial" w:hAnsi="Arial"/>
                <w:sz w:val="16"/>
                <w:szCs w:val="16"/>
                <w:b w:val="1"/>
                <w:bCs w:val="1"/>
                <w:u w:val="single" w:color="auto"/>
                <w:color w:val="0000FF"/>
              </w:rPr>
            </w:pPr>
            <w:hyperlink w:anchor="page3">
              <w:r>
                <w:rPr>
                  <w:rFonts w:ascii="Arial" w:cs="Arial" w:eastAsia="Arial" w:hAnsi="Arial"/>
                  <w:sz w:val="16"/>
                  <w:szCs w:val="16"/>
                  <w:b w:val="1"/>
                  <w:bCs w:val="1"/>
                  <w:u w:val="single" w:color="auto"/>
                  <w:color w:val="0000FF"/>
                </w:rPr>
                <w:t>PART I</w:t>
              </w:r>
            </w:hyperlink>
          </w:p>
        </w:tc>
        <w:tc>
          <w:tcPr>
            <w:tcW w:w="9340" w:type="dxa"/>
            <w:vAlign w:val="bottom"/>
          </w:tcPr>
          <w:p>
            <w:pPr>
              <w:spacing w:after="0"/>
              <w:rPr>
                <w:sz w:val="18"/>
                <w:szCs w:val="18"/>
                <w:color w:val="auto"/>
              </w:rPr>
            </w:pPr>
          </w:p>
        </w:tc>
        <w:tc>
          <w:tcPr>
            <w:tcW w:w="1060" w:type="dxa"/>
            <w:vAlign w:val="bottom"/>
          </w:tcPr>
          <w:p>
            <w:pPr>
              <w:jc w:val="right"/>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4</w:t>
              </w:r>
            </w:hyperlink>
          </w:p>
        </w:tc>
      </w:tr>
      <w:tr>
        <w:trPr>
          <w:trHeight w:val="216"/>
        </w:trPr>
        <w:tc>
          <w:tcPr>
            <w:tcW w:w="800" w:type="dxa"/>
            <w:vAlign w:val="bottom"/>
          </w:tcPr>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Item 1.</w:t>
              </w:r>
            </w:hyperlink>
          </w:p>
        </w:tc>
        <w:tc>
          <w:tcPr>
            <w:tcW w:w="9340" w:type="dxa"/>
            <w:vAlign w:val="bottom"/>
          </w:tcPr>
          <w:p>
            <w:pPr>
              <w:ind w:left="160"/>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Business</w:t>
              </w:r>
            </w:hyperlink>
          </w:p>
        </w:tc>
        <w:tc>
          <w:tcPr>
            <w:tcW w:w="1060" w:type="dxa"/>
            <w:vAlign w:val="bottom"/>
          </w:tcPr>
          <w:p>
            <w:pPr>
              <w:jc w:val="right"/>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4</w:t>
              </w:r>
            </w:hyperlink>
          </w:p>
        </w:tc>
      </w:tr>
      <w:tr>
        <w:trPr>
          <w:trHeight w:val="216"/>
        </w:trPr>
        <w:tc>
          <w:tcPr>
            <w:tcW w:w="800" w:type="dxa"/>
            <w:vAlign w:val="bottom"/>
          </w:tcPr>
          <w:p>
            <w:pPr>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Item 1A.</w:t>
              </w:r>
            </w:hyperlink>
          </w:p>
        </w:tc>
        <w:tc>
          <w:tcPr>
            <w:tcW w:w="9340" w:type="dxa"/>
            <w:vAlign w:val="bottom"/>
          </w:tcPr>
          <w:p>
            <w:pPr>
              <w:ind w:left="160"/>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Risk Factors</w:t>
              </w:r>
            </w:hyperlink>
          </w:p>
        </w:tc>
        <w:tc>
          <w:tcPr>
            <w:tcW w:w="1060" w:type="dxa"/>
            <w:vAlign w:val="bottom"/>
          </w:tcPr>
          <w:p>
            <w:pPr>
              <w:jc w:val="right"/>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8</w:t>
              </w:r>
            </w:hyperlink>
          </w:p>
        </w:tc>
      </w:tr>
      <w:tr>
        <w:trPr>
          <w:trHeight w:val="216"/>
        </w:trPr>
        <w:tc>
          <w:tcPr>
            <w:tcW w:w="800" w:type="dxa"/>
            <w:vAlign w:val="bottom"/>
          </w:tcPr>
          <w:p>
            <w:pPr>
              <w:spacing w:after="0"/>
              <w:rPr>
                <w:rFonts w:ascii="Arial" w:cs="Arial" w:eastAsia="Arial" w:hAnsi="Arial"/>
                <w:sz w:val="16"/>
                <w:szCs w:val="16"/>
                <w:u w:val="single" w:color="auto"/>
                <w:color w:val="0000FF"/>
              </w:rPr>
            </w:pPr>
            <w:hyperlink w:anchor="page16">
              <w:r>
                <w:rPr>
                  <w:rFonts w:ascii="Arial" w:cs="Arial" w:eastAsia="Arial" w:hAnsi="Arial"/>
                  <w:sz w:val="16"/>
                  <w:szCs w:val="16"/>
                  <w:u w:val="single" w:color="auto"/>
                  <w:color w:val="0000FF"/>
                </w:rPr>
                <w:t>Item 1B.</w:t>
              </w:r>
            </w:hyperlink>
          </w:p>
        </w:tc>
        <w:tc>
          <w:tcPr>
            <w:tcW w:w="9340" w:type="dxa"/>
            <w:vAlign w:val="bottom"/>
          </w:tcPr>
          <w:p>
            <w:pPr>
              <w:ind w:left="160"/>
              <w:spacing w:after="0"/>
              <w:rPr>
                <w:rFonts w:ascii="Arial" w:cs="Arial" w:eastAsia="Arial" w:hAnsi="Arial"/>
                <w:sz w:val="16"/>
                <w:szCs w:val="16"/>
                <w:u w:val="single" w:color="auto"/>
                <w:color w:val="0000FF"/>
              </w:rPr>
            </w:pPr>
            <w:hyperlink w:anchor="page16">
              <w:r>
                <w:rPr>
                  <w:rFonts w:ascii="Arial" w:cs="Arial" w:eastAsia="Arial" w:hAnsi="Arial"/>
                  <w:sz w:val="16"/>
                  <w:szCs w:val="16"/>
                  <w:u w:val="single" w:color="auto"/>
                  <w:color w:val="0000FF"/>
                </w:rPr>
                <w:t>Unresolved Staff Comments</w:t>
              </w:r>
            </w:hyperlink>
          </w:p>
        </w:tc>
        <w:tc>
          <w:tcPr>
            <w:tcW w:w="1060" w:type="dxa"/>
            <w:vAlign w:val="bottom"/>
          </w:tcPr>
          <w:p>
            <w:pPr>
              <w:jc w:val="right"/>
              <w:spacing w:after="0"/>
              <w:rPr>
                <w:rFonts w:ascii="Arial" w:cs="Arial" w:eastAsia="Arial" w:hAnsi="Arial"/>
                <w:sz w:val="16"/>
                <w:szCs w:val="16"/>
                <w:u w:val="single" w:color="auto"/>
                <w:color w:val="0000FF"/>
              </w:rPr>
            </w:pPr>
            <w:hyperlink w:anchor="page16">
              <w:r>
                <w:rPr>
                  <w:rFonts w:ascii="Arial" w:cs="Arial" w:eastAsia="Arial" w:hAnsi="Arial"/>
                  <w:sz w:val="16"/>
                  <w:szCs w:val="16"/>
                  <w:u w:val="single" w:color="auto"/>
                  <w:color w:val="0000FF"/>
                </w:rPr>
                <w:t>16</w:t>
              </w:r>
            </w:hyperlink>
          </w:p>
        </w:tc>
      </w:tr>
      <w:tr>
        <w:trPr>
          <w:trHeight w:val="216"/>
        </w:trPr>
        <w:tc>
          <w:tcPr>
            <w:tcW w:w="800" w:type="dxa"/>
            <w:vAlign w:val="bottom"/>
          </w:tcPr>
          <w:p>
            <w:pPr>
              <w:spacing w:after="0"/>
              <w:rPr>
                <w:rFonts w:ascii="Arial" w:cs="Arial" w:eastAsia="Arial" w:hAnsi="Arial"/>
                <w:sz w:val="16"/>
                <w:szCs w:val="16"/>
                <w:u w:val="single" w:color="auto"/>
                <w:color w:val="0000FF"/>
              </w:rPr>
            </w:pPr>
            <w:hyperlink w:anchor="page16">
              <w:r>
                <w:rPr>
                  <w:rFonts w:ascii="Arial" w:cs="Arial" w:eastAsia="Arial" w:hAnsi="Arial"/>
                  <w:sz w:val="16"/>
                  <w:szCs w:val="16"/>
                  <w:u w:val="single" w:color="auto"/>
                  <w:color w:val="0000FF"/>
                </w:rPr>
                <w:t>Item 2.</w:t>
              </w:r>
            </w:hyperlink>
          </w:p>
        </w:tc>
        <w:tc>
          <w:tcPr>
            <w:tcW w:w="9340" w:type="dxa"/>
            <w:vAlign w:val="bottom"/>
          </w:tcPr>
          <w:p>
            <w:pPr>
              <w:ind w:left="160"/>
              <w:spacing w:after="0"/>
              <w:rPr>
                <w:rFonts w:ascii="Arial" w:cs="Arial" w:eastAsia="Arial" w:hAnsi="Arial"/>
                <w:sz w:val="16"/>
                <w:szCs w:val="16"/>
                <w:u w:val="single" w:color="auto"/>
                <w:color w:val="0000FF"/>
              </w:rPr>
            </w:pPr>
            <w:hyperlink w:anchor="page16">
              <w:r>
                <w:rPr>
                  <w:rFonts w:ascii="Arial" w:cs="Arial" w:eastAsia="Arial" w:hAnsi="Arial"/>
                  <w:sz w:val="16"/>
                  <w:szCs w:val="16"/>
                  <w:u w:val="single" w:color="auto"/>
                  <w:color w:val="0000FF"/>
                </w:rPr>
                <w:t>Properties</w:t>
              </w:r>
            </w:hyperlink>
          </w:p>
        </w:tc>
        <w:tc>
          <w:tcPr>
            <w:tcW w:w="1060" w:type="dxa"/>
            <w:vAlign w:val="bottom"/>
          </w:tcPr>
          <w:p>
            <w:pPr>
              <w:jc w:val="right"/>
              <w:spacing w:after="0"/>
              <w:rPr>
                <w:rFonts w:ascii="Arial" w:cs="Arial" w:eastAsia="Arial" w:hAnsi="Arial"/>
                <w:sz w:val="16"/>
                <w:szCs w:val="16"/>
                <w:u w:val="single" w:color="auto"/>
                <w:color w:val="0000FF"/>
              </w:rPr>
            </w:pPr>
            <w:hyperlink w:anchor="page16">
              <w:r>
                <w:rPr>
                  <w:rFonts w:ascii="Arial" w:cs="Arial" w:eastAsia="Arial" w:hAnsi="Arial"/>
                  <w:sz w:val="16"/>
                  <w:szCs w:val="16"/>
                  <w:u w:val="single" w:color="auto"/>
                  <w:color w:val="0000FF"/>
                </w:rPr>
                <w:t>16</w:t>
              </w:r>
            </w:hyperlink>
          </w:p>
        </w:tc>
      </w:tr>
      <w:tr>
        <w:trPr>
          <w:trHeight w:val="216"/>
        </w:trPr>
        <w:tc>
          <w:tcPr>
            <w:tcW w:w="800" w:type="dxa"/>
            <w:vAlign w:val="bottom"/>
          </w:tcPr>
          <w:p>
            <w:pPr>
              <w:spacing w:after="0"/>
              <w:rPr>
                <w:rFonts w:ascii="Arial" w:cs="Arial" w:eastAsia="Arial" w:hAnsi="Arial"/>
                <w:sz w:val="16"/>
                <w:szCs w:val="16"/>
                <w:u w:val="single" w:color="auto"/>
                <w:color w:val="0000FF"/>
              </w:rPr>
            </w:pPr>
            <w:hyperlink w:anchor="page16">
              <w:r>
                <w:rPr>
                  <w:rFonts w:ascii="Arial" w:cs="Arial" w:eastAsia="Arial" w:hAnsi="Arial"/>
                  <w:sz w:val="16"/>
                  <w:szCs w:val="16"/>
                  <w:u w:val="single" w:color="auto"/>
                  <w:color w:val="0000FF"/>
                </w:rPr>
                <w:t>Item 3.</w:t>
              </w:r>
            </w:hyperlink>
          </w:p>
        </w:tc>
        <w:tc>
          <w:tcPr>
            <w:tcW w:w="9340" w:type="dxa"/>
            <w:vAlign w:val="bottom"/>
          </w:tcPr>
          <w:p>
            <w:pPr>
              <w:ind w:left="160"/>
              <w:spacing w:after="0"/>
              <w:rPr>
                <w:rFonts w:ascii="Arial" w:cs="Arial" w:eastAsia="Arial" w:hAnsi="Arial"/>
                <w:sz w:val="16"/>
                <w:szCs w:val="16"/>
                <w:u w:val="single" w:color="auto"/>
                <w:color w:val="0000FF"/>
              </w:rPr>
            </w:pPr>
            <w:hyperlink w:anchor="page16">
              <w:r>
                <w:rPr>
                  <w:rFonts w:ascii="Arial" w:cs="Arial" w:eastAsia="Arial" w:hAnsi="Arial"/>
                  <w:sz w:val="16"/>
                  <w:szCs w:val="16"/>
                  <w:u w:val="single" w:color="auto"/>
                  <w:color w:val="0000FF"/>
                </w:rPr>
                <w:t>Legal Proceedings</w:t>
              </w:r>
            </w:hyperlink>
          </w:p>
        </w:tc>
        <w:tc>
          <w:tcPr>
            <w:tcW w:w="1060" w:type="dxa"/>
            <w:vAlign w:val="bottom"/>
          </w:tcPr>
          <w:p>
            <w:pPr>
              <w:jc w:val="right"/>
              <w:spacing w:after="0"/>
              <w:rPr>
                <w:rFonts w:ascii="Arial" w:cs="Arial" w:eastAsia="Arial" w:hAnsi="Arial"/>
                <w:sz w:val="16"/>
                <w:szCs w:val="16"/>
                <w:u w:val="single" w:color="auto"/>
                <w:color w:val="0000FF"/>
              </w:rPr>
            </w:pPr>
            <w:hyperlink w:anchor="page16">
              <w:r>
                <w:rPr>
                  <w:rFonts w:ascii="Arial" w:cs="Arial" w:eastAsia="Arial" w:hAnsi="Arial"/>
                  <w:sz w:val="16"/>
                  <w:szCs w:val="16"/>
                  <w:u w:val="single" w:color="auto"/>
                  <w:color w:val="0000FF"/>
                </w:rPr>
                <w:t>16</w:t>
              </w:r>
            </w:hyperlink>
          </w:p>
        </w:tc>
      </w:tr>
      <w:tr>
        <w:trPr>
          <w:trHeight w:val="216"/>
        </w:trPr>
        <w:tc>
          <w:tcPr>
            <w:tcW w:w="800" w:type="dxa"/>
            <w:vAlign w:val="bottom"/>
          </w:tcPr>
          <w:p>
            <w:pPr>
              <w:spacing w:after="0"/>
              <w:rPr>
                <w:rFonts w:ascii="Arial" w:cs="Arial" w:eastAsia="Arial" w:hAnsi="Arial"/>
                <w:sz w:val="16"/>
                <w:szCs w:val="16"/>
                <w:u w:val="single" w:color="auto"/>
                <w:color w:val="0000FF"/>
              </w:rPr>
            </w:pPr>
            <w:hyperlink w:anchor="page16">
              <w:r>
                <w:rPr>
                  <w:rFonts w:ascii="Arial" w:cs="Arial" w:eastAsia="Arial" w:hAnsi="Arial"/>
                  <w:sz w:val="16"/>
                  <w:szCs w:val="16"/>
                  <w:u w:val="single" w:color="auto"/>
                  <w:color w:val="0000FF"/>
                </w:rPr>
                <w:t>Item 4.</w:t>
              </w:r>
            </w:hyperlink>
          </w:p>
        </w:tc>
        <w:tc>
          <w:tcPr>
            <w:tcW w:w="9340" w:type="dxa"/>
            <w:vAlign w:val="bottom"/>
          </w:tcPr>
          <w:p>
            <w:pPr>
              <w:ind w:left="160"/>
              <w:spacing w:after="0"/>
              <w:rPr>
                <w:rFonts w:ascii="Arial" w:cs="Arial" w:eastAsia="Arial" w:hAnsi="Arial"/>
                <w:sz w:val="16"/>
                <w:szCs w:val="16"/>
                <w:u w:val="single" w:color="auto"/>
                <w:color w:val="0000FF"/>
              </w:rPr>
            </w:pPr>
            <w:hyperlink w:anchor="page16">
              <w:r>
                <w:rPr>
                  <w:rFonts w:ascii="Arial" w:cs="Arial" w:eastAsia="Arial" w:hAnsi="Arial"/>
                  <w:sz w:val="16"/>
                  <w:szCs w:val="16"/>
                  <w:u w:val="single" w:color="auto"/>
                  <w:color w:val="0000FF"/>
                </w:rPr>
                <w:t>Mine Safety Disclosures</w:t>
              </w:r>
            </w:hyperlink>
          </w:p>
        </w:tc>
        <w:tc>
          <w:tcPr>
            <w:tcW w:w="1060" w:type="dxa"/>
            <w:vAlign w:val="bottom"/>
          </w:tcPr>
          <w:p>
            <w:pPr>
              <w:jc w:val="right"/>
              <w:spacing w:after="0"/>
              <w:rPr>
                <w:rFonts w:ascii="Arial" w:cs="Arial" w:eastAsia="Arial" w:hAnsi="Arial"/>
                <w:sz w:val="16"/>
                <w:szCs w:val="16"/>
                <w:u w:val="single" w:color="auto"/>
                <w:color w:val="0000FF"/>
              </w:rPr>
            </w:pPr>
            <w:hyperlink w:anchor="page16">
              <w:r>
                <w:rPr>
                  <w:rFonts w:ascii="Arial" w:cs="Arial" w:eastAsia="Arial" w:hAnsi="Arial"/>
                  <w:sz w:val="16"/>
                  <w:szCs w:val="16"/>
                  <w:u w:val="single" w:color="auto"/>
                  <w:color w:val="0000FF"/>
                </w:rPr>
                <w:t>16</w:t>
              </w:r>
            </w:hyperlink>
          </w:p>
        </w:tc>
      </w:tr>
      <w:tr>
        <w:trPr>
          <w:trHeight w:val="216"/>
        </w:trPr>
        <w:tc>
          <w:tcPr>
            <w:tcW w:w="800" w:type="dxa"/>
            <w:vAlign w:val="bottom"/>
          </w:tcPr>
          <w:p>
            <w:pPr>
              <w:spacing w:after="0"/>
              <w:rPr>
                <w:sz w:val="18"/>
                <w:szCs w:val="18"/>
                <w:color w:val="auto"/>
              </w:rPr>
            </w:pPr>
          </w:p>
        </w:tc>
        <w:tc>
          <w:tcPr>
            <w:tcW w:w="9340" w:type="dxa"/>
            <w:vAlign w:val="bottom"/>
          </w:tcPr>
          <w:p>
            <w:pPr>
              <w:ind w:left="160"/>
              <w:spacing w:after="0"/>
              <w:rPr>
                <w:rFonts w:ascii="Arial" w:cs="Arial" w:eastAsia="Arial" w:hAnsi="Arial"/>
                <w:sz w:val="16"/>
                <w:szCs w:val="16"/>
                <w:u w:val="single" w:color="auto"/>
                <w:color w:val="0000FF"/>
              </w:rPr>
            </w:pPr>
            <w:hyperlink w:anchor="page16">
              <w:r>
                <w:rPr>
                  <w:rFonts w:ascii="Arial" w:cs="Arial" w:eastAsia="Arial" w:hAnsi="Arial"/>
                  <w:sz w:val="16"/>
                  <w:szCs w:val="16"/>
                  <w:u w:val="single" w:color="auto"/>
                  <w:color w:val="0000FF"/>
                </w:rPr>
                <w:t>Information about our Executive Officers</w:t>
              </w:r>
            </w:hyperlink>
          </w:p>
        </w:tc>
        <w:tc>
          <w:tcPr>
            <w:tcW w:w="1060" w:type="dxa"/>
            <w:vAlign w:val="bottom"/>
          </w:tcPr>
          <w:p>
            <w:pPr>
              <w:jc w:val="right"/>
              <w:spacing w:after="0"/>
              <w:rPr>
                <w:rFonts w:ascii="Arial" w:cs="Arial" w:eastAsia="Arial" w:hAnsi="Arial"/>
                <w:sz w:val="16"/>
                <w:szCs w:val="16"/>
                <w:u w:val="single" w:color="auto"/>
                <w:color w:val="0000FF"/>
              </w:rPr>
            </w:pPr>
            <w:hyperlink w:anchor="page16">
              <w:r>
                <w:rPr>
                  <w:rFonts w:ascii="Arial" w:cs="Arial" w:eastAsia="Arial" w:hAnsi="Arial"/>
                  <w:sz w:val="16"/>
                  <w:szCs w:val="16"/>
                  <w:u w:val="single" w:color="auto"/>
                  <w:color w:val="0000FF"/>
                </w:rPr>
                <w:t>17</w:t>
              </w:r>
            </w:hyperlink>
          </w:p>
        </w:tc>
      </w:tr>
      <w:tr>
        <w:trPr>
          <w:trHeight w:val="473"/>
        </w:trPr>
        <w:tc>
          <w:tcPr>
            <w:tcW w:w="800" w:type="dxa"/>
            <w:vAlign w:val="bottom"/>
          </w:tcPr>
          <w:p>
            <w:pPr>
              <w:spacing w:after="0"/>
              <w:rPr>
                <w:rFonts w:ascii="Arial" w:cs="Arial" w:eastAsia="Arial" w:hAnsi="Arial"/>
                <w:sz w:val="16"/>
                <w:szCs w:val="16"/>
                <w:b w:val="1"/>
                <w:bCs w:val="1"/>
                <w:u w:val="single" w:color="auto"/>
                <w:color w:val="0000FF"/>
              </w:rPr>
            </w:pPr>
            <w:hyperlink w:anchor="page18">
              <w:r>
                <w:rPr>
                  <w:rFonts w:ascii="Arial" w:cs="Arial" w:eastAsia="Arial" w:hAnsi="Arial"/>
                  <w:sz w:val="16"/>
                  <w:szCs w:val="16"/>
                  <w:b w:val="1"/>
                  <w:bCs w:val="1"/>
                  <w:u w:val="single" w:color="auto"/>
                  <w:color w:val="0000FF"/>
                </w:rPr>
                <w:t>PART II</w:t>
              </w:r>
            </w:hyperlink>
          </w:p>
        </w:tc>
        <w:tc>
          <w:tcPr>
            <w:tcW w:w="9340" w:type="dxa"/>
            <w:vAlign w:val="bottom"/>
          </w:tcPr>
          <w:p>
            <w:pPr>
              <w:spacing w:after="0"/>
              <w:rPr>
                <w:sz w:val="24"/>
                <w:szCs w:val="24"/>
                <w:color w:val="auto"/>
              </w:rPr>
            </w:pPr>
          </w:p>
        </w:tc>
        <w:tc>
          <w:tcPr>
            <w:tcW w:w="1060" w:type="dxa"/>
            <w:vAlign w:val="bottom"/>
          </w:tcPr>
          <w:p>
            <w:pPr>
              <w:jc w:val="right"/>
              <w:spacing w:after="0"/>
              <w:rPr>
                <w:rFonts w:ascii="Arial" w:cs="Arial" w:eastAsia="Arial" w:hAnsi="Arial"/>
                <w:sz w:val="16"/>
                <w:szCs w:val="16"/>
                <w:u w:val="single" w:color="auto"/>
                <w:color w:val="0000FF"/>
              </w:rPr>
            </w:pPr>
            <w:hyperlink w:anchor="page18">
              <w:r>
                <w:rPr>
                  <w:rFonts w:ascii="Arial" w:cs="Arial" w:eastAsia="Arial" w:hAnsi="Arial"/>
                  <w:sz w:val="16"/>
                  <w:szCs w:val="16"/>
                  <w:u w:val="single" w:color="auto"/>
                  <w:color w:val="0000FF"/>
                </w:rPr>
                <w:t>19</w:t>
              </w:r>
            </w:hyperlink>
          </w:p>
        </w:tc>
      </w:tr>
      <w:tr>
        <w:trPr>
          <w:trHeight w:val="216"/>
        </w:trPr>
        <w:tc>
          <w:tcPr>
            <w:tcW w:w="800" w:type="dxa"/>
            <w:vAlign w:val="bottom"/>
          </w:tcPr>
          <w:p>
            <w:pPr>
              <w:spacing w:after="0"/>
              <w:rPr>
                <w:rFonts w:ascii="Arial" w:cs="Arial" w:eastAsia="Arial" w:hAnsi="Arial"/>
                <w:sz w:val="16"/>
                <w:szCs w:val="16"/>
                <w:u w:val="single" w:color="auto"/>
                <w:color w:val="0000FF"/>
              </w:rPr>
            </w:pPr>
            <w:hyperlink w:anchor="page19">
              <w:r>
                <w:rPr>
                  <w:rFonts w:ascii="Arial" w:cs="Arial" w:eastAsia="Arial" w:hAnsi="Arial"/>
                  <w:sz w:val="16"/>
                  <w:szCs w:val="16"/>
                  <w:u w:val="single" w:color="auto"/>
                  <w:color w:val="0000FF"/>
                </w:rPr>
                <w:t>Item 5.</w:t>
              </w:r>
            </w:hyperlink>
          </w:p>
        </w:tc>
        <w:tc>
          <w:tcPr>
            <w:tcW w:w="9340" w:type="dxa"/>
            <w:vAlign w:val="bottom"/>
          </w:tcPr>
          <w:p>
            <w:pPr>
              <w:ind w:left="160"/>
              <w:spacing w:after="0"/>
              <w:rPr>
                <w:rFonts w:ascii="Arial" w:cs="Arial" w:eastAsia="Arial" w:hAnsi="Arial"/>
                <w:sz w:val="16"/>
                <w:szCs w:val="16"/>
                <w:u w:val="single" w:color="auto"/>
                <w:color w:val="0000FF"/>
              </w:rPr>
            </w:pPr>
            <w:hyperlink w:anchor="page19">
              <w:r>
                <w:rPr>
                  <w:rFonts w:ascii="Arial" w:cs="Arial" w:eastAsia="Arial" w:hAnsi="Arial"/>
                  <w:sz w:val="16"/>
                  <w:szCs w:val="16"/>
                  <w:u w:val="single" w:color="auto"/>
                  <w:color w:val="0000FF"/>
                </w:rPr>
                <w:t>Market for the Registrant's Common Equity, Related Stockholder Matters, and Issuer Purchases of Equity Securities</w:t>
              </w:r>
            </w:hyperlink>
          </w:p>
        </w:tc>
        <w:tc>
          <w:tcPr>
            <w:tcW w:w="1060" w:type="dxa"/>
            <w:vAlign w:val="bottom"/>
          </w:tcPr>
          <w:p>
            <w:pPr>
              <w:jc w:val="right"/>
              <w:spacing w:after="0"/>
              <w:rPr>
                <w:rFonts w:ascii="Arial" w:cs="Arial" w:eastAsia="Arial" w:hAnsi="Arial"/>
                <w:sz w:val="16"/>
                <w:szCs w:val="16"/>
                <w:u w:val="single" w:color="auto"/>
                <w:color w:val="0000FF"/>
              </w:rPr>
            </w:pPr>
            <w:hyperlink w:anchor="page19">
              <w:r>
                <w:rPr>
                  <w:rFonts w:ascii="Arial" w:cs="Arial" w:eastAsia="Arial" w:hAnsi="Arial"/>
                  <w:sz w:val="16"/>
                  <w:szCs w:val="16"/>
                  <w:u w:val="single" w:color="auto"/>
                  <w:color w:val="0000FF"/>
                </w:rPr>
                <w:t>19</w:t>
              </w:r>
            </w:hyperlink>
          </w:p>
        </w:tc>
      </w:tr>
      <w:tr>
        <w:trPr>
          <w:trHeight w:val="216"/>
        </w:trPr>
        <w:tc>
          <w:tcPr>
            <w:tcW w:w="800" w:type="dxa"/>
            <w:vAlign w:val="bottom"/>
          </w:tcPr>
          <w:p>
            <w:pPr>
              <w:spacing w:after="0"/>
              <w:rPr>
                <w:rFonts w:ascii="Arial" w:cs="Arial" w:eastAsia="Arial" w:hAnsi="Arial"/>
                <w:sz w:val="16"/>
                <w:szCs w:val="16"/>
                <w:u w:val="single" w:color="auto"/>
                <w:color w:val="0000FF"/>
              </w:rPr>
            </w:pPr>
            <w:hyperlink w:anchor="page21">
              <w:r>
                <w:rPr>
                  <w:rFonts w:ascii="Arial" w:cs="Arial" w:eastAsia="Arial" w:hAnsi="Arial"/>
                  <w:sz w:val="16"/>
                  <w:szCs w:val="16"/>
                  <w:u w:val="single" w:color="auto"/>
                  <w:color w:val="0000FF"/>
                </w:rPr>
                <w:t>Item 6.</w:t>
              </w:r>
            </w:hyperlink>
          </w:p>
        </w:tc>
        <w:tc>
          <w:tcPr>
            <w:tcW w:w="9340" w:type="dxa"/>
            <w:vAlign w:val="bottom"/>
          </w:tcPr>
          <w:p>
            <w:pPr>
              <w:ind w:left="160"/>
              <w:spacing w:after="0"/>
              <w:rPr>
                <w:rFonts w:ascii="Arial" w:cs="Arial" w:eastAsia="Arial" w:hAnsi="Arial"/>
                <w:sz w:val="16"/>
                <w:szCs w:val="16"/>
                <w:u w:val="single" w:color="auto"/>
                <w:color w:val="0000FF"/>
              </w:rPr>
            </w:pPr>
            <w:hyperlink w:anchor="page21">
              <w:r>
                <w:rPr>
                  <w:rFonts w:ascii="Arial" w:cs="Arial" w:eastAsia="Arial" w:hAnsi="Arial"/>
                  <w:sz w:val="16"/>
                  <w:szCs w:val="16"/>
                  <w:u w:val="single" w:color="auto"/>
                  <w:color w:val="0000FF"/>
                </w:rPr>
                <w:t>Selected Financial Data</w:t>
              </w:r>
            </w:hyperlink>
          </w:p>
        </w:tc>
        <w:tc>
          <w:tcPr>
            <w:tcW w:w="1060" w:type="dxa"/>
            <w:vAlign w:val="bottom"/>
          </w:tcPr>
          <w:p>
            <w:pPr>
              <w:jc w:val="right"/>
              <w:spacing w:after="0"/>
              <w:rPr>
                <w:rFonts w:ascii="Arial" w:cs="Arial" w:eastAsia="Arial" w:hAnsi="Arial"/>
                <w:sz w:val="16"/>
                <w:szCs w:val="16"/>
                <w:u w:val="single" w:color="auto"/>
                <w:color w:val="0000FF"/>
              </w:rPr>
            </w:pPr>
            <w:hyperlink w:anchor="page21">
              <w:r>
                <w:rPr>
                  <w:rFonts w:ascii="Arial" w:cs="Arial" w:eastAsia="Arial" w:hAnsi="Arial"/>
                  <w:sz w:val="16"/>
                  <w:szCs w:val="16"/>
                  <w:u w:val="single" w:color="auto"/>
                  <w:color w:val="0000FF"/>
                </w:rPr>
                <w:t>22</w:t>
              </w:r>
            </w:hyperlink>
          </w:p>
        </w:tc>
      </w:tr>
      <w:tr>
        <w:trPr>
          <w:trHeight w:val="216"/>
        </w:trPr>
        <w:tc>
          <w:tcPr>
            <w:tcW w:w="800" w:type="dxa"/>
            <w:vAlign w:val="bottom"/>
          </w:tcPr>
          <w:p>
            <w:pPr>
              <w:spacing w:after="0"/>
              <w:rPr>
                <w:rFonts w:ascii="Arial" w:cs="Arial" w:eastAsia="Arial" w:hAnsi="Arial"/>
                <w:sz w:val="16"/>
                <w:szCs w:val="16"/>
                <w:u w:val="single" w:color="auto"/>
                <w:color w:val="0000FF"/>
              </w:rPr>
            </w:pPr>
            <w:hyperlink w:anchor="page22">
              <w:r>
                <w:rPr>
                  <w:rFonts w:ascii="Arial" w:cs="Arial" w:eastAsia="Arial" w:hAnsi="Arial"/>
                  <w:sz w:val="16"/>
                  <w:szCs w:val="16"/>
                  <w:u w:val="single" w:color="auto"/>
                  <w:color w:val="0000FF"/>
                </w:rPr>
                <w:t>Item 7.</w:t>
              </w:r>
            </w:hyperlink>
          </w:p>
        </w:tc>
        <w:tc>
          <w:tcPr>
            <w:tcW w:w="9340" w:type="dxa"/>
            <w:vAlign w:val="bottom"/>
          </w:tcPr>
          <w:p>
            <w:pPr>
              <w:ind w:left="160"/>
              <w:spacing w:after="0"/>
              <w:rPr>
                <w:rFonts w:ascii="Arial" w:cs="Arial" w:eastAsia="Arial" w:hAnsi="Arial"/>
                <w:sz w:val="16"/>
                <w:szCs w:val="16"/>
                <w:u w:val="single" w:color="auto"/>
                <w:color w:val="0000FF"/>
              </w:rPr>
            </w:pPr>
            <w:hyperlink w:anchor="page22">
              <w:r>
                <w:rPr>
                  <w:rFonts w:ascii="Arial" w:cs="Arial" w:eastAsia="Arial" w:hAnsi="Arial"/>
                  <w:sz w:val="16"/>
                  <w:szCs w:val="16"/>
                  <w:u w:val="single" w:color="auto"/>
                  <w:color w:val="0000FF"/>
                </w:rPr>
                <w:t>Management's Discussion and Analysis of Financial Condition and Results of Operations</w:t>
              </w:r>
            </w:hyperlink>
          </w:p>
        </w:tc>
        <w:tc>
          <w:tcPr>
            <w:tcW w:w="1060" w:type="dxa"/>
            <w:vAlign w:val="bottom"/>
          </w:tcPr>
          <w:p>
            <w:pPr>
              <w:jc w:val="right"/>
              <w:spacing w:after="0"/>
              <w:rPr>
                <w:rFonts w:ascii="Arial" w:cs="Arial" w:eastAsia="Arial" w:hAnsi="Arial"/>
                <w:sz w:val="16"/>
                <w:szCs w:val="16"/>
                <w:u w:val="single" w:color="auto"/>
                <w:color w:val="0000FF"/>
              </w:rPr>
            </w:pPr>
            <w:hyperlink w:anchor="page22">
              <w:r>
                <w:rPr>
                  <w:rFonts w:ascii="Arial" w:cs="Arial" w:eastAsia="Arial" w:hAnsi="Arial"/>
                  <w:sz w:val="16"/>
                  <w:szCs w:val="16"/>
                  <w:u w:val="single" w:color="auto"/>
                  <w:color w:val="0000FF"/>
                </w:rPr>
                <w:t>23</w:t>
              </w:r>
            </w:hyperlink>
          </w:p>
        </w:tc>
      </w:tr>
      <w:tr>
        <w:trPr>
          <w:trHeight w:val="216"/>
        </w:trPr>
        <w:tc>
          <w:tcPr>
            <w:tcW w:w="800" w:type="dxa"/>
            <w:vAlign w:val="bottom"/>
          </w:tcPr>
          <w:p>
            <w:pPr>
              <w:spacing w:after="0"/>
              <w:rPr>
                <w:rFonts w:ascii="Arial" w:cs="Arial" w:eastAsia="Arial" w:hAnsi="Arial"/>
                <w:sz w:val="16"/>
                <w:szCs w:val="16"/>
                <w:u w:val="single" w:color="auto"/>
                <w:color w:val="0000FF"/>
              </w:rPr>
            </w:pPr>
            <w:hyperlink w:anchor="page36">
              <w:r>
                <w:rPr>
                  <w:rFonts w:ascii="Arial" w:cs="Arial" w:eastAsia="Arial" w:hAnsi="Arial"/>
                  <w:sz w:val="16"/>
                  <w:szCs w:val="16"/>
                  <w:u w:val="single" w:color="auto"/>
                  <w:color w:val="0000FF"/>
                </w:rPr>
                <w:t>Item 7A.</w:t>
              </w:r>
            </w:hyperlink>
          </w:p>
        </w:tc>
        <w:tc>
          <w:tcPr>
            <w:tcW w:w="9340" w:type="dxa"/>
            <w:vAlign w:val="bottom"/>
          </w:tcPr>
          <w:p>
            <w:pPr>
              <w:ind w:left="160"/>
              <w:spacing w:after="0"/>
              <w:rPr>
                <w:rFonts w:ascii="Arial" w:cs="Arial" w:eastAsia="Arial" w:hAnsi="Arial"/>
                <w:sz w:val="16"/>
                <w:szCs w:val="16"/>
                <w:u w:val="single" w:color="auto"/>
                <w:color w:val="0000FF"/>
              </w:rPr>
            </w:pPr>
            <w:hyperlink w:anchor="page36">
              <w:r>
                <w:rPr>
                  <w:rFonts w:ascii="Arial" w:cs="Arial" w:eastAsia="Arial" w:hAnsi="Arial"/>
                  <w:sz w:val="16"/>
                  <w:szCs w:val="16"/>
                  <w:u w:val="single" w:color="auto"/>
                  <w:color w:val="0000FF"/>
                </w:rPr>
                <w:t>Quantitative and Qualitative Disclosures About Market Risk</w:t>
              </w:r>
            </w:hyperlink>
          </w:p>
        </w:tc>
        <w:tc>
          <w:tcPr>
            <w:tcW w:w="1060" w:type="dxa"/>
            <w:vAlign w:val="bottom"/>
          </w:tcPr>
          <w:p>
            <w:pPr>
              <w:jc w:val="right"/>
              <w:spacing w:after="0"/>
              <w:rPr>
                <w:rFonts w:ascii="Arial" w:cs="Arial" w:eastAsia="Arial" w:hAnsi="Arial"/>
                <w:sz w:val="16"/>
                <w:szCs w:val="16"/>
                <w:u w:val="single" w:color="auto"/>
                <w:color w:val="0000FF"/>
              </w:rPr>
            </w:pPr>
            <w:hyperlink w:anchor="page36">
              <w:r>
                <w:rPr>
                  <w:rFonts w:ascii="Arial" w:cs="Arial" w:eastAsia="Arial" w:hAnsi="Arial"/>
                  <w:sz w:val="16"/>
                  <w:szCs w:val="16"/>
                  <w:u w:val="single" w:color="auto"/>
                  <w:color w:val="0000FF"/>
                </w:rPr>
                <w:t>37</w:t>
              </w:r>
            </w:hyperlink>
          </w:p>
        </w:tc>
      </w:tr>
      <w:tr>
        <w:trPr>
          <w:trHeight w:val="216"/>
        </w:trPr>
        <w:tc>
          <w:tcPr>
            <w:tcW w:w="800" w:type="dxa"/>
            <w:vAlign w:val="bottom"/>
          </w:tcPr>
          <w:p>
            <w:pPr>
              <w:spacing w:after="0"/>
              <w:rPr>
                <w:rFonts w:ascii="Arial" w:cs="Arial" w:eastAsia="Arial" w:hAnsi="Arial"/>
                <w:sz w:val="16"/>
                <w:szCs w:val="16"/>
                <w:u w:val="single" w:color="auto"/>
                <w:color w:val="0000FF"/>
              </w:rPr>
            </w:pPr>
            <w:hyperlink w:anchor="page37">
              <w:r>
                <w:rPr>
                  <w:rFonts w:ascii="Arial" w:cs="Arial" w:eastAsia="Arial" w:hAnsi="Arial"/>
                  <w:sz w:val="16"/>
                  <w:szCs w:val="16"/>
                  <w:u w:val="single" w:color="auto"/>
                  <w:color w:val="0000FF"/>
                </w:rPr>
                <w:t>Item 8.</w:t>
              </w:r>
            </w:hyperlink>
          </w:p>
        </w:tc>
        <w:tc>
          <w:tcPr>
            <w:tcW w:w="9340" w:type="dxa"/>
            <w:vAlign w:val="bottom"/>
          </w:tcPr>
          <w:p>
            <w:pPr>
              <w:ind w:left="160"/>
              <w:spacing w:after="0"/>
              <w:rPr>
                <w:rFonts w:ascii="Arial" w:cs="Arial" w:eastAsia="Arial" w:hAnsi="Arial"/>
                <w:sz w:val="16"/>
                <w:szCs w:val="16"/>
                <w:u w:val="single" w:color="auto"/>
                <w:color w:val="0000FF"/>
              </w:rPr>
            </w:pPr>
            <w:hyperlink w:anchor="page37">
              <w:r>
                <w:rPr>
                  <w:rFonts w:ascii="Arial" w:cs="Arial" w:eastAsia="Arial" w:hAnsi="Arial"/>
                  <w:sz w:val="16"/>
                  <w:szCs w:val="16"/>
                  <w:u w:val="single" w:color="auto"/>
                  <w:color w:val="0000FF"/>
                </w:rPr>
                <w:t>Financial Statements and Supplementary Data</w:t>
              </w:r>
            </w:hyperlink>
          </w:p>
        </w:tc>
        <w:tc>
          <w:tcPr>
            <w:tcW w:w="1060" w:type="dxa"/>
            <w:vAlign w:val="bottom"/>
          </w:tcPr>
          <w:p>
            <w:pPr>
              <w:jc w:val="right"/>
              <w:spacing w:after="0"/>
              <w:rPr>
                <w:rFonts w:ascii="Arial" w:cs="Arial" w:eastAsia="Arial" w:hAnsi="Arial"/>
                <w:sz w:val="16"/>
                <w:szCs w:val="16"/>
                <w:u w:val="single" w:color="auto"/>
                <w:color w:val="0000FF"/>
              </w:rPr>
            </w:pPr>
            <w:hyperlink w:anchor="page37">
              <w:r>
                <w:rPr>
                  <w:rFonts w:ascii="Arial" w:cs="Arial" w:eastAsia="Arial" w:hAnsi="Arial"/>
                  <w:sz w:val="16"/>
                  <w:szCs w:val="16"/>
                  <w:u w:val="single" w:color="auto"/>
                  <w:color w:val="0000FF"/>
                </w:rPr>
                <w:t>38</w:t>
              </w:r>
            </w:hyperlink>
          </w:p>
        </w:tc>
      </w:tr>
      <w:tr>
        <w:trPr>
          <w:trHeight w:val="216"/>
        </w:trPr>
        <w:tc>
          <w:tcPr>
            <w:tcW w:w="800" w:type="dxa"/>
            <w:vAlign w:val="bottom"/>
          </w:tcPr>
          <w:p>
            <w:pPr>
              <w:spacing w:after="0"/>
              <w:rPr>
                <w:rFonts w:ascii="Arial" w:cs="Arial" w:eastAsia="Arial" w:hAnsi="Arial"/>
                <w:sz w:val="16"/>
                <w:szCs w:val="16"/>
                <w:u w:val="single" w:color="auto"/>
                <w:color w:val="0000FF"/>
              </w:rPr>
            </w:pPr>
            <w:hyperlink w:anchor="page74">
              <w:r>
                <w:rPr>
                  <w:rFonts w:ascii="Arial" w:cs="Arial" w:eastAsia="Arial" w:hAnsi="Arial"/>
                  <w:sz w:val="16"/>
                  <w:szCs w:val="16"/>
                  <w:u w:val="single" w:color="auto"/>
                  <w:color w:val="0000FF"/>
                </w:rPr>
                <w:t>Item 9.</w:t>
              </w:r>
            </w:hyperlink>
          </w:p>
        </w:tc>
        <w:tc>
          <w:tcPr>
            <w:tcW w:w="9340" w:type="dxa"/>
            <w:vAlign w:val="bottom"/>
          </w:tcPr>
          <w:p>
            <w:pPr>
              <w:ind w:left="160"/>
              <w:spacing w:after="0"/>
              <w:rPr>
                <w:rFonts w:ascii="Arial" w:cs="Arial" w:eastAsia="Arial" w:hAnsi="Arial"/>
                <w:sz w:val="16"/>
                <w:szCs w:val="16"/>
                <w:u w:val="single" w:color="auto"/>
                <w:color w:val="0000FF"/>
              </w:rPr>
            </w:pPr>
            <w:hyperlink w:anchor="page74">
              <w:r>
                <w:rPr>
                  <w:rFonts w:ascii="Arial" w:cs="Arial" w:eastAsia="Arial" w:hAnsi="Arial"/>
                  <w:sz w:val="16"/>
                  <w:szCs w:val="16"/>
                  <w:u w:val="single" w:color="auto"/>
                  <w:color w:val="0000FF"/>
                </w:rPr>
                <w:t>Changes in and Disagreements with Accountants on Accounting and Financial Disclosure</w:t>
              </w:r>
            </w:hyperlink>
          </w:p>
        </w:tc>
        <w:tc>
          <w:tcPr>
            <w:tcW w:w="1060" w:type="dxa"/>
            <w:vAlign w:val="bottom"/>
          </w:tcPr>
          <w:p>
            <w:pPr>
              <w:jc w:val="right"/>
              <w:spacing w:after="0"/>
              <w:rPr>
                <w:rFonts w:ascii="Arial" w:cs="Arial" w:eastAsia="Arial" w:hAnsi="Arial"/>
                <w:sz w:val="16"/>
                <w:szCs w:val="16"/>
                <w:u w:val="single" w:color="auto"/>
                <w:color w:val="0000FF"/>
              </w:rPr>
            </w:pPr>
            <w:hyperlink w:anchor="page74">
              <w:r>
                <w:rPr>
                  <w:rFonts w:ascii="Arial" w:cs="Arial" w:eastAsia="Arial" w:hAnsi="Arial"/>
                  <w:sz w:val="16"/>
                  <w:szCs w:val="16"/>
                  <w:u w:val="single" w:color="auto"/>
                  <w:color w:val="0000FF"/>
                </w:rPr>
                <w:t>75</w:t>
              </w:r>
            </w:hyperlink>
          </w:p>
        </w:tc>
      </w:tr>
      <w:tr>
        <w:trPr>
          <w:trHeight w:val="216"/>
        </w:trPr>
        <w:tc>
          <w:tcPr>
            <w:tcW w:w="800" w:type="dxa"/>
            <w:vAlign w:val="bottom"/>
          </w:tcPr>
          <w:p>
            <w:pPr>
              <w:spacing w:after="0"/>
              <w:rPr>
                <w:rFonts w:ascii="Arial" w:cs="Arial" w:eastAsia="Arial" w:hAnsi="Arial"/>
                <w:sz w:val="16"/>
                <w:szCs w:val="16"/>
                <w:u w:val="single" w:color="auto"/>
                <w:color w:val="0000FF"/>
              </w:rPr>
            </w:pPr>
            <w:hyperlink w:anchor="page75">
              <w:r>
                <w:rPr>
                  <w:rFonts w:ascii="Arial" w:cs="Arial" w:eastAsia="Arial" w:hAnsi="Arial"/>
                  <w:sz w:val="16"/>
                  <w:szCs w:val="16"/>
                  <w:u w:val="single" w:color="auto"/>
                  <w:color w:val="0000FF"/>
                </w:rPr>
                <w:t>Item 9A.</w:t>
              </w:r>
            </w:hyperlink>
          </w:p>
        </w:tc>
        <w:tc>
          <w:tcPr>
            <w:tcW w:w="9340" w:type="dxa"/>
            <w:vAlign w:val="bottom"/>
          </w:tcPr>
          <w:p>
            <w:pPr>
              <w:ind w:left="160"/>
              <w:spacing w:after="0"/>
              <w:rPr>
                <w:rFonts w:ascii="Arial" w:cs="Arial" w:eastAsia="Arial" w:hAnsi="Arial"/>
                <w:sz w:val="16"/>
                <w:szCs w:val="16"/>
                <w:u w:val="single" w:color="auto"/>
                <w:color w:val="0000FF"/>
              </w:rPr>
            </w:pPr>
            <w:hyperlink w:anchor="page75">
              <w:r>
                <w:rPr>
                  <w:rFonts w:ascii="Arial" w:cs="Arial" w:eastAsia="Arial" w:hAnsi="Arial"/>
                  <w:sz w:val="16"/>
                  <w:szCs w:val="16"/>
                  <w:u w:val="single" w:color="auto"/>
                  <w:color w:val="0000FF"/>
                </w:rPr>
                <w:t>Controls and Procedures</w:t>
              </w:r>
            </w:hyperlink>
          </w:p>
        </w:tc>
        <w:tc>
          <w:tcPr>
            <w:tcW w:w="1060" w:type="dxa"/>
            <w:vAlign w:val="bottom"/>
          </w:tcPr>
          <w:p>
            <w:pPr>
              <w:jc w:val="right"/>
              <w:spacing w:after="0"/>
              <w:rPr>
                <w:rFonts w:ascii="Arial" w:cs="Arial" w:eastAsia="Arial" w:hAnsi="Arial"/>
                <w:sz w:val="16"/>
                <w:szCs w:val="16"/>
                <w:u w:val="single" w:color="auto"/>
                <w:color w:val="0000FF"/>
              </w:rPr>
            </w:pPr>
            <w:hyperlink w:anchor="page75">
              <w:r>
                <w:rPr>
                  <w:rFonts w:ascii="Arial" w:cs="Arial" w:eastAsia="Arial" w:hAnsi="Arial"/>
                  <w:sz w:val="16"/>
                  <w:szCs w:val="16"/>
                  <w:u w:val="single" w:color="auto"/>
                  <w:color w:val="0000FF"/>
                </w:rPr>
                <w:t>75</w:t>
              </w:r>
            </w:hyperlink>
          </w:p>
        </w:tc>
      </w:tr>
      <w:tr>
        <w:trPr>
          <w:trHeight w:val="216"/>
        </w:trPr>
        <w:tc>
          <w:tcPr>
            <w:tcW w:w="800" w:type="dxa"/>
            <w:vAlign w:val="bottom"/>
          </w:tcPr>
          <w:p>
            <w:pPr>
              <w:spacing w:after="0"/>
              <w:rPr>
                <w:rFonts w:ascii="Arial" w:cs="Arial" w:eastAsia="Arial" w:hAnsi="Arial"/>
                <w:sz w:val="16"/>
                <w:szCs w:val="16"/>
                <w:u w:val="single" w:color="auto"/>
                <w:color w:val="0000FF"/>
              </w:rPr>
            </w:pPr>
            <w:hyperlink w:anchor="page75">
              <w:r>
                <w:rPr>
                  <w:rFonts w:ascii="Arial" w:cs="Arial" w:eastAsia="Arial" w:hAnsi="Arial"/>
                  <w:sz w:val="16"/>
                  <w:szCs w:val="16"/>
                  <w:u w:val="single" w:color="auto"/>
                  <w:color w:val="0000FF"/>
                </w:rPr>
                <w:t>Item 9B.</w:t>
              </w:r>
            </w:hyperlink>
          </w:p>
        </w:tc>
        <w:tc>
          <w:tcPr>
            <w:tcW w:w="9340" w:type="dxa"/>
            <w:vAlign w:val="bottom"/>
          </w:tcPr>
          <w:p>
            <w:pPr>
              <w:ind w:left="160"/>
              <w:spacing w:after="0"/>
              <w:rPr>
                <w:rFonts w:ascii="Arial" w:cs="Arial" w:eastAsia="Arial" w:hAnsi="Arial"/>
                <w:sz w:val="16"/>
                <w:szCs w:val="16"/>
                <w:u w:val="single" w:color="auto"/>
                <w:color w:val="0000FF"/>
              </w:rPr>
            </w:pPr>
            <w:hyperlink w:anchor="page75">
              <w:r>
                <w:rPr>
                  <w:rFonts w:ascii="Arial" w:cs="Arial" w:eastAsia="Arial" w:hAnsi="Arial"/>
                  <w:sz w:val="16"/>
                  <w:szCs w:val="16"/>
                  <w:u w:val="single" w:color="auto"/>
                  <w:color w:val="0000FF"/>
                </w:rPr>
                <w:t>Other Information</w:t>
              </w:r>
            </w:hyperlink>
          </w:p>
        </w:tc>
        <w:tc>
          <w:tcPr>
            <w:tcW w:w="1060" w:type="dxa"/>
            <w:vAlign w:val="bottom"/>
          </w:tcPr>
          <w:p>
            <w:pPr>
              <w:jc w:val="right"/>
              <w:spacing w:after="0"/>
              <w:rPr>
                <w:rFonts w:ascii="Arial" w:cs="Arial" w:eastAsia="Arial" w:hAnsi="Arial"/>
                <w:sz w:val="16"/>
                <w:szCs w:val="16"/>
                <w:u w:val="single" w:color="auto"/>
                <w:color w:val="0000FF"/>
              </w:rPr>
            </w:pPr>
            <w:hyperlink w:anchor="page75">
              <w:r>
                <w:rPr>
                  <w:rFonts w:ascii="Arial" w:cs="Arial" w:eastAsia="Arial" w:hAnsi="Arial"/>
                  <w:sz w:val="16"/>
                  <w:szCs w:val="16"/>
                  <w:u w:val="single" w:color="auto"/>
                  <w:color w:val="0000FF"/>
                </w:rPr>
                <w:t>75</w:t>
              </w:r>
            </w:hyperlink>
          </w:p>
        </w:tc>
      </w:tr>
      <w:tr>
        <w:trPr>
          <w:trHeight w:val="473"/>
        </w:trPr>
        <w:tc>
          <w:tcPr>
            <w:tcW w:w="800" w:type="dxa"/>
            <w:vAlign w:val="bottom"/>
          </w:tcPr>
          <w:p>
            <w:pPr>
              <w:spacing w:after="0"/>
              <w:rPr>
                <w:rFonts w:ascii="Arial" w:cs="Arial" w:eastAsia="Arial" w:hAnsi="Arial"/>
                <w:sz w:val="16"/>
                <w:szCs w:val="16"/>
                <w:b w:val="1"/>
                <w:bCs w:val="1"/>
                <w:u w:val="single" w:color="auto"/>
                <w:color w:val="0000FF"/>
              </w:rPr>
            </w:pPr>
            <w:hyperlink w:anchor="page75">
              <w:r>
                <w:rPr>
                  <w:rFonts w:ascii="Arial" w:cs="Arial" w:eastAsia="Arial" w:hAnsi="Arial"/>
                  <w:sz w:val="16"/>
                  <w:szCs w:val="16"/>
                  <w:b w:val="1"/>
                  <w:bCs w:val="1"/>
                  <w:u w:val="single" w:color="auto"/>
                  <w:color w:val="0000FF"/>
                </w:rPr>
                <w:t>PART III</w:t>
              </w:r>
            </w:hyperlink>
          </w:p>
        </w:tc>
        <w:tc>
          <w:tcPr>
            <w:tcW w:w="9340" w:type="dxa"/>
            <w:vAlign w:val="bottom"/>
          </w:tcPr>
          <w:p>
            <w:pPr>
              <w:spacing w:after="0"/>
              <w:rPr>
                <w:sz w:val="24"/>
                <w:szCs w:val="24"/>
                <w:color w:val="auto"/>
              </w:rPr>
            </w:pPr>
          </w:p>
        </w:tc>
        <w:tc>
          <w:tcPr>
            <w:tcW w:w="1060" w:type="dxa"/>
            <w:vAlign w:val="bottom"/>
          </w:tcPr>
          <w:p>
            <w:pPr>
              <w:jc w:val="right"/>
              <w:spacing w:after="0"/>
              <w:rPr>
                <w:rFonts w:ascii="Arial" w:cs="Arial" w:eastAsia="Arial" w:hAnsi="Arial"/>
                <w:sz w:val="16"/>
                <w:szCs w:val="16"/>
                <w:u w:val="single" w:color="auto"/>
                <w:color w:val="0000FF"/>
              </w:rPr>
            </w:pPr>
            <w:hyperlink w:anchor="page75">
              <w:r>
                <w:rPr>
                  <w:rFonts w:ascii="Arial" w:cs="Arial" w:eastAsia="Arial" w:hAnsi="Arial"/>
                  <w:sz w:val="16"/>
                  <w:szCs w:val="16"/>
                  <w:u w:val="single" w:color="auto"/>
                  <w:color w:val="0000FF"/>
                </w:rPr>
                <w:t>76</w:t>
              </w:r>
            </w:hyperlink>
          </w:p>
        </w:tc>
      </w:tr>
      <w:tr>
        <w:trPr>
          <w:trHeight w:val="216"/>
        </w:trPr>
        <w:tc>
          <w:tcPr>
            <w:tcW w:w="800" w:type="dxa"/>
            <w:vAlign w:val="bottom"/>
          </w:tcPr>
          <w:p>
            <w:pPr>
              <w:spacing w:after="0"/>
              <w:rPr>
                <w:rFonts w:ascii="Arial" w:cs="Arial" w:eastAsia="Arial" w:hAnsi="Arial"/>
                <w:sz w:val="16"/>
                <w:szCs w:val="16"/>
                <w:u w:val="single" w:color="auto"/>
                <w:color w:val="0000FF"/>
              </w:rPr>
            </w:pPr>
            <w:hyperlink w:anchor="page76">
              <w:r>
                <w:rPr>
                  <w:rFonts w:ascii="Arial" w:cs="Arial" w:eastAsia="Arial" w:hAnsi="Arial"/>
                  <w:sz w:val="16"/>
                  <w:szCs w:val="16"/>
                  <w:u w:val="single" w:color="auto"/>
                  <w:color w:val="0000FF"/>
                </w:rPr>
                <w:t>Item 10.</w:t>
              </w:r>
            </w:hyperlink>
          </w:p>
        </w:tc>
        <w:tc>
          <w:tcPr>
            <w:tcW w:w="9340" w:type="dxa"/>
            <w:vAlign w:val="bottom"/>
          </w:tcPr>
          <w:p>
            <w:pPr>
              <w:ind w:left="160"/>
              <w:spacing w:after="0"/>
              <w:rPr>
                <w:rFonts w:ascii="Arial" w:cs="Arial" w:eastAsia="Arial" w:hAnsi="Arial"/>
                <w:sz w:val="16"/>
                <w:szCs w:val="16"/>
                <w:u w:val="single" w:color="auto"/>
                <w:color w:val="0000FF"/>
              </w:rPr>
            </w:pPr>
            <w:hyperlink w:anchor="page76">
              <w:r>
                <w:rPr>
                  <w:rFonts w:ascii="Arial" w:cs="Arial" w:eastAsia="Arial" w:hAnsi="Arial"/>
                  <w:sz w:val="16"/>
                  <w:szCs w:val="16"/>
                  <w:u w:val="single" w:color="auto"/>
                  <w:color w:val="0000FF"/>
                </w:rPr>
                <w:t>Directors, Executive Officers, and Corporate Governance</w:t>
              </w:r>
            </w:hyperlink>
          </w:p>
        </w:tc>
        <w:tc>
          <w:tcPr>
            <w:tcW w:w="1060" w:type="dxa"/>
            <w:vAlign w:val="bottom"/>
          </w:tcPr>
          <w:p>
            <w:pPr>
              <w:jc w:val="right"/>
              <w:spacing w:after="0"/>
              <w:rPr>
                <w:rFonts w:ascii="Arial" w:cs="Arial" w:eastAsia="Arial" w:hAnsi="Arial"/>
                <w:sz w:val="16"/>
                <w:szCs w:val="16"/>
                <w:u w:val="single" w:color="auto"/>
                <w:color w:val="0000FF"/>
              </w:rPr>
            </w:pPr>
            <w:hyperlink w:anchor="page76">
              <w:r>
                <w:rPr>
                  <w:rFonts w:ascii="Arial" w:cs="Arial" w:eastAsia="Arial" w:hAnsi="Arial"/>
                  <w:sz w:val="16"/>
                  <w:szCs w:val="16"/>
                  <w:u w:val="single" w:color="auto"/>
                  <w:color w:val="0000FF"/>
                </w:rPr>
                <w:t>76</w:t>
              </w:r>
            </w:hyperlink>
          </w:p>
        </w:tc>
      </w:tr>
      <w:tr>
        <w:trPr>
          <w:trHeight w:val="216"/>
        </w:trPr>
        <w:tc>
          <w:tcPr>
            <w:tcW w:w="800" w:type="dxa"/>
            <w:vAlign w:val="bottom"/>
          </w:tcPr>
          <w:p>
            <w:pPr>
              <w:spacing w:after="0"/>
              <w:rPr>
                <w:rFonts w:ascii="Arial" w:cs="Arial" w:eastAsia="Arial" w:hAnsi="Arial"/>
                <w:sz w:val="16"/>
                <w:szCs w:val="16"/>
                <w:u w:val="single" w:color="auto"/>
                <w:color w:val="0000FF"/>
              </w:rPr>
            </w:pPr>
            <w:hyperlink w:anchor="page76">
              <w:r>
                <w:rPr>
                  <w:rFonts w:ascii="Arial" w:cs="Arial" w:eastAsia="Arial" w:hAnsi="Arial"/>
                  <w:sz w:val="16"/>
                  <w:szCs w:val="16"/>
                  <w:u w:val="single" w:color="auto"/>
                  <w:color w:val="0000FF"/>
                </w:rPr>
                <w:t>Item 11.</w:t>
              </w:r>
            </w:hyperlink>
          </w:p>
        </w:tc>
        <w:tc>
          <w:tcPr>
            <w:tcW w:w="9340" w:type="dxa"/>
            <w:vAlign w:val="bottom"/>
          </w:tcPr>
          <w:p>
            <w:pPr>
              <w:ind w:left="160"/>
              <w:spacing w:after="0"/>
              <w:rPr>
                <w:rFonts w:ascii="Arial" w:cs="Arial" w:eastAsia="Arial" w:hAnsi="Arial"/>
                <w:sz w:val="16"/>
                <w:szCs w:val="16"/>
                <w:u w:val="single" w:color="auto"/>
                <w:color w:val="0000FF"/>
              </w:rPr>
            </w:pPr>
            <w:hyperlink w:anchor="page76">
              <w:r>
                <w:rPr>
                  <w:rFonts w:ascii="Arial" w:cs="Arial" w:eastAsia="Arial" w:hAnsi="Arial"/>
                  <w:sz w:val="16"/>
                  <w:szCs w:val="16"/>
                  <w:u w:val="single" w:color="auto"/>
                  <w:color w:val="0000FF"/>
                </w:rPr>
                <w:t>Executive Compensation</w:t>
              </w:r>
            </w:hyperlink>
          </w:p>
        </w:tc>
        <w:tc>
          <w:tcPr>
            <w:tcW w:w="1060" w:type="dxa"/>
            <w:vAlign w:val="bottom"/>
          </w:tcPr>
          <w:p>
            <w:pPr>
              <w:jc w:val="right"/>
              <w:spacing w:after="0"/>
              <w:rPr>
                <w:rFonts w:ascii="Arial" w:cs="Arial" w:eastAsia="Arial" w:hAnsi="Arial"/>
                <w:sz w:val="16"/>
                <w:szCs w:val="16"/>
                <w:u w:val="single" w:color="auto"/>
                <w:color w:val="0000FF"/>
              </w:rPr>
            </w:pPr>
            <w:hyperlink w:anchor="page76">
              <w:r>
                <w:rPr>
                  <w:rFonts w:ascii="Arial" w:cs="Arial" w:eastAsia="Arial" w:hAnsi="Arial"/>
                  <w:sz w:val="16"/>
                  <w:szCs w:val="16"/>
                  <w:u w:val="single" w:color="auto"/>
                  <w:color w:val="0000FF"/>
                </w:rPr>
                <w:t>76</w:t>
              </w:r>
            </w:hyperlink>
          </w:p>
        </w:tc>
      </w:tr>
      <w:tr>
        <w:trPr>
          <w:trHeight w:val="216"/>
        </w:trPr>
        <w:tc>
          <w:tcPr>
            <w:tcW w:w="800" w:type="dxa"/>
            <w:vAlign w:val="bottom"/>
          </w:tcPr>
          <w:p>
            <w:pPr>
              <w:spacing w:after="0"/>
              <w:rPr>
                <w:rFonts w:ascii="Arial" w:cs="Arial" w:eastAsia="Arial" w:hAnsi="Arial"/>
                <w:sz w:val="16"/>
                <w:szCs w:val="16"/>
                <w:u w:val="single" w:color="auto"/>
                <w:color w:val="0000FF"/>
              </w:rPr>
            </w:pPr>
            <w:hyperlink w:anchor="page76">
              <w:r>
                <w:rPr>
                  <w:rFonts w:ascii="Arial" w:cs="Arial" w:eastAsia="Arial" w:hAnsi="Arial"/>
                  <w:sz w:val="16"/>
                  <w:szCs w:val="16"/>
                  <w:u w:val="single" w:color="auto"/>
                  <w:color w:val="0000FF"/>
                </w:rPr>
                <w:t>Item 12.</w:t>
              </w:r>
            </w:hyperlink>
          </w:p>
        </w:tc>
        <w:tc>
          <w:tcPr>
            <w:tcW w:w="9340" w:type="dxa"/>
            <w:vAlign w:val="bottom"/>
          </w:tcPr>
          <w:p>
            <w:pPr>
              <w:ind w:left="160"/>
              <w:spacing w:after="0"/>
              <w:rPr>
                <w:rFonts w:ascii="Arial" w:cs="Arial" w:eastAsia="Arial" w:hAnsi="Arial"/>
                <w:sz w:val="16"/>
                <w:szCs w:val="16"/>
                <w:u w:val="single" w:color="auto"/>
                <w:color w:val="0000FF"/>
              </w:rPr>
            </w:pPr>
            <w:hyperlink w:anchor="page76">
              <w:r>
                <w:rPr>
                  <w:rFonts w:ascii="Arial" w:cs="Arial" w:eastAsia="Arial" w:hAnsi="Arial"/>
                  <w:sz w:val="16"/>
                  <w:szCs w:val="16"/>
                  <w:u w:val="single" w:color="auto"/>
                  <w:color w:val="0000FF"/>
                </w:rPr>
                <w:t>Security Ownership of Certain Beneficial Owners and Management and Related Stockholder Matters</w:t>
              </w:r>
            </w:hyperlink>
          </w:p>
        </w:tc>
        <w:tc>
          <w:tcPr>
            <w:tcW w:w="1060" w:type="dxa"/>
            <w:vAlign w:val="bottom"/>
          </w:tcPr>
          <w:p>
            <w:pPr>
              <w:jc w:val="right"/>
              <w:spacing w:after="0"/>
              <w:rPr>
                <w:rFonts w:ascii="Arial" w:cs="Arial" w:eastAsia="Arial" w:hAnsi="Arial"/>
                <w:sz w:val="16"/>
                <w:szCs w:val="16"/>
                <w:u w:val="single" w:color="auto"/>
                <w:color w:val="0000FF"/>
              </w:rPr>
            </w:pPr>
            <w:hyperlink w:anchor="page76">
              <w:r>
                <w:rPr>
                  <w:rFonts w:ascii="Arial" w:cs="Arial" w:eastAsia="Arial" w:hAnsi="Arial"/>
                  <w:sz w:val="16"/>
                  <w:szCs w:val="16"/>
                  <w:u w:val="single" w:color="auto"/>
                  <w:color w:val="0000FF"/>
                </w:rPr>
                <w:t>76</w:t>
              </w:r>
            </w:hyperlink>
          </w:p>
        </w:tc>
      </w:tr>
      <w:tr>
        <w:trPr>
          <w:trHeight w:val="216"/>
        </w:trPr>
        <w:tc>
          <w:tcPr>
            <w:tcW w:w="800" w:type="dxa"/>
            <w:vAlign w:val="bottom"/>
          </w:tcPr>
          <w:p>
            <w:pPr>
              <w:spacing w:after="0"/>
              <w:rPr>
                <w:rFonts w:ascii="Arial" w:cs="Arial" w:eastAsia="Arial" w:hAnsi="Arial"/>
                <w:sz w:val="16"/>
                <w:szCs w:val="16"/>
                <w:u w:val="single" w:color="auto"/>
                <w:color w:val="0000FF"/>
              </w:rPr>
            </w:pPr>
            <w:hyperlink w:anchor="page76">
              <w:r>
                <w:rPr>
                  <w:rFonts w:ascii="Arial" w:cs="Arial" w:eastAsia="Arial" w:hAnsi="Arial"/>
                  <w:sz w:val="16"/>
                  <w:szCs w:val="16"/>
                  <w:u w:val="single" w:color="auto"/>
                  <w:color w:val="0000FF"/>
                </w:rPr>
                <w:t>Item 13.</w:t>
              </w:r>
            </w:hyperlink>
          </w:p>
        </w:tc>
        <w:tc>
          <w:tcPr>
            <w:tcW w:w="9340" w:type="dxa"/>
            <w:vAlign w:val="bottom"/>
          </w:tcPr>
          <w:p>
            <w:pPr>
              <w:ind w:left="160"/>
              <w:spacing w:after="0"/>
              <w:rPr>
                <w:rFonts w:ascii="Arial" w:cs="Arial" w:eastAsia="Arial" w:hAnsi="Arial"/>
                <w:sz w:val="16"/>
                <w:szCs w:val="16"/>
                <w:u w:val="single" w:color="auto"/>
                <w:color w:val="0000FF"/>
              </w:rPr>
            </w:pPr>
            <w:hyperlink w:anchor="page76">
              <w:r>
                <w:rPr>
                  <w:rFonts w:ascii="Arial" w:cs="Arial" w:eastAsia="Arial" w:hAnsi="Arial"/>
                  <w:sz w:val="16"/>
                  <w:szCs w:val="16"/>
                  <w:u w:val="single" w:color="auto"/>
                  <w:color w:val="0000FF"/>
                </w:rPr>
                <w:t>Certain Relationships and Related Transactions and Director Independence</w:t>
              </w:r>
            </w:hyperlink>
          </w:p>
        </w:tc>
        <w:tc>
          <w:tcPr>
            <w:tcW w:w="1060" w:type="dxa"/>
            <w:vAlign w:val="bottom"/>
          </w:tcPr>
          <w:p>
            <w:pPr>
              <w:jc w:val="right"/>
              <w:spacing w:after="0"/>
              <w:rPr>
                <w:rFonts w:ascii="Arial" w:cs="Arial" w:eastAsia="Arial" w:hAnsi="Arial"/>
                <w:sz w:val="16"/>
                <w:szCs w:val="16"/>
                <w:u w:val="single" w:color="auto"/>
                <w:color w:val="0000FF"/>
              </w:rPr>
            </w:pPr>
            <w:hyperlink w:anchor="page76">
              <w:r>
                <w:rPr>
                  <w:rFonts w:ascii="Arial" w:cs="Arial" w:eastAsia="Arial" w:hAnsi="Arial"/>
                  <w:sz w:val="16"/>
                  <w:szCs w:val="16"/>
                  <w:u w:val="single" w:color="auto"/>
                  <w:color w:val="0000FF"/>
                </w:rPr>
                <w:t>76</w:t>
              </w:r>
            </w:hyperlink>
          </w:p>
        </w:tc>
      </w:tr>
      <w:tr>
        <w:trPr>
          <w:trHeight w:val="216"/>
        </w:trPr>
        <w:tc>
          <w:tcPr>
            <w:tcW w:w="800" w:type="dxa"/>
            <w:vAlign w:val="bottom"/>
          </w:tcPr>
          <w:p>
            <w:pPr>
              <w:spacing w:after="0"/>
              <w:rPr>
                <w:rFonts w:ascii="Arial" w:cs="Arial" w:eastAsia="Arial" w:hAnsi="Arial"/>
                <w:sz w:val="16"/>
                <w:szCs w:val="16"/>
                <w:u w:val="single" w:color="auto"/>
                <w:color w:val="0000FF"/>
              </w:rPr>
            </w:pPr>
            <w:hyperlink w:anchor="page76">
              <w:r>
                <w:rPr>
                  <w:rFonts w:ascii="Arial" w:cs="Arial" w:eastAsia="Arial" w:hAnsi="Arial"/>
                  <w:sz w:val="16"/>
                  <w:szCs w:val="16"/>
                  <w:u w:val="single" w:color="auto"/>
                  <w:color w:val="0000FF"/>
                </w:rPr>
                <w:t>Item 14.</w:t>
              </w:r>
            </w:hyperlink>
          </w:p>
        </w:tc>
        <w:tc>
          <w:tcPr>
            <w:tcW w:w="9340" w:type="dxa"/>
            <w:vAlign w:val="bottom"/>
          </w:tcPr>
          <w:p>
            <w:pPr>
              <w:ind w:left="160"/>
              <w:spacing w:after="0"/>
              <w:rPr>
                <w:rFonts w:ascii="Arial" w:cs="Arial" w:eastAsia="Arial" w:hAnsi="Arial"/>
                <w:sz w:val="16"/>
                <w:szCs w:val="16"/>
                <w:u w:val="single" w:color="auto"/>
                <w:color w:val="0000FF"/>
              </w:rPr>
            </w:pPr>
            <w:hyperlink w:anchor="page76">
              <w:r>
                <w:rPr>
                  <w:rFonts w:ascii="Arial" w:cs="Arial" w:eastAsia="Arial" w:hAnsi="Arial"/>
                  <w:sz w:val="16"/>
                  <w:szCs w:val="16"/>
                  <w:u w:val="single" w:color="auto"/>
                  <w:color w:val="0000FF"/>
                </w:rPr>
                <w:t>Principal Accounting Fees and Services</w:t>
              </w:r>
            </w:hyperlink>
          </w:p>
        </w:tc>
        <w:tc>
          <w:tcPr>
            <w:tcW w:w="1060" w:type="dxa"/>
            <w:vAlign w:val="bottom"/>
          </w:tcPr>
          <w:p>
            <w:pPr>
              <w:jc w:val="right"/>
              <w:spacing w:after="0"/>
              <w:rPr>
                <w:rFonts w:ascii="Arial" w:cs="Arial" w:eastAsia="Arial" w:hAnsi="Arial"/>
                <w:sz w:val="16"/>
                <w:szCs w:val="16"/>
                <w:u w:val="single" w:color="auto"/>
                <w:color w:val="0000FF"/>
              </w:rPr>
            </w:pPr>
            <w:hyperlink w:anchor="page76">
              <w:r>
                <w:rPr>
                  <w:rFonts w:ascii="Arial" w:cs="Arial" w:eastAsia="Arial" w:hAnsi="Arial"/>
                  <w:sz w:val="16"/>
                  <w:szCs w:val="16"/>
                  <w:u w:val="single" w:color="auto"/>
                  <w:color w:val="0000FF"/>
                </w:rPr>
                <w:t>76</w:t>
              </w:r>
            </w:hyperlink>
          </w:p>
        </w:tc>
      </w:tr>
      <w:tr>
        <w:trPr>
          <w:trHeight w:val="473"/>
        </w:trPr>
        <w:tc>
          <w:tcPr>
            <w:tcW w:w="800" w:type="dxa"/>
            <w:vAlign w:val="bottom"/>
          </w:tcPr>
          <w:p>
            <w:pPr>
              <w:spacing w:after="0"/>
              <w:rPr>
                <w:rFonts w:ascii="Arial" w:cs="Arial" w:eastAsia="Arial" w:hAnsi="Arial"/>
                <w:sz w:val="16"/>
                <w:szCs w:val="16"/>
                <w:b w:val="1"/>
                <w:bCs w:val="1"/>
                <w:u w:val="single" w:color="auto"/>
                <w:color w:val="0000FF"/>
              </w:rPr>
            </w:pPr>
            <w:hyperlink w:anchor="page76">
              <w:r>
                <w:rPr>
                  <w:rFonts w:ascii="Arial" w:cs="Arial" w:eastAsia="Arial" w:hAnsi="Arial"/>
                  <w:sz w:val="16"/>
                  <w:szCs w:val="16"/>
                  <w:b w:val="1"/>
                  <w:bCs w:val="1"/>
                  <w:u w:val="single" w:color="auto"/>
                  <w:color w:val="0000FF"/>
                </w:rPr>
                <w:t>PART IV</w:t>
              </w:r>
            </w:hyperlink>
          </w:p>
        </w:tc>
        <w:tc>
          <w:tcPr>
            <w:tcW w:w="9340" w:type="dxa"/>
            <w:vAlign w:val="bottom"/>
          </w:tcPr>
          <w:p>
            <w:pPr>
              <w:spacing w:after="0"/>
              <w:rPr>
                <w:sz w:val="24"/>
                <w:szCs w:val="24"/>
                <w:color w:val="auto"/>
              </w:rPr>
            </w:pPr>
          </w:p>
        </w:tc>
        <w:tc>
          <w:tcPr>
            <w:tcW w:w="1060" w:type="dxa"/>
            <w:vAlign w:val="bottom"/>
          </w:tcPr>
          <w:p>
            <w:pPr>
              <w:jc w:val="right"/>
              <w:spacing w:after="0"/>
              <w:rPr>
                <w:rFonts w:ascii="Arial" w:cs="Arial" w:eastAsia="Arial" w:hAnsi="Arial"/>
                <w:sz w:val="16"/>
                <w:szCs w:val="16"/>
                <w:u w:val="single" w:color="auto"/>
                <w:color w:val="0000FF"/>
              </w:rPr>
            </w:pPr>
            <w:hyperlink w:anchor="page76">
              <w:r>
                <w:rPr>
                  <w:rFonts w:ascii="Arial" w:cs="Arial" w:eastAsia="Arial" w:hAnsi="Arial"/>
                  <w:sz w:val="16"/>
                  <w:szCs w:val="16"/>
                  <w:u w:val="single" w:color="auto"/>
                  <w:color w:val="0000FF"/>
                </w:rPr>
                <w:t>77</w:t>
              </w:r>
            </w:hyperlink>
          </w:p>
        </w:tc>
      </w:tr>
      <w:tr>
        <w:trPr>
          <w:trHeight w:val="216"/>
        </w:trPr>
        <w:tc>
          <w:tcPr>
            <w:tcW w:w="800" w:type="dxa"/>
            <w:vAlign w:val="bottom"/>
          </w:tcPr>
          <w:p>
            <w:pPr>
              <w:spacing w:after="0"/>
              <w:rPr>
                <w:rFonts w:ascii="Arial" w:cs="Arial" w:eastAsia="Arial" w:hAnsi="Arial"/>
                <w:sz w:val="16"/>
                <w:szCs w:val="16"/>
                <w:u w:val="single" w:color="auto"/>
                <w:color w:val="0000FF"/>
              </w:rPr>
            </w:pPr>
            <w:hyperlink w:anchor="page77">
              <w:r>
                <w:rPr>
                  <w:rFonts w:ascii="Arial" w:cs="Arial" w:eastAsia="Arial" w:hAnsi="Arial"/>
                  <w:sz w:val="16"/>
                  <w:szCs w:val="16"/>
                  <w:u w:val="single" w:color="auto"/>
                  <w:color w:val="0000FF"/>
                </w:rPr>
                <w:t>Item 15.</w:t>
              </w:r>
            </w:hyperlink>
          </w:p>
        </w:tc>
        <w:tc>
          <w:tcPr>
            <w:tcW w:w="9340" w:type="dxa"/>
            <w:vAlign w:val="bottom"/>
          </w:tcPr>
          <w:p>
            <w:pPr>
              <w:ind w:left="160"/>
              <w:spacing w:after="0"/>
              <w:rPr>
                <w:rFonts w:ascii="Arial" w:cs="Arial" w:eastAsia="Arial" w:hAnsi="Arial"/>
                <w:sz w:val="16"/>
                <w:szCs w:val="16"/>
                <w:u w:val="single" w:color="auto"/>
                <w:color w:val="0000FF"/>
              </w:rPr>
            </w:pPr>
            <w:hyperlink w:anchor="page77">
              <w:r>
                <w:rPr>
                  <w:rFonts w:ascii="Arial" w:cs="Arial" w:eastAsia="Arial" w:hAnsi="Arial"/>
                  <w:sz w:val="16"/>
                  <w:szCs w:val="16"/>
                  <w:u w:val="single" w:color="auto"/>
                  <w:color w:val="0000FF"/>
                </w:rPr>
                <w:t>Exhibits, Financial Statement Schedules</w:t>
              </w:r>
            </w:hyperlink>
          </w:p>
        </w:tc>
        <w:tc>
          <w:tcPr>
            <w:tcW w:w="1060" w:type="dxa"/>
            <w:vAlign w:val="bottom"/>
          </w:tcPr>
          <w:p>
            <w:pPr>
              <w:jc w:val="right"/>
              <w:spacing w:after="0"/>
              <w:rPr>
                <w:rFonts w:ascii="Arial" w:cs="Arial" w:eastAsia="Arial" w:hAnsi="Arial"/>
                <w:sz w:val="16"/>
                <w:szCs w:val="16"/>
                <w:u w:val="single" w:color="auto"/>
                <w:color w:val="0000FF"/>
              </w:rPr>
            </w:pPr>
            <w:hyperlink w:anchor="page77">
              <w:r>
                <w:rPr>
                  <w:rFonts w:ascii="Arial" w:cs="Arial" w:eastAsia="Arial" w:hAnsi="Arial"/>
                  <w:sz w:val="16"/>
                  <w:szCs w:val="16"/>
                  <w:u w:val="single" w:color="auto"/>
                  <w:color w:val="0000FF"/>
                </w:rPr>
                <w:t>77</w:t>
              </w:r>
            </w:hyperlink>
          </w:p>
        </w:tc>
      </w:tr>
      <w:tr>
        <w:trPr>
          <w:trHeight w:val="216"/>
        </w:trPr>
        <w:tc>
          <w:tcPr>
            <w:tcW w:w="800" w:type="dxa"/>
            <w:vAlign w:val="bottom"/>
          </w:tcPr>
          <w:p>
            <w:pPr>
              <w:spacing w:after="0"/>
              <w:rPr>
                <w:rFonts w:ascii="Arial" w:cs="Arial" w:eastAsia="Arial" w:hAnsi="Arial"/>
                <w:sz w:val="16"/>
                <w:szCs w:val="16"/>
                <w:u w:val="single" w:color="auto"/>
                <w:color w:val="0000FF"/>
              </w:rPr>
            </w:pPr>
            <w:hyperlink w:anchor="page81">
              <w:r>
                <w:rPr>
                  <w:rFonts w:ascii="Arial" w:cs="Arial" w:eastAsia="Arial" w:hAnsi="Arial"/>
                  <w:sz w:val="16"/>
                  <w:szCs w:val="16"/>
                  <w:u w:val="single" w:color="auto"/>
                  <w:color w:val="0000FF"/>
                </w:rPr>
                <w:t>Item 16.</w:t>
              </w:r>
            </w:hyperlink>
          </w:p>
        </w:tc>
        <w:tc>
          <w:tcPr>
            <w:tcW w:w="9340" w:type="dxa"/>
            <w:vAlign w:val="bottom"/>
          </w:tcPr>
          <w:p>
            <w:pPr>
              <w:ind w:left="160"/>
              <w:spacing w:after="0"/>
              <w:rPr>
                <w:rFonts w:ascii="Arial" w:cs="Arial" w:eastAsia="Arial" w:hAnsi="Arial"/>
                <w:sz w:val="16"/>
                <w:szCs w:val="16"/>
                <w:u w:val="single" w:color="auto"/>
                <w:color w:val="0000FF"/>
              </w:rPr>
            </w:pPr>
            <w:hyperlink w:anchor="page81">
              <w:r>
                <w:rPr>
                  <w:rFonts w:ascii="Arial" w:cs="Arial" w:eastAsia="Arial" w:hAnsi="Arial"/>
                  <w:sz w:val="16"/>
                  <w:szCs w:val="16"/>
                  <w:u w:val="single" w:color="auto"/>
                  <w:color w:val="0000FF"/>
                </w:rPr>
                <w:t>Form 10-K Summary</w:t>
              </w:r>
            </w:hyperlink>
          </w:p>
        </w:tc>
        <w:tc>
          <w:tcPr>
            <w:tcW w:w="1060" w:type="dxa"/>
            <w:vAlign w:val="bottom"/>
          </w:tcPr>
          <w:p>
            <w:pPr>
              <w:jc w:val="right"/>
              <w:spacing w:after="0"/>
              <w:rPr>
                <w:rFonts w:ascii="Arial" w:cs="Arial" w:eastAsia="Arial" w:hAnsi="Arial"/>
                <w:sz w:val="16"/>
                <w:szCs w:val="16"/>
                <w:u w:val="single" w:color="auto"/>
                <w:color w:val="0000FF"/>
              </w:rPr>
            </w:pPr>
            <w:hyperlink w:anchor="page81">
              <w:r>
                <w:rPr>
                  <w:rFonts w:ascii="Arial" w:cs="Arial" w:eastAsia="Arial" w:hAnsi="Arial"/>
                  <w:sz w:val="16"/>
                  <w:szCs w:val="16"/>
                  <w:u w:val="single" w:color="auto"/>
                  <w:color w:val="0000FF"/>
                </w:rPr>
                <w:t>82</w:t>
              </w:r>
            </w:hyperlink>
          </w:p>
        </w:tc>
      </w:tr>
      <w:tr>
        <w:trPr>
          <w:trHeight w:val="472"/>
        </w:trPr>
        <w:tc>
          <w:tcPr>
            <w:tcW w:w="800" w:type="dxa"/>
            <w:vAlign w:val="bottom"/>
          </w:tcPr>
          <w:p>
            <w:pPr>
              <w:spacing w:after="0"/>
              <w:rPr>
                <w:sz w:val="24"/>
                <w:szCs w:val="24"/>
                <w:color w:val="auto"/>
              </w:rPr>
            </w:pPr>
          </w:p>
        </w:tc>
        <w:tc>
          <w:tcPr>
            <w:tcW w:w="9340" w:type="dxa"/>
            <w:vAlign w:val="bottom"/>
          </w:tcPr>
          <w:p>
            <w:pPr>
              <w:ind w:left="160"/>
              <w:spacing w:after="0"/>
              <w:rPr>
                <w:rFonts w:ascii="Arial" w:cs="Arial" w:eastAsia="Arial" w:hAnsi="Arial"/>
                <w:sz w:val="16"/>
                <w:szCs w:val="16"/>
                <w:b w:val="1"/>
                <w:bCs w:val="1"/>
                <w:u w:val="single" w:color="auto"/>
                <w:color w:val="0000FF"/>
              </w:rPr>
            </w:pPr>
            <w:hyperlink w:anchor="page82">
              <w:r>
                <w:rPr>
                  <w:rFonts w:ascii="Arial" w:cs="Arial" w:eastAsia="Arial" w:hAnsi="Arial"/>
                  <w:sz w:val="16"/>
                  <w:szCs w:val="16"/>
                  <w:b w:val="1"/>
                  <w:bCs w:val="1"/>
                  <w:u w:val="single" w:color="auto"/>
                  <w:color w:val="0000FF"/>
                </w:rPr>
                <w:t>SIGNATURES</w:t>
              </w:r>
            </w:hyperlink>
          </w:p>
        </w:tc>
        <w:tc>
          <w:tcPr>
            <w:tcW w:w="1060" w:type="dxa"/>
            <w:vAlign w:val="bottom"/>
          </w:tcPr>
          <w:p>
            <w:pPr>
              <w:jc w:val="right"/>
              <w:spacing w:after="0"/>
              <w:rPr>
                <w:rFonts w:ascii="Arial" w:cs="Arial" w:eastAsia="Arial" w:hAnsi="Arial"/>
                <w:sz w:val="16"/>
                <w:szCs w:val="16"/>
                <w:u w:val="single" w:color="auto"/>
                <w:color w:val="0000FF"/>
              </w:rPr>
            </w:pPr>
            <w:hyperlink w:anchor="page82">
              <w:r>
                <w:rPr>
                  <w:rFonts w:ascii="Arial" w:cs="Arial" w:eastAsia="Arial" w:hAnsi="Arial"/>
                  <w:sz w:val="16"/>
                  <w:szCs w:val="16"/>
                  <w:u w:val="single" w:color="auto"/>
                  <w:color w:val="0000FF"/>
                </w:rPr>
                <w:t>83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FORM 10-K</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Report for the Fiscal Year Ended August 29, 2020</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 Harbor Statement Under the Private Securities Litigation Reform Act</w:t>
      </w:r>
    </w:p>
    <w:p>
      <w:pPr>
        <w:spacing w:after="0" w:line="268"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 xml:space="preserve">Certain of the matters discussed in this Annual Report on Form 10-K are "forward-looking statements" within the meaning of Section 27A of the Securities Act of 1933, as amended (“Securities Act”), and Section 21E of the Securities Exchange Act of 1934, as amended (“Exchange Act”), which involve risks and uncertainties. With the exception of historical information, the matters discussed in this Annual Report on Form 10-K are forward-looking statements and may be identified by the use of words such as "anticipate," "assume," "believe," "estimate," "expect," "guidance," "intend," "outlook," "plan," "project," and other words and terms of similar meaning. Such statements reflect our current views and estimates with respect to future market conditions, company performance and financial results, operational investments, business prospects, new strategies, the competitive environment, and other events. These statements are subject to certain risks and uncertainties that could cause actual results to differ materially from the potential results discussed in such forward-looking statements. Readers should review Item 1A, </w:t>
      </w:r>
      <w:r>
        <w:rPr>
          <w:rFonts w:ascii="Arial" w:cs="Arial" w:eastAsia="Arial" w:hAnsi="Arial"/>
          <w:sz w:val="16"/>
          <w:szCs w:val="16"/>
          <w:i w:val="1"/>
          <w:iCs w:val="1"/>
          <w:color w:val="auto"/>
        </w:rPr>
        <w:t>Risk Factors</w:t>
      </w:r>
      <w:r>
        <w:rPr>
          <w:rFonts w:ascii="Arial" w:cs="Arial" w:eastAsia="Arial" w:hAnsi="Arial"/>
          <w:sz w:val="16"/>
          <w:szCs w:val="16"/>
          <w:color w:val="auto"/>
        </w:rPr>
        <w:t>, in this Annual Report on Form 10-K for the fiscal year ended August 29, 2020, for a description of important factors that could cause our actual results to differ materially from those contemplated by the forward-looking statements made in this Annual Report on Form 10-K. Among the factors that could cause actual results and outcomes to differ materially from those contained in such forward-looking statements are the following: competition and new product introductions by competitors, our ability to attract and retain qualified personnel, increases in market compensation rates, business or production disruptions, sales order cancellations, risk related to the terms of our credit agreement, stock price volatility and share dilution, disruptions or unanticipated costs from facility expansions, availability of labor, a slowdown in the economy, low consumer confidence, the effect of global tensions, increases in interest rates, availability of credit, availability of financing for RV and marine dealers, impairment of goodwill, risk related to cyclicality and seasonality of our business, slower than anticipated sales of new or existing products, integration of operations relating to merger and acquisition activities generally, our acquisition of Newmar, the possibility that the Newmar acquisition may not perform as expected or may not result in earnings growth, difficulties and expenses related to integrating Newmar into our business, increased focus of management attention and resources on the acquisition of Newmar, risks related to our convertible and senior secured notes, including our ability to satisfy our obligations under these notes, risks related to our convertible note hedge and warrant transactions, inadequate liquidity or capital resources, inventory and distribution channel management, our ability to innovate, our reliance on large dealer organizations, significant increase in repurchase obligations, availability and price of fuel, availability of chassis and other key component parts, increased material and component costs, exposure to warranty claims, ability to protect our intellectual property, exposure to product liability claims, dependence on information systems and web applications, any unexpected expenses related to the implementation of our ERP system, the duration and scope of the coronavirus (“COVID-19”) pandemic, actions governments, businesses, and individuals take in response to the COVID-19 pandemic, including mandatory business closures and restrictions of onsite commercial interactions; the impact of the pandemic and actions taken in response to the pandemic on regional economies and economic activity; the pace of recovery when the COVID-19 pandemic subsides; and general economic uncertainty in key markets and a worsening of domestic economic conditions or low levels of economic growth, risk related to data security, governmental regulation, including for climate change, risk related to anti-takeover provisions applicable to us, cyber-attacks and other factors which may be disclosed throughout this Annual Report on Form 10-K. Although we believe that the expectations reflected in the "forward-looking statements" are reasonable, we cannot guarantee future results,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New York Stock Exchange. We advise you, however, to consult any further disclosures made on related subjects in future quarterly reports on Form 10-Q and current reports on Form 8-K that are filed or furnished with the U.S. Securities and Exchange Commission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68" w:lineRule="exact"/>
        <w:rPr>
          <w:sz w:val="20"/>
          <w:szCs w:val="20"/>
          <w:color w:val="auto"/>
        </w:rPr>
      </w:pPr>
    </w:p>
    <w:p>
      <w:pPr>
        <w:ind w:right="700"/>
        <w:spacing w:after="0" w:line="260" w:lineRule="auto"/>
        <w:rPr>
          <w:sz w:val="20"/>
          <w:szCs w:val="20"/>
          <w:color w:val="auto"/>
        </w:rPr>
      </w:pPr>
      <w:r>
        <w:rPr>
          <w:rFonts w:ascii="Arial" w:cs="Arial" w:eastAsia="Arial" w:hAnsi="Arial"/>
          <w:sz w:val="16"/>
          <w:szCs w:val="16"/>
          <w:color w:val="auto"/>
        </w:rPr>
        <w:t>The "Company," "Winnebago Industries," "we," "our," and "us" are used interchangeably to refer to Winnebago Industries, Inc. and its wholly-owned subsidiaries, as appropriate in the context.</w:t>
      </w:r>
    </w:p>
    <w:p>
      <w:pPr>
        <w:spacing w:after="0" w:line="222"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Winnebago Industries, Inc. is a leading North American manufacturer with a diversified portfolio of recreation vehicles ("RV"s) and marine products used primarily in leisure travel and outdoor recreation activities. We produce our Towable units in Indiana; our Motorhome units in Iowa and Indiana; and our marine products in Florida. We distribute our RV and marine products primarily through independent dealers throughout the U.S. and Canada, who then retail the products to the end consumer. We also distribute our marine products internationally through independent dealers, who then retail the products to the end consumer.</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26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Our website, located at www.winnebagoind.com, provides additional information about us. On our website, you can obtain, free of charge, this and prior year Annual Reports on Form 10-K, Quarterly Reports on Form 10-Q, Current Reports on Form 8-K, and all of our other filings with the SEC. Our recent press releases are also available on our website. Our website also contains important information regarding our corporate governance practices. Information contained on our website is not incorporated into this Annual Report on Form 10-K.</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Products</w:t>
      </w:r>
    </w:p>
    <w:p>
      <w:pPr>
        <w:spacing w:after="0" w:line="268" w:lineRule="exact"/>
        <w:rPr>
          <w:sz w:val="20"/>
          <w:szCs w:val="20"/>
          <w:color w:val="auto"/>
        </w:rPr>
      </w:pPr>
    </w:p>
    <w:p>
      <w:pPr>
        <w:ind w:right="200"/>
        <w:spacing w:after="0" w:line="246" w:lineRule="auto"/>
        <w:rPr>
          <w:sz w:val="20"/>
          <w:szCs w:val="20"/>
          <w:color w:val="auto"/>
        </w:rPr>
      </w:pPr>
      <w:r>
        <w:rPr>
          <w:rFonts w:ascii="Arial" w:cs="Arial" w:eastAsia="Arial" w:hAnsi="Arial"/>
          <w:sz w:val="16"/>
          <w:szCs w:val="16"/>
          <w:color w:val="auto"/>
        </w:rPr>
        <w:t>We have six operating segments: 1) Grand Design towables, 2) Winnebago towables, 3) Winnebago motorhomes, 4) Newmar motorhomes, 5) Chris-Craft marine, and 6) Winnebago specialty vehicles. We evaluate performance based on each operating segment's Adjusted EBITDA, as defined within Item</w:t>
      </w:r>
    </w:p>
    <w:p>
      <w:pPr>
        <w:spacing w:after="0" w:line="1"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 xml:space="preserve">7,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of this Annual Report on Form 10-K, which excludes certain corporate administration expenses and non-operating income and expense.</w:t>
      </w:r>
    </w:p>
    <w:p>
      <w:pPr>
        <w:spacing w:after="0" w:line="222"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Our two reportable segments include: 1) Towable (comprised of products which are not motorized and are generally towed by another vehicle as well as other related manufactured products and services), which is an aggregation of the Winnebago towables and Grand Design towables operating segments, and 2) Motorhome (comprised of products that include a motorized chassis as well as other related manufactured products and services), which is an aggregation of the Winnebago motorhomes and Newmar motorhomes operating segments.</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Corporate / All Other category includes the Chris-Craft marine and Winnebago specialty vehicles operating segments as well as expenses related to certain corporate administration expenses for the oversight of the enterprise. These expenses include items such as corporate leadership and administration costs.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Towable</w:t>
      </w:r>
    </w:p>
    <w:p>
      <w:pPr>
        <w:spacing w:after="0" w:line="264"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A towable is a non-motorized vehicle that is designed to be towed by automobiles, pickup trucks, SUVs, or vans and is used as temporary living quarters for recreational travel. The Recreation Vehicle Industry Association ("RVIA") classifies towables in four types: conventional travel trailers, fifth wheels, folding camper trailers, and truck campers. We manufacture and sell conventional travel trailers and fifth wheels under the Winnebago and Grand Design brand names, which are defined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Type</w:t>
            </w:r>
          </w:p>
        </w:tc>
        <w:tc>
          <w:tcPr>
            <w:tcW w:w="368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Description</w:t>
            </w:r>
          </w:p>
        </w:tc>
        <w:tc>
          <w:tcPr>
            <w:tcW w:w="31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Winnebago product offerings</w:t>
            </w:r>
          </w:p>
        </w:tc>
        <w:tc>
          <w:tcPr>
            <w:tcW w:w="32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Grand Design product offerings</w:t>
            </w:r>
          </w:p>
        </w:tc>
      </w:tr>
      <w:tr>
        <w:trPr>
          <w:trHeight w:val="218"/>
        </w:trPr>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3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Towed by means of a hitch attached to the</w:t>
            </w:r>
          </w:p>
        </w:tc>
        <w:tc>
          <w:tcPr>
            <w:tcW w:w="3100" w:type="dxa"/>
            <w:vAlign w:val="bottom"/>
            <w:shd w:val="clear" w:color="auto" w:fill="CCEEFF"/>
          </w:tcPr>
          <w:p>
            <w:pPr>
              <w:ind w:left="80"/>
              <w:spacing w:after="0"/>
              <w:rPr>
                <w:sz w:val="20"/>
                <w:szCs w:val="20"/>
                <w:color w:val="auto"/>
              </w:rPr>
            </w:pPr>
            <w:r>
              <w:rPr>
                <w:rFonts w:ascii="Arial" w:cs="Arial" w:eastAsia="Arial" w:hAnsi="Arial"/>
                <w:sz w:val="16"/>
                <w:szCs w:val="16"/>
                <w:color w:val="auto"/>
              </w:rPr>
              <w:t>Minnie, Micro Minnie, Hike, Voyage, and</w:t>
            </w:r>
          </w:p>
        </w:tc>
        <w:tc>
          <w:tcPr>
            <w:tcW w:w="3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Transcend, Imagine, and Reflection</w:t>
            </w:r>
          </w:p>
        </w:tc>
      </w:tr>
      <w:tr>
        <w:trPr>
          <w:trHeight w:val="214"/>
        </w:trPr>
        <w:tc>
          <w:tcPr>
            <w:tcW w:w="1240" w:type="dxa"/>
            <w:vAlign w:val="bottom"/>
            <w:shd w:val="clear" w:color="auto" w:fill="CCEEFF"/>
          </w:tcPr>
          <w:p>
            <w:pPr>
              <w:spacing w:after="0"/>
              <w:rPr>
                <w:sz w:val="18"/>
                <w:szCs w:val="18"/>
                <w:color w:val="auto"/>
              </w:rPr>
            </w:pPr>
          </w:p>
        </w:tc>
        <w:tc>
          <w:tcPr>
            <w:tcW w:w="3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frame of the vehicle</w:t>
            </w:r>
          </w:p>
        </w:tc>
        <w:tc>
          <w:tcPr>
            <w:tcW w:w="3100" w:type="dxa"/>
            <w:vAlign w:val="bottom"/>
            <w:shd w:val="clear" w:color="auto" w:fill="CCEEFF"/>
          </w:tcPr>
          <w:p>
            <w:pPr>
              <w:ind w:left="80"/>
              <w:spacing w:after="0"/>
              <w:rPr>
                <w:sz w:val="20"/>
                <w:szCs w:val="20"/>
                <w:color w:val="auto"/>
              </w:rPr>
            </w:pPr>
            <w:r>
              <w:rPr>
                <w:rFonts w:ascii="Arial" w:cs="Arial" w:eastAsia="Arial" w:hAnsi="Arial"/>
                <w:sz w:val="16"/>
                <w:szCs w:val="16"/>
                <w:color w:val="auto"/>
              </w:rPr>
              <w:t>Spyder</w:t>
            </w:r>
          </w:p>
        </w:tc>
        <w:tc>
          <w:tcPr>
            <w:tcW w:w="3220" w:type="dxa"/>
            <w:vAlign w:val="bottom"/>
            <w:shd w:val="clear" w:color="auto" w:fill="CCEEFF"/>
          </w:tcPr>
          <w:p>
            <w:pPr>
              <w:spacing w:after="0"/>
              <w:rPr>
                <w:sz w:val="18"/>
                <w:szCs w:val="18"/>
                <w:color w:val="auto"/>
              </w:rPr>
            </w:pPr>
          </w:p>
        </w:tc>
      </w:tr>
      <w:tr>
        <w:trPr>
          <w:trHeight w:val="218"/>
        </w:trPr>
        <w:tc>
          <w:tcPr>
            <w:tcW w:w="1240" w:type="dxa"/>
            <w:vAlign w:val="bottom"/>
          </w:tcPr>
          <w:p>
            <w:pPr>
              <w:ind w:left="20"/>
              <w:spacing w:after="0"/>
              <w:rPr>
                <w:sz w:val="20"/>
                <w:szCs w:val="20"/>
                <w:color w:val="auto"/>
              </w:rPr>
            </w:pPr>
            <w:r>
              <w:rPr>
                <w:rFonts w:ascii="Arial" w:cs="Arial" w:eastAsia="Arial" w:hAnsi="Arial"/>
                <w:sz w:val="16"/>
                <w:szCs w:val="16"/>
                <w:color w:val="auto"/>
              </w:rPr>
              <w:t>Fifth wheel</w:t>
            </w:r>
          </w:p>
        </w:tc>
        <w:tc>
          <w:tcPr>
            <w:tcW w:w="3680" w:type="dxa"/>
            <w:vAlign w:val="bottom"/>
          </w:tcPr>
          <w:p>
            <w:pPr>
              <w:ind w:left="340"/>
              <w:spacing w:after="0"/>
              <w:rPr>
                <w:sz w:val="20"/>
                <w:szCs w:val="20"/>
                <w:color w:val="auto"/>
              </w:rPr>
            </w:pPr>
            <w:r>
              <w:rPr>
                <w:rFonts w:ascii="Arial" w:cs="Arial" w:eastAsia="Arial" w:hAnsi="Arial"/>
                <w:sz w:val="16"/>
                <w:szCs w:val="16"/>
                <w:color w:val="auto"/>
              </w:rPr>
              <w:t>Constructed with a raised forward section that</w:t>
            </w:r>
          </w:p>
        </w:tc>
        <w:tc>
          <w:tcPr>
            <w:tcW w:w="3100" w:type="dxa"/>
            <w:vAlign w:val="bottom"/>
          </w:tcPr>
          <w:p>
            <w:pPr>
              <w:ind w:left="80"/>
              <w:spacing w:after="0"/>
              <w:rPr>
                <w:sz w:val="20"/>
                <w:szCs w:val="20"/>
                <w:color w:val="auto"/>
              </w:rPr>
            </w:pPr>
            <w:r>
              <w:rPr>
                <w:rFonts w:ascii="Arial" w:cs="Arial" w:eastAsia="Arial" w:hAnsi="Arial"/>
                <w:sz w:val="16"/>
                <w:szCs w:val="16"/>
                <w:color w:val="auto"/>
              </w:rPr>
              <w:t>Voyage and Spyder</w:t>
            </w:r>
          </w:p>
        </w:tc>
        <w:tc>
          <w:tcPr>
            <w:tcW w:w="3220" w:type="dxa"/>
            <w:vAlign w:val="bottom"/>
          </w:tcPr>
          <w:p>
            <w:pPr>
              <w:ind w:left="140"/>
              <w:spacing w:after="0"/>
              <w:rPr>
                <w:sz w:val="20"/>
                <w:szCs w:val="20"/>
                <w:color w:val="auto"/>
              </w:rPr>
            </w:pPr>
            <w:r>
              <w:rPr>
                <w:rFonts w:ascii="Arial" w:cs="Arial" w:eastAsia="Arial" w:hAnsi="Arial"/>
                <w:sz w:val="16"/>
                <w:szCs w:val="16"/>
                <w:color w:val="auto"/>
              </w:rPr>
              <w:t>Momentum, Reflection, and Solitude</w:t>
            </w:r>
          </w:p>
        </w:tc>
      </w:tr>
      <w:tr>
        <w:trPr>
          <w:trHeight w:val="189"/>
        </w:trPr>
        <w:tc>
          <w:tcPr>
            <w:tcW w:w="1240" w:type="dxa"/>
            <w:vAlign w:val="bottom"/>
          </w:tcPr>
          <w:p>
            <w:pPr>
              <w:spacing w:after="0"/>
              <w:rPr>
                <w:sz w:val="16"/>
                <w:szCs w:val="16"/>
                <w:color w:val="auto"/>
              </w:rPr>
            </w:pPr>
          </w:p>
        </w:tc>
        <w:tc>
          <w:tcPr>
            <w:tcW w:w="3680" w:type="dxa"/>
            <w:vAlign w:val="bottom"/>
          </w:tcPr>
          <w:p>
            <w:pPr>
              <w:ind w:left="340"/>
              <w:spacing w:after="0"/>
              <w:rPr>
                <w:sz w:val="20"/>
                <w:szCs w:val="20"/>
                <w:color w:val="auto"/>
              </w:rPr>
            </w:pPr>
            <w:r>
              <w:rPr>
                <w:rFonts w:ascii="Arial" w:cs="Arial" w:eastAsia="Arial" w:hAnsi="Arial"/>
                <w:sz w:val="16"/>
                <w:szCs w:val="16"/>
                <w:color w:val="auto"/>
              </w:rPr>
              <w:t>is connected to the vehicle with a special fifth</w:t>
            </w:r>
          </w:p>
        </w:tc>
        <w:tc>
          <w:tcPr>
            <w:tcW w:w="310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195"/>
        </w:trPr>
        <w:tc>
          <w:tcPr>
            <w:tcW w:w="1240" w:type="dxa"/>
            <w:vAlign w:val="bottom"/>
          </w:tcPr>
          <w:p>
            <w:pPr>
              <w:spacing w:after="0"/>
              <w:rPr>
                <w:sz w:val="16"/>
                <w:szCs w:val="16"/>
                <w:color w:val="auto"/>
              </w:rPr>
            </w:pPr>
          </w:p>
        </w:tc>
        <w:tc>
          <w:tcPr>
            <w:tcW w:w="3680" w:type="dxa"/>
            <w:vAlign w:val="bottom"/>
          </w:tcPr>
          <w:p>
            <w:pPr>
              <w:ind w:left="340"/>
              <w:spacing w:after="0"/>
              <w:rPr>
                <w:sz w:val="20"/>
                <w:szCs w:val="20"/>
                <w:color w:val="auto"/>
              </w:rPr>
            </w:pPr>
            <w:r>
              <w:rPr>
                <w:rFonts w:ascii="Arial" w:cs="Arial" w:eastAsia="Arial" w:hAnsi="Arial"/>
                <w:sz w:val="16"/>
                <w:szCs w:val="16"/>
                <w:color w:val="auto"/>
              </w:rPr>
              <w:t>wheel hitch</w:t>
            </w:r>
          </w:p>
        </w:tc>
        <w:tc>
          <w:tcPr>
            <w:tcW w:w="3100" w:type="dxa"/>
            <w:vAlign w:val="bottom"/>
          </w:tcPr>
          <w:p>
            <w:pPr>
              <w:spacing w:after="0"/>
              <w:rPr>
                <w:sz w:val="16"/>
                <w:szCs w:val="16"/>
                <w:color w:val="auto"/>
              </w:rPr>
            </w:pPr>
          </w:p>
        </w:tc>
        <w:tc>
          <w:tcPr>
            <w:tcW w:w="3220" w:type="dxa"/>
            <w:vAlign w:val="bottom"/>
          </w:tcPr>
          <w:p>
            <w:pPr>
              <w:spacing w:after="0"/>
              <w:rPr>
                <w:sz w:val="16"/>
                <w:szCs w:val="16"/>
                <w:color w:val="auto"/>
              </w:rPr>
            </w:pPr>
          </w:p>
        </w:tc>
      </w:tr>
    </w:tbl>
    <w:p>
      <w:pPr>
        <w:spacing w:after="0" w:line="372"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Our travel trailer and fifth wheel towables are sold by dealers in the retail market with manufacturer's suggested retail prices ranging from approximately $20,000 to $100,000, depending on size and model, plus optional equipment and delivery charges.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Unit sales of our towables for the last three fiscal years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rPr>
              <w:t>2020</w:t>
            </w: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rPr>
              <w:t>2019</w:t>
            </w: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1019"/>
              <w:spacing w:after="0"/>
              <w:rPr>
                <w:sz w:val="20"/>
                <w:szCs w:val="20"/>
                <w:color w:val="auto"/>
              </w:rPr>
            </w:pPr>
            <w:r>
              <w:rPr>
                <w:rFonts w:ascii="Arial" w:cs="Arial" w:eastAsia="Arial" w:hAnsi="Arial"/>
                <w:sz w:val="16"/>
                <w:szCs w:val="16"/>
                <w:b w:val="1"/>
                <w:bCs w:val="1"/>
                <w:color w:val="auto"/>
              </w:rPr>
              <w:t>2018</w:t>
            </w:r>
          </w:p>
        </w:tc>
      </w:tr>
      <w:tr>
        <w:trPr>
          <w:trHeight w:val="243"/>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23,184</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61.2 %</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22,458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61.0 %</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22,360</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61.1 %</w:t>
            </w:r>
          </w:p>
        </w:tc>
      </w:tr>
      <w:tr>
        <w:trPr>
          <w:trHeight w:val="237"/>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14,706</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38.8 %</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14,371</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39.0 %</w:t>
            </w:r>
          </w:p>
        </w:tc>
        <w:tc>
          <w:tcPr>
            <w:tcW w:w="12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14,229</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38.9 %</w:t>
            </w:r>
          </w:p>
        </w:tc>
      </w:tr>
      <w:tr>
        <w:trPr>
          <w:trHeight w:val="263"/>
        </w:trPr>
        <w:tc>
          <w:tcPr>
            <w:tcW w:w="3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towables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37,890</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36,829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36,589</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Motorhome</w:t>
      </w:r>
    </w:p>
    <w:p>
      <w:pPr>
        <w:spacing w:after="0" w:line="264"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A motorhome is a self-propelled mobile dwelling used primarily as temporary living quarters during vacation and camping trips, or to support active and mobile lifestyles. The RVIA classifies motorhomes into three types, all of which we manufacture and sell under the Winnebago and Newmar brand names, which are defined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Type</w:t>
            </w:r>
          </w:p>
        </w:tc>
        <w:tc>
          <w:tcPr>
            <w:tcW w:w="366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Description</w:t>
            </w:r>
          </w:p>
        </w:tc>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Winnebago product offerings</w:t>
            </w: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Newmar product offerings</w:t>
            </w:r>
          </w:p>
        </w:tc>
        <w:tc>
          <w:tcPr>
            <w:tcW w:w="0" w:type="dxa"/>
            <w:vAlign w:val="bottom"/>
          </w:tcPr>
          <w:p>
            <w:pPr>
              <w:spacing w:after="0"/>
              <w:rPr>
                <w:sz w:val="1"/>
                <w:szCs w:val="1"/>
                <w:color w:val="auto"/>
              </w:rPr>
            </w:pPr>
          </w:p>
        </w:tc>
      </w:tr>
      <w:tr>
        <w:trPr>
          <w:trHeight w:val="218"/>
        </w:trPr>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3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Built on a heavy truck chassis in both diesel</w:t>
            </w:r>
          </w:p>
        </w:tc>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Gas: Adventurer, Intent, Vista, and Sunstar</w:t>
            </w:r>
          </w:p>
        </w:tc>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Gas: Bay Star, Bay Star Sport, and Canyon</w:t>
            </w:r>
          </w:p>
        </w:tc>
        <w:tc>
          <w:tcPr>
            <w:tcW w:w="0" w:type="dxa"/>
            <w:vAlign w:val="bottom"/>
          </w:tcPr>
          <w:p>
            <w:pPr>
              <w:spacing w:after="0"/>
              <w:rPr>
                <w:sz w:val="1"/>
                <w:szCs w:val="1"/>
                <w:color w:val="auto"/>
              </w:rPr>
            </w:pPr>
          </w:p>
        </w:tc>
      </w:tr>
      <w:tr>
        <w:trPr>
          <w:trHeight w:val="189"/>
        </w:trPr>
        <w:tc>
          <w:tcPr>
            <w:tcW w:w="1240" w:type="dxa"/>
            <w:vAlign w:val="bottom"/>
            <w:shd w:val="clear" w:color="auto" w:fill="CCEEFF"/>
          </w:tcPr>
          <w:p>
            <w:pPr>
              <w:spacing w:after="0"/>
              <w:rPr>
                <w:sz w:val="16"/>
                <w:szCs w:val="16"/>
                <w:color w:val="auto"/>
              </w:rPr>
            </w:pPr>
          </w:p>
        </w:tc>
        <w:tc>
          <w:tcPr>
            <w:tcW w:w="3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and gas models with the ability to tow a small</w:t>
            </w:r>
          </w:p>
        </w:tc>
        <w:tc>
          <w:tcPr>
            <w:tcW w:w="3160" w:type="dxa"/>
            <w:vAlign w:val="bottom"/>
            <w:shd w:val="clear" w:color="auto" w:fill="CCEEFF"/>
          </w:tcPr>
          <w:p>
            <w:pPr>
              <w:spacing w:after="0"/>
              <w:rPr>
                <w:sz w:val="16"/>
                <w:szCs w:val="16"/>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Star</w:t>
            </w:r>
          </w:p>
        </w:tc>
        <w:tc>
          <w:tcPr>
            <w:tcW w:w="0" w:type="dxa"/>
            <w:vAlign w:val="bottom"/>
          </w:tcPr>
          <w:p>
            <w:pPr>
              <w:spacing w:after="0"/>
              <w:rPr>
                <w:sz w:val="1"/>
                <w:szCs w:val="1"/>
                <w:color w:val="auto"/>
              </w:rPr>
            </w:pPr>
          </w:p>
        </w:tc>
      </w:tr>
      <w:tr>
        <w:trPr>
          <w:trHeight w:val="195"/>
        </w:trPr>
        <w:tc>
          <w:tcPr>
            <w:tcW w:w="1240" w:type="dxa"/>
            <w:vAlign w:val="bottom"/>
            <w:shd w:val="clear" w:color="auto" w:fill="CCEEFF"/>
          </w:tcPr>
          <w:p>
            <w:pPr>
              <w:spacing w:after="0"/>
              <w:rPr>
                <w:sz w:val="16"/>
                <w:szCs w:val="16"/>
                <w:color w:val="auto"/>
              </w:rPr>
            </w:pPr>
          </w:p>
        </w:tc>
        <w:tc>
          <w:tcPr>
            <w:tcW w:w="3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vehicle</w:t>
            </w:r>
          </w:p>
        </w:tc>
        <w:tc>
          <w:tcPr>
            <w:tcW w:w="31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Diesel: Horizon and Forza</w:t>
            </w:r>
          </w:p>
        </w:tc>
        <w:tc>
          <w:tcPr>
            <w:tcW w:w="31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Diesel: Canyon Star, King Aire, Dutch Star,</w:t>
            </w:r>
          </w:p>
        </w:tc>
        <w:tc>
          <w:tcPr>
            <w:tcW w:w="0" w:type="dxa"/>
            <w:vAlign w:val="bottom"/>
          </w:tcPr>
          <w:p>
            <w:pPr>
              <w:spacing w:after="0"/>
              <w:rPr>
                <w:sz w:val="1"/>
                <w:szCs w:val="1"/>
                <w:color w:val="auto"/>
              </w:rPr>
            </w:pPr>
          </w:p>
        </w:tc>
      </w:tr>
      <w:tr>
        <w:trPr>
          <w:trHeight w:val="48"/>
        </w:trPr>
        <w:tc>
          <w:tcPr>
            <w:tcW w:w="1240" w:type="dxa"/>
            <w:vAlign w:val="bottom"/>
            <w:shd w:val="clear" w:color="auto" w:fill="CCEEFF"/>
          </w:tcPr>
          <w:p>
            <w:pPr>
              <w:spacing w:after="0"/>
              <w:rPr>
                <w:sz w:val="4"/>
                <w:szCs w:val="4"/>
                <w:color w:val="auto"/>
              </w:rPr>
            </w:pPr>
          </w:p>
        </w:tc>
        <w:tc>
          <w:tcPr>
            <w:tcW w:w="3660" w:type="dxa"/>
            <w:vAlign w:val="bottom"/>
            <w:shd w:val="clear" w:color="auto" w:fill="CCEEFF"/>
          </w:tcPr>
          <w:p>
            <w:pPr>
              <w:spacing w:after="0"/>
              <w:rPr>
                <w:sz w:val="4"/>
                <w:szCs w:val="4"/>
                <w:color w:val="auto"/>
              </w:rPr>
            </w:pPr>
          </w:p>
        </w:tc>
        <w:tc>
          <w:tcPr>
            <w:tcW w:w="3160" w:type="dxa"/>
            <w:vAlign w:val="bottom"/>
            <w:vMerge w:val="continue"/>
            <w:shd w:val="clear" w:color="auto" w:fill="CCEEFF"/>
          </w:tcPr>
          <w:p>
            <w:pPr>
              <w:spacing w:after="0"/>
              <w:rPr>
                <w:sz w:val="4"/>
                <w:szCs w:val="4"/>
                <w:color w:val="auto"/>
              </w:rPr>
            </w:pPr>
          </w:p>
        </w:tc>
        <w:tc>
          <w:tcPr>
            <w:tcW w:w="318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240" w:type="dxa"/>
            <w:vAlign w:val="bottom"/>
            <w:shd w:val="clear" w:color="auto" w:fill="CCEEFF"/>
          </w:tcPr>
          <w:p>
            <w:pPr>
              <w:spacing w:after="0"/>
              <w:rPr>
                <w:sz w:val="16"/>
                <w:szCs w:val="16"/>
                <w:color w:val="auto"/>
              </w:rPr>
            </w:pPr>
          </w:p>
        </w:tc>
        <w:tc>
          <w:tcPr>
            <w:tcW w:w="366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Essex, Kountry Star, London Aire,</w:t>
            </w:r>
          </w:p>
        </w:tc>
        <w:tc>
          <w:tcPr>
            <w:tcW w:w="0" w:type="dxa"/>
            <w:vAlign w:val="bottom"/>
          </w:tcPr>
          <w:p>
            <w:pPr>
              <w:spacing w:after="0"/>
              <w:rPr>
                <w:sz w:val="1"/>
                <w:szCs w:val="1"/>
                <w:color w:val="auto"/>
              </w:rPr>
            </w:pPr>
          </w:p>
        </w:tc>
      </w:tr>
      <w:tr>
        <w:trPr>
          <w:trHeight w:val="214"/>
        </w:trPr>
        <w:tc>
          <w:tcPr>
            <w:tcW w:w="12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Mountain Aire, New Aire, and Ventana</w:t>
            </w:r>
          </w:p>
        </w:tc>
        <w:tc>
          <w:tcPr>
            <w:tcW w:w="0" w:type="dxa"/>
            <w:vAlign w:val="bottom"/>
          </w:tcPr>
          <w:p>
            <w:pPr>
              <w:spacing w:after="0"/>
              <w:rPr>
                <w:sz w:val="1"/>
                <w:szCs w:val="1"/>
                <w:color w:val="auto"/>
              </w:rPr>
            </w:pPr>
          </w:p>
        </w:tc>
      </w:tr>
      <w:tr>
        <w:trPr>
          <w:trHeight w:val="218"/>
        </w:trPr>
        <w:tc>
          <w:tcPr>
            <w:tcW w:w="1240" w:type="dxa"/>
            <w:vAlign w:val="bottom"/>
          </w:tcPr>
          <w:p>
            <w:pPr>
              <w:ind w:left="20"/>
              <w:spacing w:after="0"/>
              <w:rPr>
                <w:sz w:val="20"/>
                <w:szCs w:val="20"/>
                <w:color w:val="auto"/>
              </w:rPr>
            </w:pPr>
            <w:r>
              <w:rPr>
                <w:rFonts w:ascii="Arial" w:cs="Arial" w:eastAsia="Arial" w:hAnsi="Arial"/>
                <w:sz w:val="16"/>
                <w:szCs w:val="16"/>
                <w:color w:val="auto"/>
              </w:rPr>
              <w:t>Class B</w:t>
            </w:r>
          </w:p>
        </w:tc>
        <w:tc>
          <w:tcPr>
            <w:tcW w:w="3660" w:type="dxa"/>
            <w:vAlign w:val="bottom"/>
          </w:tcPr>
          <w:p>
            <w:pPr>
              <w:ind w:left="340"/>
              <w:spacing w:after="0"/>
              <w:rPr>
                <w:sz w:val="20"/>
                <w:szCs w:val="20"/>
                <w:color w:val="auto"/>
              </w:rPr>
            </w:pPr>
            <w:r>
              <w:rPr>
                <w:rFonts w:ascii="Arial" w:cs="Arial" w:eastAsia="Arial" w:hAnsi="Arial"/>
                <w:sz w:val="16"/>
                <w:szCs w:val="16"/>
                <w:color w:val="auto"/>
              </w:rPr>
              <w:t>Built by adding taller roof and amenities to</w:t>
            </w:r>
          </w:p>
        </w:tc>
        <w:tc>
          <w:tcPr>
            <w:tcW w:w="3160" w:type="dxa"/>
            <w:vAlign w:val="bottom"/>
          </w:tcPr>
          <w:p>
            <w:pPr>
              <w:ind w:left="20"/>
              <w:spacing w:after="0"/>
              <w:rPr>
                <w:sz w:val="20"/>
                <w:szCs w:val="20"/>
                <w:color w:val="auto"/>
              </w:rPr>
            </w:pPr>
            <w:r>
              <w:rPr>
                <w:rFonts w:ascii="Arial" w:cs="Arial" w:eastAsia="Arial" w:hAnsi="Arial"/>
                <w:sz w:val="16"/>
                <w:szCs w:val="16"/>
                <w:color w:val="auto"/>
              </w:rPr>
              <w:t>Boldt, Revel, Travato, Era, and Solis</w:t>
            </w:r>
          </w:p>
        </w:tc>
        <w:tc>
          <w:tcPr>
            <w:tcW w:w="3180" w:type="dxa"/>
            <w:vAlign w:val="bottom"/>
          </w:tcPr>
          <w:p>
            <w:pPr>
              <w:ind w:left="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3660" w:type="dxa"/>
            <w:vAlign w:val="bottom"/>
          </w:tcPr>
          <w:p>
            <w:pPr>
              <w:ind w:left="340"/>
              <w:spacing w:after="0"/>
              <w:rPr>
                <w:sz w:val="20"/>
                <w:szCs w:val="20"/>
                <w:color w:val="auto"/>
              </w:rPr>
            </w:pPr>
            <w:r>
              <w:rPr>
                <w:rFonts w:ascii="Arial" w:cs="Arial" w:eastAsia="Arial" w:hAnsi="Arial"/>
                <w:sz w:val="16"/>
                <w:szCs w:val="16"/>
                <w:color w:val="auto"/>
              </w:rPr>
              <w:t>existing van, which allows for easy</w:t>
            </w:r>
          </w:p>
        </w:tc>
        <w:tc>
          <w:tcPr>
            <w:tcW w:w="31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40" w:type="dxa"/>
            <w:vAlign w:val="bottom"/>
          </w:tcPr>
          <w:p>
            <w:pPr>
              <w:spacing w:after="0"/>
              <w:rPr>
                <w:sz w:val="17"/>
                <w:szCs w:val="17"/>
                <w:color w:val="auto"/>
              </w:rPr>
            </w:pPr>
          </w:p>
        </w:tc>
        <w:tc>
          <w:tcPr>
            <w:tcW w:w="3660" w:type="dxa"/>
            <w:vAlign w:val="bottom"/>
          </w:tcPr>
          <w:p>
            <w:pPr>
              <w:ind w:left="340"/>
              <w:spacing w:after="0"/>
              <w:rPr>
                <w:sz w:val="20"/>
                <w:szCs w:val="20"/>
                <w:color w:val="auto"/>
              </w:rPr>
            </w:pPr>
            <w:r>
              <w:rPr>
                <w:rFonts w:ascii="Arial" w:cs="Arial" w:eastAsia="Arial" w:hAnsi="Arial"/>
                <w:sz w:val="16"/>
                <w:szCs w:val="16"/>
                <w:color w:val="auto"/>
              </w:rPr>
              <w:t>maneuvering</w:t>
            </w:r>
          </w:p>
        </w:tc>
        <w:tc>
          <w:tcPr>
            <w:tcW w:w="31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68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Built on a medium truck chassis in both diesel Gas: Outlook, Spirit, and Minnie Winnie</w:t>
            </w:r>
          </w:p>
        </w:tc>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Diesel: Superstar and Supreme Aire</w:t>
            </w:r>
          </w:p>
        </w:tc>
        <w:tc>
          <w:tcPr>
            <w:tcW w:w="0" w:type="dxa"/>
            <w:vAlign w:val="bottom"/>
          </w:tcPr>
          <w:p>
            <w:pPr>
              <w:spacing w:after="0"/>
              <w:rPr>
                <w:sz w:val="1"/>
                <w:szCs w:val="1"/>
                <w:color w:val="auto"/>
              </w:rPr>
            </w:pPr>
          </w:p>
        </w:tc>
      </w:tr>
      <w:tr>
        <w:trPr>
          <w:trHeight w:val="189"/>
        </w:trPr>
        <w:tc>
          <w:tcPr>
            <w:tcW w:w="1240" w:type="dxa"/>
            <w:vAlign w:val="bottom"/>
            <w:shd w:val="clear" w:color="auto" w:fill="CCEEFF"/>
          </w:tcPr>
          <w:p>
            <w:pPr>
              <w:spacing w:after="0"/>
              <w:rPr>
                <w:sz w:val="16"/>
                <w:szCs w:val="16"/>
                <w:color w:val="auto"/>
              </w:rPr>
            </w:pPr>
          </w:p>
        </w:tc>
        <w:tc>
          <w:tcPr>
            <w:tcW w:w="3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and gas models with similar features and</w:t>
            </w:r>
          </w:p>
        </w:tc>
        <w:tc>
          <w:tcPr>
            <w:tcW w:w="31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Diesel: View, Navion, Vita, Porto, and Fuse</w:t>
            </w:r>
          </w:p>
        </w:tc>
        <w:tc>
          <w:tcPr>
            <w:tcW w:w="3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1240" w:type="dxa"/>
            <w:vAlign w:val="bottom"/>
            <w:shd w:val="clear" w:color="auto" w:fill="CCEEFF"/>
          </w:tcPr>
          <w:p>
            <w:pPr>
              <w:spacing w:after="0"/>
              <w:rPr>
                <w:sz w:val="11"/>
                <w:szCs w:val="11"/>
                <w:color w:val="auto"/>
              </w:rPr>
            </w:pPr>
          </w:p>
        </w:tc>
        <w:tc>
          <w:tcPr>
            <w:tcW w:w="3660" w:type="dxa"/>
            <w:vAlign w:val="bottom"/>
            <w:vMerge w:val="restart"/>
            <w:shd w:val="clear" w:color="auto" w:fill="CCEEFF"/>
          </w:tcPr>
          <w:p>
            <w:pPr>
              <w:ind w:left="340"/>
              <w:spacing w:after="0"/>
              <w:rPr>
                <w:sz w:val="20"/>
                <w:szCs w:val="20"/>
                <w:color w:val="auto"/>
              </w:rPr>
            </w:pPr>
            <w:r>
              <w:rPr>
                <w:rFonts w:ascii="Arial" w:cs="Arial" w:eastAsia="Arial" w:hAnsi="Arial"/>
                <w:sz w:val="16"/>
                <w:szCs w:val="16"/>
                <w:color w:val="auto"/>
              </w:rPr>
              <w:t>amenities to Class A models</w:t>
            </w:r>
          </w:p>
        </w:tc>
        <w:tc>
          <w:tcPr>
            <w:tcW w:w="3160" w:type="dxa"/>
            <w:vAlign w:val="bottom"/>
            <w:vMerge w:val="continue"/>
            <w:shd w:val="clear" w:color="auto" w:fill="CCEEFF"/>
          </w:tcPr>
          <w:p>
            <w:pPr>
              <w:spacing w:after="0"/>
              <w:rPr>
                <w:sz w:val="11"/>
                <w:szCs w:val="11"/>
                <w:color w:val="auto"/>
              </w:rPr>
            </w:pPr>
          </w:p>
        </w:tc>
        <w:tc>
          <w:tcPr>
            <w:tcW w:w="3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240" w:type="dxa"/>
            <w:vAlign w:val="bottom"/>
            <w:shd w:val="clear" w:color="auto" w:fill="CCEEFF"/>
          </w:tcPr>
          <w:p>
            <w:pPr>
              <w:spacing w:after="0"/>
              <w:rPr>
                <w:sz w:val="7"/>
                <w:szCs w:val="7"/>
                <w:color w:val="auto"/>
              </w:rPr>
            </w:pPr>
          </w:p>
        </w:tc>
        <w:tc>
          <w:tcPr>
            <w:tcW w:w="3660" w:type="dxa"/>
            <w:vAlign w:val="bottom"/>
            <w:vMerge w:val="continue"/>
            <w:shd w:val="clear" w:color="auto" w:fill="CCEEFF"/>
          </w:tcPr>
          <w:p>
            <w:pPr>
              <w:spacing w:after="0"/>
              <w:rPr>
                <w:sz w:val="7"/>
                <w:szCs w:val="7"/>
                <w:color w:val="auto"/>
              </w:rPr>
            </w:pPr>
          </w:p>
        </w:tc>
        <w:tc>
          <w:tcPr>
            <w:tcW w:w="3160" w:type="dxa"/>
            <w:vAlign w:val="bottom"/>
            <w:shd w:val="clear" w:color="auto" w:fill="CCEEFF"/>
          </w:tcPr>
          <w:p>
            <w:pPr>
              <w:spacing w:after="0"/>
              <w:rPr>
                <w:sz w:val="7"/>
                <w:szCs w:val="7"/>
                <w:color w:val="auto"/>
              </w:rPr>
            </w:pPr>
          </w:p>
        </w:tc>
        <w:tc>
          <w:tcPr>
            <w:tcW w:w="3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1240" w:type="dxa"/>
            <w:vAlign w:val="bottom"/>
          </w:tcPr>
          <w:p>
            <w:pPr>
              <w:ind w:left="20"/>
              <w:spacing w:after="0"/>
              <w:rPr>
                <w:sz w:val="20"/>
                <w:szCs w:val="20"/>
                <w:color w:val="auto"/>
              </w:rPr>
            </w:pPr>
            <w:r>
              <w:rPr>
                <w:rFonts w:ascii="Arial" w:cs="Arial" w:eastAsia="Arial" w:hAnsi="Arial"/>
                <w:sz w:val="16"/>
                <w:szCs w:val="16"/>
                <w:color w:val="auto"/>
              </w:rPr>
              <w:t>Accessibility</w:t>
            </w:r>
          </w:p>
        </w:tc>
        <w:tc>
          <w:tcPr>
            <w:tcW w:w="3660" w:type="dxa"/>
            <w:vAlign w:val="bottom"/>
          </w:tcPr>
          <w:p>
            <w:pPr>
              <w:ind w:left="340"/>
              <w:spacing w:after="0"/>
              <w:rPr>
                <w:sz w:val="20"/>
                <w:szCs w:val="20"/>
                <w:color w:val="auto"/>
              </w:rPr>
            </w:pPr>
            <w:r>
              <w:rPr>
                <w:rFonts w:ascii="Arial" w:cs="Arial" w:eastAsia="Arial" w:hAnsi="Arial"/>
                <w:sz w:val="16"/>
                <w:szCs w:val="16"/>
                <w:color w:val="auto"/>
              </w:rPr>
              <w:t>Class A vehicle with a wheelchair lift to allow</w:t>
            </w:r>
          </w:p>
        </w:tc>
        <w:tc>
          <w:tcPr>
            <w:tcW w:w="3160" w:type="dxa"/>
            <w:vAlign w:val="bottom"/>
          </w:tcPr>
          <w:p>
            <w:pPr>
              <w:ind w:left="20"/>
              <w:spacing w:after="0"/>
              <w:rPr>
                <w:sz w:val="20"/>
                <w:szCs w:val="20"/>
                <w:color w:val="auto"/>
              </w:rPr>
            </w:pPr>
            <w:r>
              <w:rPr>
                <w:rFonts w:ascii="Arial" w:cs="Arial" w:eastAsia="Arial" w:hAnsi="Arial"/>
                <w:sz w:val="16"/>
                <w:szCs w:val="16"/>
                <w:color w:val="auto"/>
              </w:rPr>
              <w:t>Gas: Adventurer AE, Intent AE</w:t>
            </w:r>
          </w:p>
        </w:tc>
        <w:tc>
          <w:tcPr>
            <w:tcW w:w="3180" w:type="dxa"/>
            <w:vAlign w:val="bottom"/>
          </w:tcPr>
          <w:p>
            <w:pPr>
              <w:ind w:left="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68"/>
        </w:trPr>
        <w:tc>
          <w:tcPr>
            <w:tcW w:w="1240" w:type="dxa"/>
            <w:vAlign w:val="bottom"/>
          </w:tcPr>
          <w:p>
            <w:pPr>
              <w:ind w:left="20"/>
              <w:spacing w:after="0"/>
              <w:rPr>
                <w:sz w:val="20"/>
                <w:szCs w:val="20"/>
                <w:color w:val="auto"/>
              </w:rPr>
            </w:pPr>
            <w:r>
              <w:rPr>
                <w:rFonts w:ascii="Arial" w:cs="Arial" w:eastAsia="Arial" w:hAnsi="Arial"/>
                <w:sz w:val="16"/>
                <w:szCs w:val="16"/>
                <w:color w:val="auto"/>
              </w:rPr>
              <w:t>Enhanced</w:t>
            </w:r>
          </w:p>
        </w:tc>
        <w:tc>
          <w:tcPr>
            <w:tcW w:w="3660" w:type="dxa"/>
            <w:vAlign w:val="bottom"/>
          </w:tcPr>
          <w:p>
            <w:pPr>
              <w:ind w:left="340"/>
              <w:spacing w:after="0"/>
              <w:rPr>
                <w:sz w:val="20"/>
                <w:szCs w:val="20"/>
                <w:color w:val="auto"/>
              </w:rPr>
            </w:pPr>
            <w:r>
              <w:rPr>
                <w:rFonts w:ascii="Arial" w:cs="Arial" w:eastAsia="Arial" w:hAnsi="Arial"/>
                <w:sz w:val="16"/>
                <w:szCs w:val="16"/>
                <w:color w:val="auto"/>
              </w:rPr>
              <w:t>individuals with physical handicaps access to</w:t>
            </w:r>
          </w:p>
        </w:tc>
        <w:tc>
          <w:tcPr>
            <w:tcW w:w="3160" w:type="dxa"/>
            <w:vAlign w:val="bottom"/>
          </w:tcPr>
          <w:p>
            <w:pPr>
              <w:ind w:left="20"/>
              <w:spacing w:after="0"/>
              <w:rPr>
                <w:sz w:val="20"/>
                <w:szCs w:val="20"/>
                <w:color w:val="auto"/>
              </w:rPr>
            </w:pPr>
            <w:r>
              <w:rPr>
                <w:rFonts w:ascii="Arial" w:cs="Arial" w:eastAsia="Arial" w:hAnsi="Arial"/>
                <w:sz w:val="16"/>
                <w:szCs w:val="16"/>
                <w:color w:val="auto"/>
              </w:rPr>
              <w:t>Diesel: Forza AE</w:t>
            </w:r>
          </w:p>
        </w:tc>
        <w:tc>
          <w:tcPr>
            <w:tcW w:w="3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1240" w:type="dxa"/>
            <w:vAlign w:val="bottom"/>
          </w:tcPr>
          <w:p>
            <w:pPr>
              <w:spacing w:after="0"/>
              <w:rPr>
                <w:sz w:val="16"/>
                <w:szCs w:val="16"/>
                <w:color w:val="auto"/>
              </w:rPr>
            </w:pPr>
          </w:p>
        </w:tc>
        <w:tc>
          <w:tcPr>
            <w:tcW w:w="3660" w:type="dxa"/>
            <w:vAlign w:val="bottom"/>
          </w:tcPr>
          <w:p>
            <w:pPr>
              <w:ind w:left="340"/>
              <w:spacing w:after="0"/>
              <w:rPr>
                <w:sz w:val="20"/>
                <w:szCs w:val="20"/>
                <w:color w:val="auto"/>
              </w:rPr>
            </w:pPr>
            <w:r>
              <w:rPr>
                <w:rFonts w:ascii="Arial" w:cs="Arial" w:eastAsia="Arial" w:hAnsi="Arial"/>
                <w:sz w:val="16"/>
                <w:szCs w:val="16"/>
                <w:color w:val="auto"/>
              </w:rPr>
              <w:t>the motorhome</w:t>
            </w:r>
          </w:p>
        </w:tc>
        <w:tc>
          <w:tcPr>
            <w:tcW w:w="31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Our Class A, B and C motorhomes are sold by dealers in the retail market with manufacturer's suggested retail prices ranging from approximately $90,000 to $1,300,000, depending on size and model, plus optional equipment and delivery charges. Our motorhomes range in length from 21 to 45 feet.</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Unit sales of our motorhomes for the last three fiscal years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rPr>
              <w:t>2020</w:t>
            </w: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6"/>
                <w:szCs w:val="16"/>
                <w:b w:val="1"/>
                <w:bCs w:val="1"/>
                <w:color w:val="auto"/>
              </w:rPr>
              <w:t>2019</w:t>
            </w: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1019"/>
              <w:spacing w:after="0"/>
              <w:rPr>
                <w:sz w:val="20"/>
                <w:szCs w:val="20"/>
                <w:color w:val="auto"/>
              </w:rPr>
            </w:pPr>
            <w:r>
              <w:rPr>
                <w:rFonts w:ascii="Arial" w:cs="Arial" w:eastAsia="Arial" w:hAnsi="Arial"/>
                <w:sz w:val="16"/>
                <w:szCs w:val="16"/>
                <w:b w:val="1"/>
                <w:bCs w:val="1"/>
                <w:color w:val="auto"/>
              </w:rPr>
              <w:t>2018</w:t>
            </w:r>
          </w:p>
        </w:tc>
      </w:tr>
      <w:tr>
        <w:trPr>
          <w:trHeight w:val="243"/>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30.8 %</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20.8 %</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2,997</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31.4 %</w:t>
            </w:r>
          </w:p>
        </w:tc>
      </w:tr>
      <w:tr>
        <w:trPr>
          <w:trHeight w:val="233"/>
        </w:trPr>
        <w:tc>
          <w:tcPr>
            <w:tcW w:w="3380" w:type="dxa"/>
            <w:vAlign w:val="bottom"/>
          </w:tcPr>
          <w:p>
            <w:pPr>
              <w:ind w:left="20"/>
              <w:spacing w:after="0"/>
              <w:rPr>
                <w:sz w:val="20"/>
                <w:szCs w:val="20"/>
                <w:color w:val="auto"/>
              </w:rPr>
            </w:pPr>
            <w:r>
              <w:rPr>
                <w:rFonts w:ascii="Arial" w:cs="Arial" w:eastAsia="Arial" w:hAnsi="Arial"/>
                <w:sz w:val="16"/>
                <w:szCs w:val="16"/>
                <w:color w:val="auto"/>
              </w:rPr>
              <w:t>Class B</w:t>
            </w:r>
          </w:p>
        </w:tc>
        <w:tc>
          <w:tcPr>
            <w:tcW w:w="1140" w:type="dxa"/>
            <w:vAlign w:val="bottom"/>
          </w:tcPr>
          <w:p>
            <w:pPr>
              <w:jc w:val="right"/>
              <w:spacing w:after="0"/>
              <w:rPr>
                <w:sz w:val="20"/>
                <w:szCs w:val="20"/>
                <w:color w:val="auto"/>
              </w:rPr>
            </w:pPr>
            <w:r>
              <w:rPr>
                <w:rFonts w:ascii="Arial" w:cs="Arial" w:eastAsia="Arial" w:hAnsi="Arial"/>
                <w:sz w:val="16"/>
                <w:szCs w:val="16"/>
                <w:color w:val="auto"/>
              </w:rPr>
              <w:t>3,351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41.3 %</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2,784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36.7 %</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2,012</w:t>
            </w:r>
          </w:p>
        </w:tc>
        <w:tc>
          <w:tcPr>
            <w:tcW w:w="1480" w:type="dxa"/>
            <w:vAlign w:val="bottom"/>
            <w:gridSpan w:val="3"/>
          </w:tcPr>
          <w:p>
            <w:pPr>
              <w:jc w:val="right"/>
              <w:spacing w:after="0"/>
              <w:rPr>
                <w:sz w:val="20"/>
                <w:szCs w:val="20"/>
                <w:color w:val="auto"/>
              </w:rPr>
            </w:pPr>
            <w:r>
              <w:rPr>
                <w:rFonts w:ascii="Arial" w:cs="Arial" w:eastAsia="Arial" w:hAnsi="Arial"/>
                <w:sz w:val="16"/>
                <w:szCs w:val="16"/>
                <w:color w:val="auto"/>
              </w:rPr>
              <w:t>21.1 %</w:t>
            </w:r>
          </w:p>
        </w:tc>
      </w:tr>
      <w:tr>
        <w:trPr>
          <w:trHeight w:val="246"/>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2,261</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27.9 %</w:t>
            </w: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3,225</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42.5 %</w:t>
            </w:r>
          </w:p>
        </w:tc>
        <w:tc>
          <w:tcPr>
            <w:tcW w:w="12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4,539</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47.5 %</w:t>
            </w:r>
          </w:p>
        </w:tc>
      </w:tr>
      <w:tr>
        <w:trPr>
          <w:trHeight w:val="243"/>
        </w:trPr>
        <w:tc>
          <w:tcPr>
            <w:tcW w:w="3380" w:type="dxa"/>
            <w:vAlign w:val="bottom"/>
          </w:tcPr>
          <w:p>
            <w:pPr>
              <w:ind w:left="120"/>
              <w:spacing w:after="0"/>
              <w:rPr>
                <w:sz w:val="20"/>
                <w:szCs w:val="20"/>
                <w:color w:val="auto"/>
              </w:rPr>
            </w:pPr>
            <w:r>
              <w:rPr>
                <w:rFonts w:ascii="Arial" w:cs="Arial" w:eastAsia="Arial" w:hAnsi="Arial"/>
                <w:sz w:val="16"/>
                <w:szCs w:val="16"/>
                <w:color w:val="auto"/>
              </w:rPr>
              <w:t>Total motorhomes</w:t>
            </w:r>
          </w:p>
        </w:tc>
        <w:tc>
          <w:tcPr>
            <w:tcW w:w="1140" w:type="dxa"/>
            <w:vAlign w:val="bottom"/>
          </w:tcPr>
          <w:p>
            <w:pPr>
              <w:jc w:val="right"/>
              <w:spacing w:after="0"/>
              <w:rPr>
                <w:sz w:val="20"/>
                <w:szCs w:val="20"/>
                <w:color w:val="auto"/>
              </w:rPr>
            </w:pPr>
            <w:r>
              <w:rPr>
                <w:rFonts w:ascii="Arial" w:cs="Arial" w:eastAsia="Arial" w:hAnsi="Arial"/>
                <w:sz w:val="16"/>
                <w:szCs w:val="16"/>
                <w:color w:val="auto"/>
              </w:rPr>
              <w:t>8,105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7,591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9,548</w:t>
            </w:r>
          </w:p>
        </w:tc>
        <w:tc>
          <w:tcPr>
            <w:tcW w:w="1480" w:type="dxa"/>
            <w:vAlign w:val="bottom"/>
            <w:gridSpan w:val="3"/>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33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Motorhome parts and service activities represent revenues generated by service work we perform for retail customers at our Forest City, Iowa and Nappanee, Indiana facilities as well as revenues from the sale of unit parts. Our competitive strategy is to provide proprietary manufactured parts through our dealer network, which we believe increases customer satisfaction and the value of our motorhomes.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Chris-Craft</w:t>
      </w:r>
    </w:p>
    <w:p>
      <w:pPr>
        <w:spacing w:after="0" w:line="264"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On June 4, 2018, we acquired 100% of the ownership interests of Chris-Craft USA, Inc. ("Chris-Craft"), a privately-owned company based in Sarasota, Florida. As a result of this acquisition, we manufacture and sell premium quality boats in the recreational powerboat industry through an established global network of independent authorized dealers.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Winnebago Specialty Vehicles</w:t>
      </w:r>
    </w:p>
    <w:p>
      <w:pPr>
        <w:spacing w:after="0" w:line="264"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We also manufacture other specialty commercial vehicles primarily custom designed for the buyer's specific needs and requirements, such as law enforcement command centers, mobile medical clinics, and mobile office space. These specialty commercial vehicles are manufactured in Forest City, Iowa and sold through our dealer network. In addition, we also provide commercial vehicles as bare shells to third-party upfitters for conversion at their facilities.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w:t>
      </w:r>
    </w:p>
    <w:p>
      <w:pPr>
        <w:spacing w:after="0" w:line="268"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We generally produce towables and motorhomes made to order for dealers. We have some ability to increase our capacity by scheduling overtime and/or hiring additional production employees or to decrease our capacity through the use of shortened work weeks and/or reducing head count. We have long been known as an industry leader in innovation as each year we introduce new or redesigned products. These changes generally include new floor plans, features, functionality, and sizes as well as design and decor modifications. Most of our raw materials such as steel, aluminum, fiberglass, and wood products are obtainable from numerous sources.</w:t>
      </w:r>
    </w:p>
    <w:p>
      <w:pPr>
        <w:spacing w:after="0" w:line="230"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Our towables are produced at two assembly campuses located in Middlebury, IN. The majority of components are comprised of frames, appliances, and furniture, and are purchased from suppliers. In Fiscal 2020, we had one supplier that accounted for more than 10% of our Towable raw material purchases.</w:t>
      </w:r>
    </w:p>
    <w:p>
      <w:pPr>
        <w:spacing w:after="0" w:line="222" w:lineRule="exact"/>
        <w:rPr>
          <w:sz w:val="20"/>
          <w:szCs w:val="20"/>
          <w:color w:val="auto"/>
        </w:rPr>
      </w:pPr>
    </w:p>
    <w:p>
      <w:pPr>
        <w:jc w:val="both"/>
        <w:ind w:right="200"/>
        <w:spacing w:after="0" w:line="251" w:lineRule="auto"/>
        <w:rPr>
          <w:sz w:val="20"/>
          <w:szCs w:val="20"/>
          <w:color w:val="auto"/>
        </w:rPr>
      </w:pPr>
      <w:r>
        <w:rPr>
          <w:rFonts w:ascii="Arial" w:cs="Arial" w:eastAsia="Arial" w:hAnsi="Arial"/>
          <w:sz w:val="16"/>
          <w:szCs w:val="16"/>
          <w:color w:val="auto"/>
        </w:rPr>
        <w:t>Our motorhomes are produced in the states of Iowa and Indiana at five different campuses. Our motorhome business utilizes vertically integrated supply streams, with the principal exceptions being chassis, engines, generators, and appliances that we purchase from reputable manufacturers. Certain parts, especially motorhome chassis, are available from a small group of suppliers. In Fiscal 2020, we had one supplier that accounted for more than 10% of our motorhome raw material purchases.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Backlog</w:t>
      </w:r>
    </w:p>
    <w:p>
      <w:pPr>
        <w:spacing w:after="0" w:line="268"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 xml:space="preserve">We strive to balance timely order fulfillment to our dealers with the lead times suppliers require to efficiently source materials and manage costs. Production facility constraints at peak periods also lead to fluctuations in backlog orders which we manage closely. The approximate revenue of our Towable backlog was $747.9 million and $234.3 million as of August 29, 2020 and August 31, 2019, respectively. The approximate revenue of our Motorhome backlog was $1,051.4 million and $165.4 million as of August 29, 2020 and August 31, 2019, respectively. A more detailed description of our Motorhome and Towable order backlog is included in Item 7, </w:t>
      </w:r>
      <w:r>
        <w:rPr>
          <w:rFonts w:ascii="Arial" w:cs="Arial" w:eastAsia="Arial" w:hAnsi="Arial"/>
          <w:sz w:val="16"/>
          <w:szCs w:val="16"/>
          <w:i w:val="1"/>
          <w:iCs w:val="1"/>
          <w:color w:val="auto"/>
        </w:rPr>
        <w:t>Management's Discussion and Analysis of Financial Condition and Results of Operation</w:t>
      </w:r>
      <w:r>
        <w:rPr>
          <w:rFonts w:ascii="Arial" w:cs="Arial" w:eastAsia="Arial" w:hAnsi="Arial"/>
          <w:sz w:val="16"/>
          <w:szCs w:val="16"/>
          <w:color w:val="auto"/>
        </w:rPr>
        <w:t>s, of this Annual Report on Form 10-K.</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Distribution and Financing</w:t>
      </w:r>
    </w:p>
    <w:p>
      <w:pPr>
        <w:spacing w:after="0" w:line="268" w:lineRule="exact"/>
        <w:rPr>
          <w:sz w:val="20"/>
          <w:szCs w:val="20"/>
          <w:color w:val="auto"/>
        </w:rPr>
      </w:pPr>
    </w:p>
    <w:p>
      <w:pPr>
        <w:ind w:right="240"/>
        <w:spacing w:after="0" w:line="246" w:lineRule="auto"/>
        <w:rPr>
          <w:sz w:val="20"/>
          <w:szCs w:val="20"/>
          <w:color w:val="auto"/>
        </w:rPr>
      </w:pPr>
      <w:r>
        <w:rPr>
          <w:rFonts w:ascii="Arial" w:cs="Arial" w:eastAsia="Arial" w:hAnsi="Arial"/>
          <w:sz w:val="16"/>
          <w:szCs w:val="16"/>
          <w:color w:val="auto"/>
        </w:rPr>
        <w:t>We market our products on a wholesale basis to a diversified independent dealer network located throughout the U.S. and, to a limited extent, in Canada, Africa, Asia, Europe, Australia, and South America. Foreign sales were 10% or less of Net revenues during each of the past three fiscal years.</w:t>
      </w:r>
    </w:p>
    <w:p>
      <w:pPr>
        <w:spacing w:after="0" w:line="1"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As of August 29, 2020, our RV and marine dealer network in the U.S. and Canada included 642 physical dealer locations, many of which carry more than one of our brands. None of our dealer organizations accounted for more than 10% of our Net revenues for Fiscal 2020, 2019, and 2018.</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have sales and service agreements with dealers which are subject to annual review. Many of the dealers are also engaged in other areas of business, including the sale of automobiles, trailers, or boats, and most dealers carry one or more competitive lines of RVs. We continue to place high emphasis on the capability of our dealers to provide complete service for our products. Dealers are obligated to provide full service for owners of our products or, in lieu thereof, to secure such service from other authorized providers.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advertise and promote our products through national trade magazines, the distribution of product brochures, the Go RVing national advertising campaign sponsored by RVIA, our websites, social media, direct-mail advertising campaigns, various national promotional opportunities, and on a local basis through trade shows, television, radio, and newspapers, primarily in connection with area dealers.</w:t>
      </w:r>
    </w:p>
    <w:p>
      <w:pPr>
        <w:spacing w:after="0" w:line="22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 xml:space="preserve">Sales to dealers are made primarily on cash terms. Most dealers are financed on a "floorplan" basis under which a bank or finance company lends the dealer all, or substantially all, of the purchase price, collateralized by a security interest in the merchandise purchased. As is customary in our industries, we typically enter into a repurchase agreement with a lending institution financing a dealer's purchase of our product upon the lending institution's request and after completion of a credit check of the dealer involved. Our repurchase agreements provide that, for up to 18 months after an RV unit is financed and up to 24 months after a marine unit is financed, in the event of default by the dealer on the agreement to pay the lending institution and repossession of the unit(s) by the lending institution, we will repurchase the financed merchandise from the lender at the amount then due, which is often less than dealer invoice. Our maximum exposure for repurchases varies significantly from time to time, depending upon the level of dealer inventory, general economic conditions, demand for our products, dealer location, and access to and the cost of financing. See Note 12, </w:t>
      </w:r>
      <w:r>
        <w:rPr>
          <w:rFonts w:ascii="Arial" w:cs="Arial" w:eastAsia="Arial" w:hAnsi="Arial"/>
          <w:sz w:val="16"/>
          <w:szCs w:val="16"/>
          <w:i w:val="1"/>
          <w:iCs w:val="1"/>
          <w:color w:val="auto"/>
        </w:rPr>
        <w:t>Contingent Liabilities and Commitments</w:t>
      </w:r>
      <w:r>
        <w:rPr>
          <w:rFonts w:ascii="Arial" w:cs="Arial" w:eastAsia="Arial" w:hAnsi="Arial"/>
          <w:sz w:val="16"/>
          <w:szCs w:val="16"/>
          <w:color w:val="auto"/>
        </w:rPr>
        <w:t xml:space="preserve">, of the Notes to Consolidated Financial Statements, included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268"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The RV and marine markets are highly competitive with many other manufacturers selling products which compete directly with our products. Some of our competitors are much larger than us, most notably in the towable RV market, which may provide these competitors additional purchasing power. The competition in our industry is based upon design, price, quality, features, and service of the products. We believe our principal competitive advantages are our brand strength, product differentiation, product quality, and our service after the sale. We also believe that our products have historically commanded a price premium as a result of these competitive advantages.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268"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The primary use of RVs and marine products for leisure travel and outdoor recreation has historically led to a peak retail selling season concentrated in the spring and summer months and lower sales during winter months. Our sales are generally influenced by this pattern in retail sales, but sales can also be affected by the level of dealer inventory. As a result, our RV sales are historically lowest during our second fiscal quarter, which ends in February.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Governmental Regulations</w:t>
      </w:r>
    </w:p>
    <w:p>
      <w:pPr>
        <w:spacing w:after="0" w:line="26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are subject to a variety of federal, state, local, and, to a limited extent, international laws and regulations, including the federal Motor Vehicle Act ("MVA"), under which the National Highway Traffic Safety Administration ("NHTSA") may require manufacturers to recall RVs that contain safety-related defects, and numerous state consumer protection laws and regulations relating to the operation of motor vehicles, including so-called "Lemon Laws." The Boat Safety Act of 1971 has similar safety-related recall requirements for marine units. In addition, marine units sold in the U.S. and Europe must meet the certification standards of the U.S. Coast Guard and the European Community, respectively.</w:t>
      </w:r>
    </w:p>
    <w:p>
      <w:pPr>
        <w:spacing w:after="0" w:line="230"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We are also subject to regulations established by the Occupational Safety and Health Administration ("OSHA"). Our facilities are periodically inspected by federal and state agencies, such as OSHA. We are a member of RVIA, a voluntary association of RV manufacturers which promulgates RV safety standards. We place an RVIA seal on each of our RVs to certify that the RVIA standards have been met. We believe that our products and facilities comply in all material respects with the applicable vehicle safety, consumer protection, RVIA, and OSHA regulations and standards.</w:t>
      </w:r>
    </w:p>
    <w:p>
      <w:pPr>
        <w:spacing w:after="0" w:line="229"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Our operations are subject to a variety of federal and state environmental laws and regulations relating to the use, generation, storage, treatment, emission, labeling, and disposal of hazardous materials and wastes, and noise pollution. We believe that we are currently in compliance with applicable environmental laws and regulations in all material aspects.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Trademarks</w:t>
      </w:r>
    </w:p>
    <w:p>
      <w:pPr>
        <w:spacing w:after="0" w:line="268"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We have several domestic and foreign trademark registrations and pending applications associated with our products which include: Winnebago, 24 W 7 (logo), +Lounger, Adventurer, Affinity, Airlie, Aspect, Bay Star, Bay Star Sport, Benchmark, Brave, Boldt, Bound by the W, Cambria, Canyon Star, CC (logo), Chris Craft, Chris-Craft (logo), Comfort Drive, Comfort Drive Steering (logo), Commander, Corsair, Cottesloe, Country Coach, Destination, Dutch Star, Dynomax, Eco-Hot, Ekko, Ellipse, eMLU, Era, Essex, Forza, Fresco, Fuse, Glide &amp; Dine, GoWinnebago, Grand Design, Grand Design Recreational Vehicles, Grand Design RV, Horizon, Imagine, InLounge, Inspire, Instinct, Intable, Intent, Intrigue, Itasca, Itasca (logo), Journey, King Aire, Kountry Aire (logo), Kountry Star, Lancer, Latitude, London Aire, Maxum Chassis, Maxum II, Micro Minnie, Minnie, Minnie Drop, Minnie Winnie, MLU, Momentum, Mountain Aire, Navion, New Aire, Newmar, Outlook, Paseo, Porto, Pure3 Energy Management System, Reflection, Rest Easy, Revel, Roamer, Scorpion, Silhouette, Sightseer, SOLIS, Solitude, Spirit, Star Foundation, Star Foundation (logo), Suncruiser, Sunova, Sunstar, Supershell, Superstar, Supreme Aire, The Most Recognized Name in Motorhomes, Thermo-Panel, Transcend, Transcend Xplor, Travato, Trend, True Trax, Ventana, Ventana LE, Via, View, Vista, Vita, Viva!, Voyage, W, Flying W (logo), Winnebago (logo), Winnebago Ind (logo), Winnebago Connect (logo), Winnebago Minnie, Winnebago Touring Coach, Winnebago Towables (logo), WinnebagoLife, WinnebagoLife (logo), Winnie Drop, WIT Club, Yuma, and Design of motor home front end (trade dress).</w:t>
      </w:r>
    </w:p>
    <w:p>
      <w:pPr>
        <w:spacing w:after="0" w:line="200" w:lineRule="exact"/>
        <w:rPr>
          <w:sz w:val="20"/>
          <w:szCs w:val="20"/>
          <w:color w:val="auto"/>
        </w:rPr>
      </w:pPr>
    </w:p>
    <w:p>
      <w:pPr>
        <w:spacing w:after="0" w:line="228"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We believe that our trademarks and trade names are significant assets to our business, and we have in the past and will in the future vigorously protect them against infringement by third parties. We are not dependent upon any patents or technology licenses of others for the conduct of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Resources</w:t>
      </w:r>
    </w:p>
    <w:p>
      <w:pPr>
        <w:spacing w:after="0" w:line="268"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At the end of Fiscal 2020, 2019, and 2018, we employed approximately 5,505, 4,500, and 4,700 persons, respectively. None of our employees are covered under a collective bargaining agreement. We believe our relations with our employees are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6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Described below are certain risks that we believe apply to our business and the industry in which we operate. The following risk factors should be considered carefully in addition to the other information contained in this Annual Report on Form 10-K. The risks and uncertainties highlighted represent the most significant risk factors that we believe may adversely affect our business, financial condition, results of operations, cash flows, liquidity or access to sources of financing, and, consequently, the market value of our common stock. The risks and uncertainties discussed in this report are not exclusive and other risk factors that we may consider immaterial or do not anticipate may emerge as significant risks and uncertainties.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COVID-19 pandemic may have a material negative impact on our business, financial condition, results of operations and cash flows.</w:t>
      </w:r>
    </w:p>
    <w:p>
      <w:pPr>
        <w:spacing w:after="0" w:line="255" w:lineRule="exact"/>
        <w:rPr>
          <w:sz w:val="20"/>
          <w:szCs w:val="20"/>
          <w:color w:val="auto"/>
        </w:rPr>
      </w:pPr>
    </w:p>
    <w:p>
      <w:pPr>
        <w:ind w:right="140"/>
        <w:spacing w:after="0" w:line="228" w:lineRule="auto"/>
        <w:rPr>
          <w:sz w:val="20"/>
          <w:szCs w:val="20"/>
          <w:color w:val="auto"/>
        </w:rPr>
      </w:pPr>
      <w:r>
        <w:rPr>
          <w:rFonts w:ascii="Arial" w:cs="Arial" w:eastAsia="Arial" w:hAnsi="Arial"/>
          <w:sz w:val="16"/>
          <w:szCs w:val="16"/>
          <w:color w:val="auto"/>
        </w:rPr>
        <w:t>Our business and financial results are expected to be negatively impacted by the COVID-19 pandemic. The severity, magnitude and duration of the current COVID-19 pandemic is uncertain, rapidly changing and hard to predict. In Fiscal 2020, COVID-19 significantly impacted economic activity and markets around the world. The COVID-19 pandemic negatively impacted our business in numerous ways, including but not limited to those outlined below, and we expect these impacts to continue into Fiscal 2021 and beyond:</w:t>
      </w:r>
    </w:p>
    <w:p>
      <w:pPr>
        <w:spacing w:after="0" w:line="3" w:lineRule="exact"/>
        <w:rPr>
          <w:sz w:val="20"/>
          <w:szCs w:val="20"/>
          <w:color w:val="auto"/>
        </w:rPr>
      </w:pPr>
    </w:p>
    <w:p>
      <w:pPr>
        <w:ind w:left="660" w:right="240" w:hanging="328"/>
        <w:spacing w:after="0" w:line="228"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COVID-19 pandemic has caused a global economic slowdown that may last for an extended duration, and it is possible that it could cause a global recession.</w:t>
      </w:r>
    </w:p>
    <w:p>
      <w:pPr>
        <w:spacing w:after="0" w:line="1" w:lineRule="exact"/>
        <w:rPr>
          <w:rFonts w:ascii="Arial" w:cs="Arial" w:eastAsia="Arial" w:hAnsi="Arial"/>
          <w:sz w:val="16"/>
          <w:szCs w:val="16"/>
          <w:color w:val="auto"/>
        </w:rPr>
      </w:pPr>
    </w:p>
    <w:p>
      <w:pPr>
        <w:ind w:left="660" w:right="120" w:hanging="328"/>
        <w:spacing w:after="0" w:line="228"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212529"/>
        </w:rPr>
        <w:t>Due to the impacts of the COVID-19 pandemic, we have experienced and could continue to experience reductions in customer demand for certain products. During the third quarter of Fiscal 2020, we experienced reductions in customer demand due to a decrease in consumer spending attributable to the COVID-19 pandemic.</w:t>
      </w:r>
    </w:p>
    <w:p>
      <w:pPr>
        <w:spacing w:after="0" w:line="2" w:lineRule="exact"/>
        <w:rPr>
          <w:rFonts w:ascii="Arial" w:cs="Arial" w:eastAsia="Arial" w:hAnsi="Arial"/>
          <w:sz w:val="16"/>
          <w:szCs w:val="16"/>
          <w:color w:val="auto"/>
        </w:rPr>
      </w:pPr>
    </w:p>
    <w:p>
      <w:pPr>
        <w:ind w:left="660" w:right="20" w:hanging="328"/>
        <w:spacing w:after="0" w:line="228"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212529"/>
        </w:rPr>
        <w:t>The COVID-19 pandemic is adversely affecting, and is expected to continue to adversely affect, certain elements of our business (including certain elements of our operations, supply chains and distribution systems), including required, preventive and precautionary measures that we, our communities and governments are taking. These impacts include requiring employees to work from home or not go into their offices, limiting the number of employees attending meetings and using digital options when available, reducing the number of people in our sites at any one time, reducing employee travel and adopting other employee safety measures. These measures may also impact our ability to meet production demands or requests depending on employee attendance or ability to continue to work.</w:t>
      </w:r>
    </w:p>
    <w:p>
      <w:pPr>
        <w:spacing w:after="0" w:line="4" w:lineRule="exact"/>
        <w:rPr>
          <w:rFonts w:ascii="Arial" w:cs="Arial" w:eastAsia="Arial" w:hAnsi="Arial"/>
          <w:sz w:val="16"/>
          <w:szCs w:val="16"/>
          <w:color w:val="auto"/>
        </w:rPr>
      </w:pPr>
    </w:p>
    <w:p>
      <w:pPr>
        <w:ind w:left="660" w:right="80" w:hanging="328"/>
        <w:spacing w:after="0" w:line="228"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212529"/>
        </w:rPr>
        <w:t>If the COVID-19 pandemic continues and economic conditions worsen, we expect to experience additional adverse impacts on our operational and commercial activities, customer orders and our collections of accounts receivable, which may be material. The impact on future operational and commercial activities, customer orders, and collections remains uncertain even if economic conditions begin to improve.</w:t>
      </w:r>
    </w:p>
    <w:p>
      <w:pPr>
        <w:spacing w:after="0" w:line="2" w:lineRule="exact"/>
        <w:rPr>
          <w:rFonts w:ascii="Arial" w:cs="Arial" w:eastAsia="Arial" w:hAnsi="Arial"/>
          <w:sz w:val="16"/>
          <w:szCs w:val="16"/>
          <w:color w:val="auto"/>
        </w:rPr>
      </w:pPr>
    </w:p>
    <w:p>
      <w:pPr>
        <w:ind w:left="660" w:right="20" w:hanging="328"/>
        <w:spacing w:after="0" w:line="228"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212529"/>
        </w:rPr>
        <w:t>Government or regulatory responses to the COVID-19 pandemic have and may continue to negatively impact our business. In Fiscal 2020, mandatory shelter-in-place or other restrictions on operations have temporarily disrupted our ability to manufacture or distribute our products in some markets and our dealers' ability to retail our products in certain markets. Continuation or expansion of these disruptions could materially adversely impact our operations and results. In addition to existing travel restrictions, jurisdictions may continue to close borders, impose prolonged quarantines and further restrict travel and business activity, which could significantly impact our ability to support our operations and customers and the ability of our employees to get to their workplaces to produce products and services, or significantly hinder our products from being sold to the end customer.</w:t>
      </w:r>
    </w:p>
    <w:p>
      <w:pPr>
        <w:spacing w:after="0" w:line="4" w:lineRule="exact"/>
        <w:rPr>
          <w:rFonts w:ascii="Arial" w:cs="Arial" w:eastAsia="Arial" w:hAnsi="Arial"/>
          <w:sz w:val="16"/>
          <w:szCs w:val="16"/>
          <w:color w:val="auto"/>
        </w:rPr>
      </w:pPr>
    </w:p>
    <w:p>
      <w:pPr>
        <w:jc w:val="both"/>
        <w:ind w:left="660" w:right="60" w:hanging="328"/>
        <w:spacing w:after="0" w:line="228"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212529"/>
        </w:rPr>
        <w:t>The impacts of the COVID-19 pandemic may limit our ability to reduce our overall operating costs. We expect increased costs relating to our efforts to mitigate the impact of the COVID-19 pandemic through enhanced sanitization procedures and social-distancing measures we have enacted and will likely continue to enact at our locations in an effort to protect our employees’ health and well-being.</w:t>
      </w:r>
    </w:p>
    <w:p>
      <w:pPr>
        <w:spacing w:after="0" w:line="2" w:lineRule="exact"/>
        <w:rPr>
          <w:rFonts w:ascii="Arial" w:cs="Arial" w:eastAsia="Arial" w:hAnsi="Arial"/>
          <w:sz w:val="16"/>
          <w:szCs w:val="16"/>
          <w:color w:val="auto"/>
        </w:rPr>
      </w:pPr>
    </w:p>
    <w:p>
      <w:pPr>
        <w:ind w:left="660" w:right="100" w:hanging="328"/>
        <w:spacing w:after="0" w:line="228"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212529"/>
        </w:rPr>
        <w:t>The COVID-19 pandemic has not materially disrupted our supply chain at this time, however, the full impact of the outbreak on our supply chain could result in future disruptions. Should disruptions or our failure to effectively respond to them occur, it may increase product or distribution costs or cause delays in delivering or an inability to deliver products to our customers.</w:t>
      </w:r>
    </w:p>
    <w:p>
      <w:pPr>
        <w:spacing w:after="0" w:line="2" w:lineRule="exact"/>
        <w:rPr>
          <w:rFonts w:ascii="Arial" w:cs="Arial" w:eastAsia="Arial" w:hAnsi="Arial"/>
          <w:sz w:val="16"/>
          <w:szCs w:val="16"/>
          <w:color w:val="auto"/>
        </w:rPr>
      </w:pPr>
    </w:p>
    <w:p>
      <w:pPr>
        <w:ind w:left="660" w:right="140" w:hanging="328"/>
        <w:spacing w:after="0" w:line="228"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212529"/>
        </w:rPr>
        <w:t>The COVID-19 pandemic has increased volatility and pricing, and has disrupted the capital markets and commercial paper markets. With the ongoing pandemic, volatility is likely to continue. We might not be able to continue to access preferred sources of liquidity when we would like and our borrowing costs could increase.</w:t>
      </w:r>
    </w:p>
    <w:p>
      <w:pPr>
        <w:spacing w:after="0" w:line="2" w:lineRule="exact"/>
        <w:rPr>
          <w:rFonts w:ascii="Arial" w:cs="Arial" w:eastAsia="Arial" w:hAnsi="Arial"/>
          <w:sz w:val="16"/>
          <w:szCs w:val="16"/>
          <w:color w:val="auto"/>
        </w:rPr>
      </w:pPr>
    </w:p>
    <w:p>
      <w:pPr>
        <w:ind w:left="660" w:right="120" w:hanging="328"/>
        <w:spacing w:after="0" w:line="235" w:lineRule="auto"/>
        <w:tabs>
          <w:tab w:leader="none" w:pos="649" w:val="left"/>
        </w:tabs>
        <w:numPr>
          <w:ilvl w:val="0"/>
          <w:numId w:val="2"/>
        </w:numPr>
        <w:rPr>
          <w:rFonts w:ascii="Arial" w:cs="Arial" w:eastAsia="Arial" w:hAnsi="Arial"/>
          <w:sz w:val="16"/>
          <w:szCs w:val="16"/>
          <w:color w:val="212529"/>
        </w:rPr>
      </w:pPr>
      <w:r>
        <w:rPr>
          <w:rFonts w:ascii="Arial" w:cs="Arial" w:eastAsia="Arial" w:hAnsi="Arial"/>
          <w:sz w:val="16"/>
          <w:szCs w:val="16"/>
          <w:color w:val="212529"/>
        </w:rPr>
        <w:t>The COVID-19 pandemic has caused increased difficulty in determining the fair value of the Company’s goodwill and other assets for accounting purposes given the level of judgment and estimation that is inherently higher in the current environment considering the uncertainty created by the COVID-19 pandemic, which could result in estimates and assumptions made in valuing goodwill and other Company assets proving to be inaccurate in the future.</w:t>
      </w:r>
    </w:p>
    <w:p>
      <w:pPr>
        <w:spacing w:after="0" w:line="89" w:lineRule="exact"/>
        <w:rPr>
          <w:sz w:val="20"/>
          <w:szCs w:val="20"/>
          <w:color w:val="auto"/>
        </w:rPr>
      </w:pPr>
    </w:p>
    <w:p>
      <w:pPr>
        <w:jc w:val="both"/>
        <w:ind w:right="140"/>
        <w:spacing w:after="0" w:line="233" w:lineRule="auto"/>
        <w:rPr>
          <w:sz w:val="20"/>
          <w:szCs w:val="20"/>
          <w:color w:val="auto"/>
        </w:rPr>
      </w:pPr>
      <w:r>
        <w:rPr>
          <w:rFonts w:ascii="Arial" w:cs="Arial" w:eastAsia="Arial" w:hAnsi="Arial"/>
          <w:sz w:val="16"/>
          <w:szCs w:val="16"/>
          <w:color w:val="212529"/>
        </w:rPr>
        <w:t>We may not be able to predict or respond to all impacts of the COVID-19 pandemic on a timely basis to prevent near- or long-term adverse impacts to our results. Due to the speed with which the COVID-19 situation continues to develop, the breadth of its spread and the range of governmental and community reactions thereto, there is uncertainty around its duration and ultimate impact; therefore, any negative impact on our business, financial condition (including without limitation our liquidity), results of operations and cash flows cannot be reasonably estimated at this time, but the COVID-19 pandemic could lead to extended disruption of economic activity and the impact on our business, financial condition, results of operations and cash flows could be material.</w:t>
      </w:r>
    </w:p>
    <w:p>
      <w:pPr>
        <w:spacing w:after="0" w:line="227" w:lineRule="exact"/>
        <w:rPr>
          <w:sz w:val="20"/>
          <w:szCs w:val="20"/>
          <w:color w:val="auto"/>
        </w:rPr>
      </w:pPr>
    </w:p>
    <w:p>
      <w:pPr>
        <w:ind w:right="120"/>
        <w:spacing w:after="0" w:line="235" w:lineRule="auto"/>
        <w:rPr>
          <w:sz w:val="20"/>
          <w:szCs w:val="20"/>
          <w:color w:val="auto"/>
        </w:rPr>
      </w:pPr>
      <w:r>
        <w:rPr>
          <w:rFonts w:ascii="Arial" w:cs="Arial" w:eastAsia="Arial" w:hAnsi="Arial"/>
          <w:sz w:val="16"/>
          <w:szCs w:val="16"/>
          <w:color w:val="212529"/>
        </w:rPr>
        <w:t>The ultimate impact of these disruptions also depends on events beyond our knowledge or control, including the duration and severity of the COVID-19 pandemic and actions taken by parties other than us to respond to them. The foregoing and other impacts of the COVID-19 pandemic could have the effect of heightening many of the other risks described in this Annual Report, and any of these impacts could materially adversely affect our business, financial condition, results of operations and cash flows.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b w:val="1"/>
          <w:bCs w:val="1"/>
          <w:color w:val="auto"/>
        </w:rPr>
        <w:t>The industry in which we operate is highly competitive. Failure to compete effectively against competitors could negatively impact our business and operating results.</w:t>
      </w:r>
    </w:p>
    <w:p>
      <w:pPr>
        <w:spacing w:after="0" w:line="203"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The markets for RVs and marine products are very competitive. Competitive factors in the industry include price, design, value, quality, service, brand awareness, and reputation. There can be no assurance that existing or new competitors will not develop products that are superior to our products or that achieve better consumer acceptance, thereby adversely affecting our market share, sales volume, and profit margins. Some of our competitors are much larger than we are, and this size advantage provides these competitors with more financial resources and access to capital, additional purchasing power, and greater leverage with the dealer networks. In addition, competition could increase if new companies enter the market, existing competitors consolidate their operations, or if existing competitors expand their product lines or intensify efforts within existing product lines. Our current products, products under development, and our ability to develop new and improved products may be insufficient to enable us to compete effectively with our competitors. These competitive pressures may have a material adverse effect on our results of operations.</w:t>
      </w:r>
    </w:p>
    <w:p>
      <w:pPr>
        <w:spacing w:after="0" w:line="21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b w:val="1"/>
          <w:bCs w:val="1"/>
          <w:color w:val="auto"/>
        </w:rPr>
        <w:t>If we fail to identify, attract, and retain appropriately qualified employees, including employees in key positions, our operations and profitability may be harmed. Changes in market compensation rates may adversely affect our profitability.</w:t>
      </w:r>
    </w:p>
    <w:p>
      <w:pPr>
        <w:spacing w:after="0" w:line="203"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Our ability to meet our strategic objectives and otherwise grow our business will depend to a significant extent on the continued contributions of our leadership team. Our future success will also depend in large part on our ability to identify, attract, and retain other highly qualified managerial, technical, sales and marketing, operations, and customer service personnel. Competition for these individuals in our manufacturing markets is intense and supply is limited. Since we operate in a competitive labor market, there is a risk that market increases in compensation could have an adverse effect on our business. We may not succeed in identifying, attracting, or retaining qualified personnel on a cost-effective basis. The loss or interruption of services of any of our key personnel, inability to identify, attract, or retain qualified personnel in the future, delays in hiring qualified personnel, or any employee work slowdowns, strikes, or similar actions could make it difficult for us to conduct and manage our business and meet key objectives, which could harm our business, financial condition, and operating results.</w:t>
      </w:r>
    </w:p>
    <w:p>
      <w:pPr>
        <w:spacing w:after="0" w:line="214"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b w:val="1"/>
          <w:bCs w:val="1"/>
          <w:color w:val="auto"/>
        </w:rPr>
        <w:t>Our operations are primarily centered in northern IA and northern IN. Any disruption at these sites could adversely affect our business and operating results.</w:t>
      </w:r>
    </w:p>
    <w:p>
      <w:pPr>
        <w:spacing w:after="0" w:line="20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currently manufacture most of our products in northern IA and northern IN. These facilities may be affected by natural or man-made disasters and other external events. In the event that one of our manufacturing facilities was affected by a disaster or other event, we could be forced to shift production to one of our other manufacturing facilities or to cease operations. Although we maintain insurance for damage to our property and disruption of our business from casualties, such insurance may not be sufficient to cover all of our potential losses. Any disruption in our manufacturing capacity could have an adverse impact on our ability to produce sufficient inventory of our products or may require us to incur additional expenses in order to produce sufficient inventory, and therefore, may adversely affect our net sales and operating results. Any disruption or delay at our manufacturing facilities could impair our ability to meet the demands of our customers, and our customers may cancel orders or purchase products from our competitors, which could adversely affect our business and operating results.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terms of our notes and other debt instruments could adversely affect our operating flexibility and pose risks of default.</w:t>
      </w:r>
    </w:p>
    <w:p>
      <w:pPr>
        <w:spacing w:after="0" w:line="268"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We incurred substantial indebtedness to finance the acquisitions of Grand Design and Newmar Corporation ("Newmar"). Our ABL credit facility and senior secured notes are secured by substantially all of our assets, including cash, inventory, accounts receivable, and certain machinery and equipment. We also issued unsecured convertible notes to finance the acquisition of Newmar. If a default of payment occurs, the lenders in our ABL facility or holders of our senior secured and convertible notes may elect to declare all of their respective outstanding debt, together with accrued interest and other amounts payable thereunder, to be immediately due and payable. Under such circumstances, we may not have sufficient funds or other resources to satisfy all of our obligations. In addition, the limitations imposed on our ability to incur additional debt and to take other corporate actions might significantly impair our ability to obtain other financing.</w:t>
      </w:r>
    </w:p>
    <w:p>
      <w:pPr>
        <w:spacing w:after="0" w:line="235"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Borrowing availability under the ABL credit facility is limited to the lesser of the facility total and the calculated borrowing base, which is based on stipulated loan percentages applied to our eligible trade accounts receivable and eligible inventories. Should the borrowing base decline, our ability to borrow to fund future operations and business transactions could be limited.</w:t>
      </w:r>
    </w:p>
    <w:p>
      <w:pPr>
        <w:spacing w:after="0" w:line="228"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In addition, the senior secured notes contain certain occurrence based covenants that could restrict our ability to undertake certain types of transactions. If we enter into a transaction that falls under the occurrence based covenants, we will calculate the ratios and covenant buckets we have available to us to ensure we are in compliance. Likewise, the indenture related to the convertible notes issued to help finance the acquisition of Newmar includes certain limited covenants that could impact our ability to operate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In addition, our indebtedness could:</w:t>
      </w:r>
    </w:p>
    <w:p>
      <w:pPr>
        <w:spacing w:after="0" w:line="5"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Make us more vulnerable to general adverse economic, regulatory, and industry conditions;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Limit our flexibility in planning for, or reacting to, changes and opportunities in the markets in which we compete;</w:t>
      </w:r>
    </w:p>
    <w:p>
      <w:pPr>
        <w:spacing w:after="0" w:line="5" w:lineRule="exact"/>
        <w:rPr>
          <w:rFonts w:ascii="Arial" w:cs="Arial" w:eastAsia="Arial" w:hAnsi="Arial"/>
          <w:sz w:val="16"/>
          <w:szCs w:val="16"/>
          <w:color w:val="auto"/>
        </w:rPr>
      </w:pPr>
    </w:p>
    <w:p>
      <w:pPr>
        <w:ind w:left="660" w:right="80" w:hanging="328"/>
        <w:spacing w:after="0" w:line="24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Place us at a competitive disadvantage compared to our competitors that have less debt or could require us to dedicate a substantial portion of our cash flow to service our debt; and</w:t>
      </w: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Restrict us from making strategic acquisitions or exploiting other business opportunities.</w:t>
      </w:r>
    </w:p>
    <w:p>
      <w:pPr>
        <w:spacing w:after="0" w:line="228"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b w:val="1"/>
          <w:bCs w:val="1"/>
          <w:color w:val="auto"/>
        </w:rPr>
        <w:t>Various factors, including share dilution, changes to credit terms, and our ability to meet financial performance expectations, could result in a decline in our stock price.</w:t>
      </w:r>
    </w:p>
    <w:p>
      <w:pPr>
        <w:spacing w:after="0" w:line="203"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Our stock price may fluctuate based on many factors. Our acquisition of Grand Design, for example, provided important strategic positioning and earnings growth potential, but to partially finance the transaction we issued $124.1 million worth of common stock to the owners of Grand Design and registered these shares for resale after the transaction closed. Similarly, we issued 2.0 million shares of our common stock to the owners of Newmar. In connection with our acquisition of Newmar, we also issued $300.0 million in aggregate principal amount of 1.50% convertible senior notes due 2025. We will settle conversions of the convertible notes by paying or delivering, as applicable, cash, shares of our common stock or a combination of cash and shares of our common stock, at our election, based on the applicable conversion rate(s). Any future stock issuance by us or liquidation of stock holding by the former owners of Grand Design or the former owners of Newmar may cause dilution of earnings per share or put selling pressure on our share price. Changing credit agreements may also impact stock price. In general, analysts' expectations and our ability to meet those expectations quarterly may cause stock price fluctuations. If we fail to meet expectations related to future growth, profitability, debt repayment, dividends, share issuance or repurchase, or other market expectations, our stock price may decline significantly.</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could be impacted by the potential adverse effects of union activities.</w:t>
      </w:r>
    </w:p>
    <w:p>
      <w:pPr>
        <w:spacing w:after="0" w:line="26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Although none of our employees are currently represented by a labor union, unionization could result in higher employee costs and increased risk of work stoppages. We are, directly or indirectly, dependent upon companies with unionized work forces, such as parts suppliers and trucking and freight companies, and work stoppages or strikes organized by such unions could have a material adverse impact on our business, financial condition, or operating results. If a work stoppage occurs, it could delay the manufacture and sale of our products and have a material adverse effect on our business, prospects, operating results, or financial condition.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may be sensitive to economic conditions, including those that impact consumer spending.</w:t>
      </w:r>
    </w:p>
    <w:p>
      <w:pPr>
        <w:spacing w:after="0" w:line="268"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Companies within the RV and marine industries are subject to volatility in operating results due primarily to general economic conditions because the purchase of a RV or marine product is often viewed as a consumer discretionary purchase. Demand for discretionary goods in general can fluctuate with recessionary conditions, slow or negative economic growth rates, negative consumer confidence, reduced consumer spending levels resulting from tax increases or other factors, prolonged high unemployment rates, higher commodity and component costs, fuel prices, inflationary or deflationary pressures, reduced credit availability or unfavorable credit terms for dealers and end-user customers, higher short-term interest rates, and general economic and political conditions and expectations. Specific factors affecting the RV and marine industries include:</w:t>
      </w:r>
    </w:p>
    <w:p>
      <w:pPr>
        <w:spacing w:after="0" w:line="232"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Overall consumer confidence and the level of discretionary consumer spending;</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Employment trends;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adverse impact of global tensions on consumer spending and travel-related activities; and</w:t>
      </w:r>
    </w:p>
    <w:p>
      <w:pPr>
        <w:spacing w:after="0" w:line="5" w:lineRule="exact"/>
        <w:rPr>
          <w:rFonts w:ascii="Arial" w:cs="Arial" w:eastAsia="Arial" w:hAnsi="Arial"/>
          <w:sz w:val="16"/>
          <w:szCs w:val="16"/>
          <w:color w:val="auto"/>
        </w:rPr>
      </w:pPr>
    </w:p>
    <w:p>
      <w:pPr>
        <w:ind w:left="660" w:right="240" w:hanging="328"/>
        <w:spacing w:after="0" w:line="26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adverse impact on margins due to increases in raw material costs, which we are unable to pass on to customers without negatively affecting sales.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 impairment in the carrying value of goodwill and trade names could negatively impact our consolidated results of operations.</w:t>
      </w:r>
    </w:p>
    <w:p>
      <w:pPr>
        <w:spacing w:after="0" w:line="26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Goodwill and indefinite-lived intangible assets, such as our trade names, are recorded at fair value at the time of acquisition and are not amortized but are reviewed for impairment at least annually or more frequently if impairment indicators arise. Our determination of whether goodwill impairment has occurred is based on a comparison of each of our reporting units’ fair value with its carrying value. Significant and unanticipated changes in circumstances, such as significant and long-term adverse changes in business climate, unanticipated competition, and/or changes in technology or markets, could require a provision for impairment in a future period that could negatively impact our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market deterioration and volatility may restrict the ability of our dealers and retail customers to finance the purchase of our products.</w:t>
      </w:r>
    </w:p>
    <w:p>
      <w:pPr>
        <w:spacing w:after="0" w:line="26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Our business is affected by the availability and terms of the financing to dealers. Generally, RV and marine dealers finance their purchases of inventory with financing provided by lending institutions. One financial flooring institution held 33.0% of our total financed dealer inventory dollars that were outstanding at August 29, 2020. In the event that this lending institution limits or discontinues dealer financing, we could experience a material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business is also affected by the availability and terms of financing to retail purchasers. Retail buyers purchasing one of our products may elect to finance their purchase through the dealership or a financial institution of their choice. Substantial increases in interest rates or decreases in the general availability of credit for our dealers or for the retail purchaser may have an adverse impact upon our business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is both cyclical and seasonal and is subject to fluctuations in sales and net income.</w:t>
      </w:r>
    </w:p>
    <w:p>
      <w:pPr>
        <w:spacing w:after="0" w:line="268"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The RV and marine industries have been characterized by cycles of growth and contraction in consumer demand, reflecting prevailing economic and demographic conditions, which affect disposable income for leisure-time activities. Consequently, the results for any prior period may not be indicative of results for any future period.</w:t>
      </w:r>
    </w:p>
    <w:p>
      <w:pPr>
        <w:spacing w:after="0" w:line="22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Seasonal factors, over which we have no control, also have an effect on the demand for our products. Demand in the RV and marine industries generally declines over the winter season, while sales are generally highest during the spring and summer months. Also, unusually severe weather conditions in some markets may impact demand.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effectively manage strategic acquisitions and alliances, joint ventures, or partnerships could have a negative impact on our business.</w:t>
      </w:r>
    </w:p>
    <w:p>
      <w:pPr>
        <w:spacing w:after="0" w:line="26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One of our growth strategies is to drive growth through targeted acquisitions and alliances, stronger customer relations, and new joint ventures and partnerships that contribute profitable growth while supplementing our existing brands and product portfolio. Our ability to grow through acquisitions depends, in part, on the availability of suitable candidates at acceptable prices, terms, and conditions, our ability to compete effectively for acquisition candidates, and the availability of capital and personnel to complete such acquisitions and run the acquired business effectively. Any acquisition, alliance, joint venture, or partnership could impair our business, financial condition, reputation, and operating results. The benefits of an acquisition, including the Newmar Acquisition, or new alliance, joint venture, or partnership may take more time than expected to develop or integrate into our operations, and we cannot guarantee that previous or future acquisitions, alliances, joint ventures, or partnerships will, in fact, produce any benefits. Such acquisitions, alliances, joint ventures, and partnerships may involve a number of risks, including:</w:t>
      </w:r>
    </w:p>
    <w:p>
      <w:pPr>
        <w:spacing w:after="0" w:line="234"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Diversion of management’s attention;</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Disruption to our existing operations and plans;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Inability to effectively manage our expanded operations;</w:t>
      </w:r>
    </w:p>
    <w:p>
      <w:pPr>
        <w:spacing w:after="0" w:line="5" w:lineRule="exact"/>
        <w:rPr>
          <w:rFonts w:ascii="Arial" w:cs="Arial" w:eastAsia="Arial" w:hAnsi="Arial"/>
          <w:sz w:val="16"/>
          <w:szCs w:val="16"/>
          <w:color w:val="auto"/>
        </w:rPr>
      </w:pPr>
    </w:p>
    <w:p>
      <w:pPr>
        <w:ind w:left="660" w:right="280" w:hanging="328"/>
        <w:spacing w:after="0" w:line="246"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Difficulties or delays in integrating and assimilating information and financial systems, operations, and products of an acquired business or other business venture or in realizing projected efficiencies, growth prospects, cost savings, and synergies;</w:t>
      </w: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Inability to successfully integrate or develop a distribution channel for acquired product lines;</w:t>
      </w:r>
    </w:p>
    <w:p>
      <w:pPr>
        <w:spacing w:after="0" w:line="5" w:lineRule="exact"/>
        <w:rPr>
          <w:rFonts w:ascii="Arial" w:cs="Arial" w:eastAsia="Arial" w:hAnsi="Arial"/>
          <w:sz w:val="16"/>
          <w:szCs w:val="16"/>
          <w:color w:val="auto"/>
        </w:rPr>
      </w:pPr>
    </w:p>
    <w:p>
      <w:pPr>
        <w:ind w:left="660" w:right="20" w:hanging="328"/>
        <w:spacing w:after="0" w:line="246"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Potential loss of key employees, customers, distributors, or dealers of the acquired businesses or adverse effects on existing business relationships with suppliers, customers, distributors, and dealers;</w:t>
      </w: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Adverse impact on overall profitability, if our expanded operations do not achieve the financial results projected in our valuation model;</w:t>
      </w:r>
    </w:p>
    <w:p>
      <w:pPr>
        <w:spacing w:after="0" w:line="5" w:lineRule="exact"/>
        <w:rPr>
          <w:rFonts w:ascii="Arial" w:cs="Arial" w:eastAsia="Arial" w:hAnsi="Arial"/>
          <w:sz w:val="16"/>
          <w:szCs w:val="16"/>
          <w:color w:val="auto"/>
        </w:rPr>
      </w:pPr>
    </w:p>
    <w:p>
      <w:pPr>
        <w:ind w:left="660" w:right="220" w:hanging="328"/>
        <w:spacing w:after="0" w:line="246"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Inaccurate assessment of additional post-acquisition or business venture investments, undisclosed, contingent or other liabilities or problems, unanticipated costs associated with an acquisition or other business venture, and an inability to recover or manage such liabilities and costs; and</w:t>
      </w:r>
    </w:p>
    <w:p>
      <w:pPr>
        <w:ind w:left="660" w:right="60" w:hanging="328"/>
        <w:spacing w:after="0" w:line="260"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Incorrect estimates made in the accounting for acquisitions, occurrence of non-recurring charges, and write-off of significant amounts of goodwill or other assets that could adversely affect our operating results.</w:t>
      </w:r>
    </w:p>
    <w:p>
      <w:pPr>
        <w:spacing w:after="0" w:line="202"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If we are unable to properly forecast future demand of our products, our production levels may not meet demands, which could negatively impact our operating results.</w:t>
      </w:r>
    </w:p>
    <w:p>
      <w:pPr>
        <w:spacing w:after="0" w:line="203"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Our ability to manage our inventory levels to meet our customer's demand for our products is important for our business. For example, certain dealers are focused on the rental market which spikes over the summer vacation period while other dealers are focused on direct sales to the consumer at various price points. Our production levels and inventory management are based on demand estimates six to twelve months forward taking into account supply lead times, production capacity, timing of shipments, and dealer inventory levels. If we overestimate or underestimate demand for any of our products during a given season, we may not maintain appropriate inventory levels, which could negatively impact our net sales or working capital, hinder our ability to meet customer demand, or cause us to incur excess and obsolete inventory charges.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Unanticipated changes to our distribution channel customers' inventory levels could negatively impact our operating results.</w:t>
      </w:r>
    </w:p>
    <w:p>
      <w:pPr>
        <w:spacing w:after="0" w:line="268"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We sell many of our products through distribution channels and are subject to risks relating to their inventory management decisions and operational and sourcing practices. Our distribution channel customers carry inventories of our products as part of their ongoing operations and adjust those inventories based on their assessments of future needs. Such adjustments may impact our inventory management and working capital goals as well as operating results. If the inventory levels of our distribution channel customers are higher than they desire, they may postpone product purchases from us, which could cause our sales to be lower</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than the end-user demand for our products and negatively impact our inventory management and working capital goals as well as our operating results.</w:t>
      </w:r>
    </w:p>
    <w:p>
      <w:pPr>
        <w:spacing w:after="0" w:line="228"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b w:val="1"/>
          <w:bCs w:val="1"/>
          <w:color w:val="auto"/>
        </w:rPr>
        <w:t>If we are unable to continue to enhance existing products and develop and market new or enhanced products that respond to customer needs and preferences, we may experience a decrease in demand for our products and our business could suffer.</w:t>
      </w:r>
    </w:p>
    <w:p>
      <w:pPr>
        <w:spacing w:after="0" w:line="203" w:lineRule="exact"/>
        <w:rPr>
          <w:sz w:val="20"/>
          <w:szCs w:val="20"/>
          <w:color w:val="auto"/>
        </w:rPr>
      </w:pPr>
    </w:p>
    <w:p>
      <w:pPr>
        <w:jc w:val="both"/>
        <w:ind w:right="120"/>
        <w:spacing w:after="0" w:line="246" w:lineRule="auto"/>
        <w:rPr>
          <w:sz w:val="20"/>
          <w:szCs w:val="20"/>
          <w:color w:val="auto"/>
        </w:rPr>
      </w:pPr>
      <w:r>
        <w:rPr>
          <w:rFonts w:ascii="Arial" w:cs="Arial" w:eastAsia="Arial" w:hAnsi="Arial"/>
          <w:sz w:val="16"/>
          <w:szCs w:val="16"/>
          <w:color w:val="auto"/>
        </w:rPr>
        <w:t>One of our growth strategies is to develop innovative, customer-valued products to generate revenue growth. We may not be able to compete as effectively with our competitors, and ultimately satisfy the needs and preferences of our customers, unless we can continue to enhance existing products and develop new innovative products for the markets in which we compete. Product development requires significant financial, technological, and other resources.</w:t>
      </w:r>
    </w:p>
    <w:p>
      <w:pPr>
        <w:spacing w:after="0" w:line="1"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Product improvements and new product introductions also require significant research, planning, design, development, engineering, and testing at the technological, product, and manufacturing process levels, and we may not be able to timely develop and introduce product improvements or new products. Our competitors' new products may beat our products to market, be higher quality or more reliable, be more effective with more features and/or less expensive than our products, obtain better market acceptance, or render our products obsolete. Any new products that we develop may not receive market acceptance or otherwise generate any meaningful net sales or profits for us relative to our expectations based on, among other things, existing and anticipated investments in manufacturing capacity and commitments to fund advertising, marketing, promotional programs, and research and development.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loss of a large dealer organization could have a significant impact on our business.</w:t>
      </w:r>
    </w:p>
    <w:p>
      <w:pPr>
        <w:spacing w:after="0" w:line="268" w:lineRule="exact"/>
        <w:rPr>
          <w:sz w:val="20"/>
          <w:szCs w:val="20"/>
          <w:color w:val="auto"/>
        </w:rPr>
      </w:pPr>
    </w:p>
    <w:p>
      <w:pPr>
        <w:jc w:val="both"/>
        <w:ind w:right="400"/>
        <w:spacing w:after="0" w:line="253" w:lineRule="auto"/>
        <w:rPr>
          <w:sz w:val="20"/>
          <w:szCs w:val="20"/>
          <w:color w:val="auto"/>
        </w:rPr>
      </w:pPr>
      <w:r>
        <w:rPr>
          <w:rFonts w:ascii="Arial" w:cs="Arial" w:eastAsia="Arial" w:hAnsi="Arial"/>
          <w:sz w:val="16"/>
          <w:szCs w:val="16"/>
          <w:color w:val="auto"/>
        </w:rPr>
        <w:t>While none of our dealer organizations accounted for more than 10% of our Net revenues for Fiscal 2020, 2019, and 2018, the loss of a major dealer or multiple dealers could have a significant adverse effect on our business. In addition, deterioration in the liquidity or creditworthiness of a major dealer or multiple dealers could negatively impact our sales and could trigger repurchase obligations under our repurchase agreements.</w:t>
      </w:r>
    </w:p>
    <w:p>
      <w:pPr>
        <w:spacing w:after="0" w:line="208" w:lineRule="exact"/>
        <w:rPr>
          <w:sz w:val="20"/>
          <w:szCs w:val="20"/>
          <w:color w:val="auto"/>
        </w:rPr>
      </w:pPr>
    </w:p>
    <w:p>
      <w:pPr>
        <w:ind w:right="840"/>
        <w:spacing w:after="0" w:line="286" w:lineRule="auto"/>
        <w:rPr>
          <w:sz w:val="20"/>
          <w:szCs w:val="20"/>
          <w:color w:val="auto"/>
        </w:rPr>
      </w:pPr>
      <w:r>
        <w:rPr>
          <w:rFonts w:ascii="Arial" w:cs="Arial" w:eastAsia="Arial" w:hAnsi="Arial"/>
          <w:sz w:val="16"/>
          <w:szCs w:val="16"/>
          <w:b w:val="1"/>
          <w:bCs w:val="1"/>
          <w:color w:val="auto"/>
        </w:rPr>
        <w:t>If we are obligated to repurchase a substantially larger number of our products in the future than estimated due to dealer default, these purchases could result in adverse effects on our results of operations, financial condition, and cash flows.</w:t>
      </w:r>
    </w:p>
    <w:p>
      <w:pPr>
        <w:spacing w:after="0" w:line="20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accordance with customary practice in our industries, upon request we enter into formal repurchase agreements with lending institutions financing a dealer's purchase of our products. In these repurchase agreements we agree, in the event of a default by an independent dealer in its obligation to a lender and repossession of the unit(s) by the lending institution, to repurchase units at declining prices over the term of the agreements, which can last up to 24 months. The difference between the gross repurchase price and the price at which the repurchased product can then be resold, which is typically at a discount to the gross repurchase price, represents a potential expense to us. In certain instances, we also repurchase inventory from our dealers due to state law or regulatory requirements that govern voluntary or involuntary terminations. If we are obligated to repurchase a substantially larger number of units in the future than we estimate, this would increase our costs and could have a material adverse effect on our results of operations, financial condition, and cash flows.</w:t>
      </w:r>
    </w:p>
    <w:p>
      <w:pPr>
        <w:spacing w:after="0" w:line="200" w:lineRule="exact"/>
        <w:rPr>
          <w:sz w:val="20"/>
          <w:szCs w:val="20"/>
          <w:color w:val="auto"/>
        </w:rPr>
      </w:pPr>
    </w:p>
    <w:p>
      <w:pPr>
        <w:spacing w:after="0" w:line="204" w:lineRule="exact"/>
        <w:rPr>
          <w:sz w:val="20"/>
          <w:szCs w:val="20"/>
          <w:color w:val="auto"/>
        </w:rPr>
      </w:pPr>
    </w:p>
    <w:p>
      <w:pPr>
        <w:jc w:val="both"/>
        <w:ind w:right="60"/>
        <w:spacing w:after="0" w:line="286" w:lineRule="auto"/>
        <w:rPr>
          <w:sz w:val="20"/>
          <w:szCs w:val="20"/>
          <w:color w:val="auto"/>
        </w:rPr>
      </w:pPr>
      <w:r>
        <w:rPr>
          <w:rFonts w:ascii="Arial" w:cs="Arial" w:eastAsia="Arial" w:hAnsi="Arial"/>
          <w:sz w:val="16"/>
          <w:szCs w:val="16"/>
          <w:b w:val="1"/>
          <w:bCs w:val="1"/>
          <w:color w:val="auto"/>
        </w:rPr>
        <w:t>For some of the components used in production, we depend on a small group of suppliers and the loss of any of these suppliers could affect our ability to obtain components timely or at competitive prices, which would decrease our results of operations, financial condition, and cash flows.</w:t>
      </w:r>
    </w:p>
    <w:p>
      <w:pPr>
        <w:spacing w:after="0" w:line="20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Most of our RV and marine components are readily available from numerous sources. However, a few of our components are produced by a small group of suppliers. In the case of Motorhome chassis, Mercedes-Benz (USA and Canada), Freightliner Custom Chassis, and Chrysler of Forest City Inc. are our major suppliers. Our relationship with our chassis suppliers is similar to our other supplier relationships in that no specific contractual commitments are engaged in by either party. This means that we do not have minimum purchase requirements, and our chassis suppliers do not have minimum supply requirements. Our chassis suppliers also supply to our competitors. Historically, chassis suppliers resort to an industry-wide allocation system during periods when supply is restricted. These allocations have been based on the volume of chassis previously purchased, which could mean our larger competitors could receive more chassis in a time of scarcity. Sales of motorhomes rely on chassis supply and are affected by shortages from time to time. Decisions by our suppliers to decrease production, production delays or work stoppages by the employees of such suppliers, or price increases could have a material adverse effect on our ability to produce motorhomes and ultimately, on our results of operations, financial condition, and cash flows. In Fiscal 2020, none of our manufacturers individually accounted for more than 10% of our consolidated raw material purchases.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Increases in raw material, commodity, and transportation costs and shortages of certain raw materials could negatively impact our business.</w:t>
      </w:r>
    </w:p>
    <w:p>
      <w:pPr>
        <w:spacing w:after="0" w:line="268"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We purchase raw materials such as steel, aluminum, and other commodities, and components, such as chassis, refrigerators, and televisions, for use in our products. In addition, we are a purchaser of components and parts containing various commodities, including steel, aluminum, copper, lead, rubber, and others that are integrated into our end products. Our profitability is affected by significant fluctuations in the prices of the raw materials and the components and parts we use in our products. Additionally, the current political landscape has introduced significant uncertainty with respect to future trade regulations and existing international trade agreements. The U.S. has initiated tariffs on certain foreign goods, including raw materials, commodities, and products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manufactured outside the U.S. that are used in our manufacturing processes, which has increased our cost of goods sold. In response, certain foreign governments have imposed tariffs on certain U.S. goods, and are considering imposing additional tariffs on other U.S. goods, including goods that we sell internationally. The tariffs imposed to date and the possibility of additional retaliatory trade actions stemming from these tariffs could continue to increase our cost of goods sold, both directly and as a result of price increases implemented by domestic suppliers, which we may not be able to pass on to our customers. The impact from these tariffs could also result in decreased demand for our products. All of these could materially and adversely affect our results of operations and financial condition.</w:t>
      </w:r>
    </w:p>
    <w:p>
      <w:pPr>
        <w:spacing w:after="0" w:line="232"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In addition, increases in other costs of doing business may also adversely affect our profit margins and businesses. For example, an increase in fuel costs may result in an increase in our transportation costs, which also could adversely affect our operating results and businesses. Historically, we have mitigated cost increases, in part, by collaborating with suppliers, reviewing alternative sourcing options, substituting materials, engaging in internal cost reduction efforts, and increasing prices on some of our products, all as appropriate. However, we may not be able to fully offset such increased costs in the future. Further, if our price increases are not accepted by our customers and the market, our net sales, profit margins, earnings, and market share could be adversely affected.</w:t>
      </w:r>
    </w:p>
    <w:p>
      <w:pPr>
        <w:spacing w:after="0" w:line="212"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b w:val="1"/>
          <w:bCs w:val="1"/>
          <w:color w:val="auto"/>
        </w:rPr>
        <w:t>Significant product repair and/or replacement costs due to product warranty claims and product recalls could have a material adverse impact on our results of operations, financial condition, and cash flows.</w:t>
      </w:r>
    </w:p>
    <w:p>
      <w:pPr>
        <w:spacing w:after="0" w:line="20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receive warranty claims from our dealers in the ordinary course of our business. Although we maintain reserves for such claims, which to date have been adequate, there can be no assurance that warranty expense levels will remain at current levels or that such reserves will continue to be adequate. A significant increase in warranty claims exceeding our current warranty expense levels could have a material adverse effect on our results of operations, financial condition, and cash flows.</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In addition to the costs associated with the contractual warranty coverage provided on our products,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w:t>
      </w:r>
    </w:p>
    <w:p>
      <w:pPr>
        <w:spacing w:after="0" w:line="20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b w:val="1"/>
          <w:bCs w:val="1"/>
          <w:color w:val="auto"/>
        </w:rPr>
        <w:t>Our continued success is dependent on positive perceptions of our brands which, if impaired, could adversely affect our results of operations or financial condition.</w:t>
      </w:r>
    </w:p>
    <w:p>
      <w:pPr>
        <w:spacing w:after="0" w:line="203" w:lineRule="exact"/>
        <w:rPr>
          <w:sz w:val="20"/>
          <w:szCs w:val="20"/>
          <w:color w:val="auto"/>
        </w:rPr>
      </w:pPr>
    </w:p>
    <w:p>
      <w:pPr>
        <w:jc w:val="both"/>
        <w:ind w:right="420"/>
        <w:spacing w:after="0" w:line="251" w:lineRule="auto"/>
        <w:rPr>
          <w:sz w:val="20"/>
          <w:szCs w:val="20"/>
          <w:color w:val="auto"/>
        </w:rPr>
      </w:pPr>
      <w:r>
        <w:rPr>
          <w:rFonts w:ascii="Arial" w:cs="Arial" w:eastAsia="Arial" w:hAnsi="Arial"/>
          <w:sz w:val="16"/>
          <w:szCs w:val="16"/>
          <w:color w:val="auto"/>
        </w:rPr>
        <w:t>We believe that one of the strengths of our business is our brands, which are widely known around the world. We vigorously defend our brands and our other intellectual property rights against third parties on a global basis. We have, from time to time, had to bring claims against third parties to protect or prevent unauthorized use of our brand. If we are unable to protect and defend our brands or other intellectual property, it could have a material adverse effect on our results of operations or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the frequency and size of product liability and other claims against us increase, our reputation and business may be harmed.</w:t>
      </w:r>
    </w:p>
    <w:p>
      <w:pPr>
        <w:spacing w:after="0" w:line="268"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We are subject, in the ordinary course of business, to litigation including a variety of warranty, "Lemon Law," and product liability claims typical in the RV and marine industries. Although we have an insurance policy with a $50.0 million limit covering product liability, we are self-insured for the first $1.0 million of product liability claims on a per occurrence basis, with a $2.0 million aggregate per policy year. We cannot be certain that our insurance coverage will be sufficient to cover all future claims against us, which may have a material adverse effect on our results of operations and financial condition. Any increase in the frequency and size of these claims, as compared to our experience in prior years, may cause the premium that we are required to pay for insurance to rise significantly. Product liability claims may also cause us to pay punitive damages, not all of which are covered by our insurance. In addition, if product liability claims rise to a level of frequency or size that are significantly higher than similar claims made against our competitors, our reputation and business may be harmed.</w:t>
      </w:r>
    </w:p>
    <w:p>
      <w:pPr>
        <w:spacing w:after="0" w:line="21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b w:val="1"/>
          <w:bCs w:val="1"/>
          <w:color w:val="auto"/>
        </w:rPr>
        <w:t>We may be subject to information technology system failures, network disruptions, and breaches in data security that could adversely affect our business. In addition, the benefits of our new enterprise resource planning system may not be realized, or we may incur unanticipated costs or delays, which may result in decreased sales, increased overhead costs, excess or obsolete inventory, and product shortages, causing our business, reputation, financial condition, and operating results to suffer.</w:t>
      </w:r>
    </w:p>
    <w:p>
      <w:pPr>
        <w:spacing w:after="0" w:line="225"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We rely on our information systems and web applications to support our business operations, including but not limited to procurement, supply chain, manufacturing, distribution, warranty administration, invoicing, and collection of payments. We use information systems to report and audit our operational results. Additionally, we rely upon information systems in our sales, marketing, human resources, and communication efforts. Due to our reliance on our information systems, our business processes may be negatively impacted in the event of substantial disruption of service. Further, misuse, leakage, or falsification of information could result in a violation of privacy laws and damage our reputation which could, in turn, have a negative impact on our results.</w:t>
      </w:r>
    </w:p>
    <w:p>
      <w:pPr>
        <w:spacing w:after="0" w:line="23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 addition to our general reliance on information systems, we began implementation of a new enterprise resource planning system at the end of Fiscal 2015. Though we perform planning and testing to reduce risks associated with such a complex, enterprise-wide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systems change, failure to meet requirements of the business could disrupt our business and harm our reputation, which may result in decreased sales, increased overhead costs, excess or obsolete inventory, and product shortages, causing our business, reputation, financial condition, and operating results to suffer.</w:t>
      </w:r>
    </w:p>
    <w:p>
      <w:pPr>
        <w:spacing w:after="0" w:line="208"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b w:val="1"/>
          <w:bCs w:val="1"/>
          <w:color w:val="auto"/>
        </w:rPr>
        <w:t>Failure to prevent or effectively respond to a breach of the security or privacy of our customers', clients', or suppliers' confidential information could expose us to substantial costs and reputational damage, as well as litigation and enforcement actions.</w:t>
      </w:r>
    </w:p>
    <w:p>
      <w:pPr>
        <w:spacing w:after="0" w:line="203"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We have security systems in place with the intent of maintaining the physical security of our facilities and protecting our customers', clients', and suppliers' confidential information and information related to identifiable individuals against unauthorized access through our information systems or by other electronic transmission or through the misdirection, theft, or loss of physical media. These include, for example, the appropriate encryption of information. Despite such efforts, we are subject to breach of security systems which may result in unauthorized access to our facilities or the information we are trying to protect. Because the technologies used to obtain unauthorized access are constantly changing and becoming increasingly more sophisticated and often are not recognized until launched against a target, we may be unable to anticipate these techniques or implement sufficient preventative measures. If unauthorized parties gain physical access to one of our facilities or electronic access to our information systems or such information is misdirected, lost, or stolen during transmission or transport, any theft or misuse of such information could result in, among other things, unfavorable publicity, governmental inquiry and oversight, difficulty in marketing our services, allegations by our customers and clients that we have not performed our contractual obligations, litigation by affected parties, and possible financial obligations for damages related to the theft or misuse of such information, any of which could have a material adverse effect on our business.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government regulations that could have a material adverse impact on our business.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We are subject to numerous federal, state, and local regulations and the following summarizes some, but not all, of the laws and regulations that apply to us.</w:t>
      </w:r>
    </w:p>
    <w:p>
      <w:pPr>
        <w:spacing w:after="0" w:line="24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Federal Motor Vehicle Safety Standards govern the design, manufacture and sale of our RV products, which standards are promulgated by the NHTSA. NHTSA requires manufacturers to recall and repair vehicles which are non-compliant with a Federal Motor Vehicle Safety Standard or contain safety defects. In addition, the U.S. Coast Guard maintains certification standards for the manufacture of our marine products, and the safety of recreational boats in the U.S. is subject to federal regulation under the Boat Safety Act of 1971, which requires boat manufacturers to recall products for replacement of parts or components that have demonstrated defects affecting safety. Any major recalls of our products, voluntary or involuntary, could have a material adverse effect on our results of operations, financial condition, and cash flows. While we believe we are in compliance with the foregoing laws and regulations as they currently exist, amendments to any of these regulations or the implementation of new regulations could significantly increase the cost of testing, manufacturing, purchasing, operating, or selling our products and could have a material adverse effect on our results of operations, financial condition, and cash flows. In addition, our failure to comply with present or future regulations could result in federal fines being imposed on us, potential civil and criminal liability, suspension of sales or production, or cessation of operations.</w:t>
      </w:r>
    </w:p>
    <w:p>
      <w:pPr>
        <w:spacing w:after="0" w:line="232"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color w:val="auto"/>
        </w:rPr>
        <w:t>We are also subject to federal and numerous state consumer protection and unfair trade practice laws and regulations relating to the sale, transportation, and marketing of motor vehicles, including so-called "Lemon Laws." Federal and state laws and regulations also impose upon vehicle operators various restrictions on the weight, length, and width of motor vehicles, including motorhomes that may be operated in certain jurisdictions or on certain roadways. Certain jurisdictions also prohibit the sale of vehicles exceeding length restrictions.</w:t>
      </w:r>
    </w:p>
    <w:p>
      <w:pPr>
        <w:spacing w:after="0" w:line="229"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Failure to comply with the New York Stock Exchange and SEC laws or regulations could also have an adverse impact on our business. Additionally, amendments to these regulations and the implementation of new regulations could increase the cost of our operations and therefore could have an adverse impact on our business.</w:t>
      </w:r>
    </w:p>
    <w:p>
      <w:pPr>
        <w:spacing w:after="0" w:line="22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Finally, federal and state authorities also have various environmental control standards relating to air, water, noise pollution, and hazardous waste generation and disposal that affect us and our operations. Failure by us to comply with present or future laws and regulations could result in fines being imposed on us, potential civil and criminal liability, suspension of production or operations, alterations to the manufacturing process, or costly cleanup or capital expenditures, any or all of which could have a material adverse effect on our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Changing climate-related regulations may require us to incur additional costs in order to be in compliance.</w:t>
      </w:r>
    </w:p>
    <w:p>
      <w:pPr>
        <w:spacing w:after="0" w:line="268"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There is growing concern from members of the scientific community and the general public that an increase in global average temperatures due to emissions of greenhouse gases ("GHG") and other human activities have or will cause significant changes in weather patterns and increase the frequency and severity of natural disasters. We are currently subject to rules limiting emissions and other climate related rules and regulations in certain jurisdictions where we operate. In addition, we may become subject to additional legislation and regulation regarding climate change, and compliance with any new rules could be difficult and costly. Concerned parties, such as legislators, regulators, and non-governmental organizations, are considering ways to reduce GHG emissions. Foreign, federal, state, and local regulatory and legislative bodies have proposed various legislative and regulatory</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measures relating to climate change, regulating GHG emissions, and energy policies. If such legislation is enacted, we could incur increased energy, environmental, and other costs and capital expenditures to comply with the limitations. Climate change regulation combined with public sentiment could result in reduced demand for our products, higher fuel prices, or carbon taxes, all of which could materially adversely affect our business. Due to uncertainty in the regulatory and legislative processes, as well as the scope of such requirements and initiatives, we cannot currently determine the effect such legislation and regulation may have on our products and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provisions that we are subject to may reduce the ability of a third-party to acquire us, even if beneficial to shareholders.</w:t>
      </w:r>
    </w:p>
    <w:p>
      <w:pPr>
        <w:spacing w:after="0" w:line="268" w:lineRule="exact"/>
        <w:rPr>
          <w:sz w:val="20"/>
          <w:szCs w:val="20"/>
          <w:color w:val="auto"/>
        </w:rPr>
      </w:pPr>
    </w:p>
    <w:p>
      <w:pPr>
        <w:ind w:right="580"/>
        <w:spacing w:after="0" w:line="251" w:lineRule="auto"/>
        <w:rPr>
          <w:sz w:val="20"/>
          <w:szCs w:val="20"/>
          <w:color w:val="auto"/>
        </w:rPr>
      </w:pPr>
      <w:r>
        <w:rPr>
          <w:rFonts w:ascii="Arial" w:cs="Arial" w:eastAsia="Arial" w:hAnsi="Arial"/>
          <w:sz w:val="16"/>
          <w:szCs w:val="16"/>
          <w:color w:val="auto"/>
        </w:rPr>
        <w:t>Provisions of our articles of incorporation, by-laws, the Iowa Business Corporation Act, and provisions in our credit agreements and certain of our compensation programs that we may enter into from time to time could make it more difficult for a third party to acquire us, even if doing so would be perceived to be beneficial by our shareholders. The combination of these provisions effectively inhibits a non-negotiated merger or other business combination, which, in turn, could adversely affect the market price of our common stock.</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the Newmar Acquisition</w:t>
      </w:r>
      <w:r>
        <w:rPr>
          <w:rFonts w:ascii="Arial" w:cs="Arial" w:eastAsia="Arial" w:hAnsi="Arial"/>
          <w:sz w:val="16"/>
          <w:szCs w:val="16"/>
          <w:color w:val="auto"/>
        </w:rPr>
        <w:t>.</w:t>
      </w:r>
    </w:p>
    <w:p>
      <w:pPr>
        <w:spacing w:after="0" w:line="248"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b w:val="1"/>
          <w:bCs w:val="1"/>
          <w:color w:val="auto"/>
        </w:rPr>
        <w:t>We may experience difficulties in integrating the operations of Newmar into our business and in realizing the expected benefits of the Newmar Acquisition.</w:t>
      </w:r>
    </w:p>
    <w:p>
      <w:pPr>
        <w:spacing w:after="0" w:line="203"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The success of the Newmar Acquisition, completed in the first quarter of Fiscal 2020, will depend in part on our ability to realize the anticipated business opportunities from combining the operations of Newmar with our business in an efficient and effective manner. The integration process could take longer than anticipated and could result in the loss of key employees, the disruption of each company’s ongoing businesses, tax costs or inefficiencies, or inconsistencies in standards, controls, information technology systems, procedures, and policies, any of which could adversely affect our ability to maintain relationships with customers, employees or other third parties, or our ability to achieve the anticipated benefits of the Newmar Acquisition, and could harm our financial performance. We cannot assure you that the Newmar business will perform as expected, that integration or other one-time costs will not be greater than expected, that we will not incur unforeseen obligations or liabilities, or that the rate of return from the acquisition will justify our investment. We also incurred significant costs in connection with the Newmar Acquisition, the substantial majority of which are non-recurring expenses. In addition, we expect to incur additional costs in the integration of Newmar's business and may not achieve cost synergies and other benefits sufficient to offset the incremental costs of the Newmar Acquisition. If we are unable to successfully or timely integrate the operations of Newmar with our business, we may incur unanticipated liabilities and be unable to realize the revenue growth, synergies, and other anticipated benefits resulting from the Newmar Acquisition, and our business, results of operations, and financial condition could be materially and adversely affected.</w:t>
      </w:r>
    </w:p>
    <w:p>
      <w:pPr>
        <w:spacing w:after="0" w:line="23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Newmar Acquisition also involves risks associated with acquisitions and integrating acquired assets into existing operations which could have a material adverse effect on our business, financial condition, results of operations, and cash flows, including, among others:</w:t>
      </w:r>
    </w:p>
    <w:p>
      <w:pPr>
        <w:spacing w:after="0" w:line="222"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failure to implement our business plan for the combined business;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unanticipated issues in integrating equipment, logistics, information, communications, and other systems;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possible inconsistencies in standards, controls, contracts, procedures, and policies;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impacts of change in control provisions in contracts and agreements;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failure to retain key customers and suppliers;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unanticipated changes in applicable laws and regulations;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failure to recruit and retain key employees to operate the combined business;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increased competition within the industries in which Newmar operates;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difficulties in managing the expanded operations of a significantly larger and more complex combined company;</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inherent operating risks in the business;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unanticipated issues, expenses, and liabilities;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additional reporting requirements pursuant to applicable rules and regulations;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additional requirements relating to internal control over financial reporting;</w:t>
      </w:r>
    </w:p>
    <w:p>
      <w:pPr>
        <w:spacing w:after="0" w:line="5" w:lineRule="exact"/>
        <w:rPr>
          <w:rFonts w:ascii="Arial" w:cs="Arial" w:eastAsia="Arial" w:hAnsi="Arial"/>
          <w:sz w:val="16"/>
          <w:szCs w:val="16"/>
          <w:color w:val="auto"/>
        </w:rPr>
      </w:pPr>
    </w:p>
    <w:p>
      <w:pPr>
        <w:ind w:left="660" w:right="60" w:hanging="328"/>
        <w:spacing w:after="0" w:line="246"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diversion of our senior management’s attention from the management of daily operations to the integration of the assets acquired in the acquisition of Newmar;</w:t>
      </w: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significant unknown and contingent liabilities we incur for which we have limited or no contractual remedies or insurance coverage;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assets to be acquired failing to perform as well as we anticipate;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unexpected costs, delays, and challenges arising from integrating the assets acquired in the Newmar Acquisition into our existing operations.</w:t>
      </w:r>
    </w:p>
    <w:p>
      <w:pPr>
        <w:spacing w:after="0" w:line="248"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Even if we successfully integrate the assets acquired in the Newmar Acquisition into our operations, it may not be possible to realize the full benefits we anticipate or we may not realize these benefits within the expected time frame. If we fail to realize the benefits we anticipate from the Newmar Acquisition, our business, results of operations, and financial condition may be adversely affected.</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Newmar may have liabilities that are not known, probable, or estimable at this time.</w:t>
      </w:r>
    </w:p>
    <w:p>
      <w:pPr>
        <w:spacing w:after="0" w:line="26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Following the acquisition of Newmar, Newmar became our subsidiary and it will remain subject to all of its liabilities. There could be unasserted claims or assessments that we failed or were unable to discover or identify in the course of performing due diligence investigations of Newmar. In addition, there may be liabilities that are neither probable nor estimable at this time that may become probable or estimable in the future. Any such liabilities, individually or in the aggregate, could have a material adverse effect on our financial results.</w:t>
      </w:r>
    </w:p>
    <w:p>
      <w:pPr>
        <w:spacing w:after="0" w:line="229"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Additionally, Newmar is subject to various rules, regulations, laws, and other legal requirements, enforced by governments or other public authorities. Misconduct, fraud, non-compliance with applicable laws and regulations, or other improper activities by any of Newmar’s directors, officers, employees, or agents could have a significant impact on Newmar’s business and reputation and could subject Newmar to fines and penalties and criminal, civil, and administrative legal sanctions, resulting in reduced revenues and profits.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32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Our principal manufacturing, maintenance, and service operations are conducted in multi-building complexes owned or leased by us. The following sets forth our material facilities as of August 29, 2020:</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left="179"/>
              <w:spacing w:after="0"/>
              <w:rPr>
                <w:sz w:val="20"/>
                <w:szCs w:val="20"/>
                <w:color w:val="auto"/>
              </w:rPr>
            </w:pPr>
            <w:r>
              <w:rPr>
                <w:rFonts w:ascii="Arial" w:cs="Arial" w:eastAsia="Arial" w:hAnsi="Arial"/>
                <w:sz w:val="16"/>
                <w:szCs w:val="16"/>
                <w:b w:val="1"/>
                <w:bCs w:val="1"/>
                <w:color w:val="auto"/>
                <w:w w:val="98"/>
              </w:rPr>
              <w:t># of</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Owned or</w:t>
            </w:r>
          </w:p>
        </w:tc>
        <w:tc>
          <w:tcPr>
            <w:tcW w:w="1320" w:type="dxa"/>
            <w:vAlign w:val="bottom"/>
          </w:tcPr>
          <w:p>
            <w:pPr>
              <w:jc w:val="right"/>
              <w:ind w:right="319"/>
              <w:spacing w:after="0"/>
              <w:rPr>
                <w:sz w:val="20"/>
                <w:szCs w:val="20"/>
                <w:color w:val="auto"/>
              </w:rPr>
            </w:pPr>
            <w:r>
              <w:rPr>
                <w:rFonts w:ascii="Arial" w:cs="Arial" w:eastAsia="Arial" w:hAnsi="Arial"/>
                <w:sz w:val="16"/>
                <w:szCs w:val="16"/>
                <w:b w:val="1"/>
                <w:bCs w:val="1"/>
                <w:color w:val="auto"/>
              </w:rPr>
              <w:t>Square</w:t>
            </w:r>
          </w:p>
        </w:tc>
        <w:tc>
          <w:tcPr>
            <w:tcW w:w="0" w:type="dxa"/>
            <w:vAlign w:val="bottom"/>
          </w:tcPr>
          <w:p>
            <w:pPr>
              <w:spacing w:after="0"/>
              <w:rPr>
                <w:sz w:val="1"/>
                <w:szCs w:val="1"/>
                <w:color w:val="auto"/>
              </w:rPr>
            </w:pPr>
          </w:p>
        </w:tc>
      </w:tr>
      <w:tr>
        <w:trPr>
          <w:trHeight w:val="228"/>
        </w:trPr>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Location</w:t>
            </w:r>
          </w:p>
        </w:tc>
        <w:tc>
          <w:tcPr>
            <w:tcW w:w="326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Facility Type/Use</w:t>
            </w:r>
          </w:p>
        </w:tc>
        <w:tc>
          <w:tcPr>
            <w:tcW w:w="12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Reportable Segment</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b w:val="1"/>
                <w:bCs w:val="1"/>
                <w:color w:val="auto"/>
              </w:rPr>
              <w:t>Buildings</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Leased</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Footage</w:t>
            </w:r>
          </w:p>
        </w:tc>
        <w:tc>
          <w:tcPr>
            <w:tcW w:w="0" w:type="dxa"/>
            <w:vAlign w:val="bottom"/>
          </w:tcPr>
          <w:p>
            <w:pPr>
              <w:spacing w:after="0"/>
              <w:rPr>
                <w:sz w:val="1"/>
                <w:szCs w:val="1"/>
                <w:color w:val="auto"/>
              </w:rPr>
            </w:pPr>
          </w:p>
        </w:tc>
      </w:tr>
      <w:tr>
        <w:trPr>
          <w:trHeight w:val="243"/>
        </w:trPr>
        <w:tc>
          <w:tcPr>
            <w:tcW w:w="1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Charles City, IA</w:t>
            </w:r>
          </w:p>
        </w:tc>
        <w:tc>
          <w:tcPr>
            <w:tcW w:w="33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Manufacturing</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Motorhome</w:t>
            </w: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Owned</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161,000</w:t>
            </w:r>
          </w:p>
        </w:tc>
        <w:tc>
          <w:tcPr>
            <w:tcW w:w="0" w:type="dxa"/>
            <w:vAlign w:val="bottom"/>
          </w:tcPr>
          <w:p>
            <w:pPr>
              <w:spacing w:after="0"/>
              <w:rPr>
                <w:sz w:val="1"/>
                <w:szCs w:val="1"/>
                <w:color w:val="auto"/>
              </w:rPr>
            </w:pPr>
          </w:p>
        </w:tc>
      </w:tr>
      <w:tr>
        <w:trPr>
          <w:trHeight w:val="218"/>
        </w:trPr>
        <w:tc>
          <w:tcPr>
            <w:tcW w:w="1560" w:type="dxa"/>
            <w:vAlign w:val="bottom"/>
            <w:vMerge w:val="restart"/>
          </w:tcPr>
          <w:p>
            <w:pPr>
              <w:ind w:left="20"/>
              <w:spacing w:after="0"/>
              <w:rPr>
                <w:sz w:val="20"/>
                <w:szCs w:val="20"/>
                <w:color w:val="auto"/>
              </w:rPr>
            </w:pPr>
            <w:r>
              <w:rPr>
                <w:rFonts w:ascii="Arial" w:cs="Arial" w:eastAsia="Arial" w:hAnsi="Arial"/>
                <w:sz w:val="16"/>
                <w:szCs w:val="16"/>
                <w:color w:val="auto"/>
              </w:rPr>
              <w:t>Forest City, IA</w:t>
            </w:r>
          </w:p>
        </w:tc>
        <w:tc>
          <w:tcPr>
            <w:tcW w:w="3380" w:type="dxa"/>
            <w:vAlign w:val="bottom"/>
            <w:gridSpan w:val="2"/>
          </w:tcPr>
          <w:p>
            <w:pPr>
              <w:ind w:left="300"/>
              <w:spacing w:after="0"/>
              <w:rPr>
                <w:sz w:val="20"/>
                <w:szCs w:val="20"/>
                <w:color w:val="auto"/>
              </w:rPr>
            </w:pPr>
            <w:r>
              <w:rPr>
                <w:rFonts w:ascii="Arial" w:cs="Arial" w:eastAsia="Arial" w:hAnsi="Arial"/>
                <w:sz w:val="16"/>
                <w:szCs w:val="16"/>
                <w:color w:val="auto"/>
              </w:rPr>
              <w:t>Manufacturing, warehouse,</w:t>
            </w:r>
          </w:p>
        </w:tc>
        <w:tc>
          <w:tcPr>
            <w:tcW w:w="216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Motorhome</w:t>
            </w:r>
          </w:p>
        </w:tc>
        <w:tc>
          <w:tcPr>
            <w:tcW w:w="1020" w:type="dxa"/>
            <w:vAlign w:val="bottom"/>
          </w:tcPr>
          <w:p>
            <w:pPr>
              <w:spacing w:after="0"/>
              <w:rPr>
                <w:sz w:val="18"/>
                <w:szCs w:val="18"/>
                <w:color w:val="auto"/>
              </w:rPr>
            </w:pPr>
          </w:p>
        </w:tc>
        <w:tc>
          <w:tcPr>
            <w:tcW w:w="28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36</w:t>
            </w:r>
          </w:p>
        </w:tc>
        <w:tc>
          <w:tcPr>
            <w:tcW w:w="100" w:type="dxa"/>
            <w:vAlign w:val="bottom"/>
          </w:tcPr>
          <w:p>
            <w:pPr>
              <w:spacing w:after="0"/>
              <w:rPr>
                <w:sz w:val="18"/>
                <w:szCs w:val="18"/>
                <w:color w:val="auto"/>
              </w:rPr>
            </w:pP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Owned</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2,007,000</w:t>
            </w:r>
          </w:p>
        </w:tc>
        <w:tc>
          <w:tcPr>
            <w:tcW w:w="0" w:type="dxa"/>
            <w:vAlign w:val="bottom"/>
          </w:tcPr>
          <w:p>
            <w:pPr>
              <w:spacing w:after="0"/>
              <w:rPr>
                <w:sz w:val="1"/>
                <w:szCs w:val="1"/>
                <w:color w:val="auto"/>
              </w:rPr>
            </w:pPr>
          </w:p>
        </w:tc>
      </w:tr>
      <w:tr>
        <w:trPr>
          <w:trHeight w:val="100"/>
        </w:trPr>
        <w:tc>
          <w:tcPr>
            <w:tcW w:w="1560" w:type="dxa"/>
            <w:vAlign w:val="bottom"/>
            <w:vMerge w:val="continue"/>
          </w:tcPr>
          <w:p>
            <w:pPr>
              <w:spacing w:after="0"/>
              <w:rPr>
                <w:sz w:val="8"/>
                <w:szCs w:val="8"/>
                <w:color w:val="auto"/>
              </w:rPr>
            </w:pPr>
          </w:p>
        </w:tc>
        <w:tc>
          <w:tcPr>
            <w:tcW w:w="3380" w:type="dxa"/>
            <w:vAlign w:val="bottom"/>
            <w:gridSpan w:val="2"/>
            <w:vMerge w:val="restart"/>
          </w:tcPr>
          <w:p>
            <w:pPr>
              <w:ind w:left="300"/>
              <w:spacing w:after="0"/>
              <w:rPr>
                <w:sz w:val="20"/>
                <w:szCs w:val="20"/>
                <w:color w:val="auto"/>
              </w:rPr>
            </w:pPr>
            <w:r>
              <w:rPr>
                <w:rFonts w:ascii="Arial" w:cs="Arial" w:eastAsia="Arial" w:hAnsi="Arial"/>
                <w:sz w:val="16"/>
                <w:szCs w:val="16"/>
                <w:color w:val="auto"/>
              </w:rPr>
              <w:t>maintenance, service, and office</w:t>
            </w:r>
          </w:p>
        </w:tc>
        <w:tc>
          <w:tcPr>
            <w:tcW w:w="2160" w:type="dxa"/>
            <w:vAlign w:val="bottom"/>
            <w:gridSpan w:val="2"/>
            <w:vMerge w:val="continue"/>
          </w:tcPr>
          <w:p>
            <w:pPr>
              <w:spacing w:after="0"/>
              <w:rPr>
                <w:sz w:val="8"/>
                <w:szCs w:val="8"/>
                <w:color w:val="auto"/>
              </w:rPr>
            </w:pPr>
          </w:p>
        </w:tc>
        <w:tc>
          <w:tcPr>
            <w:tcW w:w="10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560" w:type="dxa"/>
            <w:vAlign w:val="bottom"/>
          </w:tcPr>
          <w:p>
            <w:pPr>
              <w:spacing w:after="0"/>
              <w:rPr>
                <w:sz w:val="9"/>
                <w:szCs w:val="9"/>
                <w:color w:val="auto"/>
              </w:rPr>
            </w:pPr>
          </w:p>
        </w:tc>
        <w:tc>
          <w:tcPr>
            <w:tcW w:w="3380" w:type="dxa"/>
            <w:vAlign w:val="bottom"/>
            <w:gridSpan w:val="2"/>
            <w:vMerge w:val="continue"/>
          </w:tcPr>
          <w:p>
            <w:pPr>
              <w:spacing w:after="0"/>
              <w:rPr>
                <w:sz w:val="9"/>
                <w:szCs w:val="9"/>
                <w:color w:val="auto"/>
              </w:rPr>
            </w:pPr>
          </w:p>
        </w:tc>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1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Lake Mills, IA</w:t>
            </w:r>
          </w:p>
        </w:tc>
        <w:tc>
          <w:tcPr>
            <w:tcW w:w="33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Manufacturing</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Motorhome</w:t>
            </w: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Owned</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99,000</w:t>
            </w:r>
          </w:p>
        </w:tc>
        <w:tc>
          <w:tcPr>
            <w:tcW w:w="0" w:type="dxa"/>
            <w:vAlign w:val="bottom"/>
          </w:tcPr>
          <w:p>
            <w:pPr>
              <w:spacing w:after="0"/>
              <w:rPr>
                <w:sz w:val="1"/>
                <w:szCs w:val="1"/>
                <w:color w:val="auto"/>
              </w:rPr>
            </w:pPr>
          </w:p>
        </w:tc>
      </w:tr>
      <w:tr>
        <w:trPr>
          <w:trHeight w:val="233"/>
        </w:trPr>
        <w:tc>
          <w:tcPr>
            <w:tcW w:w="1560" w:type="dxa"/>
            <w:vAlign w:val="bottom"/>
          </w:tcPr>
          <w:p>
            <w:pPr>
              <w:ind w:left="20"/>
              <w:spacing w:after="0"/>
              <w:rPr>
                <w:sz w:val="20"/>
                <w:szCs w:val="20"/>
                <w:color w:val="auto"/>
              </w:rPr>
            </w:pPr>
            <w:r>
              <w:rPr>
                <w:rFonts w:ascii="Arial" w:cs="Arial" w:eastAsia="Arial" w:hAnsi="Arial"/>
                <w:sz w:val="16"/>
                <w:szCs w:val="16"/>
                <w:color w:val="auto"/>
              </w:rPr>
              <w:t>Waverly, IA</w:t>
            </w:r>
          </w:p>
        </w:tc>
        <w:tc>
          <w:tcPr>
            <w:tcW w:w="3380" w:type="dxa"/>
            <w:vAlign w:val="bottom"/>
            <w:gridSpan w:val="2"/>
          </w:tcPr>
          <w:p>
            <w:pPr>
              <w:ind w:left="300"/>
              <w:spacing w:after="0"/>
              <w:rPr>
                <w:sz w:val="20"/>
                <w:szCs w:val="20"/>
                <w:color w:val="auto"/>
              </w:rPr>
            </w:pPr>
            <w:r>
              <w:rPr>
                <w:rFonts w:ascii="Arial" w:cs="Arial" w:eastAsia="Arial" w:hAnsi="Arial"/>
                <w:sz w:val="16"/>
                <w:szCs w:val="16"/>
                <w:color w:val="auto"/>
              </w:rPr>
              <w:t>Manufacturing</w:t>
            </w:r>
          </w:p>
        </w:tc>
        <w:tc>
          <w:tcPr>
            <w:tcW w:w="2160" w:type="dxa"/>
            <w:vAlign w:val="bottom"/>
            <w:gridSpan w:val="2"/>
          </w:tcPr>
          <w:p>
            <w:pPr>
              <w:jc w:val="center"/>
              <w:ind w:right="100"/>
              <w:spacing w:after="0"/>
              <w:rPr>
                <w:sz w:val="20"/>
                <w:szCs w:val="20"/>
                <w:color w:val="auto"/>
              </w:rPr>
            </w:pPr>
            <w:r>
              <w:rPr>
                <w:rFonts w:ascii="Arial" w:cs="Arial" w:eastAsia="Arial" w:hAnsi="Arial"/>
                <w:sz w:val="16"/>
                <w:szCs w:val="16"/>
                <w:color w:val="auto"/>
              </w:rPr>
              <w:t>Motorhome</w:t>
            </w:r>
          </w:p>
        </w:tc>
        <w:tc>
          <w:tcPr>
            <w:tcW w:w="1020" w:type="dxa"/>
            <w:vAlign w:val="bottom"/>
          </w:tcPr>
          <w:p>
            <w:pPr>
              <w:spacing w:after="0"/>
              <w:rPr>
                <w:sz w:val="20"/>
                <w:szCs w:val="20"/>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rPr>
              <w:t>Owned</w:t>
            </w:r>
          </w:p>
        </w:tc>
        <w:tc>
          <w:tcPr>
            <w:tcW w:w="1320" w:type="dxa"/>
            <w:vAlign w:val="bottom"/>
          </w:tcPr>
          <w:p>
            <w:pPr>
              <w:jc w:val="right"/>
              <w:spacing w:after="0"/>
              <w:rPr>
                <w:sz w:val="20"/>
                <w:szCs w:val="20"/>
                <w:color w:val="auto"/>
              </w:rPr>
            </w:pPr>
            <w:r>
              <w:rPr>
                <w:rFonts w:ascii="Arial" w:cs="Arial" w:eastAsia="Arial" w:hAnsi="Arial"/>
                <w:sz w:val="16"/>
                <w:szCs w:val="16"/>
                <w:color w:val="auto"/>
              </w:rPr>
              <w:t>33,000</w:t>
            </w:r>
          </w:p>
        </w:tc>
        <w:tc>
          <w:tcPr>
            <w:tcW w:w="0" w:type="dxa"/>
            <w:vAlign w:val="bottom"/>
          </w:tcPr>
          <w:p>
            <w:pPr>
              <w:spacing w:after="0"/>
              <w:rPr>
                <w:sz w:val="1"/>
                <w:szCs w:val="1"/>
                <w:color w:val="auto"/>
              </w:rPr>
            </w:pPr>
          </w:p>
        </w:tc>
      </w:tr>
      <w:tr>
        <w:trPr>
          <w:trHeight w:val="253"/>
        </w:trPr>
        <w:tc>
          <w:tcPr>
            <w:tcW w:w="1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Junction City, OR</w:t>
            </w:r>
          </w:p>
        </w:tc>
        <w:tc>
          <w:tcPr>
            <w:tcW w:w="33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Manufacturing, service, and office</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Motorhome</w:t>
            </w: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10</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Owned</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305,000</w:t>
            </w:r>
          </w:p>
        </w:tc>
        <w:tc>
          <w:tcPr>
            <w:tcW w:w="0" w:type="dxa"/>
            <w:vAlign w:val="bottom"/>
          </w:tcPr>
          <w:p>
            <w:pPr>
              <w:spacing w:after="0"/>
              <w:rPr>
                <w:sz w:val="1"/>
                <w:szCs w:val="1"/>
                <w:color w:val="auto"/>
              </w:rPr>
            </w:pPr>
          </w:p>
        </w:tc>
      </w:tr>
      <w:tr>
        <w:trPr>
          <w:trHeight w:val="233"/>
        </w:trPr>
        <w:tc>
          <w:tcPr>
            <w:tcW w:w="1560" w:type="dxa"/>
            <w:vAlign w:val="bottom"/>
          </w:tcPr>
          <w:p>
            <w:pPr>
              <w:ind w:left="20"/>
              <w:spacing w:after="0"/>
              <w:rPr>
                <w:sz w:val="20"/>
                <w:szCs w:val="20"/>
                <w:color w:val="auto"/>
              </w:rPr>
            </w:pPr>
            <w:r>
              <w:rPr>
                <w:rFonts w:ascii="Arial" w:cs="Arial" w:eastAsia="Arial" w:hAnsi="Arial"/>
                <w:sz w:val="16"/>
                <w:szCs w:val="16"/>
                <w:color w:val="auto"/>
              </w:rPr>
              <w:t>Nappanee, IN</w:t>
            </w:r>
          </w:p>
        </w:tc>
        <w:tc>
          <w:tcPr>
            <w:tcW w:w="3380" w:type="dxa"/>
            <w:vAlign w:val="bottom"/>
            <w:gridSpan w:val="2"/>
          </w:tcPr>
          <w:p>
            <w:pPr>
              <w:ind w:left="300"/>
              <w:spacing w:after="0"/>
              <w:rPr>
                <w:sz w:val="20"/>
                <w:szCs w:val="20"/>
                <w:color w:val="auto"/>
              </w:rPr>
            </w:pPr>
            <w:r>
              <w:rPr>
                <w:rFonts w:ascii="Arial" w:cs="Arial" w:eastAsia="Arial" w:hAnsi="Arial"/>
                <w:sz w:val="16"/>
                <w:szCs w:val="16"/>
                <w:color w:val="auto"/>
              </w:rPr>
              <w:t>Manufacturing and office</w:t>
            </w:r>
          </w:p>
        </w:tc>
        <w:tc>
          <w:tcPr>
            <w:tcW w:w="2160" w:type="dxa"/>
            <w:vAlign w:val="bottom"/>
            <w:gridSpan w:val="2"/>
          </w:tcPr>
          <w:p>
            <w:pPr>
              <w:jc w:val="center"/>
              <w:ind w:right="100"/>
              <w:spacing w:after="0"/>
              <w:rPr>
                <w:sz w:val="20"/>
                <w:szCs w:val="20"/>
                <w:color w:val="auto"/>
              </w:rPr>
            </w:pPr>
            <w:r>
              <w:rPr>
                <w:rFonts w:ascii="Arial" w:cs="Arial" w:eastAsia="Arial" w:hAnsi="Arial"/>
                <w:sz w:val="16"/>
                <w:szCs w:val="16"/>
                <w:color w:val="auto"/>
              </w:rPr>
              <w:t>Motorhome</w:t>
            </w:r>
          </w:p>
        </w:tc>
        <w:tc>
          <w:tcPr>
            <w:tcW w:w="1020" w:type="dxa"/>
            <w:vAlign w:val="bottom"/>
          </w:tcPr>
          <w:p>
            <w:pPr>
              <w:spacing w:after="0"/>
              <w:rPr>
                <w:sz w:val="20"/>
                <w:szCs w:val="20"/>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w w:val="89"/>
              </w:rPr>
              <w:t>19</w:t>
            </w:r>
          </w:p>
        </w:tc>
        <w:tc>
          <w:tcPr>
            <w:tcW w:w="100" w:type="dxa"/>
            <w:vAlign w:val="bottom"/>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rPr>
              <w:t>Owned</w:t>
            </w:r>
          </w:p>
        </w:tc>
        <w:tc>
          <w:tcPr>
            <w:tcW w:w="1320" w:type="dxa"/>
            <w:vAlign w:val="bottom"/>
          </w:tcPr>
          <w:p>
            <w:pPr>
              <w:jc w:val="right"/>
              <w:spacing w:after="0"/>
              <w:rPr>
                <w:sz w:val="20"/>
                <w:szCs w:val="20"/>
                <w:color w:val="auto"/>
              </w:rPr>
            </w:pPr>
            <w:r>
              <w:rPr>
                <w:rFonts w:ascii="Arial" w:cs="Arial" w:eastAsia="Arial" w:hAnsi="Arial"/>
                <w:sz w:val="16"/>
                <w:szCs w:val="16"/>
                <w:color w:val="auto"/>
              </w:rPr>
              <w:t>811,000</w:t>
            </w:r>
          </w:p>
        </w:tc>
        <w:tc>
          <w:tcPr>
            <w:tcW w:w="0" w:type="dxa"/>
            <w:vAlign w:val="bottom"/>
          </w:tcPr>
          <w:p>
            <w:pPr>
              <w:spacing w:after="0"/>
              <w:rPr>
                <w:sz w:val="1"/>
                <w:szCs w:val="1"/>
                <w:color w:val="auto"/>
              </w:rPr>
            </w:pPr>
          </w:p>
        </w:tc>
      </w:tr>
      <w:tr>
        <w:trPr>
          <w:trHeight w:val="253"/>
        </w:trPr>
        <w:tc>
          <w:tcPr>
            <w:tcW w:w="1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Nappanee, IN</w:t>
            </w:r>
          </w:p>
        </w:tc>
        <w:tc>
          <w:tcPr>
            <w:tcW w:w="33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Service center</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Motorhome</w:t>
            </w: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8"/>
              </w:rPr>
              <w:t>Leased</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166,000</w:t>
            </w:r>
          </w:p>
        </w:tc>
        <w:tc>
          <w:tcPr>
            <w:tcW w:w="0" w:type="dxa"/>
            <w:vAlign w:val="bottom"/>
          </w:tcPr>
          <w:p>
            <w:pPr>
              <w:spacing w:after="0"/>
              <w:rPr>
                <w:sz w:val="1"/>
                <w:szCs w:val="1"/>
                <w:color w:val="auto"/>
              </w:rPr>
            </w:pPr>
          </w:p>
        </w:tc>
      </w:tr>
      <w:tr>
        <w:trPr>
          <w:trHeight w:val="233"/>
        </w:trPr>
        <w:tc>
          <w:tcPr>
            <w:tcW w:w="1560" w:type="dxa"/>
            <w:vAlign w:val="bottom"/>
          </w:tcPr>
          <w:p>
            <w:pPr>
              <w:ind w:left="20"/>
              <w:spacing w:after="0"/>
              <w:rPr>
                <w:sz w:val="20"/>
                <w:szCs w:val="20"/>
                <w:color w:val="auto"/>
              </w:rPr>
            </w:pPr>
            <w:r>
              <w:rPr>
                <w:rFonts w:ascii="Arial" w:cs="Arial" w:eastAsia="Arial" w:hAnsi="Arial"/>
                <w:sz w:val="16"/>
                <w:szCs w:val="16"/>
                <w:color w:val="auto"/>
              </w:rPr>
              <w:t>Middlebury, IN</w:t>
            </w:r>
          </w:p>
        </w:tc>
        <w:tc>
          <w:tcPr>
            <w:tcW w:w="3380" w:type="dxa"/>
            <w:vAlign w:val="bottom"/>
            <w:gridSpan w:val="2"/>
          </w:tcPr>
          <w:p>
            <w:pPr>
              <w:ind w:left="300"/>
              <w:spacing w:after="0"/>
              <w:rPr>
                <w:sz w:val="20"/>
                <w:szCs w:val="20"/>
                <w:color w:val="auto"/>
              </w:rPr>
            </w:pPr>
            <w:r>
              <w:rPr>
                <w:rFonts w:ascii="Arial" w:cs="Arial" w:eastAsia="Arial" w:hAnsi="Arial"/>
                <w:sz w:val="16"/>
                <w:szCs w:val="16"/>
                <w:color w:val="auto"/>
              </w:rPr>
              <w:t>Manufacturing and office</w:t>
            </w:r>
          </w:p>
        </w:tc>
        <w:tc>
          <w:tcPr>
            <w:tcW w:w="21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Towable</w:t>
            </w:r>
          </w:p>
        </w:tc>
        <w:tc>
          <w:tcPr>
            <w:tcW w:w="1020" w:type="dxa"/>
            <w:vAlign w:val="bottom"/>
          </w:tcPr>
          <w:p>
            <w:pPr>
              <w:spacing w:after="0"/>
              <w:rPr>
                <w:sz w:val="20"/>
                <w:szCs w:val="20"/>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rPr>
              <w:t>Owned</w:t>
            </w:r>
          </w:p>
        </w:tc>
        <w:tc>
          <w:tcPr>
            <w:tcW w:w="1320" w:type="dxa"/>
            <w:vAlign w:val="bottom"/>
          </w:tcPr>
          <w:p>
            <w:pPr>
              <w:jc w:val="right"/>
              <w:spacing w:after="0"/>
              <w:rPr>
                <w:sz w:val="20"/>
                <w:szCs w:val="20"/>
                <w:color w:val="auto"/>
              </w:rPr>
            </w:pPr>
            <w:r>
              <w:rPr>
                <w:rFonts w:ascii="Arial" w:cs="Arial" w:eastAsia="Arial" w:hAnsi="Arial"/>
                <w:sz w:val="16"/>
                <w:szCs w:val="16"/>
                <w:color w:val="auto"/>
              </w:rPr>
              <w:t>449,000</w:t>
            </w:r>
          </w:p>
        </w:tc>
        <w:tc>
          <w:tcPr>
            <w:tcW w:w="0" w:type="dxa"/>
            <w:vAlign w:val="bottom"/>
          </w:tcPr>
          <w:p>
            <w:pPr>
              <w:spacing w:after="0"/>
              <w:rPr>
                <w:sz w:val="1"/>
                <w:szCs w:val="1"/>
                <w:color w:val="auto"/>
              </w:rPr>
            </w:pPr>
          </w:p>
        </w:tc>
      </w:tr>
      <w:tr>
        <w:trPr>
          <w:trHeight w:val="253"/>
        </w:trPr>
        <w:tc>
          <w:tcPr>
            <w:tcW w:w="1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Middlebury, IN</w:t>
            </w:r>
          </w:p>
        </w:tc>
        <w:tc>
          <w:tcPr>
            <w:tcW w:w="33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Manufacturing, service, and office</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Towable</w:t>
            </w: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10</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8"/>
              </w:rPr>
              <w:t>Leased</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1,105,000</w:t>
            </w:r>
          </w:p>
        </w:tc>
        <w:tc>
          <w:tcPr>
            <w:tcW w:w="0" w:type="dxa"/>
            <w:vAlign w:val="bottom"/>
          </w:tcPr>
          <w:p>
            <w:pPr>
              <w:spacing w:after="0"/>
              <w:rPr>
                <w:sz w:val="1"/>
                <w:szCs w:val="1"/>
                <w:color w:val="auto"/>
              </w:rPr>
            </w:pPr>
          </w:p>
        </w:tc>
      </w:tr>
      <w:tr>
        <w:trPr>
          <w:trHeight w:val="233"/>
        </w:trPr>
        <w:tc>
          <w:tcPr>
            <w:tcW w:w="1560" w:type="dxa"/>
            <w:vAlign w:val="bottom"/>
          </w:tcPr>
          <w:p>
            <w:pPr>
              <w:ind w:left="20"/>
              <w:spacing w:after="0"/>
              <w:rPr>
                <w:sz w:val="20"/>
                <w:szCs w:val="20"/>
                <w:color w:val="auto"/>
              </w:rPr>
            </w:pPr>
            <w:r>
              <w:rPr>
                <w:rFonts w:ascii="Arial" w:cs="Arial" w:eastAsia="Arial" w:hAnsi="Arial"/>
                <w:sz w:val="16"/>
                <w:szCs w:val="16"/>
                <w:color w:val="auto"/>
              </w:rPr>
              <w:t>Bristol, IN</w:t>
            </w:r>
          </w:p>
        </w:tc>
        <w:tc>
          <w:tcPr>
            <w:tcW w:w="3380" w:type="dxa"/>
            <w:vAlign w:val="bottom"/>
            <w:gridSpan w:val="2"/>
          </w:tcPr>
          <w:p>
            <w:pPr>
              <w:ind w:left="300"/>
              <w:spacing w:after="0"/>
              <w:rPr>
                <w:sz w:val="20"/>
                <w:szCs w:val="20"/>
                <w:color w:val="auto"/>
              </w:rPr>
            </w:pPr>
            <w:r>
              <w:rPr>
                <w:rFonts w:ascii="Arial" w:cs="Arial" w:eastAsia="Arial" w:hAnsi="Arial"/>
                <w:sz w:val="16"/>
                <w:szCs w:val="16"/>
                <w:color w:val="auto"/>
              </w:rPr>
              <w:t>Manufacturing and maintenance</w:t>
            </w:r>
          </w:p>
        </w:tc>
        <w:tc>
          <w:tcPr>
            <w:tcW w:w="21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Towable</w:t>
            </w:r>
          </w:p>
        </w:tc>
        <w:tc>
          <w:tcPr>
            <w:tcW w:w="1020" w:type="dxa"/>
            <w:vAlign w:val="bottom"/>
          </w:tcPr>
          <w:p>
            <w:pPr>
              <w:spacing w:after="0"/>
              <w:rPr>
                <w:sz w:val="20"/>
                <w:szCs w:val="20"/>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Leased</w:t>
            </w:r>
          </w:p>
        </w:tc>
        <w:tc>
          <w:tcPr>
            <w:tcW w:w="1320" w:type="dxa"/>
            <w:vAlign w:val="bottom"/>
          </w:tcPr>
          <w:p>
            <w:pPr>
              <w:jc w:val="right"/>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253"/>
        </w:trPr>
        <w:tc>
          <w:tcPr>
            <w:tcW w:w="1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Sarasota, FL</w:t>
            </w:r>
          </w:p>
        </w:tc>
        <w:tc>
          <w:tcPr>
            <w:tcW w:w="33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Manufacturing, warehouse, and office</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Corporate / All Other</w:t>
            </w: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Owned</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147,000</w:t>
            </w:r>
          </w:p>
        </w:tc>
        <w:tc>
          <w:tcPr>
            <w:tcW w:w="0" w:type="dxa"/>
            <w:vAlign w:val="bottom"/>
          </w:tcPr>
          <w:p>
            <w:pPr>
              <w:spacing w:after="0"/>
              <w:rPr>
                <w:sz w:val="1"/>
                <w:szCs w:val="1"/>
                <w:color w:val="auto"/>
              </w:rPr>
            </w:pPr>
          </w:p>
        </w:tc>
      </w:tr>
      <w:tr>
        <w:trPr>
          <w:trHeight w:val="237"/>
        </w:trPr>
        <w:tc>
          <w:tcPr>
            <w:tcW w:w="1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Eden Prairie, MN</w:t>
            </w:r>
          </w:p>
        </w:tc>
        <w:tc>
          <w:tcPr>
            <w:tcW w:w="338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Office</w:t>
            </w:r>
          </w:p>
        </w:tc>
        <w:tc>
          <w:tcPr>
            <w:tcW w:w="21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color w:val="auto"/>
              </w:rPr>
              <w:t>Corporate / All Other</w:t>
            </w:r>
          </w:p>
        </w:tc>
        <w:tc>
          <w:tcPr>
            <w:tcW w:w="10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0"/>
                <w:szCs w:val="20"/>
                <w:color w:val="auto"/>
              </w:rPr>
            </w:pPr>
          </w:p>
        </w:tc>
        <w:tc>
          <w:tcPr>
            <w:tcW w:w="13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98"/>
              </w:rPr>
              <w:t>Leased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30,000</w:t>
            </w:r>
          </w:p>
        </w:tc>
        <w:tc>
          <w:tcPr>
            <w:tcW w:w="0" w:type="dxa"/>
            <w:vAlign w:val="bottom"/>
          </w:tcPr>
          <w:p>
            <w:pPr>
              <w:spacing w:after="0"/>
              <w:rPr>
                <w:sz w:val="1"/>
                <w:szCs w:val="1"/>
                <w:color w:val="auto"/>
              </w:rPr>
            </w:pPr>
          </w:p>
        </w:tc>
      </w:tr>
      <w:tr>
        <w:trPr>
          <w:trHeight w:val="261"/>
        </w:trPr>
        <w:tc>
          <w:tcPr>
            <w:tcW w:w="1560" w:type="dxa"/>
            <w:vAlign w:val="bottom"/>
            <w:tcBorders>
              <w:bottom w:val="single" w:sz="8" w:color="CCEEFF"/>
            </w:tcBorders>
            <w:shd w:val="clear" w:color="auto" w:fill="CCEEFF"/>
          </w:tcPr>
          <w:p>
            <w:pPr>
              <w:spacing w:after="0"/>
              <w:rPr>
                <w:sz w:val="22"/>
                <w:szCs w:val="22"/>
                <w:color w:val="auto"/>
              </w:rPr>
            </w:pPr>
          </w:p>
        </w:tc>
        <w:tc>
          <w:tcPr>
            <w:tcW w:w="3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92</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5,363,000</w:t>
            </w:r>
          </w:p>
        </w:tc>
        <w:tc>
          <w:tcPr>
            <w:tcW w:w="0" w:type="dxa"/>
            <w:vAlign w:val="bottom"/>
          </w:tcPr>
          <w:p>
            <w:pPr>
              <w:spacing w:after="0"/>
              <w:rPr>
                <w:sz w:val="1"/>
                <w:szCs w:val="1"/>
                <w:color w:val="auto"/>
              </w:rPr>
            </w:pPr>
          </w:p>
        </w:tc>
      </w:tr>
      <w:tr>
        <w:trPr>
          <w:trHeight w:val="20"/>
        </w:trPr>
        <w:tc>
          <w:tcPr>
            <w:tcW w:w="156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right="80"/>
        <w:spacing w:after="0" w:line="279" w:lineRule="auto"/>
        <w:rPr>
          <w:sz w:val="20"/>
          <w:szCs w:val="20"/>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Leases</w:t>
      </w:r>
      <w:r>
        <w:rPr>
          <w:rFonts w:ascii="Arial" w:cs="Arial" w:eastAsia="Arial" w:hAnsi="Arial"/>
          <w:sz w:val="14"/>
          <w:szCs w:val="14"/>
          <w:color w:val="auto"/>
        </w:rPr>
        <w:t xml:space="preserve">, of the Notes to Consolidated Financial Statements, included in Item 8, </w:t>
      </w:r>
      <w:r>
        <w:rPr>
          <w:rFonts w:ascii="Arial" w:cs="Arial" w:eastAsia="Arial" w:hAnsi="Arial"/>
          <w:sz w:val="14"/>
          <w:szCs w:val="14"/>
          <w:i w:val="1"/>
          <w:iCs w:val="1"/>
          <w:color w:val="auto"/>
        </w:rPr>
        <w:t>Financial Statements and Supplementary Data</w:t>
      </w:r>
      <w:r>
        <w:rPr>
          <w:rFonts w:ascii="Arial" w:cs="Arial" w:eastAsia="Arial" w:hAnsi="Arial"/>
          <w:sz w:val="14"/>
          <w:szCs w:val="14"/>
          <w:color w:val="auto"/>
        </w:rPr>
        <w:t>, of this Annual Report on Form 10-K for additional information on our leases.</w:t>
      </w:r>
    </w:p>
    <w:p>
      <w:pPr>
        <w:spacing w:after="0" w:line="20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Most of our buildings are of steel or steel and concrete construction and are protected from fire with high-pressure sprinkler systems, dust collector systems, automatic fire doors, and alarm systems. We believe that our facilities and equipment are well maintained and suitable for the purposes for which they are intended.</w:t>
      </w:r>
    </w:p>
    <w:p>
      <w:pPr>
        <w:spacing w:after="0" w:line="228" w:lineRule="exact"/>
        <w:rPr>
          <w:sz w:val="20"/>
          <w:szCs w:val="20"/>
          <w:color w:val="auto"/>
        </w:rPr>
      </w:pPr>
    </w:p>
    <w:p>
      <w:pPr>
        <w:jc w:val="both"/>
        <w:ind w:right="320"/>
        <w:spacing w:after="0" w:line="253" w:lineRule="auto"/>
        <w:rPr>
          <w:sz w:val="20"/>
          <w:szCs w:val="20"/>
          <w:color w:val="auto"/>
        </w:rPr>
      </w:pPr>
      <w:r>
        <w:rPr>
          <w:rFonts w:ascii="Arial" w:cs="Arial" w:eastAsia="Arial" w:hAnsi="Arial"/>
          <w:sz w:val="16"/>
          <w:szCs w:val="16"/>
          <w:color w:val="auto"/>
        </w:rPr>
        <w:t xml:space="preserve">Under our senior secured notes and Credit Agreement, we have encumbered substantially all of our real property for the benefit of the lenders under our credit facilities. For additional information, see Note 9,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of the Notes to Consolidated Financial Statements, included in Item 8,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 and Supplementary Data</w:t>
      </w:r>
      <w:r>
        <w:rPr>
          <w:rFonts w:ascii="Arial" w:cs="Arial" w:eastAsia="Arial" w:hAnsi="Arial"/>
          <w:sz w:val="16"/>
          <w:szCs w:val="16"/>
          <w:color w:val="auto"/>
        </w:rPr>
        <w:t>, of this Annual Report on Form 10-K.</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252" w:lineRule="exact"/>
        <w:rPr>
          <w:sz w:val="20"/>
          <w:szCs w:val="20"/>
          <w:color w:val="auto"/>
        </w:rPr>
      </w:pPr>
    </w:p>
    <w:p>
      <w:pPr>
        <w:ind w:right="580"/>
        <w:spacing w:after="0" w:line="281" w:lineRule="auto"/>
        <w:rPr>
          <w:sz w:val="20"/>
          <w:szCs w:val="20"/>
          <w:color w:val="auto"/>
        </w:rPr>
      </w:pPr>
      <w:r>
        <w:rPr>
          <w:rFonts w:ascii="Arial" w:cs="Arial" w:eastAsia="Arial" w:hAnsi="Arial"/>
          <w:sz w:val="16"/>
          <w:szCs w:val="16"/>
          <w:color w:val="auto"/>
        </w:rPr>
        <w:t xml:space="preserve">For a description of our legal proceedings, see Note 12, </w:t>
      </w:r>
      <w:r>
        <w:rPr>
          <w:rFonts w:ascii="Arial" w:cs="Arial" w:eastAsia="Arial" w:hAnsi="Arial"/>
          <w:sz w:val="16"/>
          <w:szCs w:val="16"/>
          <w:i w:val="1"/>
          <w:iCs w:val="1"/>
          <w:color w:val="auto"/>
        </w:rPr>
        <w:t>Contingent Liabilities and Commitments</w:t>
      </w:r>
      <w:r>
        <w:rPr>
          <w:rFonts w:ascii="Arial" w:cs="Arial" w:eastAsia="Arial" w:hAnsi="Arial"/>
          <w:sz w:val="16"/>
          <w:szCs w:val="16"/>
          <w:color w:val="auto"/>
        </w:rPr>
        <w:t xml:space="preserve">, of the Notes to Consolidated Financial Statements, included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of this Annual Report on Form 10-K.</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20"/>
          </w:cols>
          <w:pgMar w:left="320" w:top="14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84"/>
        </w:trPr>
        <w:tc>
          <w:tcPr>
            <w:tcW w:w="2200" w:type="dxa"/>
            <w:vAlign w:val="bottom"/>
            <w:gridSpan w:val="2"/>
          </w:tcPr>
          <w:p>
            <w:pPr>
              <w:spacing w:after="0"/>
              <w:rPr>
                <w:rFonts w:ascii="Arial" w:cs="Arial" w:eastAsia="Arial" w:hAnsi="Arial"/>
                <w:sz w:val="16"/>
                <w:szCs w:val="16"/>
                <w:color w:val="0000FF"/>
              </w:rPr>
            </w:pPr>
            <w:r>
              <w:rPr>
                <w:rFonts w:ascii="Arial" w:cs="Arial" w:eastAsia="Arial" w:hAnsi="Arial"/>
                <w:sz w:val="16"/>
                <w:szCs w:val="16"/>
                <w:color w:val="0000FF"/>
              </w:rPr>
              <w:t xml:space="preserve">Table </w:t>
            </w:r>
            <w:hyperlink w:anchor="page1">
              <w:r>
                <w:rPr>
                  <w:rFonts w:ascii="Arial" w:cs="Arial" w:eastAsia="Arial" w:hAnsi="Arial"/>
                  <w:sz w:val="16"/>
                  <w:szCs w:val="16"/>
                  <w:color w:val="0000FF"/>
                </w:rPr>
                <w:t xml:space="preserve">of </w:t>
              </w:r>
            </w:hyperlink>
            <w:r>
              <w:rPr>
                <w:rFonts w:ascii="Arial" w:cs="Arial" w:eastAsia="Arial" w:hAnsi="Arial"/>
                <w:sz w:val="16"/>
                <w:szCs w:val="16"/>
                <w:color w:val="0000FF"/>
              </w:rPr>
              <w:t>Contents</w:t>
            </w:r>
          </w:p>
        </w:tc>
        <w:tc>
          <w:tcPr>
            <w:tcW w:w="8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90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10360" w:type="dxa"/>
            <w:vAlign w:val="bottom"/>
            <w:gridSpan w:val="3"/>
          </w:tcPr>
          <w:p>
            <w:pPr>
              <w:spacing w:after="0"/>
              <w:rPr>
                <w:sz w:val="20"/>
                <w:szCs w:val="20"/>
                <w:color w:val="auto"/>
              </w:rPr>
            </w:pPr>
            <w:r>
              <w:rPr>
                <w:rFonts w:ascii="Arial" w:cs="Arial" w:eastAsia="Arial" w:hAnsi="Arial"/>
                <w:sz w:val="16"/>
                <w:szCs w:val="16"/>
                <w:b w:val="1"/>
                <w:bCs w:val="1"/>
                <w:color w:val="auto"/>
              </w:rPr>
              <w:t>Information about our Executive Officers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2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816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rPr>
              <w:t>Office (Year First Elected an Officer)</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Age</w:t>
            </w:r>
          </w:p>
        </w:tc>
        <w:tc>
          <w:tcPr>
            <w:tcW w:w="0" w:type="dxa"/>
            <w:vAlign w:val="bottom"/>
          </w:tcPr>
          <w:p>
            <w:pPr>
              <w:spacing w:after="0"/>
              <w:rPr>
                <w:sz w:val="1"/>
                <w:szCs w:val="1"/>
                <w:color w:val="auto"/>
              </w:rPr>
            </w:pPr>
          </w:p>
        </w:tc>
      </w:tr>
      <w:tr>
        <w:trPr>
          <w:trHeight w:val="243"/>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Michael J. Happe</w:t>
            </w:r>
          </w:p>
        </w:tc>
        <w:tc>
          <w:tcPr>
            <w:tcW w:w="81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President and Chief Executive Officer (2016)</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33"/>
        </w:trPr>
        <w:tc>
          <w:tcPr>
            <w:tcW w:w="2200" w:type="dxa"/>
            <w:vAlign w:val="bottom"/>
            <w:gridSpan w:val="2"/>
          </w:tcPr>
          <w:p>
            <w:pPr>
              <w:ind w:left="20"/>
              <w:spacing w:after="0"/>
              <w:rPr>
                <w:sz w:val="20"/>
                <w:szCs w:val="20"/>
                <w:color w:val="auto"/>
              </w:rPr>
            </w:pPr>
            <w:r>
              <w:rPr>
                <w:rFonts w:ascii="Arial" w:cs="Arial" w:eastAsia="Arial" w:hAnsi="Arial"/>
                <w:sz w:val="16"/>
                <w:szCs w:val="16"/>
                <w:color w:val="auto"/>
              </w:rPr>
              <w:t>Ashis N. Bhattacharya</w:t>
            </w:r>
          </w:p>
        </w:tc>
        <w:tc>
          <w:tcPr>
            <w:tcW w:w="8160" w:type="dxa"/>
            <w:vAlign w:val="bottom"/>
          </w:tcPr>
          <w:p>
            <w:pPr>
              <w:ind w:left="580"/>
              <w:spacing w:after="0"/>
              <w:rPr>
                <w:sz w:val="20"/>
                <w:szCs w:val="20"/>
                <w:color w:val="auto"/>
              </w:rPr>
            </w:pPr>
            <w:r>
              <w:rPr>
                <w:rFonts w:ascii="Arial" w:cs="Arial" w:eastAsia="Arial" w:hAnsi="Arial"/>
                <w:sz w:val="16"/>
                <w:szCs w:val="16"/>
                <w:color w:val="auto"/>
              </w:rPr>
              <w:t>Senior Vice President, Business Development, Advanced Technology, and Enterprise Marketing (2016)</w:t>
            </w:r>
          </w:p>
        </w:tc>
        <w:tc>
          <w:tcPr>
            <w:tcW w:w="780" w:type="dxa"/>
            <w:vAlign w:val="bottom"/>
          </w:tcPr>
          <w:p>
            <w:pPr>
              <w:jc w:val="center"/>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28"/>
        </w:trPr>
        <w:tc>
          <w:tcPr>
            <w:tcW w:w="220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Stacy L. Bogart</w:t>
            </w:r>
          </w:p>
        </w:tc>
        <w:tc>
          <w:tcPr>
            <w:tcW w:w="81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Senior Vice President, General Counsel, Secretary and Corporate Responsibility; President -</w:t>
            </w: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00"/>
        </w:trPr>
        <w:tc>
          <w:tcPr>
            <w:tcW w:w="2200" w:type="dxa"/>
            <w:vAlign w:val="bottom"/>
            <w:gridSpan w:val="2"/>
            <w:vMerge w:val="continue"/>
            <w:shd w:val="clear" w:color="auto" w:fill="CCEEFF"/>
          </w:tcPr>
          <w:p>
            <w:pPr>
              <w:spacing w:after="0"/>
              <w:rPr>
                <w:sz w:val="8"/>
                <w:szCs w:val="8"/>
                <w:color w:val="auto"/>
              </w:rPr>
            </w:pPr>
          </w:p>
        </w:tc>
        <w:tc>
          <w:tcPr>
            <w:tcW w:w="8160" w:type="dxa"/>
            <w:vAlign w:val="bottom"/>
            <w:vMerge w:val="restart"/>
            <w:shd w:val="clear" w:color="auto" w:fill="CCEEFF"/>
          </w:tcPr>
          <w:p>
            <w:pPr>
              <w:ind w:left="580"/>
              <w:spacing w:after="0"/>
              <w:rPr>
                <w:sz w:val="20"/>
                <w:szCs w:val="20"/>
                <w:color w:val="auto"/>
              </w:rPr>
            </w:pPr>
            <w:r>
              <w:rPr>
                <w:rFonts w:ascii="Arial" w:cs="Arial" w:eastAsia="Arial" w:hAnsi="Arial"/>
                <w:sz w:val="16"/>
                <w:szCs w:val="16"/>
                <w:color w:val="auto"/>
              </w:rPr>
              <w:t>Winnebago Industries Foundation (2018)</w:t>
            </w: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2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160" w:type="dxa"/>
            <w:vAlign w:val="bottom"/>
            <w:vMerge w:val="continue"/>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2200" w:type="dxa"/>
            <w:vAlign w:val="bottom"/>
            <w:gridSpan w:val="2"/>
          </w:tcPr>
          <w:p>
            <w:pPr>
              <w:ind w:left="20"/>
              <w:spacing w:after="0"/>
              <w:rPr>
                <w:sz w:val="20"/>
                <w:szCs w:val="20"/>
                <w:color w:val="auto"/>
              </w:rPr>
            </w:pPr>
            <w:r>
              <w:rPr>
                <w:rFonts w:ascii="Arial" w:cs="Arial" w:eastAsia="Arial" w:hAnsi="Arial"/>
                <w:sz w:val="16"/>
                <w:szCs w:val="16"/>
                <w:color w:val="auto"/>
              </w:rPr>
              <w:t>Huw Bower</w:t>
            </w:r>
          </w:p>
        </w:tc>
        <w:tc>
          <w:tcPr>
            <w:tcW w:w="8160" w:type="dxa"/>
            <w:vAlign w:val="bottom"/>
          </w:tcPr>
          <w:p>
            <w:pPr>
              <w:ind w:left="580"/>
              <w:spacing w:after="0"/>
              <w:rPr>
                <w:sz w:val="20"/>
                <w:szCs w:val="20"/>
                <w:color w:val="auto"/>
              </w:rPr>
            </w:pPr>
            <w:r>
              <w:rPr>
                <w:rFonts w:ascii="Arial" w:cs="Arial" w:eastAsia="Arial" w:hAnsi="Arial"/>
                <w:sz w:val="16"/>
                <w:szCs w:val="16"/>
                <w:color w:val="auto"/>
              </w:rPr>
              <w:t>President, Winnebago Outdoors (2020)</w:t>
            </w:r>
          </w:p>
        </w:tc>
        <w:tc>
          <w:tcPr>
            <w:tcW w:w="780" w:type="dxa"/>
            <w:vAlign w:val="bottom"/>
          </w:tcPr>
          <w:p>
            <w:pPr>
              <w:jc w:val="center"/>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53"/>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Donald J. Clark</w:t>
            </w:r>
          </w:p>
        </w:tc>
        <w:tc>
          <w:tcPr>
            <w:tcW w:w="81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President of Grand Design RV (2016)</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33"/>
        </w:trPr>
        <w:tc>
          <w:tcPr>
            <w:tcW w:w="2200" w:type="dxa"/>
            <w:vAlign w:val="bottom"/>
            <w:gridSpan w:val="2"/>
          </w:tcPr>
          <w:p>
            <w:pPr>
              <w:ind w:left="20"/>
              <w:spacing w:after="0"/>
              <w:rPr>
                <w:sz w:val="20"/>
                <w:szCs w:val="20"/>
                <w:color w:val="auto"/>
              </w:rPr>
            </w:pPr>
            <w:r>
              <w:rPr>
                <w:rFonts w:ascii="Arial" w:cs="Arial" w:eastAsia="Arial" w:hAnsi="Arial"/>
                <w:sz w:val="16"/>
                <w:szCs w:val="16"/>
                <w:color w:val="auto"/>
              </w:rPr>
              <w:t>Brian D. Hazelton</w:t>
            </w:r>
          </w:p>
        </w:tc>
        <w:tc>
          <w:tcPr>
            <w:tcW w:w="8160" w:type="dxa"/>
            <w:vAlign w:val="bottom"/>
          </w:tcPr>
          <w:p>
            <w:pPr>
              <w:ind w:left="580"/>
              <w:spacing w:after="0"/>
              <w:rPr>
                <w:sz w:val="20"/>
                <w:szCs w:val="20"/>
                <w:color w:val="auto"/>
              </w:rPr>
            </w:pPr>
            <w:r>
              <w:rPr>
                <w:rFonts w:ascii="Arial" w:cs="Arial" w:eastAsia="Arial" w:hAnsi="Arial"/>
                <w:sz w:val="16"/>
                <w:szCs w:val="16"/>
                <w:color w:val="auto"/>
              </w:rPr>
              <w:t>Senior Vice President, Winnebago-branded RV Business (2016)</w:t>
            </w:r>
          </w:p>
        </w:tc>
        <w:tc>
          <w:tcPr>
            <w:tcW w:w="780" w:type="dxa"/>
            <w:vAlign w:val="bottom"/>
          </w:tcPr>
          <w:p>
            <w:pPr>
              <w:jc w:val="center"/>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53"/>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Bryan L. Hughes</w:t>
            </w:r>
          </w:p>
        </w:tc>
        <w:tc>
          <w:tcPr>
            <w:tcW w:w="81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Chief Financial Officer; Senior Vice President, Finance, IT and Strategic Planning (2017)</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33"/>
        </w:trPr>
        <w:tc>
          <w:tcPr>
            <w:tcW w:w="2200" w:type="dxa"/>
            <w:vAlign w:val="bottom"/>
            <w:gridSpan w:val="2"/>
          </w:tcPr>
          <w:p>
            <w:pPr>
              <w:ind w:left="20"/>
              <w:spacing w:after="0"/>
              <w:rPr>
                <w:sz w:val="20"/>
                <w:szCs w:val="20"/>
                <w:color w:val="auto"/>
              </w:rPr>
            </w:pPr>
            <w:r>
              <w:rPr>
                <w:rFonts w:ascii="Arial" w:cs="Arial" w:eastAsia="Arial" w:hAnsi="Arial"/>
                <w:sz w:val="16"/>
                <w:szCs w:val="16"/>
                <w:color w:val="auto"/>
              </w:rPr>
              <w:t>Matthew L. Miller</w:t>
            </w:r>
          </w:p>
        </w:tc>
        <w:tc>
          <w:tcPr>
            <w:tcW w:w="8160" w:type="dxa"/>
            <w:vAlign w:val="bottom"/>
          </w:tcPr>
          <w:p>
            <w:pPr>
              <w:ind w:left="580"/>
              <w:spacing w:after="0"/>
              <w:rPr>
                <w:sz w:val="20"/>
                <w:szCs w:val="20"/>
                <w:color w:val="auto"/>
              </w:rPr>
            </w:pPr>
            <w:r>
              <w:rPr>
                <w:rFonts w:ascii="Arial" w:cs="Arial" w:eastAsia="Arial" w:hAnsi="Arial"/>
                <w:sz w:val="16"/>
                <w:szCs w:val="16"/>
                <w:color w:val="auto"/>
              </w:rPr>
              <w:t>President of Newmar Corporation (2019)</w:t>
            </w:r>
          </w:p>
        </w:tc>
        <w:tc>
          <w:tcPr>
            <w:tcW w:w="780" w:type="dxa"/>
            <w:vAlign w:val="bottom"/>
          </w:tcPr>
          <w:p>
            <w:pPr>
              <w:jc w:val="center"/>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53"/>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Christopher D. West</w:t>
            </w:r>
          </w:p>
        </w:tc>
        <w:tc>
          <w:tcPr>
            <w:tcW w:w="81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Senior Vice President, Enterprise Operations (2016)</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23"/>
        </w:trPr>
        <w:tc>
          <w:tcPr>
            <w:tcW w:w="2200" w:type="dxa"/>
            <w:vAlign w:val="bottom"/>
            <w:gridSpan w:val="2"/>
          </w:tcPr>
          <w:p>
            <w:pPr>
              <w:ind w:left="20"/>
              <w:spacing w:after="0"/>
              <w:rPr>
                <w:sz w:val="20"/>
                <w:szCs w:val="20"/>
                <w:color w:val="auto"/>
              </w:rPr>
            </w:pPr>
            <w:r>
              <w:rPr>
                <w:rFonts w:ascii="Arial" w:cs="Arial" w:eastAsia="Arial" w:hAnsi="Arial"/>
                <w:sz w:val="16"/>
                <w:szCs w:val="16"/>
                <w:color w:val="auto"/>
              </w:rPr>
              <w:t>Bret A. Woodson</w:t>
            </w:r>
          </w:p>
        </w:tc>
        <w:tc>
          <w:tcPr>
            <w:tcW w:w="8160" w:type="dxa"/>
            <w:vAlign w:val="bottom"/>
          </w:tcPr>
          <w:p>
            <w:pPr>
              <w:ind w:left="580"/>
              <w:spacing w:after="0"/>
              <w:rPr>
                <w:sz w:val="20"/>
                <w:szCs w:val="20"/>
                <w:color w:val="auto"/>
              </w:rPr>
            </w:pPr>
            <w:r>
              <w:rPr>
                <w:rFonts w:ascii="Arial" w:cs="Arial" w:eastAsia="Arial" w:hAnsi="Arial"/>
                <w:sz w:val="16"/>
                <w:szCs w:val="16"/>
                <w:color w:val="auto"/>
              </w:rPr>
              <w:t>Senior Vice President, Human Resources and Corporate Relations (2015)</w:t>
            </w:r>
          </w:p>
        </w:tc>
        <w:tc>
          <w:tcPr>
            <w:tcW w:w="780" w:type="dxa"/>
            <w:vAlign w:val="bottom"/>
          </w:tcPr>
          <w:p>
            <w:pPr>
              <w:jc w:val="center"/>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bl>
    <w:p>
      <w:pPr>
        <w:spacing w:after="0" w:line="372" w:lineRule="exact"/>
        <w:rPr>
          <w:sz w:val="20"/>
          <w:szCs w:val="20"/>
          <w:color w:val="auto"/>
        </w:rPr>
      </w:pPr>
    </w:p>
    <w:p>
      <w:pPr>
        <w:jc w:val="both"/>
        <w:ind w:right="140"/>
        <w:spacing w:after="0" w:line="260" w:lineRule="auto"/>
        <w:rPr>
          <w:sz w:val="20"/>
          <w:szCs w:val="20"/>
          <w:color w:val="auto"/>
        </w:rPr>
      </w:pPr>
      <w:r>
        <w:rPr>
          <w:rFonts w:ascii="Arial" w:cs="Arial" w:eastAsia="Arial" w:hAnsi="Arial"/>
          <w:sz w:val="16"/>
          <w:szCs w:val="16"/>
          <w:color w:val="auto"/>
        </w:rPr>
        <w:t>Officers are elected annually by the Board of Directors and hold office until their successors are chosen and qualify or until their death or resignation. There are no family relationships between or among any of the Executive Officers or Directors of the Company.</w:t>
      </w:r>
    </w:p>
    <w:p>
      <w:pPr>
        <w:spacing w:after="0" w:line="222" w:lineRule="exact"/>
        <w:rPr>
          <w:sz w:val="20"/>
          <w:szCs w:val="20"/>
          <w:color w:val="auto"/>
        </w:rPr>
      </w:pPr>
    </w:p>
    <w:p>
      <w:pPr>
        <w:ind w:right="300"/>
        <w:spacing w:after="0" w:line="250" w:lineRule="auto"/>
        <w:rPr>
          <w:sz w:val="20"/>
          <w:szCs w:val="20"/>
          <w:color w:val="auto"/>
        </w:rPr>
      </w:pPr>
      <w:r>
        <w:rPr>
          <w:rFonts w:ascii="Arial" w:cs="Arial" w:eastAsia="Arial" w:hAnsi="Arial"/>
          <w:sz w:val="16"/>
          <w:szCs w:val="16"/>
          <w:color w:val="auto"/>
        </w:rPr>
        <w:t>Mr. Happe joined Winnebago Industries in January 2016 as President and Chief Executive Officer. Prior to joining Winnebago, he had been employed by The Toro Company, a provider of outdoor maintenance and beautification products, from 1997 to 2016. He served as Executive Officer and Group Vice President of Toro's Residential and Contractor businesses from March 2012 to December 2015. From August 2010 to March 2012, he served as Vice President, Residential and Landscape Contractor Businesses. Prior to that, he held a series of senior leadership positions throughout his career across a variety of Toro's domestic and international divisions.</w:t>
      </w:r>
    </w:p>
    <w:p>
      <w:pPr>
        <w:spacing w:after="0" w:line="230"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Mr. Bhattacharya joined Winnebago Industries in May 2016 as Vice President, Strategic Planning and Development. He became Vice President, Business Development, Specialty Vehicles, and Advanced Technology in 2019 and Senior Vice President, Business Development, Advanced Technology, and Enterprise Marketing in October 2020. Prior to joining Winnebago, Mr. Bhattacharya served at Honeywell International, Inc., a software industrial company, as Vice President, Strategy, Alliances &amp; Internet of Things for the Sensing and Productivity Solutions division from 2010 to 2016. Prior to that, he was employed with Moog, Motorola, and Bain &amp; Company in a variety of roles.</w:t>
      </w:r>
    </w:p>
    <w:p>
      <w:pPr>
        <w:spacing w:after="0" w:line="230"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Ms. Stacy Bogart joined Winnebago Industries in January 2018 as Vice President, General Counsel and Secretary and was appointed Senior Vice President, General Counsel, Secretary and Corporate Responsibility and President - Winnebago Industries Foundation in October 2020. Prior to joining Winnebago Industries, Ms. Bogart was Senior Vice President, General Counsel and Compliance Officer, Corporate Secretary at Polaris Industries Inc., a manufacturer and marketer of powersports products, where she joined in November 2009. Previously, Ms. Bogart was General Counsel of Liberty Diversified International; Assistant General Counsel and Assistant Secretary at The Toro Company; and a Senior Attorney for Honeywell International, Inc.</w:t>
      </w:r>
    </w:p>
    <w:p>
      <w:pPr>
        <w:spacing w:after="0" w:line="230"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Mr. Bower joined Winnebago Industries in October 2020 as President, Winnebago Outdoors. Prior to joining Winnebago Industries, he was President of the Boat Group at Brunswick Corporation, a developer and manufacturer of marine/boating products from April 2016 to September 2020. Mr. Bower has over 15 years of general management and executive experience in the marine industry.</w:t>
      </w:r>
    </w:p>
    <w:p>
      <w:pPr>
        <w:spacing w:after="0" w:line="228"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Mr. Clark, President of Grand Design RV, became an officer of Winnebago Industries in November 2016 in accordance with terms of the Grand Design acquisition. He co-founded Grand Design RV, LLC in 2012 and built the team at Grand Design RV. Mr. Clark has over 30 years of successful RV industry experience.</w:t>
      </w:r>
    </w:p>
    <w:p>
      <w:pPr>
        <w:spacing w:after="0" w:line="228"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Mr. Hazelton joined Winnebago Industries in August 2016 as Vice President and General Manager, Motorhome Business and was appointed Senior Vice President, Winnebago-branded RV Business in October 2020. He previously was CEO of Schwing America, Inc., a manufacturer of concrete pumps and truck mixers, from 2009 to 2016. Prior to his employment with Schwing, he worked for Terex Corporation and Detroit Diesel Corporation in various executive roles.</w:t>
      </w:r>
    </w:p>
    <w:p>
      <w:pPr>
        <w:spacing w:after="0" w:line="22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Mr. Hughes joined Winnebago Industries in April 2017 and was appointed Vice President, Chief Financial Officer of the Company in May 2017 and Senior Vice President, Finance, IT, and Strategic Planning and Chief Financial Officer in October 2020. Mr. Hughes joined Winnebago Industries from Ecolab, Inc., a water technologies and services company, where he served as Senior Vice President and Corporate Controller from 2014 to 2017, as Vice President of Finance from 2008 to 2014 and in various management positions from 1996 to 2008. Prior to his employment with Ecolab, Inc., he worked for Ernst &amp; Young, a public accounting firm.</w:t>
      </w:r>
    </w:p>
    <w:p>
      <w:pPr>
        <w:spacing w:after="0" w:line="230"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Mr. Miller, President of Newmar Corporation, became an officer of Winnebago Industries in November 2019 in connection with the Newmar acquisition. He has been with Newmar Corporation since 1992, including as its President since 2006, and recently served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as the Chairman of the RV Technical Institute Board of Directors. He is also on the RVDA/RVIA Certification Governing Board and is the Former Chair of the Standards and Strategic Planning Committee. In 2012, he served as a chairman on the Nominating Committee.</w:t>
      </w:r>
    </w:p>
    <w:p>
      <w:pPr>
        <w:spacing w:after="0" w:line="22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Mr. West joined Winnebago Industries in September 2016 as Vice President, Operations and was appointed Senior Vice President, Enterprise Operations in October 2020. He previously was Vice President of Global Supply Chain for Joy Global, a worldwide equipment manufacturer, from 2014 to 2016, and Operations Director from 2012 to 2014. Mr. West served as Director of Manufacturing for AGCO Corporation, an agricultural equipment manufacturer, from 2008 to 2012 and as Director of Operations and in other management positions for the Nordam Group, a manufacturer of aircraft interiors, from 1999 to 2009.</w:t>
      </w:r>
    </w:p>
    <w:p>
      <w:pPr>
        <w:spacing w:after="0" w:line="200" w:lineRule="exact"/>
        <w:rPr>
          <w:sz w:val="20"/>
          <w:szCs w:val="20"/>
          <w:color w:val="auto"/>
        </w:rPr>
      </w:pPr>
    </w:p>
    <w:p>
      <w:pPr>
        <w:spacing w:after="0" w:line="221"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Mr. Woodson joined Winnebago Industries in January 2015 as Vice President, Administration and was appointed Senior Vice President, Human Resources and Corporate Relations in October 2020. Prior to joining Winnebago, Mr. Woodson was Vice President of Human Resources at Corbion N.V., a food and biochemicals company, from 2007 to 2014 and Director, Human Resources at Sara Lee Corporation from 1999 to 2007. Mr. Woodson has over 24 years of business and human resources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1" w:right="39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Market for the Registrant's Common Equity, Related Stockholder Matters, and Issuer Purchases of Equity Securities.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Information</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listed on the New York Stock Exchange with the ticker symbol of WGO.</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Holders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Shareholders of record as of October 16, 2020: 2,296.</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 Paid Per Share</w:t>
      </w:r>
    </w:p>
    <w:p>
      <w:pPr>
        <w:spacing w:after="0" w:line="268"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auto"/>
        </w:rPr>
        <w:t>On August 19, 2020, our Board of Directors declared a quarterly cash dividend of $0.12 per share, totaling $4.0 million, paid on September 30, 2020 to common stockholders of record at the close of business on September 16, 2020. The Board currently intends to continue to pay quarterly cash dividends payments in the future; however, declaration of future dividends, if any, will be based on several factors including our financial performance, outlook, and liquidity.</w:t>
      </w:r>
    </w:p>
    <w:p>
      <w:pPr>
        <w:spacing w:after="0" w:line="213" w:lineRule="exact"/>
        <w:rPr>
          <w:sz w:val="20"/>
          <w:szCs w:val="20"/>
          <w:color w:val="auto"/>
        </w:rPr>
      </w:pPr>
    </w:p>
    <w:p>
      <w:pPr>
        <w:ind w:right="380"/>
        <w:spacing w:after="0" w:line="281" w:lineRule="auto"/>
        <w:rPr>
          <w:sz w:val="20"/>
          <w:szCs w:val="20"/>
          <w:color w:val="auto"/>
        </w:rPr>
      </w:pPr>
      <w:r>
        <w:rPr>
          <w:rFonts w:ascii="Arial" w:cs="Arial" w:eastAsia="Arial" w:hAnsi="Arial"/>
          <w:sz w:val="16"/>
          <w:szCs w:val="16"/>
          <w:color w:val="auto"/>
        </w:rPr>
        <w:t xml:space="preserve">Our outstanding notes, as further described in Note 9,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of the Notes to Consolidated Financial Statements, included in Item 8,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 and Supplementary Data</w:t>
      </w:r>
      <w:r>
        <w:rPr>
          <w:rFonts w:ascii="Arial" w:cs="Arial" w:eastAsia="Arial" w:hAnsi="Arial"/>
          <w:sz w:val="16"/>
          <w:szCs w:val="16"/>
          <w:color w:val="auto"/>
        </w:rPr>
        <w:t>, of this Annual Report on Form 10-K, contains restrictions that may limit our ability to pay dividends.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26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Our ABL credit facility contains restrictions that may limit our ability to make distributions or payments with respect to purchases of our common stock without consent of the lenders, except for limited purchases of our common stock from employees, in the event of a significant reduction in our EBITDA or in the event of a significant borrowing on our ABL credit facility. Our senior secured notes also contain covenants that may limit our ability to make distributions or payments with respect to purchases of our common stock. See additional information on our ABL in Note 9,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of the Notes to Consolidated Financial Statements, included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of this Annual Report on Form 10-K.</w:t>
      </w:r>
    </w:p>
    <w:p>
      <w:pPr>
        <w:spacing w:after="0" w:line="230" w:lineRule="exact"/>
        <w:rPr>
          <w:sz w:val="20"/>
          <w:szCs w:val="20"/>
          <w:color w:val="auto"/>
        </w:rPr>
      </w:pPr>
    </w:p>
    <w:p>
      <w:pPr>
        <w:jc w:val="both"/>
        <w:ind w:right="420"/>
        <w:spacing w:after="0" w:line="250" w:lineRule="auto"/>
        <w:rPr>
          <w:sz w:val="20"/>
          <w:szCs w:val="20"/>
          <w:color w:val="auto"/>
        </w:rPr>
      </w:pPr>
      <w:r>
        <w:rPr>
          <w:rFonts w:ascii="Arial" w:cs="Arial" w:eastAsia="Arial" w:hAnsi="Arial"/>
          <w:sz w:val="16"/>
          <w:szCs w:val="16"/>
          <w:color w:val="auto"/>
        </w:rPr>
        <w:t>On October 18, 2017, our Board of Directors authorized a share repurchase program in the amount of $70.0 million. There is no time restriction on the authorization. During Fiscal 2020, 45,000 shares of our common stock at a cost of $1.8 million were repurchased to satisfy tax obligations on employee equity awards as they vested. We continually evaluate if share repurchases reflect a prudent use of our capital and, subject to compliance with our ABL credit facility and outstanding senior secured notes, we may purchase shares in the future. At August 29, 2020, we have $59.9 million remaining on our board repurchase authorization.</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Purchases of our common stock during each fiscal month of the fourth quarter of Fiscal 2020 were: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9"/>
              </w:rPr>
              <w:t>Total Number of</w:t>
            </w:r>
          </w:p>
        </w:tc>
        <w:tc>
          <w:tcPr>
            <w:tcW w:w="142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Average Price</w:t>
            </w:r>
          </w:p>
        </w:tc>
        <w:tc>
          <w:tcPr>
            <w:tcW w:w="2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Number of Shares Purchased as</w:t>
            </w:r>
          </w:p>
        </w:tc>
        <w:tc>
          <w:tcPr>
            <w:tcW w:w="120" w:type="dxa"/>
            <w:vAlign w:val="bottom"/>
          </w:tcPr>
          <w:p>
            <w:pPr>
              <w:spacing w:after="0"/>
              <w:rPr>
                <w:sz w:val="16"/>
                <w:szCs w:val="16"/>
                <w:color w:val="auto"/>
              </w:rPr>
            </w:pPr>
          </w:p>
        </w:tc>
        <w:tc>
          <w:tcPr>
            <w:tcW w:w="2640" w:type="dxa"/>
            <w:vAlign w:val="bottom"/>
          </w:tcPr>
          <w:p>
            <w:pPr>
              <w:jc w:val="right"/>
              <w:ind w:right="219"/>
              <w:spacing w:after="0"/>
              <w:rPr>
                <w:sz w:val="20"/>
                <w:szCs w:val="20"/>
                <w:color w:val="auto"/>
              </w:rPr>
            </w:pPr>
            <w:r>
              <w:rPr>
                <w:rFonts w:ascii="Arial" w:cs="Arial" w:eastAsia="Arial" w:hAnsi="Arial"/>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5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w:t>
            </w:r>
          </w:p>
        </w:tc>
        <w:tc>
          <w:tcPr>
            <w:tcW w:w="1420" w:type="dxa"/>
            <w:vAlign w:val="bottom"/>
            <w:gridSpan w:val="2"/>
            <w:vMerge w:val="continue"/>
          </w:tcPr>
          <w:p>
            <w:pPr>
              <w:spacing w:after="0"/>
              <w:rPr>
                <w:sz w:val="14"/>
                <w:szCs w:val="14"/>
                <w:color w:val="auto"/>
              </w:rPr>
            </w:pPr>
          </w:p>
        </w:tc>
        <w:tc>
          <w:tcPr>
            <w:tcW w:w="28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Part of Publicly Announced Plans</w:t>
            </w:r>
          </w:p>
        </w:tc>
        <w:tc>
          <w:tcPr>
            <w:tcW w:w="276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rPr>
              <w:t>Shares That May Yet Be Purchased</w:t>
            </w:r>
          </w:p>
        </w:tc>
        <w:tc>
          <w:tcPr>
            <w:tcW w:w="0" w:type="dxa"/>
            <w:vAlign w:val="bottom"/>
          </w:tcPr>
          <w:p>
            <w:pPr>
              <w:spacing w:after="0"/>
              <w:rPr>
                <w:sz w:val="1"/>
                <w:szCs w:val="1"/>
                <w:color w:val="auto"/>
              </w:rPr>
            </w:pPr>
          </w:p>
        </w:tc>
      </w:tr>
      <w:tr>
        <w:trPr>
          <w:trHeight w:val="216"/>
        </w:trPr>
        <w:tc>
          <w:tcPr>
            <w:tcW w:w="25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4"/>
              </w:rPr>
              <w:t>Purchased</w:t>
            </w:r>
            <w:r>
              <w:rPr>
                <w:rFonts w:ascii="Arial" w:cs="Arial" w:eastAsia="Arial" w:hAnsi="Arial"/>
                <w:sz w:val="21"/>
                <w:szCs w:val="21"/>
                <w:b w:val="1"/>
                <w:bCs w:val="1"/>
                <w:color w:val="auto"/>
                <w:w w:val="94"/>
                <w:vertAlign w:val="superscript"/>
              </w:rPr>
              <w:t>(1)</w:t>
            </w:r>
          </w:p>
        </w:tc>
        <w:tc>
          <w:tcPr>
            <w:tcW w:w="142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Paid per Share</w:t>
            </w:r>
          </w:p>
        </w:tc>
        <w:tc>
          <w:tcPr>
            <w:tcW w:w="2860" w:type="dxa"/>
            <w:vAlign w:val="bottom"/>
            <w:tcBorders>
              <w:bottom w:val="single" w:sz="8" w:color="auto"/>
            </w:tcBorders>
            <w:gridSpan w:val="2"/>
          </w:tcPr>
          <w:p>
            <w:pPr>
              <w:jc w:val="center"/>
              <w:ind w:right="120"/>
              <w:spacing w:after="0" w:line="216" w:lineRule="exact"/>
              <w:rPr>
                <w:sz w:val="20"/>
                <w:szCs w:val="20"/>
                <w:color w:val="auto"/>
              </w:rPr>
            </w:pPr>
            <w:r>
              <w:rPr>
                <w:rFonts w:ascii="Arial" w:cs="Arial" w:eastAsia="Arial" w:hAnsi="Arial"/>
                <w:sz w:val="16"/>
                <w:szCs w:val="16"/>
                <w:b w:val="1"/>
                <w:bCs w:val="1"/>
                <w:color w:val="auto"/>
                <w:w w:val="97"/>
              </w:rPr>
              <w:t>or Programs</w:t>
            </w:r>
            <w:r>
              <w:rPr>
                <w:rFonts w:ascii="Arial" w:cs="Arial" w:eastAsia="Arial" w:hAnsi="Arial"/>
                <w:sz w:val="21"/>
                <w:szCs w:val="21"/>
                <w:b w:val="1"/>
                <w:bCs w:val="1"/>
                <w:color w:val="auto"/>
                <w:w w:val="97"/>
                <w:vertAlign w:val="superscript"/>
              </w:rPr>
              <w:t>(1)</w:t>
            </w:r>
          </w:p>
        </w:tc>
        <w:tc>
          <w:tcPr>
            <w:tcW w:w="1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jc w:val="right"/>
              <w:ind w:right="59"/>
              <w:spacing w:after="0" w:line="216" w:lineRule="exact"/>
              <w:rPr>
                <w:sz w:val="20"/>
                <w:szCs w:val="20"/>
                <w:color w:val="auto"/>
              </w:rPr>
            </w:pPr>
            <w:r>
              <w:rPr>
                <w:rFonts w:ascii="Arial" w:cs="Arial" w:eastAsia="Arial" w:hAnsi="Arial"/>
                <w:sz w:val="16"/>
                <w:szCs w:val="16"/>
                <w:b w:val="1"/>
                <w:bCs w:val="1"/>
                <w:color w:val="auto"/>
                <w:w w:val="97"/>
              </w:rPr>
              <w:t>Under the Plans or Programs</w:t>
            </w:r>
            <w:r>
              <w:rPr>
                <w:rFonts w:ascii="Arial" w:cs="Arial" w:eastAsia="Arial" w:hAnsi="Arial"/>
                <w:sz w:val="21"/>
                <w:szCs w:val="21"/>
                <w:b w:val="1"/>
                <w:bCs w:val="1"/>
                <w:color w:val="auto"/>
                <w:w w:val="97"/>
                <w:vertAlign w:val="superscript"/>
              </w:rPr>
              <w:t>(2)(3)</w:t>
            </w:r>
          </w:p>
        </w:tc>
        <w:tc>
          <w:tcPr>
            <w:tcW w:w="0" w:type="dxa"/>
            <w:vAlign w:val="bottom"/>
          </w:tcPr>
          <w:p>
            <w:pPr>
              <w:spacing w:after="0"/>
              <w:rPr>
                <w:sz w:val="1"/>
                <w:szCs w:val="1"/>
                <w:color w:val="auto"/>
              </w:rPr>
            </w:pPr>
          </w:p>
        </w:tc>
      </w:tr>
      <w:tr>
        <w:trPr>
          <w:trHeight w:val="236"/>
        </w:trPr>
        <w:tc>
          <w:tcPr>
            <w:tcW w:w="258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05/31/20 - 07/04/20</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962</w:t>
            </w:r>
          </w:p>
        </w:tc>
        <w:tc>
          <w:tcPr>
            <w:tcW w:w="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62.86</w:t>
            </w:r>
          </w:p>
        </w:tc>
        <w:tc>
          <w:tcPr>
            <w:tcW w:w="2860" w:type="dxa"/>
            <w:vAlign w:val="bottom"/>
            <w:gridSpan w:val="2"/>
            <w:shd w:val="clear" w:color="auto" w:fill="CCEEFF"/>
          </w:tcPr>
          <w:p>
            <w:pPr>
              <w:ind w:left="2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2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59,862,000</w:t>
            </w:r>
          </w:p>
        </w:tc>
        <w:tc>
          <w:tcPr>
            <w:tcW w:w="0" w:type="dxa"/>
            <w:vAlign w:val="bottom"/>
          </w:tcPr>
          <w:p>
            <w:pPr>
              <w:spacing w:after="0"/>
              <w:rPr>
                <w:sz w:val="1"/>
                <w:szCs w:val="1"/>
                <w:color w:val="auto"/>
              </w:rPr>
            </w:pPr>
          </w:p>
        </w:tc>
      </w:tr>
      <w:tr>
        <w:trPr>
          <w:trHeight w:val="233"/>
        </w:trPr>
        <w:tc>
          <w:tcPr>
            <w:tcW w:w="2580" w:type="dxa"/>
            <w:vAlign w:val="bottom"/>
          </w:tcPr>
          <w:p>
            <w:pPr>
              <w:jc w:val="right"/>
              <w:ind w:right="1059"/>
              <w:spacing w:after="0"/>
              <w:rPr>
                <w:sz w:val="20"/>
                <w:szCs w:val="20"/>
                <w:color w:val="auto"/>
              </w:rPr>
            </w:pPr>
            <w:r>
              <w:rPr>
                <w:rFonts w:ascii="Arial" w:cs="Arial" w:eastAsia="Arial" w:hAnsi="Arial"/>
                <w:sz w:val="16"/>
                <w:szCs w:val="16"/>
                <w:color w:val="auto"/>
              </w:rPr>
              <w:t>07/05/20 - 08/01/20</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tcPr>
          <w:p>
            <w:pPr>
              <w:ind w:lef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860" w:type="dxa"/>
            <w:vAlign w:val="bottom"/>
            <w:gridSpan w:val="2"/>
          </w:tcPr>
          <w:p>
            <w:pPr>
              <w:ind w:left="250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2640" w:type="dxa"/>
            <w:vAlign w:val="bottom"/>
          </w:tcPr>
          <w:p>
            <w:pPr>
              <w:jc w:val="right"/>
              <w:spacing w:after="0"/>
              <w:rPr>
                <w:sz w:val="20"/>
                <w:szCs w:val="20"/>
                <w:color w:val="auto"/>
              </w:rPr>
            </w:pPr>
            <w:r>
              <w:rPr>
                <w:rFonts w:ascii="Arial" w:cs="Arial" w:eastAsia="Arial" w:hAnsi="Arial"/>
                <w:sz w:val="16"/>
                <w:szCs w:val="16"/>
                <w:color w:val="auto"/>
              </w:rPr>
              <w:t>59,862,000</w:t>
            </w:r>
          </w:p>
        </w:tc>
        <w:tc>
          <w:tcPr>
            <w:tcW w:w="0" w:type="dxa"/>
            <w:vAlign w:val="bottom"/>
          </w:tcPr>
          <w:p>
            <w:pPr>
              <w:spacing w:after="0"/>
              <w:rPr>
                <w:sz w:val="1"/>
                <w:szCs w:val="1"/>
                <w:color w:val="auto"/>
              </w:rPr>
            </w:pPr>
          </w:p>
        </w:tc>
      </w:tr>
      <w:tr>
        <w:trPr>
          <w:trHeight w:val="246"/>
        </w:trPr>
        <w:tc>
          <w:tcPr>
            <w:tcW w:w="258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08/02/20 - 08/29/20</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740" w:type="dxa"/>
            <w:vAlign w:val="bottom"/>
            <w:tcBorders>
              <w:bottom w:val="single" w:sz="8" w:color="auto"/>
            </w:tcBorders>
            <w:shd w:val="clear" w:color="auto" w:fill="CCEEFF"/>
          </w:tcPr>
          <w:p>
            <w:pPr>
              <w:ind w:left="2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59,862,000</w:t>
            </w:r>
          </w:p>
        </w:tc>
        <w:tc>
          <w:tcPr>
            <w:tcW w:w="0" w:type="dxa"/>
            <w:vAlign w:val="bottom"/>
          </w:tcPr>
          <w:p>
            <w:pPr>
              <w:spacing w:after="0"/>
              <w:rPr>
                <w:sz w:val="1"/>
                <w:szCs w:val="1"/>
                <w:color w:val="auto"/>
              </w:rPr>
            </w:pPr>
          </w:p>
        </w:tc>
      </w:tr>
      <w:tr>
        <w:trPr>
          <w:trHeight w:val="243"/>
        </w:trPr>
        <w:tc>
          <w:tcPr>
            <w:tcW w:w="2580" w:type="dxa"/>
            <w:vAlign w:val="bottom"/>
          </w:tcPr>
          <w:p>
            <w:pPr>
              <w:jc w:val="right"/>
              <w:ind w:right="2019"/>
              <w:spacing w:after="0"/>
              <w:rPr>
                <w:sz w:val="20"/>
                <w:szCs w:val="20"/>
                <w:color w:val="auto"/>
              </w:rPr>
            </w:pPr>
            <w:r>
              <w:rPr>
                <w:rFonts w:ascii="Arial" w:cs="Arial" w:eastAsia="Arial" w:hAnsi="Arial"/>
                <w:sz w:val="16"/>
                <w:szCs w:val="16"/>
                <w:color w:val="auto"/>
              </w:rPr>
              <w:t>Total</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962</w:t>
            </w:r>
          </w:p>
        </w:tc>
        <w:tc>
          <w:tcPr>
            <w:tcW w:w="520" w:type="dxa"/>
            <w:vAlign w:val="bottom"/>
          </w:tcPr>
          <w:p>
            <w:pPr>
              <w:ind w:lef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62.86</w:t>
            </w:r>
          </w:p>
        </w:tc>
        <w:tc>
          <w:tcPr>
            <w:tcW w:w="2860" w:type="dxa"/>
            <w:vAlign w:val="bottom"/>
            <w:gridSpan w:val="2"/>
          </w:tcPr>
          <w:p>
            <w:pPr>
              <w:ind w:left="250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2640" w:type="dxa"/>
            <w:vAlign w:val="bottom"/>
          </w:tcPr>
          <w:p>
            <w:pPr>
              <w:jc w:val="right"/>
              <w:spacing w:after="0"/>
              <w:rPr>
                <w:sz w:val="20"/>
                <w:szCs w:val="20"/>
                <w:color w:val="auto"/>
              </w:rPr>
            </w:pPr>
            <w:r>
              <w:rPr>
                <w:rFonts w:ascii="Arial" w:cs="Arial" w:eastAsia="Arial" w:hAnsi="Arial"/>
                <w:sz w:val="16"/>
                <w:szCs w:val="16"/>
                <w:color w:val="auto"/>
              </w:rPr>
              <w:t>59,862,000</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260" w:right="120" w:hanging="252"/>
        <w:spacing w:after="0" w:line="241" w:lineRule="auto"/>
        <w:tabs>
          <w:tab w:leader="none" w:pos="353" w:val="left"/>
        </w:tabs>
        <w:numPr>
          <w:ilvl w:val="0"/>
          <w:numId w:val="7"/>
        </w:numPr>
        <w:rPr>
          <w:rFonts w:ascii="Arial" w:cs="Arial" w:eastAsia="Arial" w:hAnsi="Arial"/>
          <w:sz w:val="14"/>
          <w:szCs w:val="14"/>
          <w:color w:val="auto"/>
        </w:rPr>
      </w:pPr>
      <w:r>
        <w:rPr>
          <w:rFonts w:ascii="Arial" w:cs="Arial" w:eastAsia="Arial" w:hAnsi="Arial"/>
          <w:sz w:val="14"/>
          <w:szCs w:val="14"/>
          <w:color w:val="auto"/>
        </w:rPr>
        <w:t>Shares not purchased as part of a publicly announced program were repurchased from employees who vested in Company shares and elected to pay their payroll tax via the value of shares delivered as opposed to cash.</w:t>
      </w: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Pursuant to a $70.0 million share repurchase program authorized by our Board of Directors on October 18, 2017. There is no time restriction on the authorization.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Adjustment in dollar amount remaining available for repurchase from prior quarter reflects correction in counting share repurchases against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68"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The following table provides information as of August 29, 2020 with respect to shares of our common stock that may be issued under our existing equity compensation plans: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00" w:type="dxa"/>
            <w:vAlign w:val="bottom"/>
          </w:tcPr>
          <w:p>
            <w:pPr>
              <w:spacing w:after="0"/>
              <w:rPr>
                <w:sz w:val="19"/>
                <w:szCs w:val="19"/>
                <w:color w:val="auto"/>
              </w:rPr>
            </w:pPr>
          </w:p>
        </w:tc>
        <w:tc>
          <w:tcPr>
            <w:tcW w:w="1860" w:type="dxa"/>
            <w:vAlign w:val="bottom"/>
          </w:tcPr>
          <w:p>
            <w:pPr>
              <w:jc w:val="center"/>
              <w:ind w:left="259"/>
              <w:spacing w:after="0"/>
              <w:rPr>
                <w:sz w:val="20"/>
                <w:szCs w:val="20"/>
                <w:color w:val="auto"/>
              </w:rPr>
            </w:pPr>
            <w:r>
              <w:rPr>
                <w:rFonts w:ascii="Arial" w:cs="Arial" w:eastAsia="Arial" w:hAnsi="Arial"/>
                <w:sz w:val="16"/>
                <w:szCs w:val="16"/>
                <w:b w:val="1"/>
                <w:bCs w:val="1"/>
                <w:color w:val="auto"/>
              </w:rPr>
              <w:t>(a)</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(b)</w:t>
            </w:r>
          </w:p>
        </w:tc>
        <w:tc>
          <w:tcPr>
            <w:tcW w:w="2520" w:type="dxa"/>
            <w:vAlign w:val="bottom"/>
            <w:gridSpan w:val="2"/>
          </w:tcPr>
          <w:p>
            <w:pPr>
              <w:jc w:val="center"/>
              <w:ind w:left="279"/>
              <w:spacing w:after="0"/>
              <w:rPr>
                <w:sz w:val="20"/>
                <w:szCs w:val="20"/>
                <w:color w:val="auto"/>
              </w:rPr>
            </w:pPr>
            <w:r>
              <w:rPr>
                <w:rFonts w:ascii="Arial" w:cs="Arial" w:eastAsia="Arial" w:hAnsi="Arial"/>
                <w:sz w:val="16"/>
                <w:szCs w:val="16"/>
                <w:b w:val="1"/>
                <w:bCs w:val="1"/>
                <w:color w:val="auto"/>
              </w:rPr>
              <w:t>(c)</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80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Borders>
              <w:top w:val="single" w:sz="8" w:color="auto"/>
            </w:tcBorders>
            <w:gridSpan w:val="2"/>
          </w:tcPr>
          <w:p>
            <w:pPr>
              <w:jc w:val="center"/>
              <w:ind w:left="279"/>
              <w:spacing w:after="0"/>
              <w:rPr>
                <w:sz w:val="20"/>
                <w:szCs w:val="20"/>
                <w:color w:val="auto"/>
              </w:rPr>
            </w:pPr>
            <w:r>
              <w:rPr>
                <w:rFonts w:ascii="Arial" w:cs="Arial" w:eastAsia="Arial" w:hAnsi="Arial"/>
                <w:sz w:val="16"/>
                <w:szCs w:val="16"/>
                <w:b w:val="1"/>
                <w:bCs w:val="1"/>
                <w:color w:val="auto"/>
              </w:rPr>
              <w:t>Number of Securities</w:t>
            </w:r>
          </w:p>
        </w:tc>
        <w:tc>
          <w:tcPr>
            <w:tcW w:w="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00" w:type="dxa"/>
            <w:vAlign w:val="bottom"/>
          </w:tcPr>
          <w:p>
            <w:pPr>
              <w:spacing w:after="0"/>
              <w:rPr>
                <w:sz w:val="16"/>
                <w:szCs w:val="16"/>
                <w:color w:val="auto"/>
              </w:rPr>
            </w:pPr>
          </w:p>
        </w:tc>
        <w:tc>
          <w:tcPr>
            <w:tcW w:w="23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rPr>
              <w:t>Number of Securities</w:t>
            </w:r>
          </w:p>
        </w:tc>
        <w:tc>
          <w:tcPr>
            <w:tcW w:w="1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2"/>
          </w:tcPr>
          <w:p>
            <w:pPr>
              <w:jc w:val="center"/>
              <w:ind w:left="239"/>
              <w:spacing w:after="0"/>
              <w:rPr>
                <w:sz w:val="20"/>
                <w:szCs w:val="20"/>
                <w:color w:val="auto"/>
              </w:rPr>
            </w:pPr>
            <w:r>
              <w:rPr>
                <w:rFonts w:ascii="Arial" w:cs="Arial" w:eastAsia="Arial" w:hAnsi="Arial"/>
                <w:sz w:val="16"/>
                <w:szCs w:val="16"/>
                <w:b w:val="1"/>
                <w:bCs w:val="1"/>
                <w:color w:val="auto"/>
              </w:rPr>
              <w:t>Remaining Available for</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00" w:type="dxa"/>
            <w:vAlign w:val="bottom"/>
          </w:tcPr>
          <w:p>
            <w:pPr>
              <w:spacing w:after="0"/>
              <w:rPr>
                <w:sz w:val="16"/>
                <w:szCs w:val="16"/>
                <w:color w:val="auto"/>
              </w:rPr>
            </w:pPr>
          </w:p>
        </w:tc>
        <w:tc>
          <w:tcPr>
            <w:tcW w:w="1860" w:type="dxa"/>
            <w:vAlign w:val="bottom"/>
          </w:tcPr>
          <w:p>
            <w:pPr>
              <w:jc w:val="center"/>
              <w:ind w:left="219"/>
              <w:spacing w:after="0"/>
              <w:rPr>
                <w:sz w:val="20"/>
                <w:szCs w:val="20"/>
                <w:color w:val="auto"/>
              </w:rPr>
            </w:pPr>
            <w:r>
              <w:rPr>
                <w:rFonts w:ascii="Arial" w:cs="Arial" w:eastAsia="Arial" w:hAnsi="Arial"/>
                <w:sz w:val="16"/>
                <w:szCs w:val="16"/>
                <w:b w:val="1"/>
                <w:bCs w:val="1"/>
                <w:color w:val="auto"/>
              </w:rPr>
              <w:t>to be Issued Upon</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rPr>
              <w:t>Weighted Average</w:t>
            </w:r>
          </w:p>
        </w:tc>
        <w:tc>
          <w:tcPr>
            <w:tcW w:w="2520" w:type="dxa"/>
            <w:vAlign w:val="bottom"/>
            <w:gridSpan w:val="2"/>
          </w:tcPr>
          <w:p>
            <w:pPr>
              <w:jc w:val="center"/>
              <w:ind w:left="239"/>
              <w:spacing w:after="0"/>
              <w:rPr>
                <w:sz w:val="20"/>
                <w:szCs w:val="20"/>
                <w:color w:val="auto"/>
              </w:rPr>
            </w:pPr>
            <w:r>
              <w:rPr>
                <w:rFonts w:ascii="Arial" w:cs="Arial" w:eastAsia="Arial" w:hAnsi="Arial"/>
                <w:sz w:val="16"/>
                <w:szCs w:val="16"/>
                <w:b w:val="1"/>
                <w:bCs w:val="1"/>
                <w:color w:val="auto"/>
              </w:rPr>
              <w:t>Future Issuance Under</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3800" w:type="dxa"/>
            <w:vAlign w:val="bottom"/>
          </w:tcPr>
          <w:p>
            <w:pPr>
              <w:spacing w:after="0"/>
              <w:rPr>
                <w:sz w:val="6"/>
                <w:szCs w:val="6"/>
                <w:color w:val="auto"/>
              </w:rPr>
            </w:pPr>
          </w:p>
        </w:tc>
        <w:tc>
          <w:tcPr>
            <w:tcW w:w="1860" w:type="dxa"/>
            <w:vAlign w:val="bottom"/>
            <w:vMerge w:val="restart"/>
          </w:tcPr>
          <w:p>
            <w:pPr>
              <w:jc w:val="center"/>
              <w:ind w:left="219"/>
              <w:spacing w:after="0"/>
              <w:rPr>
                <w:sz w:val="20"/>
                <w:szCs w:val="20"/>
                <w:color w:val="auto"/>
              </w:rPr>
            </w:pPr>
            <w:r>
              <w:rPr>
                <w:rFonts w:ascii="Arial" w:cs="Arial" w:eastAsia="Arial" w:hAnsi="Arial"/>
                <w:sz w:val="16"/>
                <w:szCs w:val="16"/>
                <w:b w:val="1"/>
                <w:bCs w:val="1"/>
                <w:color w:val="auto"/>
              </w:rPr>
              <w:t>Exercise of</w:t>
            </w: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80" w:type="dxa"/>
            <w:vAlign w:val="bottom"/>
            <w:gridSpan w:val="2"/>
            <w:vMerge w:val="continue"/>
          </w:tcPr>
          <w:p>
            <w:pPr>
              <w:spacing w:after="0"/>
              <w:rPr>
                <w:sz w:val="6"/>
                <w:szCs w:val="6"/>
                <w:color w:val="auto"/>
              </w:rPr>
            </w:pPr>
          </w:p>
        </w:tc>
        <w:tc>
          <w:tcPr>
            <w:tcW w:w="2520" w:type="dxa"/>
            <w:vAlign w:val="bottom"/>
            <w:gridSpan w:val="2"/>
            <w:vMerge w:val="restart"/>
          </w:tcPr>
          <w:p>
            <w:pPr>
              <w:jc w:val="center"/>
              <w:ind w:left="299"/>
              <w:spacing w:after="0"/>
              <w:rPr>
                <w:sz w:val="20"/>
                <w:szCs w:val="20"/>
                <w:color w:val="auto"/>
              </w:rPr>
            </w:pPr>
            <w:r>
              <w:rPr>
                <w:rFonts w:ascii="Arial" w:cs="Arial" w:eastAsia="Arial" w:hAnsi="Arial"/>
                <w:sz w:val="16"/>
                <w:szCs w:val="16"/>
                <w:b w:val="1"/>
                <w:bCs w:val="1"/>
                <w:color w:val="auto"/>
              </w:rPr>
              <w:t>Equity Compensation Plans</w:t>
            </w:r>
          </w:p>
        </w:tc>
        <w:tc>
          <w:tcPr>
            <w:tcW w:w="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3800" w:type="dxa"/>
            <w:vAlign w:val="bottom"/>
          </w:tcPr>
          <w:p>
            <w:pPr>
              <w:spacing w:after="0"/>
              <w:rPr>
                <w:sz w:val="10"/>
                <w:szCs w:val="10"/>
                <w:color w:val="auto"/>
              </w:rPr>
            </w:pPr>
          </w:p>
        </w:tc>
        <w:tc>
          <w:tcPr>
            <w:tcW w:w="18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80" w:type="dxa"/>
            <w:vAlign w:val="bottom"/>
            <w:gridSpan w:val="2"/>
            <w:vMerge w:val="restart"/>
          </w:tcPr>
          <w:p>
            <w:pPr>
              <w:jc w:val="center"/>
              <w:ind w:right="260"/>
              <w:spacing w:after="0" w:line="162" w:lineRule="exact"/>
              <w:rPr>
                <w:sz w:val="20"/>
                <w:szCs w:val="20"/>
                <w:color w:val="auto"/>
              </w:rPr>
            </w:pPr>
            <w:r>
              <w:rPr>
                <w:rFonts w:ascii="Arial" w:cs="Arial" w:eastAsia="Arial" w:hAnsi="Arial"/>
                <w:sz w:val="16"/>
                <w:szCs w:val="16"/>
                <w:b w:val="1"/>
                <w:bCs w:val="1"/>
                <w:color w:val="auto"/>
              </w:rPr>
              <w:t>Exercise Price of</w:t>
            </w:r>
          </w:p>
        </w:tc>
        <w:tc>
          <w:tcPr>
            <w:tcW w:w="25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3800" w:type="dxa"/>
            <w:vAlign w:val="bottom"/>
          </w:tcPr>
          <w:p>
            <w:pPr>
              <w:spacing w:after="0"/>
              <w:rPr>
                <w:sz w:val="3"/>
                <w:szCs w:val="3"/>
                <w:color w:val="auto"/>
              </w:rPr>
            </w:pPr>
          </w:p>
        </w:tc>
        <w:tc>
          <w:tcPr>
            <w:tcW w:w="230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rPr>
              <w:t>Outstanding Options,</w:t>
            </w:r>
          </w:p>
        </w:tc>
        <w:tc>
          <w:tcPr>
            <w:tcW w:w="180" w:type="dxa"/>
            <w:vAlign w:val="bottom"/>
          </w:tcPr>
          <w:p>
            <w:pPr>
              <w:spacing w:after="0"/>
              <w:rPr>
                <w:sz w:val="3"/>
                <w:szCs w:val="3"/>
                <w:color w:val="auto"/>
              </w:rPr>
            </w:pPr>
          </w:p>
        </w:tc>
        <w:tc>
          <w:tcPr>
            <w:tcW w:w="2080" w:type="dxa"/>
            <w:vAlign w:val="bottom"/>
            <w:gridSpan w:val="2"/>
            <w:vMerge w:val="continue"/>
          </w:tcPr>
          <w:p>
            <w:pPr>
              <w:spacing w:after="0"/>
              <w:rPr>
                <w:sz w:val="3"/>
                <w:szCs w:val="3"/>
                <w:color w:val="auto"/>
              </w:rPr>
            </w:pPr>
          </w:p>
        </w:tc>
        <w:tc>
          <w:tcPr>
            <w:tcW w:w="2520" w:type="dxa"/>
            <w:vAlign w:val="bottom"/>
            <w:gridSpan w:val="2"/>
            <w:vMerge w:val="restart"/>
          </w:tcPr>
          <w:p>
            <w:pPr>
              <w:jc w:val="center"/>
              <w:ind w:left="279"/>
              <w:spacing w:after="0"/>
              <w:rPr>
                <w:sz w:val="20"/>
                <w:szCs w:val="20"/>
                <w:color w:val="auto"/>
              </w:rPr>
            </w:pPr>
            <w:r>
              <w:rPr>
                <w:rFonts w:ascii="Arial" w:cs="Arial" w:eastAsia="Arial" w:hAnsi="Arial"/>
                <w:sz w:val="16"/>
                <w:szCs w:val="16"/>
                <w:b w:val="1"/>
                <w:bCs w:val="1"/>
                <w:color w:val="auto"/>
              </w:rPr>
              <w:t>(Excluding Securities</w:t>
            </w:r>
          </w:p>
        </w:tc>
        <w:tc>
          <w:tcPr>
            <w:tcW w:w="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38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Plan Category</w:t>
            </w:r>
          </w:p>
        </w:tc>
        <w:tc>
          <w:tcPr>
            <w:tcW w:w="23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Outstanding Options,</w:t>
            </w:r>
          </w:p>
        </w:tc>
        <w:tc>
          <w:tcPr>
            <w:tcW w:w="25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00" w:type="dxa"/>
            <w:vAlign w:val="bottom"/>
            <w:vMerge w:val="continue"/>
          </w:tcPr>
          <w:p>
            <w:pPr>
              <w:spacing w:after="0"/>
              <w:rPr>
                <w:sz w:val="18"/>
                <w:szCs w:val="18"/>
                <w:color w:val="auto"/>
              </w:rPr>
            </w:pPr>
          </w:p>
        </w:tc>
        <w:tc>
          <w:tcPr>
            <w:tcW w:w="23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Warrants and Rights</w:t>
            </w:r>
          </w:p>
        </w:tc>
        <w:tc>
          <w:tcPr>
            <w:tcW w:w="180" w:type="dxa"/>
            <w:vAlign w:val="bottom"/>
          </w:tcPr>
          <w:p>
            <w:pPr>
              <w:spacing w:after="0"/>
              <w:rPr>
                <w:sz w:val="18"/>
                <w:szCs w:val="18"/>
                <w:color w:val="auto"/>
              </w:rPr>
            </w:pPr>
          </w:p>
        </w:tc>
        <w:tc>
          <w:tcPr>
            <w:tcW w:w="2080" w:type="dxa"/>
            <w:vAlign w:val="bottom"/>
            <w:gridSpan w:val="2"/>
          </w:tcPr>
          <w:p>
            <w:pPr>
              <w:jc w:val="center"/>
              <w:ind w:right="220"/>
              <w:spacing w:after="0" w:line="216" w:lineRule="exact"/>
              <w:rPr>
                <w:sz w:val="20"/>
                <w:szCs w:val="20"/>
                <w:color w:val="auto"/>
              </w:rPr>
            </w:pPr>
            <w:r>
              <w:rPr>
                <w:rFonts w:ascii="Arial" w:cs="Arial" w:eastAsia="Arial" w:hAnsi="Arial"/>
                <w:sz w:val="16"/>
                <w:szCs w:val="16"/>
                <w:b w:val="1"/>
                <w:bCs w:val="1"/>
                <w:color w:val="auto"/>
                <w:w w:val="97"/>
              </w:rPr>
              <w:t>Warrants and Rights</w:t>
            </w:r>
            <w:r>
              <w:rPr>
                <w:rFonts w:ascii="Arial" w:cs="Arial" w:eastAsia="Arial" w:hAnsi="Arial"/>
                <w:sz w:val="21"/>
                <w:szCs w:val="21"/>
                <w:b w:val="1"/>
                <w:bCs w:val="1"/>
                <w:color w:val="auto"/>
                <w:w w:val="97"/>
                <w:vertAlign w:val="superscript"/>
              </w:rPr>
              <w:t>(1)</w:t>
            </w:r>
          </w:p>
        </w:tc>
        <w:tc>
          <w:tcPr>
            <w:tcW w:w="2520" w:type="dxa"/>
            <w:vAlign w:val="bottom"/>
            <w:gridSpan w:val="2"/>
          </w:tcPr>
          <w:p>
            <w:pPr>
              <w:jc w:val="center"/>
              <w:ind w:left="299"/>
              <w:spacing w:after="0"/>
              <w:rPr>
                <w:sz w:val="20"/>
                <w:szCs w:val="20"/>
                <w:color w:val="auto"/>
              </w:rPr>
            </w:pPr>
            <w:r>
              <w:rPr>
                <w:rFonts w:ascii="Arial" w:cs="Arial" w:eastAsia="Arial" w:hAnsi="Arial"/>
                <w:sz w:val="16"/>
                <w:szCs w:val="16"/>
                <w:b w:val="1"/>
                <w:bCs w:val="1"/>
                <w:color w:val="auto"/>
              </w:rPr>
              <w:t>Reflected in (a))</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Equity compensation plans</w:t>
            </w:r>
          </w:p>
        </w:tc>
        <w:tc>
          <w:tcPr>
            <w:tcW w:w="18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approved by shareholders - 2004 Plan</w:t>
            </w:r>
          </w:p>
        </w:tc>
        <w:tc>
          <w:tcPr>
            <w:tcW w:w="1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6,500</w:t>
            </w:r>
          </w:p>
        </w:tc>
        <w:tc>
          <w:tcPr>
            <w:tcW w:w="340" w:type="dxa"/>
            <w:vAlign w:val="bottom"/>
            <w:shd w:val="clear" w:color="auto" w:fill="CCEEFF"/>
          </w:tcPr>
          <w:p>
            <w:pPr>
              <w:jc w:val="right"/>
              <w:ind w:right="127"/>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6"/>
                <w:szCs w:val="16"/>
                <w:color w:val="auto"/>
              </w:rPr>
              <w:t>Equity compensation plans</w:t>
            </w:r>
          </w:p>
        </w:tc>
        <w:tc>
          <w:tcPr>
            <w:tcW w:w="1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tcPr>
          <w:p>
            <w:pPr>
              <w:ind w:left="20"/>
              <w:spacing w:after="0"/>
              <w:rPr>
                <w:sz w:val="20"/>
                <w:szCs w:val="20"/>
                <w:color w:val="auto"/>
              </w:rPr>
            </w:pPr>
            <w:r>
              <w:rPr>
                <w:rFonts w:ascii="Arial" w:cs="Arial" w:eastAsia="Arial" w:hAnsi="Arial"/>
                <w:sz w:val="16"/>
                <w:szCs w:val="16"/>
                <w:color w:val="auto"/>
              </w:rPr>
              <w:t>approved by shareholders - 2014 Plan</w:t>
            </w: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491,475</w:t>
            </w:r>
          </w:p>
        </w:tc>
        <w:tc>
          <w:tcPr>
            <w:tcW w:w="340" w:type="dxa"/>
            <w:vAlign w:val="bottom"/>
          </w:tcPr>
          <w:p>
            <w:pPr>
              <w:jc w:val="right"/>
              <w:ind w:right="127"/>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34.42</w:t>
            </w:r>
          </w:p>
        </w:tc>
        <w:tc>
          <w:tcPr>
            <w:tcW w:w="100" w:type="dxa"/>
            <w:vAlign w:val="bottom"/>
          </w:tcPr>
          <w:p>
            <w:pPr>
              <w:spacing w:after="0"/>
              <w:rPr>
                <w:sz w:val="18"/>
                <w:szCs w:val="18"/>
                <w:color w:val="auto"/>
              </w:rPr>
            </w:pPr>
          </w:p>
        </w:tc>
        <w:tc>
          <w:tcPr>
            <w:tcW w:w="2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compensation plans</w:t>
            </w:r>
          </w:p>
        </w:tc>
        <w:tc>
          <w:tcPr>
            <w:tcW w:w="1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approved by shareholders - 2019 Plan</w:t>
            </w:r>
          </w:p>
        </w:tc>
        <w:tc>
          <w:tcPr>
            <w:tcW w:w="1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285,725</w:t>
            </w:r>
          </w:p>
        </w:tc>
        <w:tc>
          <w:tcPr>
            <w:tcW w:w="340" w:type="dxa"/>
            <w:vAlign w:val="bottom"/>
            <w:shd w:val="clear" w:color="auto" w:fill="CCEEFF"/>
          </w:tcPr>
          <w:p>
            <w:pPr>
              <w:jc w:val="right"/>
              <w:ind w:right="127"/>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47.93</w:t>
            </w: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4,040,289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6"/>
                <w:szCs w:val="16"/>
                <w:color w:val="auto"/>
              </w:rPr>
              <w:t>Equity compensation plans approved by</w:t>
            </w:r>
          </w:p>
        </w:tc>
        <w:tc>
          <w:tcPr>
            <w:tcW w:w="1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tcPr>
          <w:p>
            <w:pPr>
              <w:ind w:left="20"/>
              <w:spacing w:after="0"/>
              <w:rPr>
                <w:sz w:val="20"/>
                <w:szCs w:val="20"/>
                <w:color w:val="auto"/>
              </w:rPr>
            </w:pPr>
            <w:r>
              <w:rPr>
                <w:rFonts w:ascii="Arial" w:cs="Arial" w:eastAsia="Arial" w:hAnsi="Arial"/>
                <w:sz w:val="16"/>
                <w:szCs w:val="16"/>
                <w:color w:val="auto"/>
              </w:rPr>
              <w:t>shareholders - ESPP</w:t>
            </w: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27"/>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2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39"/>
              <w:spacing w:after="0"/>
              <w:rPr>
                <w:sz w:val="20"/>
                <w:szCs w:val="20"/>
                <w:color w:val="auto"/>
              </w:rPr>
            </w:pPr>
            <w:r>
              <w:rPr>
                <w:rFonts w:ascii="Arial" w:cs="Arial" w:eastAsia="Arial" w:hAnsi="Arial"/>
                <w:sz w:val="16"/>
                <w:szCs w:val="16"/>
                <w:color w:val="auto"/>
              </w:rPr>
              <w:t>33,357</w:t>
            </w:r>
          </w:p>
        </w:tc>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rPr>
              <w:t>Equity compensation plans not</w:t>
            </w:r>
          </w:p>
        </w:tc>
        <w:tc>
          <w:tcPr>
            <w:tcW w:w="18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36,871</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80"/>
              <w:spacing w:after="0" w:line="204" w:lineRule="exact"/>
              <w:rPr>
                <w:sz w:val="20"/>
                <w:szCs w:val="20"/>
                <w:color w:val="auto"/>
              </w:rPr>
            </w:pPr>
            <w:r>
              <w:rPr>
                <w:rFonts w:ascii="Arial" w:cs="Arial" w:eastAsia="Arial" w:hAnsi="Arial"/>
                <w:sz w:val="16"/>
                <w:szCs w:val="16"/>
                <w:color w:val="auto"/>
              </w:rPr>
              <w:t>approved by shareholders</w:t>
            </w:r>
            <w:r>
              <w:rPr>
                <w:rFonts w:ascii="Arial" w:cs="Arial" w:eastAsia="Arial" w:hAnsi="Arial"/>
                <w:sz w:val="21"/>
                <w:szCs w:val="21"/>
                <w:color w:val="auto"/>
                <w:vertAlign w:val="superscript"/>
              </w:rPr>
              <w:t>(8)</w:t>
            </w:r>
          </w:p>
        </w:tc>
        <w:tc>
          <w:tcPr>
            <w:tcW w:w="186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jc w:val="right"/>
              <w:ind w:right="127"/>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2080" w:type="dxa"/>
            <w:vAlign w:val="bottom"/>
            <w:gridSpan w:val="2"/>
            <w:vMerge w:val="continue"/>
            <w:shd w:val="clear" w:color="auto" w:fill="CCEEFF"/>
          </w:tcPr>
          <w:p>
            <w:pPr>
              <w:spacing w:after="0"/>
              <w:rPr>
                <w:sz w:val="17"/>
                <w:szCs w:val="17"/>
                <w:color w:val="auto"/>
              </w:rPr>
            </w:pPr>
          </w:p>
        </w:tc>
        <w:tc>
          <w:tcPr>
            <w:tcW w:w="2520" w:type="dxa"/>
            <w:vAlign w:val="bottom"/>
            <w:gridSpan w:val="2"/>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37"/>
        </w:trPr>
        <w:tc>
          <w:tcPr>
            <w:tcW w:w="3800" w:type="dxa"/>
            <w:vAlign w:val="bottom"/>
          </w:tcPr>
          <w:p>
            <w:pPr>
              <w:ind w:left="120"/>
              <w:spacing w:after="0"/>
              <w:rPr>
                <w:sz w:val="20"/>
                <w:szCs w:val="20"/>
                <w:color w:val="auto"/>
              </w:rPr>
            </w:pPr>
            <w:r>
              <w:rPr>
                <w:rFonts w:ascii="Arial" w:cs="Arial" w:eastAsia="Arial" w:hAnsi="Arial"/>
                <w:sz w:val="16"/>
                <w:szCs w:val="16"/>
                <w:color w:val="auto"/>
              </w:rPr>
              <w:t>Total</w:t>
            </w:r>
          </w:p>
        </w:tc>
        <w:tc>
          <w:tcPr>
            <w:tcW w:w="1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820,571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4,073,646</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8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40" w:hanging="332"/>
        <w:spacing w:after="0" w:line="241" w:lineRule="auto"/>
        <w:tabs>
          <w:tab w:leader="none" w:pos="349"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number represents the weighted average exercise price of outstanding stock options only. Restricted share awards do not have an exercise price so weighted average is not applicable.</w:t>
      </w: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number represents unvested share awards granted under the 2004 Incentive Compensation Plan ("2004 Plan"). No new grants may be made under the 2004 Plan.</w:t>
      </w:r>
    </w:p>
    <w:p>
      <w:pPr>
        <w:spacing w:after="0" w:line="1" w:lineRule="exact"/>
        <w:rPr>
          <w:rFonts w:ascii="Arial" w:cs="Arial" w:eastAsia="Arial" w:hAnsi="Arial"/>
          <w:sz w:val="14"/>
          <w:szCs w:val="14"/>
          <w:color w:val="auto"/>
        </w:rPr>
      </w:pPr>
    </w:p>
    <w:p>
      <w:pPr>
        <w:ind w:left="340" w:right="320" w:hanging="332"/>
        <w:spacing w:after="0" w:line="241" w:lineRule="auto"/>
        <w:tabs>
          <w:tab w:leader="none" w:pos="349"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number represents stock options and unvested stock awards granted under the 2014 Omnibus Equity, Performance Award, and Incentive Compensation Plan, as amended ("2014 Plan"). The 2014 Plan replaced the 2004 Plan effective January 1, 2014.</w:t>
      </w:r>
    </w:p>
    <w:p>
      <w:pPr>
        <w:ind w:left="340" w:right="540" w:hanging="332"/>
        <w:spacing w:after="0" w:line="241" w:lineRule="auto"/>
        <w:tabs>
          <w:tab w:leader="none" w:pos="349"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number represents stock options and unvested stock awards granted under the Winnebago Industries, Inc. 2019 Omnibus Incentive Plan ("2019 Plan"), which replaced the 2014 Plan effective on December 11, 2018.</w:t>
      </w: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number represents shares available for grant of awards under the 2019 Plan as of August 29, 2020.</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number represents unvested stock awards granted under the Winnebago Industries, Inc. Employee Stock Purchase Plan ("ESPP").</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number represents shares available for issuance under the ESPP as of August 29, 2020.</w:t>
      </w:r>
    </w:p>
    <w:p>
      <w:pPr>
        <w:spacing w:after="0" w:line="1" w:lineRule="exact"/>
        <w:rPr>
          <w:rFonts w:ascii="Arial" w:cs="Arial" w:eastAsia="Arial" w:hAnsi="Arial"/>
          <w:sz w:val="14"/>
          <w:szCs w:val="14"/>
          <w:color w:val="auto"/>
        </w:rPr>
      </w:pPr>
    </w:p>
    <w:p>
      <w:pPr>
        <w:ind w:left="340" w:hanging="332"/>
        <w:spacing w:after="0" w:line="241" w:lineRule="auto"/>
        <w:tabs>
          <w:tab w:leader="none" w:pos="352"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sole equity compensation plan not previously submitted to our shareholders for approval is the Directors' Deferred Compensation Plan, as amended ("Directors' Plan"). The Board of Directors may terminate the Directors' Plan at any time. If not terminated earlier, the Directors' Plan will automatically terminate on June 30, 2023. For a description of the key provisions of the Directors' Plan, see the information in our Proxy Statement for the Annual Meeting of Shareholders scheduled to be held December 15, 2020 under the caption "Director Compensation," which information is incorporated by reference herein.</w:t>
      </w:r>
    </w:p>
    <w:p>
      <w:pPr>
        <w:spacing w:after="0" w:line="1" w:lineRule="exact"/>
        <w:rPr>
          <w:rFonts w:ascii="Arial" w:cs="Arial" w:eastAsia="Arial" w:hAnsi="Arial"/>
          <w:sz w:val="14"/>
          <w:szCs w:val="14"/>
          <w:color w:val="auto"/>
        </w:rPr>
      </w:pPr>
    </w:p>
    <w:p>
      <w:pPr>
        <w:ind w:left="340" w:right="300" w:hanging="332"/>
        <w:spacing w:after="0" w:line="241" w:lineRule="auto"/>
        <w:tabs>
          <w:tab w:leader="none" w:pos="352"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shares of common stock issued to a trust which underlie stock units, payable on a one-for-one basis, credited to stock unit accounts as of August 29, 2020 under the Directors' Plan.</w:t>
      </w:r>
    </w:p>
    <w:p>
      <w:pPr>
        <w:ind w:left="340" w:right="60" w:hanging="332"/>
        <w:spacing w:after="0" w:line="249" w:lineRule="auto"/>
        <w:tabs>
          <w:tab w:leader="none" w:pos="429"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table does not reflect a specific number of stock units which may be distributed pursuant to the Directors' Plan. The Directors' Plan does not limit the number of stock units issuable thereunder. The number of stock units to be distributed pursuant to the Directors' Plan will be based on the amount of the director's compensation deferred and the per share price of our common stock at the time of deferral.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Graph</w:t>
      </w:r>
    </w:p>
    <w:p>
      <w:pPr>
        <w:spacing w:after="0" w:line="268"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 following graph compares our five-year cumulative total shareholder return (including reinvestment of dividends) with the cumulative total return on the Standard &amp; Poor's 500 Index and a peer group. The peer group companies consisting of Thor Industries, Inc., Polaris Industries, Inc., and Brunswick Corporation were selected by us as they also manufacture recreation products. It is assumed in the graph that $100 was invested in our common stock, in the Standard &amp; Poor's 500 Index and in the stocks of the peer group companies on August 29, 2015 and that all dividends received within a quarter were reinvested in that quarter. In accordance with the guidelines of the SEC, the shareholder return for each entity in the peer group index has been weighted on the basis of market capitalization as of each annual measurement date set forth in the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5966460" cy="3694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6460" cy="3694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60" w:type="dxa"/>
            <w:vAlign w:val="bottom"/>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Base Period</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8"/>
        </w:trPr>
        <w:tc>
          <w:tcPr>
            <w:tcW w:w="296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August 29,</w:t>
            </w:r>
          </w:p>
        </w:tc>
        <w:tc>
          <w:tcPr>
            <w:tcW w:w="1400" w:type="dxa"/>
            <w:vAlign w:val="bottom"/>
            <w:gridSpan w:val="2"/>
          </w:tcPr>
          <w:p>
            <w:pPr>
              <w:ind w:left="220"/>
              <w:spacing w:after="0"/>
              <w:rPr>
                <w:sz w:val="20"/>
                <w:szCs w:val="20"/>
                <w:color w:val="auto"/>
              </w:rPr>
            </w:pPr>
            <w:r>
              <w:rPr>
                <w:rFonts w:ascii="Arial" w:cs="Arial" w:eastAsia="Arial" w:hAnsi="Arial"/>
                <w:sz w:val="16"/>
                <w:szCs w:val="16"/>
                <w:b w:val="1"/>
                <w:bCs w:val="1"/>
                <w:color w:val="auto"/>
              </w:rPr>
              <w:t>August 27,</w:t>
            </w:r>
          </w:p>
        </w:tc>
        <w:tc>
          <w:tcPr>
            <w:tcW w:w="1380" w:type="dxa"/>
            <w:vAlign w:val="bottom"/>
            <w:gridSpan w:val="2"/>
          </w:tcPr>
          <w:p>
            <w:pPr>
              <w:ind w:left="220"/>
              <w:spacing w:after="0"/>
              <w:rPr>
                <w:sz w:val="20"/>
                <w:szCs w:val="20"/>
                <w:color w:val="auto"/>
              </w:rPr>
            </w:pPr>
            <w:r>
              <w:rPr>
                <w:rFonts w:ascii="Arial" w:cs="Arial" w:eastAsia="Arial" w:hAnsi="Arial"/>
                <w:sz w:val="16"/>
                <w:szCs w:val="16"/>
                <w:b w:val="1"/>
                <w:bCs w:val="1"/>
                <w:color w:val="auto"/>
              </w:rPr>
              <w:t>August 26,</w:t>
            </w:r>
          </w:p>
        </w:tc>
        <w:tc>
          <w:tcPr>
            <w:tcW w:w="1400" w:type="dxa"/>
            <w:vAlign w:val="bottom"/>
            <w:gridSpan w:val="2"/>
          </w:tcPr>
          <w:p>
            <w:pPr>
              <w:ind w:left="220"/>
              <w:spacing w:after="0"/>
              <w:rPr>
                <w:sz w:val="20"/>
                <w:szCs w:val="20"/>
                <w:color w:val="auto"/>
              </w:rPr>
            </w:pPr>
            <w:r>
              <w:rPr>
                <w:rFonts w:ascii="Arial" w:cs="Arial" w:eastAsia="Arial" w:hAnsi="Arial"/>
                <w:sz w:val="16"/>
                <w:szCs w:val="16"/>
                <w:b w:val="1"/>
                <w:bCs w:val="1"/>
                <w:color w:val="auto"/>
              </w:rPr>
              <w:t>August 25,</w:t>
            </w:r>
          </w:p>
        </w:tc>
        <w:tc>
          <w:tcPr>
            <w:tcW w:w="1380" w:type="dxa"/>
            <w:vAlign w:val="bottom"/>
            <w:gridSpan w:val="2"/>
          </w:tcPr>
          <w:p>
            <w:pPr>
              <w:ind w:left="220"/>
              <w:spacing w:after="0"/>
              <w:rPr>
                <w:sz w:val="20"/>
                <w:szCs w:val="20"/>
                <w:color w:val="auto"/>
              </w:rPr>
            </w:pPr>
            <w:r>
              <w:rPr>
                <w:rFonts w:ascii="Arial" w:cs="Arial" w:eastAsia="Arial" w:hAnsi="Arial"/>
                <w:sz w:val="16"/>
                <w:szCs w:val="16"/>
                <w:b w:val="1"/>
                <w:bCs w:val="1"/>
                <w:color w:val="auto"/>
              </w:rPr>
              <w:t>August 31,</w:t>
            </w: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rPr>
              <w:t>August 29,</w:t>
            </w:r>
          </w:p>
        </w:tc>
      </w:tr>
      <w:tr>
        <w:trPr>
          <w:trHeight w:val="228"/>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Company/Index</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r>
      <w:tr>
        <w:trPr>
          <w:trHeight w:val="243"/>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Winnebago Industries, Inc.</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119.38</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174.86</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190.51</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165.70</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305.29</w:t>
            </w:r>
          </w:p>
        </w:tc>
      </w:tr>
      <w:tr>
        <w:trPr>
          <w:trHeight w:val="233"/>
        </w:trPr>
        <w:tc>
          <w:tcPr>
            <w:tcW w:w="2960" w:type="dxa"/>
            <w:vAlign w:val="bottom"/>
          </w:tcPr>
          <w:p>
            <w:pPr>
              <w:ind w:left="20"/>
              <w:spacing w:after="0"/>
              <w:rPr>
                <w:sz w:val="20"/>
                <w:szCs w:val="20"/>
                <w:color w:val="auto"/>
              </w:rPr>
            </w:pPr>
            <w:r>
              <w:rPr>
                <w:rFonts w:ascii="Arial" w:cs="Arial" w:eastAsia="Arial" w:hAnsi="Arial"/>
                <w:sz w:val="16"/>
                <w:szCs w:val="16"/>
                <w:color w:val="auto"/>
              </w:rPr>
              <w:t>S&amp;P 500 Index</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111.47</w:t>
            </w:r>
          </w:p>
        </w:tc>
        <w:tc>
          <w:tcPr>
            <w:tcW w:w="12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128.18</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153.74</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159.79</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195.25</w:t>
            </w:r>
          </w:p>
        </w:tc>
      </w:tr>
      <w:tr>
        <w:trPr>
          <w:trHeight w:val="253"/>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Peer Group</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91.05</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106.35</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117.82</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80.60</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122.13</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Source: Zacks Investment Research,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4"/>
        </w:trPr>
        <w:tc>
          <w:tcPr>
            <w:tcW w:w="2920" w:type="dxa"/>
            <w:vAlign w:val="bottom"/>
            <w:gridSpan w:val="2"/>
          </w:tcPr>
          <w:p>
            <w:pPr>
              <w:spacing w:after="0"/>
              <w:rPr>
                <w:rFonts w:ascii="Arial" w:cs="Arial" w:eastAsia="Arial" w:hAnsi="Arial"/>
                <w:sz w:val="16"/>
                <w:szCs w:val="16"/>
                <w:color w:val="0000FF"/>
              </w:rPr>
            </w:pPr>
            <w:r>
              <w:rPr>
                <w:rFonts w:ascii="Arial" w:cs="Arial" w:eastAsia="Arial" w:hAnsi="Arial"/>
                <w:sz w:val="16"/>
                <w:szCs w:val="16"/>
                <w:color w:val="0000FF"/>
              </w:rPr>
              <w:t xml:space="preserve">Table </w:t>
            </w:r>
            <w:hyperlink w:anchor="page1">
              <w:r>
                <w:rPr>
                  <w:rFonts w:ascii="Arial" w:cs="Arial" w:eastAsia="Arial" w:hAnsi="Arial"/>
                  <w:sz w:val="16"/>
                  <w:szCs w:val="16"/>
                  <w:color w:val="0000FF"/>
                </w:rPr>
                <w:t xml:space="preserve">of </w:t>
              </w:r>
            </w:hyperlink>
            <w:r>
              <w:rPr>
                <w:rFonts w:ascii="Arial" w:cs="Arial" w:eastAsia="Arial" w:hAnsi="Arial"/>
                <w:sz w:val="16"/>
                <w:szCs w:val="16"/>
                <w:color w:val="0000FF"/>
              </w:rPr>
              <w:t>Contents</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784"/>
        </w:trPr>
        <w:tc>
          <w:tcPr>
            <w:tcW w:w="2920" w:type="dxa"/>
            <w:vAlign w:val="bottom"/>
            <w:gridSpan w:val="2"/>
          </w:tcPr>
          <w:p>
            <w:pPr>
              <w:spacing w:after="0"/>
              <w:rPr>
                <w:sz w:val="20"/>
                <w:szCs w:val="20"/>
                <w:color w:val="auto"/>
              </w:rPr>
            </w:pPr>
            <w:r>
              <w:rPr>
                <w:rFonts w:ascii="Arial" w:cs="Arial" w:eastAsia="Arial" w:hAnsi="Arial"/>
                <w:sz w:val="16"/>
                <w:szCs w:val="16"/>
                <w:b w:val="1"/>
                <w:bCs w:val="1"/>
                <w:color w:val="auto"/>
              </w:rPr>
              <w:t>Item 6. Selected Financial Data.</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3"/>
        </w:trPr>
        <w:tc>
          <w:tcPr>
            <w:tcW w:w="292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62"/>
        </w:trPr>
        <w:tc>
          <w:tcPr>
            <w:tcW w:w="29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Fiscal Year</w:t>
            </w: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2020</w:t>
            </w:r>
            <w:r>
              <w:rPr>
                <w:rFonts w:ascii="Arial" w:cs="Arial" w:eastAsia="Arial" w:hAnsi="Arial"/>
                <w:sz w:val="21"/>
                <w:szCs w:val="21"/>
                <w:b w:val="1"/>
                <w:bCs w:val="1"/>
                <w:color w:val="auto"/>
                <w:vertAlign w:val="superscript"/>
              </w:rPr>
              <w:t>(1)</w:t>
            </w:r>
          </w:p>
        </w:tc>
        <w:tc>
          <w:tcPr>
            <w:tcW w:w="8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8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2017</w:t>
            </w:r>
            <w:r>
              <w:rPr>
                <w:rFonts w:ascii="Arial" w:cs="Arial" w:eastAsia="Arial" w:hAnsi="Arial"/>
                <w:sz w:val="21"/>
                <w:szCs w:val="21"/>
                <w:b w:val="1"/>
                <w:bCs w:val="1"/>
                <w:color w:val="auto"/>
                <w:vertAlign w:val="superscript"/>
              </w:rPr>
              <w:t>(2)</w:t>
            </w:r>
          </w:p>
        </w:tc>
        <w:tc>
          <w:tcPr>
            <w:tcW w:w="8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2016</w:t>
            </w:r>
          </w:p>
        </w:tc>
      </w:tr>
      <w:tr>
        <w:trPr>
          <w:trHeight w:val="191"/>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Statements of Income</w:t>
            </w: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34"/>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Data:</w:t>
            </w: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3"/>
        </w:trPr>
        <w:tc>
          <w:tcPr>
            <w:tcW w:w="2920" w:type="dxa"/>
            <w:vAlign w:val="bottom"/>
            <w:gridSpan w:val="2"/>
          </w:tcPr>
          <w:p>
            <w:pPr>
              <w:ind w:left="20"/>
              <w:spacing w:after="0"/>
              <w:rPr>
                <w:sz w:val="20"/>
                <w:szCs w:val="20"/>
                <w:color w:val="auto"/>
              </w:rPr>
            </w:pPr>
            <w:r>
              <w:rPr>
                <w:rFonts w:ascii="Arial" w:cs="Arial" w:eastAsia="Arial" w:hAnsi="Arial"/>
                <w:sz w:val="16"/>
                <w:szCs w:val="16"/>
                <w:color w:val="auto"/>
              </w:rPr>
              <w:t>Net revenues</w:t>
            </w:r>
          </w:p>
        </w:tc>
        <w:tc>
          <w:tcPr>
            <w:tcW w:w="980" w:type="dxa"/>
            <w:vAlign w:val="bottom"/>
          </w:tcPr>
          <w:p>
            <w:pPr>
              <w:jc w:val="right"/>
              <w:spacing w:after="0"/>
              <w:rPr>
                <w:sz w:val="20"/>
                <w:szCs w:val="20"/>
                <w:color w:val="auto"/>
              </w:rPr>
            </w:pPr>
            <w:r>
              <w:rPr>
                <w:rFonts w:ascii="Arial" w:cs="Arial" w:eastAsia="Arial" w:hAnsi="Arial"/>
                <w:sz w:val="16"/>
                <w:szCs w:val="16"/>
                <w:color w:val="auto"/>
              </w:rPr>
              <w:t>$ 2,355,533</w:t>
            </w:r>
          </w:p>
        </w:tc>
        <w:tc>
          <w:tcPr>
            <w:tcW w:w="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w w:val="99"/>
              </w:rPr>
              <w:t>$ 1,985,674</w:t>
            </w:r>
          </w:p>
        </w:tc>
        <w:tc>
          <w:tcPr>
            <w:tcW w:w="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w w:val="99"/>
              </w:rPr>
              <w:t>$ 2,016,829</w:t>
            </w:r>
          </w:p>
        </w:tc>
        <w:tc>
          <w:tcPr>
            <w:tcW w:w="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w w:val="99"/>
              </w:rPr>
              <w:t>$ 1,547,119</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  975,226</w:t>
            </w:r>
          </w:p>
        </w:tc>
      </w:tr>
      <w:tr>
        <w:trPr>
          <w:trHeight w:val="253"/>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61,442</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111,798</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102,357</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71,330</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45,496</w:t>
            </w:r>
          </w:p>
        </w:tc>
      </w:tr>
      <w:tr>
        <w:trPr>
          <w:trHeight w:val="233"/>
        </w:trPr>
        <w:tc>
          <w:tcPr>
            <w:tcW w:w="2920" w:type="dxa"/>
            <w:vAlign w:val="bottom"/>
            <w:gridSpan w:val="2"/>
          </w:tcPr>
          <w:p>
            <w:pPr>
              <w:ind w:left="20"/>
              <w:spacing w:after="0"/>
              <w:rPr>
                <w:sz w:val="20"/>
                <w:szCs w:val="20"/>
                <w:color w:val="auto"/>
              </w:rPr>
            </w:pPr>
            <w:r>
              <w:rPr>
                <w:rFonts w:ascii="Arial" w:cs="Arial" w:eastAsia="Arial" w:hAnsi="Arial"/>
                <w:sz w:val="16"/>
                <w:szCs w:val="16"/>
                <w:color w:val="auto"/>
              </w:rPr>
              <w:t>Income per common share:</w:t>
            </w: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3"/>
        </w:trPr>
        <w:tc>
          <w:tcPr>
            <w:tcW w:w="2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3.24</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2.33</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33"/>
        </w:trPr>
        <w:tc>
          <w:tcPr>
            <w:tcW w:w="2920" w:type="dxa"/>
            <w:vAlign w:val="bottom"/>
            <w:gridSpan w:val="2"/>
          </w:tcPr>
          <w:p>
            <w:pPr>
              <w:ind w:left="120"/>
              <w:spacing w:after="0"/>
              <w:rPr>
                <w:sz w:val="20"/>
                <w:szCs w:val="20"/>
                <w:color w:val="auto"/>
              </w:rPr>
            </w:pPr>
            <w:r>
              <w:rPr>
                <w:rFonts w:ascii="Arial" w:cs="Arial" w:eastAsia="Arial" w:hAnsi="Arial"/>
                <w:sz w:val="16"/>
                <w:szCs w:val="16"/>
                <w:color w:val="auto"/>
              </w:rPr>
              <w:t>Diluted</w:t>
            </w:r>
          </w:p>
        </w:tc>
        <w:tc>
          <w:tcPr>
            <w:tcW w:w="980" w:type="dxa"/>
            <w:vAlign w:val="bottom"/>
          </w:tcPr>
          <w:p>
            <w:pPr>
              <w:jc w:val="right"/>
              <w:spacing w:after="0"/>
              <w:rPr>
                <w:sz w:val="20"/>
                <w:szCs w:val="20"/>
                <w:color w:val="auto"/>
              </w:rPr>
            </w:pPr>
            <w:r>
              <w:rPr>
                <w:rFonts w:ascii="Arial" w:cs="Arial" w:eastAsia="Arial" w:hAnsi="Arial"/>
                <w:sz w:val="16"/>
                <w:szCs w:val="16"/>
                <w:color w:val="auto"/>
              </w:rPr>
              <w:t>1.84</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3.52</w:t>
            </w:r>
          </w:p>
        </w:tc>
        <w:tc>
          <w:tcPr>
            <w:tcW w:w="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3.22</w:t>
            </w:r>
          </w:p>
        </w:tc>
        <w:tc>
          <w:tcPr>
            <w:tcW w:w="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2.32</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1.68</w:t>
            </w:r>
          </w:p>
        </w:tc>
      </w:tr>
      <w:tr>
        <w:trPr>
          <w:trHeight w:val="253"/>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Dividends paid per common share</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0.43</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0.40</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0.40</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r>
      <w:tr>
        <w:trPr>
          <w:trHeight w:val="216"/>
        </w:trPr>
        <w:tc>
          <w:tcPr>
            <w:tcW w:w="292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3"/>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Year End Data:</w:t>
            </w: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33"/>
        </w:trPr>
        <w:tc>
          <w:tcPr>
            <w:tcW w:w="292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980" w:type="dxa"/>
            <w:vAlign w:val="bottom"/>
          </w:tcPr>
          <w:p>
            <w:pPr>
              <w:jc w:val="right"/>
              <w:spacing w:after="0"/>
              <w:rPr>
                <w:sz w:val="20"/>
                <w:szCs w:val="20"/>
                <w:color w:val="auto"/>
              </w:rPr>
            </w:pPr>
            <w:r>
              <w:rPr>
                <w:rFonts w:ascii="Arial" w:cs="Arial" w:eastAsia="Arial" w:hAnsi="Arial"/>
                <w:sz w:val="16"/>
                <w:szCs w:val="16"/>
                <w:color w:val="auto"/>
              </w:rPr>
              <w:t>1,713,700</w:t>
            </w:r>
          </w:p>
        </w:tc>
        <w:tc>
          <w:tcPr>
            <w:tcW w:w="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1,104,231</w:t>
            </w:r>
          </w:p>
        </w:tc>
        <w:tc>
          <w:tcPr>
            <w:tcW w:w="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1,051,805</w:t>
            </w:r>
          </w:p>
        </w:tc>
        <w:tc>
          <w:tcPr>
            <w:tcW w:w="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902,512</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390,718</w:t>
            </w:r>
          </w:p>
        </w:tc>
      </w:tr>
      <w:tr>
        <w:trPr>
          <w:trHeight w:val="253"/>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non-current liabilities</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585,844</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274,275</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313,175</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293,680</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29,410</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Note: All fiscal years presented included 52 weeks except for Fiscal 2019, which included 53 weeks.</w:t>
      </w:r>
    </w:p>
    <w:p>
      <w:pPr>
        <w:spacing w:after="0" w:line="244"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Newmar operations from the date of its acquisition on November 8, 2019.</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Grand Design operations from the date of its acquisition on November 8,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187"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Our MD&amp;A is presented in six sections:</w:t>
      </w:r>
    </w:p>
    <w:p>
      <w:pPr>
        <w:spacing w:after="0" w:line="228"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Overview</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Results of Operations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Analysis of Financial Condition, Liquidity, and Capital Resources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Contractual Obligations and Commercial Commitments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Critical Accounting Estimates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New Accounting Pronouncements</w:t>
      </w:r>
    </w:p>
    <w:p>
      <w:pPr>
        <w:spacing w:after="0" w:line="232" w:lineRule="exact"/>
        <w:rPr>
          <w:sz w:val="20"/>
          <w:szCs w:val="20"/>
          <w:color w:val="auto"/>
        </w:rPr>
      </w:pPr>
    </w:p>
    <w:p>
      <w:pPr>
        <w:ind w:right="580"/>
        <w:spacing w:after="0" w:line="281" w:lineRule="auto"/>
        <w:rPr>
          <w:sz w:val="20"/>
          <w:szCs w:val="20"/>
          <w:color w:val="auto"/>
        </w:rPr>
      </w:pPr>
      <w:r>
        <w:rPr>
          <w:rFonts w:ascii="Arial" w:cs="Arial" w:eastAsia="Arial" w:hAnsi="Arial"/>
          <w:sz w:val="16"/>
          <w:szCs w:val="16"/>
          <w:color w:val="auto"/>
        </w:rPr>
        <w:t xml:space="preserve">Our MD&amp;A should be read in conjunction with the Consolidated Financial Statements and related Notes included in Item 8, </w:t>
      </w:r>
      <w:r>
        <w:rPr>
          <w:rFonts w:ascii="Arial" w:cs="Arial" w:eastAsia="Arial" w:hAnsi="Arial"/>
          <w:sz w:val="16"/>
          <w:szCs w:val="16"/>
          <w:i w:val="1"/>
          <w:iCs w:val="1"/>
          <w:color w:val="auto"/>
        </w:rPr>
        <w:t>Financial Statements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Supplementary Data</w:t>
      </w:r>
      <w:r>
        <w:rPr>
          <w:rFonts w:ascii="Arial" w:cs="Arial" w:eastAsia="Arial" w:hAnsi="Arial"/>
          <w:sz w:val="16"/>
          <w:szCs w:val="16"/>
          <w:color w:val="auto"/>
        </w:rPr>
        <w:t>, of this Annual Report on Form 10-K.</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6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Winnebago Industries, Inc. is one of the leading North American manufacturers with a diversified portfolio of recreation vehicles ("RV"s) and marine products used primarily in leisure travel and outdoor recreation activities. We produce our motorhome units in Iowa and Indiana; our towable units in Indiana; and our marine units in Florida. We distribute our RV and marine products primarily through independent dealers throughout the U.S. and Canada, who then retail the products to the end consumer. We also distribute our marine products internationally through independent dealers, who then retail the products to the end consumer.</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COVID-19 Pandemic</w:t>
      </w:r>
    </w:p>
    <w:p>
      <w:pPr>
        <w:spacing w:after="0" w:line="255" w:lineRule="exact"/>
        <w:rPr>
          <w:sz w:val="20"/>
          <w:szCs w:val="20"/>
          <w:color w:val="auto"/>
        </w:rPr>
      </w:pPr>
    </w:p>
    <w:p>
      <w:pPr>
        <w:ind w:right="120"/>
        <w:spacing w:after="0" w:line="235" w:lineRule="auto"/>
        <w:rPr>
          <w:sz w:val="20"/>
          <w:szCs w:val="20"/>
          <w:color w:val="auto"/>
        </w:rPr>
      </w:pPr>
      <w:r>
        <w:rPr>
          <w:rFonts w:ascii="Arial" w:cs="Arial" w:eastAsia="Arial" w:hAnsi="Arial"/>
          <w:sz w:val="16"/>
          <w:szCs w:val="16"/>
          <w:color w:val="212529"/>
        </w:rPr>
        <w:t>In March 2020, the World Health Organization declared the COVID-19 outbreak a pandemic. The COVID-19 pandemic has resulted in governments around the world implementing increasingly stringent measures to help control the spread of the virus, including quarantines and “shelter-in-place” orders, travel restrictions, business curtailments, limits on gatherings, and other measures. In addition, governments and central banks in several parts of the world have enacted fiscal and monetary stimulus measures designed to counteract the economic impacts of the COVID-19 pandemic.</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212529"/>
        </w:rPr>
        <w:t>Health and safety</w:t>
      </w:r>
    </w:p>
    <w:p>
      <w:pPr>
        <w:spacing w:after="0" w:line="8" w:lineRule="exact"/>
        <w:rPr>
          <w:sz w:val="20"/>
          <w:szCs w:val="20"/>
          <w:color w:val="auto"/>
        </w:rPr>
      </w:pPr>
    </w:p>
    <w:p>
      <w:pPr>
        <w:spacing w:after="0" w:line="231" w:lineRule="auto"/>
        <w:rPr>
          <w:sz w:val="20"/>
          <w:szCs w:val="20"/>
          <w:color w:val="auto"/>
        </w:rPr>
      </w:pPr>
      <w:r>
        <w:rPr>
          <w:rFonts w:ascii="Arial" w:cs="Arial" w:eastAsia="Arial" w:hAnsi="Arial"/>
          <w:sz w:val="16"/>
          <w:szCs w:val="16"/>
          <w:color w:val="212529"/>
        </w:rPr>
        <w:t>From the earliest signs of the outbreak, we have taken proactive measures to protect the health and safety of our employees, customers, and suppliers. We have enacted rigorous safety measures in our sites, including employee training and self-monitoring for symptoms of the COVID-19 virus, the taking of all employee temperatures upon reporting to work, implementing social distancing protocols, implementing working from home arrangements for those employees that do not need to be physically present, suspending travel, extensively and frequently disinfecting our workspaces, and providing or accommodating the wearing of masks to those employees who must be physically present in their workplace. In the event an employee contracts the virus and is tested positive, we have mandated quarantining and have instructed employees not to return to work until such time that they have been cleared to do so, in accordance with recommendations by the Center for Disease Control and Prevention (CDC). We expect to continue to practice these measures until we determine that the COVID-19 pandemic is adequately contained for purposes of our business, and we may take further actions as government authorities require or recommend or as we determine to be in the best interests of our employees, customers, and suppliers.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212529"/>
        </w:rPr>
        <w:t>Operations</w:t>
      </w:r>
    </w:p>
    <w:p>
      <w:pPr>
        <w:spacing w:after="0" w:line="8" w:lineRule="exact"/>
        <w:rPr>
          <w:sz w:val="20"/>
          <w:szCs w:val="20"/>
          <w:color w:val="auto"/>
        </w:rPr>
      </w:pPr>
    </w:p>
    <w:p>
      <w:pPr>
        <w:ind w:right="20"/>
        <w:spacing w:after="0" w:line="232" w:lineRule="auto"/>
        <w:rPr>
          <w:sz w:val="20"/>
          <w:szCs w:val="20"/>
          <w:color w:val="auto"/>
        </w:rPr>
      </w:pPr>
      <w:r>
        <w:rPr>
          <w:rFonts w:ascii="Arial" w:cs="Arial" w:eastAsia="Arial" w:hAnsi="Arial"/>
          <w:sz w:val="16"/>
          <w:szCs w:val="16"/>
          <w:color w:val="212529"/>
        </w:rPr>
        <w:t>Our manufacturing operations were affected by the COVID-19 pandemic during the third quarter of Fiscal 2020. Generally, any government mandated measures providing for business shutdowns exclude certain essential businesses and services, including businesses that manufacture and sell products that were considered essential to daily lives or otherwise operate in essential or critical sectors. While some of our facilities were considered essential by local governments, particularly in Indiana where all of our facilities are located for the Towable segment, during the third quarter we experienced temporary, partial or full factory closures at our facilities in a concerted effort to lower the probability of coronavirus exposure to key stakeholders, to sanitize the facilities and address employee well-being. During the latter half of the third quarter, the facilities we temporarily, partially or fully closed began to reopen on a staggered schedule to effectively monitor the impact and make changes as necessary. While governmental measures may be modified or extended, we expect that our manufacturing facilities will remain operational.</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212529"/>
        </w:rPr>
        <w:t>Supply</w:t>
      </w:r>
    </w:p>
    <w:p>
      <w:pPr>
        <w:spacing w:after="0" w:line="8" w:lineRule="exact"/>
        <w:rPr>
          <w:sz w:val="20"/>
          <w:szCs w:val="20"/>
          <w:color w:val="auto"/>
        </w:rPr>
      </w:pPr>
    </w:p>
    <w:p>
      <w:pPr>
        <w:ind w:right="180"/>
        <w:spacing w:after="0" w:line="235" w:lineRule="auto"/>
        <w:rPr>
          <w:sz w:val="20"/>
          <w:szCs w:val="20"/>
          <w:color w:val="auto"/>
        </w:rPr>
      </w:pPr>
      <w:r>
        <w:rPr>
          <w:rFonts w:ascii="Arial" w:cs="Arial" w:eastAsia="Arial" w:hAnsi="Arial"/>
          <w:sz w:val="16"/>
          <w:szCs w:val="16"/>
          <w:color w:val="212529"/>
        </w:rPr>
        <w:t>Our production has not experienced material impacts or interruptions that are specific to our supply chain as a result of the COVID-19 pandemic. However, some of our suppliers have faced difficulties maintaining operations in light of shelter-in-place mandates or shortages that they are experiencing with their suppliers on key materials or subassemblies. Additionally, restrictions or disruptions of transportation did not result in higher costs or delays for the year ended August 29, 2020. We are actively monitoring the costs and timing of raw materials and other inputs to our supply chain.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i w:val="1"/>
          <w:iCs w:val="1"/>
          <w:color w:val="212529"/>
        </w:rPr>
        <w:t>Demand</w:t>
      </w:r>
    </w:p>
    <w:p>
      <w:pPr>
        <w:spacing w:after="0" w:line="8" w:lineRule="exact"/>
        <w:rPr>
          <w:sz w:val="20"/>
          <w:szCs w:val="20"/>
          <w:color w:val="auto"/>
        </w:rPr>
      </w:pPr>
    </w:p>
    <w:p>
      <w:pPr>
        <w:spacing w:after="0" w:line="231" w:lineRule="auto"/>
        <w:rPr>
          <w:sz w:val="20"/>
          <w:szCs w:val="20"/>
          <w:color w:val="auto"/>
        </w:rPr>
      </w:pPr>
      <w:r>
        <w:rPr>
          <w:rFonts w:ascii="Arial" w:cs="Arial" w:eastAsia="Arial" w:hAnsi="Arial"/>
          <w:sz w:val="16"/>
          <w:szCs w:val="16"/>
          <w:color w:val="212529"/>
        </w:rPr>
        <w:t>The COVID-19 pandemic has significantly increased economic and demand volatility and uncertainty. Our dealer networks were significantly impacted during the COVID-19 pandemic and a majority of our dealers temporarily closed during the third quarter of Fiscal 2020. However, beginning in May, our dealers began to reopen, with dealer re-openings accelerating in June. The majority of our dealers had resumed full operations and services as of the end of Fiscal 2020. During the third quarter of Fiscal 2020, we experienced reductions in customer demand due to a decrease in consumer spending attributable to the COVID-19 pandemic. However, in the fourth quarter of Fiscal 2020, we experienced higher consumer demand due to an increase in consumers wishing to travel safely and social distance, and do so through the utilization of an RV. At year end Fiscal 2020, backlog levels were higher than the same period of Fiscal 2019 due to the impacts of closing our plants and the increase in demand in the last quarter of Fiscal 2020. Despite the increase in demand, consumer buying activity may still decline if there are additional shut downs within our dealer networks. The current COVID-19 pandemic has caused a global economic slowdown, and the possibility of a global recession. In the event of a recession, demand for our products would decline and our business and results of operations would be adversely affected.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212529"/>
        </w:rPr>
        <w:t>Cost mitigation actions</w:t>
      </w:r>
    </w:p>
    <w:p>
      <w:pPr>
        <w:spacing w:after="0" w:line="8" w:lineRule="exact"/>
        <w:rPr>
          <w:sz w:val="20"/>
          <w:szCs w:val="20"/>
          <w:color w:val="auto"/>
        </w:rPr>
      </w:pPr>
    </w:p>
    <w:p>
      <w:pPr>
        <w:ind w:right="100"/>
        <w:spacing w:after="0" w:line="233" w:lineRule="auto"/>
        <w:rPr>
          <w:sz w:val="20"/>
          <w:szCs w:val="20"/>
          <w:color w:val="auto"/>
        </w:rPr>
      </w:pPr>
      <w:r>
        <w:rPr>
          <w:rFonts w:ascii="Arial" w:cs="Arial" w:eastAsia="Arial" w:hAnsi="Arial"/>
          <w:sz w:val="16"/>
          <w:szCs w:val="16"/>
          <w:color w:val="212529"/>
        </w:rPr>
        <w:t>We began to see lower demand in most of our businesses in late March 2020, and we took steps across our organization to align costs with lower sales volumes. These steps include employee furloughs and layoffs, salary reductions ranging from 10% to 25%, and delaying, reducing or eliminating purchased services and restricting travel. Additionally, we are proactively managing our working capital and reduced our discretionary capital spending for 2020 but did not defer strategic ongoing initiatives. We also continue to monitor government economic stabilization efforts and will participate in certain legislative provisions, such as deferring estimated tax payments and utilizing job retention subsidies.</w:t>
      </w:r>
    </w:p>
    <w:p>
      <w:pPr>
        <w:spacing w:after="0" w:line="227" w:lineRule="exact"/>
        <w:rPr>
          <w:sz w:val="20"/>
          <w:szCs w:val="20"/>
          <w:color w:val="auto"/>
        </w:rPr>
      </w:pPr>
    </w:p>
    <w:p>
      <w:pPr>
        <w:ind w:right="20"/>
        <w:spacing w:after="0" w:line="235" w:lineRule="auto"/>
        <w:rPr>
          <w:sz w:val="20"/>
          <w:szCs w:val="20"/>
          <w:color w:val="auto"/>
        </w:rPr>
      </w:pPr>
      <w:r>
        <w:rPr>
          <w:rFonts w:ascii="Arial" w:cs="Arial" w:eastAsia="Arial" w:hAnsi="Arial"/>
          <w:sz w:val="16"/>
          <w:szCs w:val="16"/>
          <w:color w:val="212529"/>
        </w:rPr>
        <w:t>We continue to monitor the rapidly evolving situation and guidance from international and domestic authorities, including federal, state and local public health authorities, and may take additional actions based on their requirements and recommendations. In these circumstances, there may be developments outside our control requiring us to adjust our operating plan. As such, given the dynamic nature of this situation, we cannot reasonably estimate the impacts of the COVID-19 pandemic on our financial condition, results of operations or cash flows in the future. In addition, see Part I—Item 1A, “Risk Factors,” included</w:t>
      </w:r>
    </w:p>
    <w:p>
      <w:pPr>
        <w:spacing w:after="0" w:line="1" w:lineRule="exact"/>
        <w:rPr>
          <w:sz w:val="20"/>
          <w:szCs w:val="20"/>
          <w:color w:val="auto"/>
        </w:rPr>
      </w:pPr>
    </w:p>
    <w:p>
      <w:pPr>
        <w:jc w:val="both"/>
        <w:ind w:right="40"/>
        <w:spacing w:after="0" w:line="241" w:lineRule="auto"/>
        <w:rPr>
          <w:sz w:val="20"/>
          <w:szCs w:val="20"/>
          <w:color w:val="auto"/>
        </w:rPr>
      </w:pPr>
      <w:r>
        <w:rPr>
          <w:rFonts w:ascii="Arial" w:cs="Arial" w:eastAsia="Arial" w:hAnsi="Arial"/>
          <w:sz w:val="16"/>
          <w:szCs w:val="16"/>
          <w:color w:val="212529"/>
        </w:rPr>
        <w:t xml:space="preserve">herein for updates to our risk factors regarding risks associated with the COVID-19 pandemic, as well as </w:t>
      </w:r>
      <w:r>
        <w:rPr>
          <w:rFonts w:ascii="Arial" w:cs="Arial" w:eastAsia="Arial" w:hAnsi="Arial"/>
          <w:sz w:val="16"/>
          <w:szCs w:val="16"/>
          <w:color w:val="000000"/>
        </w:rPr>
        <w:t>Note 1</w:t>
      </w:r>
      <w:r>
        <w:rPr>
          <w:rFonts w:ascii="Arial" w:cs="Arial" w:eastAsia="Arial" w:hAnsi="Arial"/>
          <w:sz w:val="16"/>
          <w:szCs w:val="16"/>
          <w:color w:val="212529"/>
        </w:rPr>
        <w:t xml:space="preserve"> </w:t>
      </w:r>
      <w:r>
        <w:rPr>
          <w:rFonts w:ascii="Arial" w:cs="Arial" w:eastAsia="Arial" w:hAnsi="Arial"/>
          <w:sz w:val="16"/>
          <w:szCs w:val="16"/>
          <w:i w:val="1"/>
          <w:iCs w:val="1"/>
          <w:color w:val="000000"/>
        </w:rPr>
        <w:t>Summary of Significant Accounting Policies,</w:t>
      </w:r>
      <w:r>
        <w:rPr>
          <w:rFonts w:ascii="Arial" w:cs="Arial" w:eastAsia="Arial" w:hAnsi="Arial"/>
          <w:sz w:val="16"/>
          <w:szCs w:val="16"/>
          <w:color w:val="212529"/>
        </w:rPr>
        <w:t xml:space="preserve"> </w:t>
      </w:r>
      <w:r>
        <w:rPr>
          <w:rFonts w:ascii="Arial" w:cs="Arial" w:eastAsia="Arial" w:hAnsi="Arial"/>
          <w:sz w:val="16"/>
          <w:szCs w:val="16"/>
          <w:color w:val="000000"/>
        </w:rPr>
        <w:t>of the Notes to the Consolidated Financial Statements</w:t>
      </w:r>
      <w:r>
        <w:rPr>
          <w:rFonts w:ascii="Arial" w:cs="Arial" w:eastAsia="Arial" w:hAnsi="Arial"/>
          <w:sz w:val="16"/>
          <w:szCs w:val="16"/>
          <w:i w:val="1"/>
          <w:iCs w:val="1"/>
          <w:color w:val="000000"/>
        </w:rPr>
        <w:t>,</w:t>
      </w:r>
      <w:r>
        <w:rPr>
          <w:rFonts w:ascii="Arial" w:cs="Arial" w:eastAsia="Arial" w:hAnsi="Arial"/>
          <w:sz w:val="16"/>
          <w:szCs w:val="16"/>
          <w:color w:val="000000"/>
        </w:rPr>
        <w:t xml:space="preserve"> included in Item 8</w:t>
      </w:r>
      <w:r>
        <w:rPr>
          <w:rFonts w:ascii="Arial" w:cs="Arial" w:eastAsia="Arial" w:hAnsi="Arial"/>
          <w:sz w:val="16"/>
          <w:szCs w:val="16"/>
          <w:i w:val="1"/>
          <w:iCs w:val="1"/>
          <w:color w:val="000000"/>
        </w:rPr>
        <w:t>, Financial Statements and Supplementary Data</w:t>
      </w:r>
      <w:r>
        <w:rPr>
          <w:rFonts w:ascii="Arial" w:cs="Arial" w:eastAsia="Arial" w:hAnsi="Arial"/>
          <w:sz w:val="16"/>
          <w:szCs w:val="16"/>
          <w:color w:val="000000"/>
        </w:rPr>
        <w:t>, of this Annual Report on Form 10-K, for further impacts regarding the ongoing COVID-19 pandemic.</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Reconciliation</w:t>
      </w:r>
    </w:p>
    <w:p>
      <w:pPr>
        <w:spacing w:after="0" w:line="268"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This MD&amp;A includes financial information prepared in accordance with accounting principles generally accepted in the U.S. ("GAAP"), as well as certain adjusted or non-GAAP financial measures such as EBITDA and Adjusted EBITDA. EBITDA is defined as net income before interest expense, provision for income taxes, and depreciation and amortization expense. Adjusted EBITDA is defined as net income before interest expense, provision for income taxes, depreciation and amortization expense, and other adjustments made in order to present comparable results from period to period. These non-GAAP financial measures, which are not calculated or presented in accordance with GAAP, have been provided as information supplemental and in addition to the financial measures presented in accordance with GAAP. Such non-GAAP financial measures should not be considered superior to, as a substitute for, or as an alternative to, and should be considered in conjunction with, the GAAP financial measures presented herein. The non-GAAP financial measures presented may differ from similar measures used by other companies.</w:t>
      </w:r>
    </w:p>
    <w:p>
      <w:pPr>
        <w:spacing w:after="0" w:line="234"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Refer to the Results of Operations-Fiscal 2020 Compared to Fiscal 2019 and the Results of Operations-Fiscal 2019 Compared to Fiscal 2018 for a detailed reconciliation of items that impacted EBITDA and Adjusted EBITDA. We have included this non-GAAP performance measure as a comparable measure to illustrate the effect of non-recurring transactions occurring during the year and improve comparability of our results from period to period. We believe Adjusted EBITDA provides meaningful supplemental information about our operating performance because this measure excludes amounts that we do not consider part of our core operating results when assessing our performance. Examples of items excluded from Adjusted EBITDA include acquisition-related costs, restructuring expenses, and non-operating income.</w:t>
      </w:r>
    </w:p>
    <w:p>
      <w:pPr>
        <w:spacing w:after="0" w:line="23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 xml:space="preserve">Management uses these non-GAAP financial measures (a) to evaluate our historical and prospective financial performance and trends as well as our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its assessments of performance and in forecasting and budgeting for our company; (d) to evaluate potential acquisitions; and (e) to ensure compliance with restricted activities under the terms of our ABL credit facility and outstanding notes, as further described in Note 9,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of the Notes to Consolidated Financial Statements, included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of this Annual Report on Form 10-K. We believe these non-GAAP financial measures are frequently used by securities analysts, investors, and other interested parties to evaluate companies in our industry.</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Combinations</w:t>
      </w:r>
    </w:p>
    <w:p>
      <w:pPr>
        <w:spacing w:after="0" w:line="268"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On November 8, 2019, we completed the acquisition of Newmar Corporation, Dutch Real Estate Corp, New-Way Transport, and New-Serv (collectively "Newmar") for total consideration of $357.0 million, which consisted of $264.4 million in cash, and 2.0 million</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 xml:space="preserve">shares of Winnebago common stock that were valued at $92.6 million ($46.29 per share discounted at 7.0% due to lack of marketability because of one year lock-up restrictions). The cash portion of the purchase price of the acquisition and certain transaction expenses were funded through the private placement of $300.0 million in aggregate principal amount of 1.50% convertible senior notes due 2025 ("Convertible Notes") (as further described in Note 9, </w:t>
      </w:r>
      <w:r>
        <w:rPr>
          <w:rFonts w:ascii="Arial" w:cs="Arial" w:eastAsia="Arial" w:hAnsi="Arial"/>
          <w:sz w:val="16"/>
          <w:szCs w:val="16"/>
          <w:i w:val="1"/>
          <w:iCs w:val="1"/>
          <w:color w:val="auto"/>
        </w:rPr>
        <w:t>Long-Term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Debt </w:t>
      </w:r>
      <w:r>
        <w:rPr>
          <w:rFonts w:ascii="Arial" w:cs="Arial" w:eastAsia="Arial" w:hAnsi="Arial"/>
          <w:sz w:val="16"/>
          <w:szCs w:val="16"/>
          <w:color w:val="auto"/>
        </w:rPr>
        <w:t>of the Notes to the Consolidated Financial 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in Item 8</w:t>
      </w:r>
      <w:r>
        <w:rPr>
          <w:rFonts w:ascii="Arial" w:cs="Arial" w:eastAsia="Arial" w:hAnsi="Arial"/>
          <w:sz w:val="16"/>
          <w:szCs w:val="16"/>
          <w:i w:val="1"/>
          <w:iCs w:val="1"/>
          <w:color w:val="auto"/>
        </w:rPr>
        <w:t>, Financial Statements and Supplementary Data</w:t>
      </w:r>
      <w:r>
        <w:rPr>
          <w:rFonts w:ascii="Arial" w:cs="Arial" w:eastAsia="Arial" w:hAnsi="Arial"/>
          <w:sz w:val="16"/>
          <w:szCs w:val="16"/>
          <w:color w:val="auto"/>
        </w:rPr>
        <w:t>, of this Annual Report on</w:t>
      </w:r>
      <w:r>
        <w:rPr>
          <w:rFonts w:ascii="Arial" w:cs="Arial" w:eastAsia="Arial" w:hAnsi="Arial"/>
          <w:sz w:val="16"/>
          <w:szCs w:val="16"/>
          <w:i w:val="1"/>
          <w:iCs w:val="1"/>
          <w:color w:val="auto"/>
        </w:rPr>
        <w:t xml:space="preserve"> </w:t>
      </w:r>
      <w:r>
        <w:rPr>
          <w:rFonts w:ascii="Arial" w:cs="Arial" w:eastAsia="Arial" w:hAnsi="Arial"/>
          <w:sz w:val="16"/>
          <w:szCs w:val="16"/>
          <w:color w:val="auto"/>
        </w:rPr>
        <w:t>Form 10-K), and cash on hand. Newmar is a leading manufacturer of Class A and Super C motorized recreation vehicles that are sold through an established network of independent authorized dealers throughout North America.</w:t>
      </w:r>
    </w:p>
    <w:p>
      <w:pPr>
        <w:spacing w:after="0" w:line="232"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On June 4, 2018, we acquired 100% of the ownership interests of Chris-Craft, a privately-owned company based in Sarasota, FL. Chris-Craft manufactures and sells premium quality boats in the recreational powerboat industry through an established global network of independent authorized dealers.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Reportable Segments</w:t>
      </w:r>
    </w:p>
    <w:p>
      <w:pPr>
        <w:spacing w:after="0" w:line="268"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We have six operating segments: 1) Grand Design towables, 2) Winnebago towables, 3) Winnebago motorhomes, 4) Newmar motorhomes, 5) Chris-Craft marine, and 6) Winnebago specialty vehicles. We evaluate performance based on each operating segment's Adjusted EBITDA, as defined above, which excludes certain corporate administration expenses and non-operating income and expense.</w:t>
      </w:r>
    </w:p>
    <w:p>
      <w:pPr>
        <w:spacing w:after="0" w:line="228"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Our two reportable segments include: 1) Towable (comprised of products which are not motorized and are generally towed by another vehicle as well as other related manufactured products and services), which is an aggregation of the Winnebago towables and Grand Design towables operating segments, and 2) Motorhome (comprised of products that include a motorized chassis as well as other related manufactured products and services), which is an aggregation of the Winnebago motorhomes and Newmar motorhomes operating segments.</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Corporate / All Other category includes the Winnebago specialty vehicles and Chris-Craft marine operating segments as well as expenses related to certain corporate administration expenses for the oversight of the enterprise. These expenses include items such as corporate leadership and administration costs.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Trends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Key reported statistics for the North American RV industry are as follows:</w:t>
      </w:r>
    </w:p>
    <w:p>
      <w:pPr>
        <w:spacing w:after="0" w:line="5"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Wholesale unit shipments: RV product delivered to the dealers, which is reported monthly by the Recreation Vehicle Industry Association ("RVIA")</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Retail unit registrations: consumer purchases of RVs from dealers, which is reported by Stat Surveys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We track RV Industry conditions using these key statistics to monitor trends and evaluate and understand our performance relative to the overall industry.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these key statistics for the rolling 12 months through August as of 2020 and 2019:</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US and Canada Industry</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23"/>
        </w:trPr>
        <w:tc>
          <w:tcPr>
            <w:tcW w:w="1480" w:type="dxa"/>
            <w:vAlign w:val="bottom"/>
          </w:tcPr>
          <w:p>
            <w:pPr>
              <w:spacing w:after="0"/>
              <w:rPr>
                <w:sz w:val="19"/>
                <w:szCs w:val="19"/>
                <w:color w:val="auto"/>
              </w:rPr>
            </w:pPr>
          </w:p>
        </w:tc>
        <w:tc>
          <w:tcPr>
            <w:tcW w:w="3780" w:type="dxa"/>
            <w:vAlign w:val="bottom"/>
            <w:gridSpan w:val="8"/>
          </w:tcPr>
          <w:p>
            <w:pPr>
              <w:jc w:val="center"/>
              <w:ind w:left="899"/>
              <w:spacing w:after="0"/>
              <w:rPr>
                <w:sz w:val="20"/>
                <w:szCs w:val="20"/>
                <w:color w:val="auto"/>
              </w:rPr>
            </w:pPr>
            <w:r>
              <w:rPr>
                <w:rFonts w:ascii="Arial" w:cs="Arial" w:eastAsia="Arial" w:hAnsi="Arial"/>
                <w:sz w:val="16"/>
                <w:szCs w:val="16"/>
                <w:b w:val="1"/>
                <w:bCs w:val="1"/>
                <w:color w:val="auto"/>
              </w:rPr>
              <w:t>Wholesale Unit Shipments per RVIA</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40" w:type="dxa"/>
            <w:vAlign w:val="bottom"/>
            <w:gridSpan w:val="9"/>
          </w:tcPr>
          <w:p>
            <w:pPr>
              <w:jc w:val="center"/>
              <w:spacing w:after="0"/>
              <w:rPr>
                <w:sz w:val="20"/>
                <w:szCs w:val="20"/>
                <w:color w:val="auto"/>
              </w:rPr>
            </w:pPr>
            <w:r>
              <w:rPr>
                <w:rFonts w:ascii="Arial" w:cs="Arial" w:eastAsia="Arial" w:hAnsi="Arial"/>
                <w:sz w:val="16"/>
                <w:szCs w:val="16"/>
                <w:b w:val="1"/>
                <w:bCs w:val="1"/>
                <w:color w:val="auto"/>
              </w:rPr>
              <w:t>Retail Unit Registrations per Stat Surveys</w:t>
            </w:r>
          </w:p>
        </w:tc>
      </w:tr>
      <w:tr>
        <w:trPr>
          <w:trHeight w:val="256"/>
        </w:trPr>
        <w:tc>
          <w:tcPr>
            <w:tcW w:w="148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7"/>
          </w:tcPr>
          <w:p>
            <w:pPr>
              <w:jc w:val="center"/>
              <w:ind w:right="40"/>
              <w:spacing w:after="0"/>
              <w:rPr>
                <w:sz w:val="20"/>
                <w:szCs w:val="20"/>
                <w:color w:val="auto"/>
              </w:rPr>
            </w:pPr>
            <w:r>
              <w:rPr>
                <w:rFonts w:ascii="Arial" w:cs="Arial" w:eastAsia="Arial" w:hAnsi="Arial"/>
                <w:sz w:val="16"/>
                <w:szCs w:val="16"/>
                <w:b w:val="1"/>
                <w:bCs w:val="1"/>
                <w:color w:val="auto"/>
              </w:rPr>
              <w:t>Rolling 12 Months through August</w:t>
            </w: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6"/>
                <w:szCs w:val="16"/>
                <w:b w:val="1"/>
                <w:bCs w:val="1"/>
                <w:color w:val="auto"/>
              </w:rPr>
              <w:t>Rolling 12 Months through August</w:t>
            </w:r>
          </w:p>
        </w:tc>
        <w:tc>
          <w:tcPr>
            <w:tcW w:w="1040" w:type="dxa"/>
            <w:vAlign w:val="bottom"/>
            <w:tcBorders>
              <w:bottom w:val="single" w:sz="8" w:color="auto"/>
            </w:tcBorders>
          </w:tcPr>
          <w:p>
            <w:pPr>
              <w:spacing w:after="0"/>
              <w:rPr>
                <w:sz w:val="22"/>
                <w:szCs w:val="22"/>
                <w:color w:val="auto"/>
              </w:rPr>
            </w:pPr>
          </w:p>
        </w:tc>
      </w:tr>
      <w:tr>
        <w:trPr>
          <w:trHeight w:val="236"/>
        </w:trPr>
        <w:tc>
          <w:tcPr>
            <w:tcW w:w="1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Unit Change</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Change</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43"/>
        </w:trPr>
        <w:tc>
          <w:tcPr>
            <w:tcW w:w="1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Towable</w:t>
            </w:r>
            <w:r>
              <w:rPr>
                <w:rFonts w:ascii="Arial" w:cs="Arial" w:eastAsia="Arial" w:hAnsi="Arial"/>
                <w:sz w:val="21"/>
                <w:szCs w:val="21"/>
                <w:b w:val="1"/>
                <w:bCs w:val="1"/>
                <w:color w:val="auto"/>
                <w:vertAlign w:val="superscript"/>
              </w:rPr>
              <w:t>(1)</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338,602</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355,598</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(16,996)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408,179</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399,900</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99"/>
              </w:rPr>
              <w:t>8,279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r>
      <w:tr>
        <w:trPr>
          <w:trHeight w:val="243"/>
        </w:trPr>
        <w:tc>
          <w:tcPr>
            <w:tcW w:w="1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Motorhome</w:t>
            </w:r>
            <w:r>
              <w:rPr>
                <w:rFonts w:ascii="Arial" w:cs="Arial" w:eastAsia="Arial" w:hAnsi="Arial"/>
                <w:sz w:val="21"/>
                <w:szCs w:val="21"/>
                <w:color w:val="auto"/>
                <w:vertAlign w:val="superscript"/>
              </w:rPr>
              <w:t>(2)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38,680</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48,605</w:t>
            </w: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49,112</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52,936</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center"/>
              <w:ind w:left="359"/>
              <w:spacing w:after="0"/>
              <w:rPr>
                <w:sz w:val="20"/>
                <w:szCs w:val="20"/>
                <w:color w:val="auto"/>
              </w:rPr>
            </w:pPr>
            <w:r>
              <w:rPr>
                <w:rFonts w:ascii="Arial" w:cs="Arial" w:eastAsia="Arial" w:hAnsi="Arial"/>
                <w:sz w:val="16"/>
                <w:szCs w:val="16"/>
                <w:color w:val="auto"/>
              </w:rPr>
              <w:t>(3,824)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r>
      <w:tr>
        <w:trPr>
          <w:trHeight w:val="256"/>
        </w:trPr>
        <w:tc>
          <w:tcPr>
            <w:tcW w:w="1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Combined</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377,282</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404,203</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(26,921)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457,291</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452,836</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99"/>
              </w:rPr>
              <w:t>4,455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240" w:hanging="232"/>
        <w:spacing w:after="0"/>
        <w:tabs>
          <w:tab w:leader="none" w:pos="2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Towable: Fifth wheel and travel trailer products.</w:t>
      </w:r>
    </w:p>
    <w:p>
      <w:pPr>
        <w:spacing w:after="0" w:line="1" w:lineRule="exact"/>
        <w:rPr>
          <w:rFonts w:ascii="Arial" w:cs="Arial" w:eastAsia="Arial" w:hAnsi="Arial"/>
          <w:sz w:val="14"/>
          <w:szCs w:val="14"/>
          <w:color w:val="auto"/>
        </w:rPr>
      </w:pPr>
    </w:p>
    <w:p>
      <w:pPr>
        <w:ind w:left="240" w:hanging="232"/>
        <w:spacing w:after="0"/>
        <w:tabs>
          <w:tab w:leader="none" w:pos="2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Motorhome: Class A, B and C products.</w:t>
      </w:r>
    </w:p>
    <w:p>
      <w:pPr>
        <w:spacing w:after="0" w:line="24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rolling twelve months shipments for 2020 and 2019 reflect a contraction in shipments as dealers rationalized inventory in the first six months of our fiscal year 2020, followed by a continued reduction in dealer inventory in the back half of our fiscal year 2020 due to constrained production activities during the COVID-19 pandemic amidst a strong recovery in retail sales. The rolling twelve months retail information for 2020 and 2019 illustrates that retail sales, while down year-over-year, remain at healthy levels relative to the industry's historical retail levels. We believe retail demand is the key driver to continued growth in the industry.</w:t>
      </w:r>
    </w:p>
    <w:p>
      <w:pPr>
        <w:spacing w:after="0" w:line="230"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The most recent RVIA wholesale shipment forecasts for calendar year 2021, as noted in the table below, indicate that industry shipments are most likely expected to experience growth in 2021. The retail activity is anticipated to remain at healthy levels, and wholesale shipments are expected to reflect a rebound associated with dealers rebuilding their inventories.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4"/>
        </w:trPr>
        <w:tc>
          <w:tcPr>
            <w:tcW w:w="6220" w:type="dxa"/>
            <w:vAlign w:val="bottom"/>
            <w:gridSpan w:val="2"/>
          </w:tcPr>
          <w:p>
            <w:pPr>
              <w:spacing w:after="0"/>
              <w:rPr>
                <w:rFonts w:ascii="Arial" w:cs="Arial" w:eastAsia="Arial" w:hAnsi="Arial"/>
                <w:sz w:val="16"/>
                <w:szCs w:val="16"/>
                <w:color w:val="0000FF"/>
              </w:rPr>
            </w:pPr>
            <w:r>
              <w:rPr>
                <w:rFonts w:ascii="Arial" w:cs="Arial" w:eastAsia="Arial" w:hAnsi="Arial"/>
                <w:sz w:val="16"/>
                <w:szCs w:val="16"/>
                <w:color w:val="0000FF"/>
              </w:rPr>
              <w:t xml:space="preserve">Table </w:t>
            </w:r>
            <w:hyperlink w:anchor="page1">
              <w:r>
                <w:rPr>
                  <w:rFonts w:ascii="Arial" w:cs="Arial" w:eastAsia="Arial" w:hAnsi="Arial"/>
                  <w:sz w:val="16"/>
                  <w:szCs w:val="16"/>
                  <w:color w:val="0000FF"/>
                </w:rPr>
                <w:t xml:space="preserve">of </w:t>
              </w:r>
            </w:hyperlink>
            <w:r>
              <w:rPr>
                <w:rFonts w:ascii="Arial" w:cs="Arial" w:eastAsia="Arial" w:hAnsi="Arial"/>
                <w:sz w:val="16"/>
                <w:szCs w:val="16"/>
                <w:color w:val="0000FF"/>
              </w:rPr>
              <w:t>Contents</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892"/>
        </w:trPr>
        <w:tc>
          <w:tcPr>
            <w:tcW w:w="1280" w:type="dxa"/>
            <w:vAlign w:val="bottom"/>
            <w:tcBorders>
              <w:top w:val="single" w:sz="8" w:color="0000FF"/>
            </w:tcBorders>
          </w:tcPr>
          <w:p>
            <w:pPr>
              <w:spacing w:after="0"/>
              <w:rPr>
                <w:sz w:val="24"/>
                <w:szCs w:val="24"/>
                <w:color w:val="auto"/>
              </w:rPr>
            </w:pPr>
          </w:p>
        </w:tc>
        <w:tc>
          <w:tcPr>
            <w:tcW w:w="494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ind w:left="660"/>
              <w:spacing w:after="0"/>
              <w:rPr>
                <w:sz w:val="20"/>
                <w:szCs w:val="20"/>
                <w:color w:val="auto"/>
              </w:rPr>
            </w:pPr>
            <w:r>
              <w:rPr>
                <w:rFonts w:ascii="Arial" w:cs="Arial" w:eastAsia="Arial" w:hAnsi="Arial"/>
                <w:sz w:val="16"/>
                <w:szCs w:val="16"/>
                <w:b w:val="1"/>
                <w:bCs w:val="1"/>
                <w:color w:val="auto"/>
              </w:rPr>
              <w:t>Calendar Year</w:t>
            </w:r>
          </w:p>
        </w:tc>
        <w:tc>
          <w:tcPr>
            <w:tcW w:w="1220" w:type="dxa"/>
            <w:vAlign w:val="bottom"/>
            <w:tcBorders>
              <w:bottom w:val="single" w:sz="8" w:color="auto"/>
            </w:tcBorders>
          </w:tcPr>
          <w:p>
            <w:pPr>
              <w:spacing w:after="0"/>
              <w:rPr>
                <w:sz w:val="24"/>
                <w:szCs w:val="24"/>
                <w:color w:val="auto"/>
              </w:rPr>
            </w:pPr>
          </w:p>
        </w:tc>
      </w:tr>
      <w:tr>
        <w:trPr>
          <w:trHeight w:val="198"/>
        </w:trPr>
        <w:tc>
          <w:tcPr>
            <w:tcW w:w="128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180" w:type="dxa"/>
            <w:vAlign w:val="bottom"/>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4"/>
        </w:trPr>
        <w:tc>
          <w:tcPr>
            <w:tcW w:w="6220" w:type="dxa"/>
            <w:vAlign w:val="bottom"/>
            <w:gridSpan w:val="2"/>
          </w:tcPr>
          <w:p>
            <w:pPr>
              <w:ind w:left="20"/>
              <w:spacing w:after="0" w:line="234" w:lineRule="exact"/>
              <w:rPr>
                <w:sz w:val="20"/>
                <w:szCs w:val="20"/>
                <w:color w:val="auto"/>
              </w:rPr>
            </w:pPr>
            <w:r>
              <w:rPr>
                <w:rFonts w:ascii="Arial" w:cs="Arial" w:eastAsia="Arial" w:hAnsi="Arial"/>
                <w:sz w:val="16"/>
                <w:szCs w:val="16"/>
                <w:b w:val="1"/>
                <w:bCs w:val="1"/>
                <w:color w:val="auto"/>
              </w:rPr>
              <w:t>Wholesale Unit Shipment Forecast per RVIA</w:t>
            </w:r>
            <w:r>
              <w:rPr>
                <w:rFonts w:ascii="Arial" w:cs="Arial" w:eastAsia="Arial" w:hAnsi="Arial"/>
                <w:sz w:val="21"/>
                <w:szCs w:val="21"/>
                <w:b w:val="1"/>
                <w:bCs w:val="1"/>
                <w:color w:val="auto"/>
                <w:vertAlign w:val="superscript"/>
              </w:rPr>
              <w:t>(1)</w:t>
            </w:r>
          </w:p>
        </w:tc>
        <w:tc>
          <w:tcPr>
            <w:tcW w:w="1300" w:type="dxa"/>
            <w:vAlign w:val="bottom"/>
            <w:gridSpan w:val="2"/>
          </w:tcPr>
          <w:p>
            <w:pPr>
              <w:ind w:left="260"/>
              <w:spacing w:after="0"/>
              <w:rPr>
                <w:sz w:val="20"/>
                <w:szCs w:val="20"/>
                <w:color w:val="auto"/>
              </w:rPr>
            </w:pPr>
            <w:r>
              <w:rPr>
                <w:rFonts w:ascii="Arial" w:cs="Arial" w:eastAsia="Arial" w:hAnsi="Arial"/>
                <w:sz w:val="16"/>
                <w:szCs w:val="16"/>
                <w:b w:val="1"/>
                <w:bCs w:val="1"/>
                <w:color w:val="auto"/>
              </w:rPr>
              <w:t>Forecast</w:t>
            </w:r>
          </w:p>
        </w:tc>
        <w:tc>
          <w:tcPr>
            <w:tcW w:w="1280" w:type="dxa"/>
            <w:vAlign w:val="bottom"/>
            <w:gridSpan w:val="2"/>
          </w:tcPr>
          <w:p>
            <w:pPr>
              <w:ind w:left="340"/>
              <w:spacing w:after="0"/>
              <w:rPr>
                <w:sz w:val="20"/>
                <w:szCs w:val="20"/>
                <w:color w:val="auto"/>
              </w:rPr>
            </w:pPr>
            <w:r>
              <w:rPr>
                <w:rFonts w:ascii="Arial" w:cs="Arial" w:eastAsia="Arial" w:hAnsi="Arial"/>
                <w:sz w:val="16"/>
                <w:szCs w:val="16"/>
                <w:b w:val="1"/>
                <w:bCs w:val="1"/>
                <w:color w:val="auto"/>
              </w:rPr>
              <w:t>Actual</w:t>
            </w: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rPr>
              <w:t>Unit Change</w:t>
            </w:r>
          </w:p>
        </w:tc>
        <w:tc>
          <w:tcPr>
            <w:tcW w:w="1220" w:type="dxa"/>
            <w:vAlign w:val="bottom"/>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237"/>
        </w:trPr>
        <w:tc>
          <w:tcPr>
            <w:tcW w:w="62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Aggressive</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519,900</w:t>
            </w:r>
          </w:p>
        </w:tc>
        <w:tc>
          <w:tcPr>
            <w:tcW w:w="12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401,500</w:t>
            </w:r>
          </w:p>
        </w:tc>
        <w:tc>
          <w:tcPr>
            <w:tcW w:w="10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118,400</w:t>
            </w:r>
          </w:p>
        </w:tc>
        <w:tc>
          <w:tcPr>
            <w:tcW w:w="12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29.5 %</w:t>
            </w:r>
          </w:p>
        </w:tc>
      </w:tr>
      <w:tr>
        <w:trPr>
          <w:trHeight w:val="233"/>
        </w:trPr>
        <w:tc>
          <w:tcPr>
            <w:tcW w:w="6220" w:type="dxa"/>
            <w:vAlign w:val="bottom"/>
            <w:gridSpan w:val="2"/>
          </w:tcPr>
          <w:p>
            <w:pPr>
              <w:ind w:left="20"/>
              <w:spacing w:after="0"/>
              <w:rPr>
                <w:sz w:val="20"/>
                <w:szCs w:val="20"/>
                <w:color w:val="auto"/>
              </w:rPr>
            </w:pPr>
            <w:r>
              <w:rPr>
                <w:rFonts w:ascii="Arial" w:cs="Arial" w:eastAsia="Arial" w:hAnsi="Arial"/>
                <w:sz w:val="16"/>
                <w:szCs w:val="16"/>
                <w:color w:val="auto"/>
              </w:rPr>
              <w:t>Most likely</w:t>
            </w:r>
          </w:p>
        </w:tc>
        <w:tc>
          <w:tcPr>
            <w:tcW w:w="1180" w:type="dxa"/>
            <w:vAlign w:val="bottom"/>
          </w:tcPr>
          <w:p>
            <w:pPr>
              <w:jc w:val="right"/>
              <w:spacing w:after="0"/>
              <w:rPr>
                <w:sz w:val="20"/>
                <w:szCs w:val="20"/>
                <w:color w:val="auto"/>
              </w:rPr>
            </w:pPr>
            <w:r>
              <w:rPr>
                <w:rFonts w:ascii="Arial" w:cs="Arial" w:eastAsia="Arial" w:hAnsi="Arial"/>
                <w:sz w:val="16"/>
                <w:szCs w:val="16"/>
                <w:color w:val="auto"/>
              </w:rPr>
              <w:t>507,200</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401,500</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105,700</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26.3 %</w:t>
            </w:r>
          </w:p>
        </w:tc>
      </w:tr>
      <w:tr>
        <w:trPr>
          <w:trHeight w:val="253"/>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Conservative</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494,400</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401,500</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92,900</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23.1 %</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(1) Prepared by ITR Economics for RVIA and reported in the Roadsigns RV Fall 2020 Industry Forecast Issue.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Share</w:t>
      </w:r>
    </w:p>
    <w:p>
      <w:pPr>
        <w:spacing w:after="0" w:line="322"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Our retail unit market share, as reported by Stat Surveys based on state records, is illustrated below. Market share is calculated by taking our brands total unit sales divided by the total units sold in the motorized and travel trailer and fifth wheels market. The data is used to analyze growth and profitability of our products and brands year over year, as well as how we compare to our competitors. Note that this data is subject to adjustment and is continuously updated.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40" w:type="dxa"/>
            <w:vAlign w:val="bottom"/>
          </w:tcPr>
          <w:p>
            <w:pPr>
              <w:spacing w:after="0"/>
              <w:rPr>
                <w:sz w:val="16"/>
                <w:szCs w:val="16"/>
                <w:color w:val="auto"/>
              </w:rPr>
            </w:pPr>
          </w:p>
        </w:tc>
        <w:tc>
          <w:tcPr>
            <w:tcW w:w="274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rPr>
              <w:t>Rolling 12 Months through</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28"/>
        </w:trPr>
        <w:tc>
          <w:tcPr>
            <w:tcW w:w="4440" w:type="dxa"/>
            <w:vAlign w:val="bottom"/>
          </w:tcPr>
          <w:p>
            <w:pPr>
              <w:spacing w:after="0"/>
              <w:rPr>
                <w:sz w:val="19"/>
                <w:szCs w:val="19"/>
                <w:color w:val="auto"/>
              </w:rPr>
            </w:pPr>
          </w:p>
        </w:tc>
        <w:tc>
          <w:tcPr>
            <w:tcW w:w="1700" w:type="dxa"/>
            <w:vAlign w:val="bottom"/>
            <w:tcBorders>
              <w:bottom w:val="single" w:sz="8" w:color="auto"/>
            </w:tcBorders>
            <w:gridSpan w:val="3"/>
          </w:tcPr>
          <w:p>
            <w:pPr>
              <w:jc w:val="center"/>
              <w:ind w:left="859"/>
              <w:spacing w:after="0"/>
              <w:rPr>
                <w:sz w:val="20"/>
                <w:szCs w:val="20"/>
                <w:color w:val="auto"/>
              </w:rPr>
            </w:pPr>
            <w:r>
              <w:rPr>
                <w:rFonts w:ascii="Arial" w:cs="Arial" w:eastAsia="Arial" w:hAnsi="Arial"/>
                <w:sz w:val="16"/>
                <w:szCs w:val="16"/>
                <w:b w:val="1"/>
                <w:bCs w:val="1"/>
                <w:color w:val="auto"/>
              </w:rPr>
              <w:t>August</w:t>
            </w: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Calendar Year</w:t>
            </w:r>
          </w:p>
        </w:tc>
        <w:tc>
          <w:tcPr>
            <w:tcW w:w="1260" w:type="dxa"/>
            <w:vAlign w:val="bottom"/>
            <w:tcBorders>
              <w:bottom w:val="single" w:sz="8" w:color="auto"/>
            </w:tcBorders>
          </w:tcPr>
          <w:p>
            <w:pPr>
              <w:spacing w:after="0"/>
              <w:rPr>
                <w:sz w:val="19"/>
                <w:szCs w:val="19"/>
                <w:color w:val="auto"/>
              </w:rPr>
            </w:pPr>
          </w:p>
        </w:tc>
      </w:tr>
      <w:tr>
        <w:trPr>
          <w:trHeight w:val="23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US and Canada</w:t>
            </w: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 and fifth wheels</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10.1 %</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9.3 %</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6.1 %</w:t>
            </w:r>
          </w:p>
        </w:tc>
      </w:tr>
      <w:tr>
        <w:trPr>
          <w:trHeight w:val="233"/>
        </w:trPr>
        <w:tc>
          <w:tcPr>
            <w:tcW w:w="4440" w:type="dxa"/>
            <w:vAlign w:val="bottom"/>
          </w:tcPr>
          <w:p>
            <w:pPr>
              <w:ind w:left="20"/>
              <w:spacing w:after="0"/>
              <w:rPr>
                <w:sz w:val="20"/>
                <w:szCs w:val="20"/>
                <w:color w:val="auto"/>
              </w:rPr>
            </w:pPr>
            <w:r>
              <w:rPr>
                <w:rFonts w:ascii="Arial" w:cs="Arial" w:eastAsia="Arial" w:hAnsi="Arial"/>
                <w:sz w:val="16"/>
                <w:szCs w:val="16"/>
                <w:color w:val="auto"/>
              </w:rPr>
              <w:t>Motorhome A, B, C</w:t>
            </w:r>
          </w:p>
        </w:tc>
        <w:tc>
          <w:tcPr>
            <w:tcW w:w="1260" w:type="dxa"/>
            <w:vAlign w:val="bottom"/>
          </w:tcPr>
          <w:p>
            <w:pPr>
              <w:jc w:val="right"/>
              <w:spacing w:after="0"/>
              <w:rPr>
                <w:sz w:val="20"/>
                <w:szCs w:val="20"/>
                <w:color w:val="auto"/>
              </w:rPr>
            </w:pPr>
            <w:r>
              <w:rPr>
                <w:rFonts w:ascii="Arial" w:cs="Arial" w:eastAsia="Arial" w:hAnsi="Arial"/>
                <w:sz w:val="16"/>
                <w:szCs w:val="16"/>
                <w:color w:val="auto"/>
              </w:rPr>
              <w:t>20.2 %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15.3 %</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16.1 %</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15.6 %</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16.3 %</w:t>
            </w:r>
          </w:p>
        </w:tc>
      </w:tr>
      <w:tr>
        <w:trPr>
          <w:trHeight w:val="25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market share</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11.2 %</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10.1 %</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8.7 %</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7.4 %</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Facility Expansion</w:t>
      </w:r>
    </w:p>
    <w:p>
      <w:pPr>
        <w:spacing w:after="0" w:line="268"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Due to the rapid growth in our Towable segment, we had implemented facility expansion projects in our Grand Design towables and Winnebago towables operating segments. The Grand Design towables expansion project consisted of three new production facilities--two were completed in Fiscal 2018 and one was completed during the second quarter of Fiscal 2020. The facility expansion in the Winnebago towables division was completed in the third quarter of Fiscal 2019.</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Enterprise Resource Planning System</w:t>
      </w:r>
    </w:p>
    <w:p>
      <w:pPr>
        <w:spacing w:after="0" w:line="26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 the second quarter of Fiscal 2015, our Board of Directors approved the strategic initiative of implementing an enterprise resource planning ("ERP") system to replace our legacy business applications. The new ERP platform will provide better support for our changing business needs and plans for future growth. Our initial cost estimates have grown for additional needs of the business, such as the opportunity to integrate the ERP system with additional manufacturing systems. The project includes software, external implementation assistance, and increased internal staffing directly related to this initiative. We anticipate that approximately 40% of the cost will be expensed in the period incurred and 60% will be capitalized and depreciated over its useful life.</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illustrates the cumulative project costs: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6"/>
                <w:szCs w:val="16"/>
                <w:b w:val="1"/>
                <w:bCs w:val="1"/>
                <w:color w:val="auto"/>
              </w:rPr>
              <w:t>Cumulative Investment</w:t>
            </w:r>
          </w:p>
        </w:tc>
      </w:tr>
      <w:tr>
        <w:trPr>
          <w:trHeight w:val="243"/>
        </w:trPr>
        <w:tc>
          <w:tcPr>
            <w:tcW w:w="1200" w:type="dxa"/>
            <w:vAlign w:val="bottom"/>
          </w:tcPr>
          <w:p>
            <w:pPr>
              <w:ind w:left="20"/>
              <w:spacing w:after="0"/>
              <w:rPr>
                <w:sz w:val="20"/>
                <w:szCs w:val="20"/>
                <w:color w:val="auto"/>
              </w:rPr>
            </w:pPr>
            <w:r>
              <w:rPr>
                <w:rFonts w:ascii="Arial" w:cs="Arial" w:eastAsia="Arial" w:hAnsi="Arial"/>
                <w:sz w:val="16"/>
                <w:szCs w:val="16"/>
                <w:color w:val="auto"/>
              </w:rPr>
              <w:t>Capitalized</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26,677</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58.8 %</w:t>
            </w:r>
          </w:p>
        </w:tc>
      </w:tr>
      <w:tr>
        <w:trPr>
          <w:trHeight w:val="237"/>
        </w:trPr>
        <w:tc>
          <w:tcPr>
            <w:tcW w:w="1200" w:type="dxa"/>
            <w:vAlign w:val="bottom"/>
          </w:tcPr>
          <w:p>
            <w:pPr>
              <w:ind w:left="20"/>
              <w:spacing w:after="0"/>
              <w:rPr>
                <w:sz w:val="20"/>
                <w:szCs w:val="20"/>
                <w:color w:val="auto"/>
              </w:rPr>
            </w:pPr>
            <w:r>
              <w:rPr>
                <w:rFonts w:ascii="Arial" w:cs="Arial" w:eastAsia="Arial" w:hAnsi="Arial"/>
                <w:sz w:val="16"/>
                <w:szCs w:val="16"/>
                <w:color w:val="auto"/>
              </w:rPr>
              <w:t>Expensed</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1,788</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3,709</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2,107</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5,930</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2,528</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18,663</w:t>
            </w: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41.2 %</w:t>
            </w:r>
          </w:p>
        </w:tc>
      </w:tr>
      <w:tr>
        <w:trPr>
          <w:trHeight w:val="268"/>
        </w:trPr>
        <w:tc>
          <w:tcPr>
            <w:tcW w:w="1200" w:type="dxa"/>
            <w:vAlign w:val="bottom"/>
          </w:tcPr>
          <w:p>
            <w:pPr>
              <w:ind w:left="1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13,728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45,340</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120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Restructuring</w:t>
      </w:r>
    </w:p>
    <w:p>
      <w:pPr>
        <w:spacing w:after="0" w:line="268" w:lineRule="exact"/>
        <w:rPr>
          <w:sz w:val="20"/>
          <w:szCs w:val="20"/>
          <w:color w:val="auto"/>
        </w:rPr>
      </w:pPr>
    </w:p>
    <w:p>
      <w:pPr>
        <w:ind w:right="600"/>
        <w:spacing w:after="0" w:line="253" w:lineRule="auto"/>
        <w:rPr>
          <w:sz w:val="20"/>
          <w:szCs w:val="20"/>
          <w:color w:val="auto"/>
        </w:rPr>
      </w:pPr>
      <w:r>
        <w:rPr>
          <w:rFonts w:ascii="Arial" w:cs="Arial" w:eastAsia="Arial" w:hAnsi="Arial"/>
          <w:sz w:val="16"/>
          <w:szCs w:val="16"/>
          <w:color w:val="auto"/>
        </w:rPr>
        <w:t>During the third quarter of Fiscal 2020, the Company completed a reduction in force intended to improve operational efficiencies and to align with the Company's long-term strategic plan, which resulted in headcount reductions in the Motorhome segment. As a result, we recognized $1.5 million of restructuring charges during the twelve months ended August 29, 2020. These charges include termination benefits.</w:t>
      </w:r>
    </w:p>
    <w:p>
      <w:pPr>
        <w:spacing w:after="0" w:line="228"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On February 4, 2019, we announced our intent to move our Motorhome diesel production from Junction City, OR to Forest City, IA to enable more effective product development and improve our cost structure. These charges include termination benefits, asset-related expenses, facility closure costs, headcount reductions, and other related costs. Employee-related costs were primarily paid in Fiscal 2019.</w:t>
      </w:r>
    </w:p>
    <w:p>
      <w:pPr>
        <w:spacing w:after="0" w:line="228"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These restructuring activities resulted in pretax charges of $1.7 million and $1.9 million in Fiscal 2020 and Fiscal 2019, respectively. We expect additional expenses of approximately $0.4 million in Fiscal 2021, primarily related to closed facility costs.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We expect these expenses to be fully offset by the corresponding savings generated by the projects, which were primarily completed in Fiscal 2020 and Fiscal 2019, and the full benefit of these actions is expected in Fiscal 2021.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 Fiscal 2020 Compared to Fiscal 2019</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Performance Summary</w:t>
      </w:r>
    </w:p>
    <w:p>
      <w:pPr>
        <w:spacing w:after="0" w:line="268"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The following is an analysis of changes in key items included in the statements of operations for the fiscal year ended August 29, 2020 compared to the fiscal year ended August 31, 2019:</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20" w:type="dxa"/>
            <w:vAlign w:val="bottom"/>
          </w:tcPr>
          <w:p>
            <w:pPr>
              <w:ind w:left="20"/>
              <w:spacing w:after="0"/>
              <w:rPr>
                <w:sz w:val="20"/>
                <w:szCs w:val="20"/>
                <w:color w:val="auto"/>
              </w:rPr>
            </w:pPr>
            <w:r>
              <w:rPr>
                <w:rFonts w:ascii="Arial" w:cs="Arial" w:eastAsia="Arial" w:hAnsi="Arial"/>
                <w:sz w:val="16"/>
                <w:szCs w:val="16"/>
                <w:b w:val="1"/>
                <w:bCs w:val="1"/>
                <w:color w:val="auto"/>
              </w:rPr>
              <w:t>(in thousands, except percent and</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4"/>
        </w:trPr>
        <w:tc>
          <w:tcPr>
            <w:tcW w:w="2920" w:type="dxa"/>
            <w:vAlign w:val="bottom"/>
          </w:tcPr>
          <w:p>
            <w:pPr>
              <w:ind w:left="20"/>
              <w:spacing w:after="0"/>
              <w:rPr>
                <w:sz w:val="20"/>
                <w:szCs w:val="20"/>
                <w:color w:val="auto"/>
              </w:rPr>
            </w:pPr>
            <w:r>
              <w:rPr>
                <w:rFonts w:ascii="Arial" w:cs="Arial" w:eastAsia="Arial" w:hAnsi="Arial"/>
                <w:sz w:val="16"/>
                <w:szCs w:val="16"/>
                <w:b w:val="1"/>
                <w:bCs w:val="1"/>
                <w:color w:val="auto"/>
              </w:rPr>
              <w:t>per share data)</w:t>
            </w:r>
          </w:p>
        </w:tc>
        <w:tc>
          <w:tcPr>
            <w:tcW w:w="320" w:type="dxa"/>
            <w:vAlign w:val="bottom"/>
          </w:tcPr>
          <w:p>
            <w:pPr>
              <w:spacing w:after="0"/>
              <w:rPr>
                <w:sz w:val="20"/>
                <w:szCs w:val="20"/>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1440" w:type="dxa"/>
            <w:vAlign w:val="bottom"/>
            <w:gridSpan w:val="2"/>
          </w:tcPr>
          <w:p>
            <w:pPr>
              <w:ind w:left="20"/>
              <w:spacing w:after="0" w:line="234"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320" w:type="dxa"/>
            <w:vAlign w:val="bottom"/>
          </w:tcPr>
          <w:p>
            <w:pPr>
              <w:spacing w:after="0"/>
              <w:rPr>
                <w:sz w:val="20"/>
                <w:szCs w:val="20"/>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460" w:type="dxa"/>
            <w:vAlign w:val="bottom"/>
            <w:gridSpan w:val="2"/>
          </w:tcPr>
          <w:p>
            <w:pPr>
              <w:ind w:left="20"/>
              <w:spacing w:after="0" w:line="234"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4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Arial" w:cs="Arial" w:eastAsia="Arial" w:hAnsi="Arial"/>
                <w:sz w:val="16"/>
                <w:szCs w:val="16"/>
                <w:b w:val="1"/>
                <w:bCs w:val="1"/>
                <w:color w:val="auto"/>
              </w:rPr>
              <w:t>$ Change</w:t>
            </w:r>
          </w:p>
        </w:tc>
        <w:tc>
          <w:tcPr>
            <w:tcW w:w="1160" w:type="dxa"/>
            <w:vAlign w:val="bottom"/>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236"/>
        </w:trPr>
        <w:tc>
          <w:tcPr>
            <w:tcW w:w="2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2,355,533</w:t>
            </w:r>
          </w:p>
        </w:tc>
        <w:tc>
          <w:tcPr>
            <w:tcW w:w="120" w:type="dxa"/>
            <w:vAlign w:val="bottom"/>
            <w:tcBorders>
              <w:top w:val="single" w:sz="8" w:color="CCEEFF"/>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1,985,674</w:t>
            </w:r>
          </w:p>
        </w:tc>
        <w:tc>
          <w:tcPr>
            <w:tcW w:w="120" w:type="dxa"/>
            <w:vAlign w:val="bottom"/>
            <w:tcBorders>
              <w:top w:val="single" w:sz="8" w:color="CCEEFF"/>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369,859</w:t>
            </w:r>
          </w:p>
        </w:tc>
        <w:tc>
          <w:tcPr>
            <w:tcW w:w="100" w:type="dxa"/>
            <w:vAlign w:val="bottom"/>
            <w:tcBorders>
              <w:top w:val="single" w:sz="8" w:color="CCEEFF"/>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18.6 %</w:t>
            </w:r>
          </w:p>
        </w:tc>
      </w:tr>
      <w:tr>
        <w:trPr>
          <w:trHeight w:val="237"/>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2,042,605</w:t>
            </w:r>
          </w:p>
        </w:tc>
        <w:tc>
          <w:tcPr>
            <w:tcW w:w="1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86.7 %</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1,678,477</w:t>
            </w:r>
          </w:p>
        </w:tc>
        <w:tc>
          <w:tcPr>
            <w:tcW w:w="1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84.5 %</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364,128</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21.7 %</w:t>
            </w:r>
          </w:p>
        </w:tc>
      </w:tr>
      <w:tr>
        <w:trPr>
          <w:trHeight w:val="243"/>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312,928</w:t>
            </w:r>
          </w:p>
        </w:tc>
        <w:tc>
          <w:tcPr>
            <w:tcW w:w="120" w:type="dxa"/>
            <w:vAlign w:val="bottom"/>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13.3 %</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307,197</w:t>
            </w:r>
          </w:p>
        </w:tc>
        <w:tc>
          <w:tcPr>
            <w:tcW w:w="120" w:type="dxa"/>
            <w:vAlign w:val="bottom"/>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15.5 %</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5,731</w:t>
            </w:r>
          </w:p>
        </w:tc>
        <w:tc>
          <w:tcPr>
            <w:tcW w:w="10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1.9 %</w:t>
            </w:r>
          </w:p>
        </w:tc>
      </w:tr>
      <w:tr>
        <w:trPr>
          <w:trHeight w:val="198"/>
        </w:trPr>
        <w:tc>
          <w:tcPr>
            <w:tcW w:w="292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4"/>
        </w:trPr>
        <w:tc>
          <w:tcPr>
            <w:tcW w:w="2920" w:type="dxa"/>
            <w:vAlign w:val="bottom"/>
          </w:tcPr>
          <w:p>
            <w:pPr>
              <w:ind w:left="20"/>
              <w:spacing w:after="0"/>
              <w:rPr>
                <w:sz w:val="20"/>
                <w:szCs w:val="20"/>
                <w:color w:val="auto"/>
              </w:rPr>
            </w:pPr>
            <w:r>
              <w:rPr>
                <w:rFonts w:ascii="Arial" w:cs="Arial" w:eastAsia="Arial" w:hAnsi="Arial"/>
                <w:sz w:val="16"/>
                <w:szCs w:val="16"/>
                <w:color w:val="auto"/>
              </w:rPr>
              <w:t>expenses ("SG&amp;A")</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177,061</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7.5 %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142,295</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7.2 %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34,766</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24.4 %</w:t>
            </w:r>
          </w:p>
        </w:tc>
      </w:tr>
      <w:tr>
        <w:trPr>
          <w:trHeight w:val="246"/>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22,104</w:t>
            </w:r>
          </w:p>
        </w:tc>
        <w:tc>
          <w:tcPr>
            <w:tcW w:w="120" w:type="dxa"/>
            <w:vAlign w:val="bottom"/>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9,635</w:t>
            </w:r>
          </w:p>
        </w:tc>
        <w:tc>
          <w:tcPr>
            <w:tcW w:w="120" w:type="dxa"/>
            <w:vAlign w:val="bottom"/>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12,469</w:t>
            </w:r>
          </w:p>
        </w:tc>
        <w:tc>
          <w:tcPr>
            <w:tcW w:w="10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129.4 %</w:t>
            </w:r>
          </w:p>
        </w:tc>
      </w:tr>
      <w:tr>
        <w:trPr>
          <w:trHeight w:val="237"/>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199,165</w:t>
            </w:r>
          </w:p>
        </w:tc>
        <w:tc>
          <w:tcPr>
            <w:tcW w:w="1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8.5 %</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151,930</w:t>
            </w:r>
          </w:p>
        </w:tc>
        <w:tc>
          <w:tcPr>
            <w:tcW w:w="1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7.7 %</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47,235</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31.1 %</w:t>
            </w:r>
          </w:p>
        </w:tc>
      </w:tr>
      <w:tr>
        <w:trPr>
          <w:trHeight w:val="243"/>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113,763</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155,267</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(41,504)</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r>
      <w:tr>
        <w:trPr>
          <w:trHeight w:val="233"/>
        </w:trPr>
        <w:tc>
          <w:tcPr>
            <w:tcW w:w="29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37,461</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17,939</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19,522</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108.8 %</w:t>
            </w:r>
          </w:p>
        </w:tc>
      </w:tr>
      <w:tr>
        <w:trPr>
          <w:trHeight w:val="246"/>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w:t>
            </w: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(1,581)</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r>
      <w:tr>
        <w:trPr>
          <w:trHeight w:val="233"/>
        </w:trPr>
        <w:tc>
          <w:tcPr>
            <w:tcW w:w="292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77,276</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138,909</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7.0 %</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(61,633)</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(44.4)%</w:t>
            </w:r>
          </w:p>
        </w:tc>
      </w:tr>
      <w:tr>
        <w:trPr>
          <w:trHeight w:val="246"/>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15,834</w:t>
            </w:r>
          </w:p>
        </w:tc>
        <w:tc>
          <w:tcPr>
            <w:tcW w:w="120" w:type="dxa"/>
            <w:vAlign w:val="bottom"/>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27,111</w:t>
            </w:r>
          </w:p>
        </w:tc>
        <w:tc>
          <w:tcPr>
            <w:tcW w:w="120" w:type="dxa"/>
            <w:vAlign w:val="bottom"/>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(11,277)</w:t>
            </w:r>
          </w:p>
        </w:tc>
        <w:tc>
          <w:tcPr>
            <w:tcW w:w="10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r>
      <w:tr>
        <w:trPr>
          <w:trHeight w:val="243"/>
        </w:trPr>
        <w:tc>
          <w:tcPr>
            <w:tcW w:w="29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61,442</w:t>
            </w:r>
          </w:p>
        </w:tc>
        <w:tc>
          <w:tcPr>
            <w:tcW w:w="12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111,798</w:t>
            </w:r>
          </w:p>
        </w:tc>
        <w:tc>
          <w:tcPr>
            <w:tcW w:w="12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5.6 %</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(50,356)</w:t>
            </w:r>
          </w:p>
        </w:tc>
        <w:tc>
          <w:tcPr>
            <w:tcW w:w="100" w:type="dxa"/>
            <w:vAlign w:val="bottom"/>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w:t>
            </w: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2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33"/>
        </w:trPr>
        <w:tc>
          <w:tcPr>
            <w:tcW w:w="2920" w:type="dxa"/>
            <w:vAlign w:val="bottom"/>
          </w:tcPr>
          <w:p>
            <w:pPr>
              <w:ind w:left="20"/>
              <w:spacing w:after="0"/>
              <w:rPr>
                <w:sz w:val="20"/>
                <w:szCs w:val="20"/>
                <w:color w:val="auto"/>
              </w:rPr>
            </w:pPr>
            <w:r>
              <w:rPr>
                <w:rFonts w:ascii="Arial" w:cs="Arial" w:eastAsia="Arial" w:hAnsi="Arial"/>
                <w:sz w:val="16"/>
                <w:szCs w:val="16"/>
                <w:color w:val="auto"/>
              </w:rPr>
              <w:t>Diluted income per share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3.52</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(47.7)%</w:t>
            </w:r>
          </w:p>
        </w:tc>
      </w:tr>
      <w:tr>
        <w:trPr>
          <w:trHeight w:val="253"/>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average shares outstanding</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33,454</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31,721</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1,733</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5.5 %</w:t>
            </w:r>
          </w:p>
        </w:tc>
      </w:tr>
    </w:tbl>
    <w:p>
      <w:pPr>
        <w:spacing w:after="0" w:line="113"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241"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Net revenues increased in Fiscal 2020 compared to Fiscal 2019 primarily due to the Newmar acquisition and an organic volume growth in the Towable segment, which was partially offset by lower third quarter Fiscal 2020 volume as a result of the COVID-19 pandemic.</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Gross profit as a percentage of revenue decreased in Fiscal 2020 compared to Fiscal 2019 primarily due to the impact of lower volume in the third quarter of Fiscal 2020 as a result of the COVID-19 pandemic, resulting deleverage when considering fixed expenses within cost of goods sold, an unfavorable change in mix as a result of our acquisition of Newmar, and Newmar purchase accounting impacts (i.e. inventory step-up).</w:t>
      </w:r>
    </w:p>
    <w:p>
      <w:pPr>
        <w:spacing w:after="0" w:line="228"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Operating expenses increased in Fiscal 2020 compared to Fiscal 2019 due to our acquisition-related costs and incremental amortization related to the purchase accounting and normal operating expenses of Newmar.</w:t>
      </w:r>
    </w:p>
    <w:p>
      <w:pPr>
        <w:spacing w:after="0" w:line="222" w:lineRule="exact"/>
        <w:rPr>
          <w:sz w:val="20"/>
          <w:szCs w:val="20"/>
          <w:color w:val="auto"/>
        </w:rPr>
      </w:pPr>
    </w:p>
    <w:p>
      <w:pPr>
        <w:ind w:right="640"/>
        <w:spacing w:after="0" w:line="260" w:lineRule="auto"/>
        <w:rPr>
          <w:sz w:val="20"/>
          <w:szCs w:val="20"/>
          <w:color w:val="auto"/>
        </w:rPr>
      </w:pPr>
      <w:r>
        <w:rPr>
          <w:rFonts w:ascii="Arial" w:cs="Arial" w:eastAsia="Arial" w:hAnsi="Arial"/>
          <w:sz w:val="16"/>
          <w:szCs w:val="16"/>
          <w:color w:val="auto"/>
        </w:rPr>
        <w:t>Interest expense increased in Fiscal 2020 compared to Fiscal 2019 due to the additional interest expense related to the Convertible Notes issued in connection with the acquisition of Newmar and debt issuance costs written off due to the termination of our Term Loan (as defined above).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Non-operating income decreased in Fiscal 2020 compared to Fiscal 2019 due to lower net proceeds received from company-owned life insurance policies.</w:t>
      </w:r>
    </w:p>
    <w:p>
      <w:pPr>
        <w:spacing w:after="0" w:line="24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effective tax rate increased to 20.5% in Fiscal 2020 compared to 19.5% in Fiscal 2019 primarily due to the favorable impact in the prior year of research and development credits, partially offset by the impact of consistent credits on a lower pretax income in Fiscal 2020.</w:t>
      </w:r>
    </w:p>
    <w:p>
      <w:pPr>
        <w:spacing w:after="0" w:line="222"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Net income and diluted income per share decreased in Fiscal 2020 compared to Fiscal 2019 primarily due to reduced profitability from the impact of the COVID-19 pandemic in the third quarter of Fiscal 2020, incremental interest expense due to our convertible debt, acquisition-related costs and incremental amortization due to our Newmar acquisition. Diluted income per share was further impacted by the share consideration issued in the Newmar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84"/>
        </w:trPr>
        <w:tc>
          <w:tcPr>
            <w:tcW w:w="7620" w:type="dxa"/>
            <w:vAlign w:val="bottom"/>
            <w:gridSpan w:val="2"/>
          </w:tcPr>
          <w:p>
            <w:pPr>
              <w:spacing w:after="0"/>
              <w:rPr>
                <w:rFonts w:ascii="Arial" w:cs="Arial" w:eastAsia="Arial" w:hAnsi="Arial"/>
                <w:sz w:val="16"/>
                <w:szCs w:val="16"/>
                <w:color w:val="0000FF"/>
              </w:rPr>
            </w:pPr>
            <w:r>
              <w:rPr>
                <w:rFonts w:ascii="Arial" w:cs="Arial" w:eastAsia="Arial" w:hAnsi="Arial"/>
                <w:sz w:val="16"/>
                <w:szCs w:val="16"/>
                <w:color w:val="0000FF"/>
              </w:rPr>
              <w:t xml:space="preserve">Table </w:t>
            </w:r>
            <w:hyperlink w:anchor="page1">
              <w:r>
                <w:rPr>
                  <w:rFonts w:ascii="Arial" w:cs="Arial" w:eastAsia="Arial" w:hAnsi="Arial"/>
                  <w:sz w:val="16"/>
                  <w:szCs w:val="16"/>
                  <w:color w:val="0000FF"/>
                </w:rPr>
                <w:t xml:space="preserve">of </w:t>
              </w:r>
            </w:hyperlink>
            <w:r>
              <w:rPr>
                <w:rFonts w:ascii="Arial" w:cs="Arial" w:eastAsia="Arial" w:hAnsi="Arial"/>
                <w:sz w:val="16"/>
                <w:szCs w:val="16"/>
                <w:color w:val="0000FF"/>
              </w:rPr>
              <w:t>Contents</w:t>
            </w:r>
          </w:p>
        </w:tc>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825"/>
        </w:trPr>
        <w:tc>
          <w:tcPr>
            <w:tcW w:w="76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Non-GAAP Reconciliation</w:t>
            </w: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2"/>
        </w:trPr>
        <w:tc>
          <w:tcPr>
            <w:tcW w:w="8280" w:type="dxa"/>
            <w:vAlign w:val="bottom"/>
            <w:gridSpan w:val="3"/>
          </w:tcPr>
          <w:p>
            <w:pPr>
              <w:spacing w:after="0"/>
              <w:rPr>
                <w:sz w:val="20"/>
                <w:szCs w:val="20"/>
                <w:color w:val="auto"/>
              </w:rPr>
            </w:pPr>
            <w:r>
              <w:rPr>
                <w:rFonts w:ascii="Arial" w:cs="Arial" w:eastAsia="Arial" w:hAnsi="Arial"/>
                <w:sz w:val="16"/>
                <w:szCs w:val="16"/>
                <w:color w:val="auto"/>
              </w:rPr>
              <w:t>The following table reconciles net income to consolidated EBITDA and Adjusted EBITDA for Fiscal 2020 and 2019:</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6"/>
        </w:trPr>
        <w:tc>
          <w:tcPr>
            <w:tcW w:w="76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6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r>
      <w:tr>
        <w:trPr>
          <w:trHeight w:val="243"/>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6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61,442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111,798</w:t>
            </w:r>
          </w:p>
        </w:tc>
      </w:tr>
      <w:tr>
        <w:trPr>
          <w:trHeight w:val="23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6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37,461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17,939</w:t>
            </w:r>
          </w:p>
        </w:tc>
      </w:tr>
      <w:tr>
        <w:trPr>
          <w:trHeight w:val="253"/>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6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27,111</w:t>
            </w:r>
          </w:p>
        </w:tc>
      </w:tr>
      <w:tr>
        <w:trPr>
          <w:trHeight w:val="23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Depreciation</w:t>
            </w:r>
          </w:p>
        </w:tc>
        <w:tc>
          <w:tcPr>
            <w:tcW w:w="6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15,997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13,682</w:t>
            </w:r>
          </w:p>
        </w:tc>
      </w:tr>
      <w:tr>
        <w:trPr>
          <w:trHeight w:val="246"/>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6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22,104</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9,635</w:t>
            </w:r>
          </w:p>
        </w:tc>
      </w:tr>
      <w:tr>
        <w:trPr>
          <w:trHeight w:val="233"/>
        </w:trPr>
        <w:tc>
          <w:tcPr>
            <w:tcW w:w="7620" w:type="dxa"/>
            <w:vAlign w:val="bottom"/>
            <w:gridSpan w:val="2"/>
          </w:tcPr>
          <w:p>
            <w:pPr>
              <w:ind w:left="120"/>
              <w:spacing w:after="0"/>
              <w:rPr>
                <w:sz w:val="20"/>
                <w:szCs w:val="20"/>
                <w:color w:val="auto"/>
              </w:rPr>
            </w:pPr>
            <w:r>
              <w:rPr>
                <w:rFonts w:ascii="Arial" w:cs="Arial" w:eastAsia="Arial" w:hAnsi="Arial"/>
                <w:sz w:val="16"/>
                <w:szCs w:val="16"/>
                <w:color w:val="auto"/>
              </w:rPr>
              <w:t>EBITDA</w:t>
            </w:r>
          </w:p>
        </w:tc>
        <w:tc>
          <w:tcPr>
            <w:tcW w:w="6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152,838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180,165</w:t>
            </w:r>
          </w:p>
        </w:tc>
      </w:tr>
      <w:tr>
        <w:trPr>
          <w:trHeight w:val="253"/>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Acquisition-related fair-value inventory step-up</w:t>
            </w:r>
          </w:p>
        </w:tc>
        <w:tc>
          <w:tcPr>
            <w:tcW w:w="6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Acquisition-related costs</w:t>
            </w:r>
          </w:p>
        </w:tc>
        <w:tc>
          <w:tcPr>
            <w:tcW w:w="6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9,761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Restructuring</w:t>
            </w:r>
            <w:r>
              <w:rPr>
                <w:rFonts w:ascii="Arial" w:cs="Arial" w:eastAsia="Arial" w:hAnsi="Arial"/>
                <w:sz w:val="21"/>
                <w:szCs w:val="21"/>
                <w:color w:val="auto"/>
                <w:vertAlign w:val="superscript"/>
              </w:rPr>
              <w:t>(1)</w:t>
            </w:r>
          </w:p>
        </w:tc>
        <w:tc>
          <w:tcPr>
            <w:tcW w:w="6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w:t>
            </w:r>
          </w:p>
        </w:tc>
      </w:tr>
      <w:tr>
        <w:trPr>
          <w:trHeight w:val="236"/>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Non-operating income</w:t>
            </w:r>
          </w:p>
        </w:tc>
        <w:tc>
          <w:tcPr>
            <w:tcW w:w="6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(1,581)</w:t>
            </w:r>
          </w:p>
        </w:tc>
      </w:tr>
      <w:tr>
        <w:trPr>
          <w:trHeight w:val="268"/>
        </w:trPr>
        <w:tc>
          <w:tcPr>
            <w:tcW w:w="76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Adjusted EBITDA</w:t>
            </w:r>
          </w:p>
        </w:tc>
        <w:tc>
          <w:tcPr>
            <w:tcW w:w="6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168,075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179,652</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Balance excludes depreciation expense classified as restructuring as the balance is already included in the EBITDA calculation.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Reportable Segment Performance Summary</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432"/>
        </w:trPr>
        <w:tc>
          <w:tcPr>
            <w:tcW w:w="3120" w:type="dxa"/>
            <w:vAlign w:val="bottom"/>
          </w:tcPr>
          <w:p>
            <w:pPr>
              <w:spacing w:after="0"/>
              <w:rPr>
                <w:sz w:val="20"/>
                <w:szCs w:val="20"/>
                <w:color w:val="auto"/>
              </w:rPr>
            </w:pPr>
            <w:r>
              <w:rPr>
                <w:rFonts w:ascii="Arial" w:cs="Arial" w:eastAsia="Arial" w:hAnsi="Arial"/>
                <w:sz w:val="16"/>
                <w:szCs w:val="16"/>
                <w:i w:val="1"/>
                <w:iCs w:val="1"/>
                <w:color w:val="auto"/>
              </w:rPr>
              <w:t>Towable</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32"/>
        </w:trPr>
        <w:tc>
          <w:tcPr>
            <w:tcW w:w="7440" w:type="dxa"/>
            <w:vAlign w:val="bottom"/>
            <w:gridSpan w:val="8"/>
          </w:tcPr>
          <w:p>
            <w:pPr>
              <w:spacing w:after="0"/>
              <w:rPr>
                <w:sz w:val="20"/>
                <w:szCs w:val="20"/>
                <w:color w:val="auto"/>
              </w:rPr>
            </w:pPr>
            <w:r>
              <w:rPr>
                <w:rFonts w:ascii="Arial" w:cs="Arial" w:eastAsia="Arial" w:hAnsi="Arial"/>
                <w:sz w:val="16"/>
                <w:szCs w:val="16"/>
                <w:color w:val="auto"/>
              </w:rPr>
              <w:t>The following is an analysis of key changes in our Towable segment for Fiscal 2020 and 2019:</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6"/>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 except ASP)</w:t>
            </w: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of Revenues</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of Revenues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 Change</w:t>
            </w: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1,227,567</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1,197,327</w:t>
            </w:r>
          </w:p>
        </w:tc>
        <w:tc>
          <w:tcPr>
            <w:tcW w:w="156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30,240</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33"/>
        </w:trPr>
        <w:tc>
          <w:tcPr>
            <w:tcW w:w="31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148,276</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12.1 %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163,677</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13.7 %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(15,401)</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26"/>
        </w:trPr>
        <w:tc>
          <w:tcPr>
            <w:tcW w:w="3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308"/>
        </w:trPr>
        <w:tc>
          <w:tcPr>
            <w:tcW w:w="3120" w:type="dxa"/>
            <w:vAlign w:val="bottom"/>
          </w:tcPr>
          <w:p>
            <w:pPr>
              <w:ind w:left="20"/>
              <w:spacing w:after="0"/>
              <w:rPr>
                <w:sz w:val="20"/>
                <w:szCs w:val="20"/>
                <w:color w:val="auto"/>
              </w:rPr>
            </w:pPr>
            <w:r>
              <w:rPr>
                <w:rFonts w:ascii="Arial" w:cs="Arial" w:eastAsia="Arial" w:hAnsi="Arial"/>
                <w:sz w:val="16"/>
                <w:szCs w:val="16"/>
                <w:color w:val="auto"/>
              </w:rPr>
              <w:t>Average Selling Price ("ASP")</w:t>
            </w:r>
            <w:r>
              <w:rPr>
                <w:rFonts w:ascii="Arial" w:cs="Arial" w:eastAsia="Arial" w:hAnsi="Arial"/>
                <w:sz w:val="21"/>
                <w:szCs w:val="21"/>
                <w:color w:val="auto"/>
                <w:vertAlign w:val="superscript"/>
              </w:rPr>
              <w:t>(1)</w:t>
            </w:r>
          </w:p>
        </w:tc>
        <w:tc>
          <w:tcPr>
            <w:tcW w:w="100" w:type="dxa"/>
            <w:vAlign w:val="bottom"/>
          </w:tcPr>
          <w:p>
            <w:pPr>
              <w:spacing w:after="0"/>
              <w:rPr>
                <w:sz w:val="24"/>
                <w:szCs w:val="24"/>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32,607</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32,811</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394"/>
        </w:trPr>
        <w:tc>
          <w:tcPr>
            <w:tcW w:w="312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Pr>
          <w:p>
            <w:pPr>
              <w:spacing w:after="0"/>
              <w:rPr>
                <w:sz w:val="24"/>
                <w:szCs w:val="24"/>
                <w:color w:val="auto"/>
              </w:rPr>
            </w:pPr>
          </w:p>
        </w:tc>
        <w:tc>
          <w:tcPr>
            <w:tcW w:w="13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2500" w:type="dxa"/>
            <w:vAlign w:val="bottom"/>
            <w:gridSpan w:val="5"/>
          </w:tcPr>
          <w:p>
            <w:pPr>
              <w:ind w:left="6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 xml:space="preserve">    Unit Change</w:t>
            </w:r>
          </w:p>
        </w:tc>
        <w:tc>
          <w:tcPr>
            <w:tcW w:w="116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36"/>
        </w:trPr>
        <w:tc>
          <w:tcPr>
            <w:tcW w:w="3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0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23,184</w:t>
            </w:r>
          </w:p>
        </w:tc>
        <w:tc>
          <w:tcPr>
            <w:tcW w:w="10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61.2 %</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22,458</w:t>
            </w:r>
          </w:p>
        </w:tc>
        <w:tc>
          <w:tcPr>
            <w:tcW w:w="12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61.0 %</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120" w:type="dxa"/>
            <w:vAlign w:val="bottom"/>
            <w:tcBorders>
              <w:top w:val="single" w:sz="8" w:color="CCEEFF"/>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3.2 %</w:t>
            </w:r>
          </w:p>
        </w:tc>
      </w:tr>
      <w:tr>
        <w:trPr>
          <w:trHeight w:val="237"/>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14,706</w:t>
            </w: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38.8 %</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14,371</w:t>
            </w: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39.0 %</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2.3 %</w:t>
            </w:r>
          </w:p>
        </w:tc>
      </w:tr>
      <w:tr>
        <w:trPr>
          <w:trHeight w:val="263"/>
        </w:trPr>
        <w:tc>
          <w:tcPr>
            <w:tcW w:w="3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Towable</w:t>
            </w:r>
          </w:p>
        </w:tc>
        <w:tc>
          <w:tcPr>
            <w:tcW w:w="1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37,890</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36,829</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2.9 %</w:t>
            </w:r>
          </w:p>
        </w:tc>
      </w:tr>
      <w:tr>
        <w:trPr>
          <w:trHeight w:val="20"/>
        </w:trPr>
        <w:tc>
          <w:tcPr>
            <w:tcW w:w="3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00"/>
        </w:trPr>
        <w:tc>
          <w:tcPr>
            <w:tcW w:w="312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4"/>
                <w:szCs w:val="24"/>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b w:val="1"/>
                <w:bCs w:val="1"/>
                <w:color w:val="auto"/>
              </w:rPr>
              <w:t>August 29, 2020</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b w:val="1"/>
                <w:bCs w:val="1"/>
                <w:color w:val="auto"/>
              </w:rPr>
              <w:t>August 31, 2019</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Change</w:t>
            </w:r>
          </w:p>
        </w:tc>
        <w:tc>
          <w:tcPr>
            <w:tcW w:w="116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6"/>
        </w:trPr>
        <w:tc>
          <w:tcPr>
            <w:tcW w:w="3120" w:type="dxa"/>
            <w:vAlign w:val="bottom"/>
            <w:tcBorders>
              <w:top w:val="single" w:sz="8" w:color="auto"/>
            </w:tcBorders>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(3)</w:t>
            </w: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3"/>
        </w:trPr>
        <w:tc>
          <w:tcPr>
            <w:tcW w:w="3120" w:type="dxa"/>
            <w:vAlign w:val="bottom"/>
          </w:tcPr>
          <w:p>
            <w:pPr>
              <w:ind w:left="120"/>
              <w:spacing w:after="0"/>
              <w:rPr>
                <w:sz w:val="20"/>
                <w:szCs w:val="20"/>
                <w:color w:val="auto"/>
              </w:rPr>
            </w:pPr>
            <w:r>
              <w:rPr>
                <w:rFonts w:ascii="Arial" w:cs="Arial" w:eastAsia="Arial" w:hAnsi="Arial"/>
                <w:sz w:val="16"/>
                <w:szCs w:val="16"/>
                <w:color w:val="auto"/>
              </w:rPr>
              <w:t>Units</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24,903</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7,225</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17,678</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244.7 %</w:t>
            </w:r>
          </w:p>
        </w:tc>
      </w:tr>
      <w:tr>
        <w:trPr>
          <w:trHeight w:val="253"/>
        </w:trPr>
        <w:tc>
          <w:tcPr>
            <w:tcW w:w="3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747,925</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234,339</w:t>
            </w:r>
          </w:p>
        </w:tc>
        <w:tc>
          <w:tcPr>
            <w:tcW w:w="156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513,586</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219.2 %</w:t>
            </w:r>
          </w:p>
        </w:tc>
      </w:tr>
      <w:tr>
        <w:trPr>
          <w:trHeight w:val="233"/>
        </w:trPr>
        <w:tc>
          <w:tcPr>
            <w:tcW w:w="312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3"/>
        </w:trPr>
        <w:tc>
          <w:tcPr>
            <w:tcW w:w="31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Units</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10,528</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15,658</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(5,130)</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r>
    </w:tbl>
    <w:p>
      <w:pPr>
        <w:spacing w:after="0" w:line="113"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ASP excludes off-invoice dealer incentives.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 w:lineRule="exact"/>
        <w:rPr>
          <w:rFonts w:ascii="Arial" w:cs="Arial" w:eastAsia="Arial" w:hAnsi="Arial"/>
          <w:sz w:val="14"/>
          <w:szCs w:val="14"/>
          <w:color w:val="auto"/>
        </w:rPr>
      </w:pPr>
    </w:p>
    <w:p>
      <w:pPr>
        <w:ind w:left="260" w:right="460" w:hanging="252"/>
        <w:spacing w:after="0" w:line="258" w:lineRule="auto"/>
        <w:tabs>
          <w:tab w:leader="none" w:pos="353"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which generally have been requested to be shipped within the next six months. Orders in backlog can be cancelled or postponed at the option of the dealer at any time without penalty and, therefore, backlog may not necessarily be an accurate measure of future sales.</w:t>
      </w:r>
    </w:p>
    <w:p>
      <w:pPr>
        <w:spacing w:after="0" w:line="218"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Net revenues increased in Fiscal 2020 compared to Fiscal 2019 due to increased organic volume growth, partially offset by lower third quarter results due to the COVID-19 pandemic and related suspension of manufacturing operations, disruptions across the dealer network, supply chain, and end consumers.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ASP decreased in Fiscal 2020 compared to Fiscal 2019 due to change in product mix.</w:t>
      </w:r>
    </w:p>
    <w:p>
      <w:pPr>
        <w:spacing w:after="0" w:line="248"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Adjusted EBITDA decreased in Fiscal 2020 compared to Fiscal 2019 primarily due to reduced profitability resulting from the COVID-19 pandemic during our third quarter of Fiscal 2020.</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Unit deliveries increased in Fiscal 2020 compared to Fiscal 2019 representing an increase in organic volume growth. Our Towable segment market share increased from 8.8% to 10.1% when comparing retail registrations during the twelve-month trailing periods ended August 2019 and August 2020. Shipments grew faster than the industry as a result of strength of brand.</w:t>
      </w:r>
    </w:p>
    <w:p>
      <w:pPr>
        <w:spacing w:after="0" w:line="228"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We have seen an increase in the backlog volumes as of August 29, 2020 compared to August 31, 2019 as a result of a strong retail demand following the imposition of shelter in place mandates in response to the COVID-19 pandemic, as well as an increase in demand for our products reflected in our increase in market share.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Motorhome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Motorhome segment for Fiscal 2020 and 2019:</w:t>
      </w:r>
    </w:p>
    <w:tbl>
      <w:tblPr>
        <w:tblLayout w:type="fixed"/>
        <w:tblInd w:w="0" w:type="dxa"/>
        <w:tblCellMar>
          <w:top w:w="0" w:type="dxa"/>
          <w:left w:w="0" w:type="dxa"/>
          <w:bottom w:w="0" w:type="dxa"/>
          <w:right w:w="0" w:type="dxa"/>
        </w:tblCellMar>
      </w:tblPr>
      <w:tr>
        <w:trPr>
          <w:trHeight w:val="273"/>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 except ASP)</w:t>
            </w: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of Revenues</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center"/>
              <w:ind w:right="81"/>
              <w:spacing w:after="0" w:line="272" w:lineRule="exact"/>
              <w:rPr>
                <w:sz w:val="20"/>
                <w:szCs w:val="20"/>
                <w:color w:val="auto"/>
              </w:rPr>
            </w:pPr>
            <w:r>
              <w:rPr>
                <w:rFonts w:ascii="Arial" w:cs="Arial" w:eastAsia="Arial" w:hAnsi="Arial"/>
                <w:sz w:val="31"/>
                <w:szCs w:val="31"/>
                <w:b w:val="1"/>
                <w:bCs w:val="1"/>
                <w:color w:val="auto"/>
                <w:w w:val="87"/>
                <w:vertAlign w:val="subscript"/>
              </w:rPr>
              <w:t>2019</w:t>
            </w:r>
            <w:r>
              <w:rPr>
                <w:rFonts w:ascii="Arial" w:cs="Arial" w:eastAsia="Arial" w:hAnsi="Arial"/>
                <w:sz w:val="10"/>
                <w:szCs w:val="10"/>
                <w:b w:val="1"/>
                <w:bCs w:val="1"/>
                <w:color w:val="auto"/>
                <w:w w:val="87"/>
              </w:rPr>
              <w:t>(4)(4)</w:t>
            </w:r>
          </w:p>
        </w:tc>
        <w:tc>
          <w:tcPr>
            <w:tcW w:w="100" w:type="dxa"/>
            <w:vAlign w:val="bottom"/>
            <w:tcBorders>
              <w:bottom w:val="single" w:sz="8" w:color="CCEEFF"/>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of Revenues</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9"/>
              </w:rPr>
              <w:t>$ Change</w:t>
            </w:r>
          </w:p>
        </w:tc>
        <w:tc>
          <w:tcPr>
            <w:tcW w:w="10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37"/>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1,056,794</w:t>
            </w:r>
          </w:p>
        </w:tc>
        <w:tc>
          <w:tcPr>
            <w:tcW w:w="158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706,927</w:t>
            </w:r>
          </w:p>
        </w:tc>
        <w:tc>
          <w:tcPr>
            <w:tcW w:w="156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349,867</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49.5 %</w:t>
            </w:r>
          </w:p>
        </w:tc>
        <w:tc>
          <w:tcPr>
            <w:tcW w:w="0" w:type="dxa"/>
            <w:vAlign w:val="bottom"/>
          </w:tcPr>
          <w:p>
            <w:pPr>
              <w:spacing w:after="0"/>
              <w:rPr>
                <w:sz w:val="1"/>
                <w:szCs w:val="1"/>
                <w:color w:val="auto"/>
              </w:rPr>
            </w:pPr>
          </w:p>
        </w:tc>
      </w:tr>
      <w:tr>
        <w:trPr>
          <w:trHeight w:val="233"/>
        </w:trPr>
        <w:tc>
          <w:tcPr>
            <w:tcW w:w="36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32,949</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27,455</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3.9 %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5,494</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20.0 %</w:t>
            </w:r>
          </w:p>
        </w:tc>
        <w:tc>
          <w:tcPr>
            <w:tcW w:w="0" w:type="dxa"/>
            <w:vAlign w:val="bottom"/>
          </w:tcPr>
          <w:p>
            <w:pPr>
              <w:spacing w:after="0"/>
              <w:rPr>
                <w:sz w:val="1"/>
                <w:szCs w:val="1"/>
                <w:color w:val="auto"/>
              </w:rPr>
            </w:pPr>
          </w:p>
        </w:tc>
      </w:tr>
      <w:tr>
        <w:trPr>
          <w:trHeight w:val="226"/>
        </w:trPr>
        <w:tc>
          <w:tcPr>
            <w:tcW w:w="3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3600" w:type="dxa"/>
            <w:vAlign w:val="bottom"/>
          </w:tcPr>
          <w:p>
            <w:pPr>
              <w:ind w:left="20"/>
              <w:spacing w:after="0"/>
              <w:rPr>
                <w:sz w:val="20"/>
                <w:szCs w:val="20"/>
                <w:color w:val="auto"/>
              </w:rPr>
            </w:pPr>
            <w:r>
              <w:rPr>
                <w:rFonts w:ascii="Arial" w:cs="Arial" w:eastAsia="Arial" w:hAnsi="Arial"/>
                <w:sz w:val="32"/>
                <w:szCs w:val="32"/>
                <w:color w:val="auto"/>
                <w:vertAlign w:val="subscript"/>
              </w:rPr>
              <w:t>ASP</w:t>
            </w:r>
            <w:r>
              <w:rPr>
                <w:rFonts w:ascii="Arial" w:cs="Arial" w:eastAsia="Arial" w:hAnsi="Arial"/>
                <w:sz w:val="11"/>
                <w:szCs w:val="11"/>
                <w:color w:val="auto"/>
              </w:rPr>
              <w:t>(1)</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130,098</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93,549</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36,549</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39.1 %</w:t>
            </w:r>
          </w:p>
        </w:tc>
        <w:tc>
          <w:tcPr>
            <w:tcW w:w="0" w:type="dxa"/>
            <w:vAlign w:val="bottom"/>
          </w:tcPr>
          <w:p>
            <w:pPr>
              <w:spacing w:after="0"/>
              <w:rPr>
                <w:sz w:val="1"/>
                <w:szCs w:val="1"/>
                <w:color w:val="auto"/>
              </w:rPr>
            </w:pPr>
          </w:p>
        </w:tc>
      </w:tr>
      <w:tr>
        <w:trPr>
          <w:trHeight w:val="287"/>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24"/>
                <w:szCs w:val="24"/>
                <w:color w:val="auto"/>
              </w:rPr>
            </w:pPr>
          </w:p>
        </w:tc>
        <w:tc>
          <w:tcPr>
            <w:tcW w:w="1060" w:type="dxa"/>
            <w:vAlign w:val="bottom"/>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ind w:right="81"/>
              <w:spacing w:after="0"/>
              <w:rPr>
                <w:sz w:val="20"/>
                <w:szCs w:val="20"/>
                <w:color w:val="auto"/>
              </w:rPr>
            </w:pPr>
            <w:r>
              <w:rPr>
                <w:rFonts w:ascii="Arial" w:cs="Arial" w:eastAsia="Arial" w:hAnsi="Arial"/>
                <w:sz w:val="16"/>
                <w:szCs w:val="16"/>
                <w:b w:val="1"/>
                <w:bCs w:val="1"/>
                <w:color w:val="auto"/>
                <w:w w:val="94"/>
              </w:rPr>
              <w:t>2019</w:t>
            </w:r>
            <w:r>
              <w:rPr>
                <w:rFonts w:ascii="Arial" w:cs="Arial" w:eastAsia="Arial" w:hAnsi="Arial"/>
                <w:sz w:val="21"/>
                <w:szCs w:val="21"/>
                <w:b w:val="1"/>
                <w:bCs w:val="1"/>
                <w:color w:val="auto"/>
                <w:w w:val="94"/>
                <w:vertAlign w:val="superscript"/>
              </w:rPr>
              <w:t>(4)</w:t>
            </w:r>
          </w:p>
        </w:tc>
        <w:tc>
          <w:tcPr>
            <w:tcW w:w="100" w:type="dxa"/>
            <w:vAlign w:val="bottom"/>
          </w:tcPr>
          <w:p>
            <w:pPr>
              <w:spacing w:after="0"/>
              <w:rPr>
                <w:sz w:val="24"/>
                <w:szCs w:val="24"/>
                <w:color w:val="auto"/>
              </w:rPr>
            </w:pPr>
          </w:p>
        </w:tc>
        <w:tc>
          <w:tcPr>
            <w:tcW w:w="2520" w:type="dxa"/>
            <w:vAlign w:val="bottom"/>
            <w:gridSpan w:val="5"/>
          </w:tcPr>
          <w:p>
            <w:pPr>
              <w:ind w:left="8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 xml:space="preserve">    Unit Change</w:t>
            </w:r>
          </w:p>
        </w:tc>
        <w:tc>
          <w:tcPr>
            <w:tcW w:w="1160" w:type="dxa"/>
            <w:vAlign w:val="bottom"/>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37"/>
        </w:trPr>
        <w:tc>
          <w:tcPr>
            <w:tcW w:w="3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6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2,493</w:t>
            </w:r>
          </w:p>
        </w:tc>
        <w:tc>
          <w:tcPr>
            <w:tcW w:w="12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30.8 %</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1,582</w:t>
            </w:r>
          </w:p>
        </w:tc>
        <w:tc>
          <w:tcPr>
            <w:tcW w:w="10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20.8 %</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911</w:t>
            </w:r>
          </w:p>
        </w:tc>
        <w:tc>
          <w:tcPr>
            <w:tcW w:w="100" w:type="dxa"/>
            <w:vAlign w:val="bottom"/>
            <w:tcBorders>
              <w:top w:val="single" w:sz="8" w:color="CCEEFF"/>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57.6 %</w:t>
            </w:r>
          </w:p>
        </w:tc>
        <w:tc>
          <w:tcPr>
            <w:tcW w:w="0" w:type="dxa"/>
            <w:vAlign w:val="bottom"/>
          </w:tcPr>
          <w:p>
            <w:pPr>
              <w:spacing w:after="0"/>
              <w:rPr>
                <w:sz w:val="1"/>
                <w:szCs w:val="1"/>
                <w:color w:val="auto"/>
              </w:rPr>
            </w:pPr>
          </w:p>
        </w:tc>
      </w:tr>
      <w:tr>
        <w:trPr>
          <w:trHeight w:val="233"/>
        </w:trPr>
        <w:tc>
          <w:tcPr>
            <w:tcW w:w="3600" w:type="dxa"/>
            <w:vAlign w:val="bottom"/>
          </w:tcPr>
          <w:p>
            <w:pPr>
              <w:ind w:left="20"/>
              <w:spacing w:after="0"/>
              <w:rPr>
                <w:sz w:val="20"/>
                <w:szCs w:val="20"/>
                <w:color w:val="auto"/>
              </w:rPr>
            </w:pPr>
            <w:r>
              <w:rPr>
                <w:rFonts w:ascii="Arial" w:cs="Arial" w:eastAsia="Arial" w:hAnsi="Arial"/>
                <w:sz w:val="16"/>
                <w:szCs w:val="16"/>
                <w:color w:val="auto"/>
              </w:rPr>
              <w:t>Class B</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3,351</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41.3 %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2,784</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36.7 %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20.4 %</w:t>
            </w:r>
          </w:p>
        </w:tc>
        <w:tc>
          <w:tcPr>
            <w:tcW w:w="0" w:type="dxa"/>
            <w:vAlign w:val="bottom"/>
          </w:tcPr>
          <w:p>
            <w:pPr>
              <w:spacing w:after="0"/>
              <w:rPr>
                <w:sz w:val="1"/>
                <w:szCs w:val="1"/>
                <w:color w:val="auto"/>
              </w:rPr>
            </w:pPr>
          </w:p>
        </w:tc>
      </w:tr>
      <w:tr>
        <w:trPr>
          <w:trHeight w:val="246"/>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2,261</w:t>
            </w:r>
          </w:p>
        </w:tc>
        <w:tc>
          <w:tcPr>
            <w:tcW w:w="12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27.9 %</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3,225</w:t>
            </w:r>
          </w:p>
        </w:tc>
        <w:tc>
          <w:tcPr>
            <w:tcW w:w="10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42.5 %</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(964)</w:t>
            </w:r>
          </w:p>
        </w:tc>
        <w:tc>
          <w:tcPr>
            <w:tcW w:w="10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43"/>
        </w:trPr>
        <w:tc>
          <w:tcPr>
            <w:tcW w:w="3600" w:type="dxa"/>
            <w:vAlign w:val="bottom"/>
          </w:tcPr>
          <w:p>
            <w:pPr>
              <w:ind w:left="120"/>
              <w:spacing w:after="0"/>
              <w:rPr>
                <w:sz w:val="20"/>
                <w:szCs w:val="20"/>
                <w:color w:val="auto"/>
              </w:rPr>
            </w:pPr>
            <w:r>
              <w:rPr>
                <w:rFonts w:ascii="Arial" w:cs="Arial" w:eastAsia="Arial" w:hAnsi="Arial"/>
                <w:sz w:val="16"/>
                <w:szCs w:val="16"/>
                <w:color w:val="auto"/>
              </w:rPr>
              <w:t>Total Motorhome</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8,105</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7,591</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6.8 %</w:t>
            </w: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3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in thousands)</w:t>
            </w:r>
          </w:p>
        </w:tc>
        <w:tc>
          <w:tcPr>
            <w:tcW w:w="160" w:type="dxa"/>
            <w:vAlign w:val="bottom"/>
          </w:tcPr>
          <w:p>
            <w:pPr>
              <w:spacing w:after="0"/>
              <w:rPr>
                <w:sz w:val="24"/>
                <w:szCs w:val="24"/>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rPr>
              <w:t>August 29,</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b w:val="1"/>
                <w:bCs w:val="1"/>
                <w:color w:val="auto"/>
              </w:rPr>
              <w:t>August 31,</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Change</w:t>
            </w:r>
          </w:p>
        </w:tc>
        <w:tc>
          <w:tcPr>
            <w:tcW w:w="116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36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81"/>
              <w:spacing w:after="0" w:line="216" w:lineRule="exact"/>
              <w:rPr>
                <w:sz w:val="20"/>
                <w:szCs w:val="20"/>
                <w:color w:val="auto"/>
              </w:rPr>
            </w:pPr>
            <w:r>
              <w:rPr>
                <w:rFonts w:ascii="Arial" w:cs="Arial" w:eastAsia="Arial" w:hAnsi="Arial"/>
                <w:sz w:val="16"/>
                <w:szCs w:val="16"/>
                <w:b w:val="1"/>
                <w:bCs w:val="1"/>
                <w:color w:val="auto"/>
                <w:w w:val="94"/>
              </w:rPr>
              <w:t>2019</w:t>
            </w:r>
            <w:r>
              <w:rPr>
                <w:rFonts w:ascii="Arial" w:cs="Arial" w:eastAsia="Arial" w:hAnsi="Arial"/>
                <w:sz w:val="21"/>
                <w:szCs w:val="21"/>
                <w:b w:val="1"/>
                <w:bCs w:val="1"/>
                <w:color w:val="auto"/>
                <w:w w:val="94"/>
                <w:vertAlign w:val="superscript"/>
              </w:rPr>
              <w:t>(4)</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(3)</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600" w:type="dxa"/>
            <w:vAlign w:val="bottom"/>
          </w:tcPr>
          <w:p>
            <w:pPr>
              <w:ind w:left="120"/>
              <w:spacing w:after="0"/>
              <w:rPr>
                <w:sz w:val="20"/>
                <w:szCs w:val="20"/>
                <w:color w:val="auto"/>
              </w:rPr>
            </w:pPr>
            <w:r>
              <w:rPr>
                <w:rFonts w:ascii="Arial" w:cs="Arial" w:eastAsia="Arial" w:hAnsi="Arial"/>
                <w:sz w:val="16"/>
                <w:szCs w:val="16"/>
                <w:color w:val="auto"/>
              </w:rPr>
              <w:t>Units</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8,463</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1,808</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6,655</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368.1 %</w:t>
            </w:r>
          </w:p>
        </w:tc>
        <w:tc>
          <w:tcPr>
            <w:tcW w:w="0" w:type="dxa"/>
            <w:vAlign w:val="bottom"/>
          </w:tcPr>
          <w:p>
            <w:pPr>
              <w:spacing w:after="0"/>
              <w:rPr>
                <w:sz w:val="1"/>
                <w:szCs w:val="1"/>
                <w:color w:val="auto"/>
              </w:rPr>
            </w:pPr>
          </w:p>
        </w:tc>
      </w:tr>
      <w:tr>
        <w:trPr>
          <w:trHeight w:val="253"/>
        </w:trPr>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1,051,415</w:t>
            </w:r>
          </w:p>
        </w:tc>
        <w:tc>
          <w:tcPr>
            <w:tcW w:w="158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165,373</w:t>
            </w:r>
          </w:p>
        </w:tc>
        <w:tc>
          <w:tcPr>
            <w:tcW w:w="156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886,042</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535.8 %</w:t>
            </w:r>
          </w:p>
        </w:tc>
        <w:tc>
          <w:tcPr>
            <w:tcW w:w="0" w:type="dxa"/>
            <w:vAlign w:val="bottom"/>
          </w:tcPr>
          <w:p>
            <w:pPr>
              <w:spacing w:after="0"/>
              <w:rPr>
                <w:sz w:val="1"/>
                <w:szCs w:val="1"/>
                <w:color w:val="auto"/>
              </w:rPr>
            </w:pPr>
          </w:p>
        </w:tc>
      </w:tr>
      <w:tr>
        <w:trPr>
          <w:trHeight w:val="233"/>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Units</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2,761</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3,891</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ASP excludes off-invoice dealer incentives.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 w:lineRule="exact"/>
        <w:rPr>
          <w:rFonts w:ascii="Arial" w:cs="Arial" w:eastAsia="Arial" w:hAnsi="Arial"/>
          <w:sz w:val="14"/>
          <w:szCs w:val="14"/>
          <w:color w:val="auto"/>
        </w:rPr>
      </w:pPr>
    </w:p>
    <w:p>
      <w:pPr>
        <w:ind w:left="260" w:right="460" w:hanging="252"/>
        <w:spacing w:after="0" w:line="249" w:lineRule="auto"/>
        <w:tabs>
          <w:tab w:leader="none" w:pos="353"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which generally have been requested to be shipped within the next six months. Orders in backlog can be cancelled or postponed at the option of the dealer at any time without penalty and, therefore, backlog may not necessarily be an accurate measure of future sales.</w:t>
      </w:r>
    </w:p>
    <w:p>
      <w:pPr>
        <w:ind w:left="220" w:hanging="212"/>
        <w:spacing w:after="0" w:line="236" w:lineRule="auto"/>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Balances at August 31, 2019 exclude Newmar as the company was not acquired until Fiscal 2020</w:t>
      </w:r>
      <w:r>
        <w:rPr>
          <w:rFonts w:ascii="Arial" w:cs="Arial" w:eastAsia="Arial" w:hAnsi="Arial"/>
          <w:sz w:val="16"/>
          <w:szCs w:val="16"/>
          <w:color w:val="auto"/>
        </w:rPr>
        <w:t>.</w:t>
      </w:r>
    </w:p>
    <w:p>
      <w:pPr>
        <w:spacing w:after="0" w:line="238" w:lineRule="exact"/>
        <w:rPr>
          <w:sz w:val="20"/>
          <w:szCs w:val="20"/>
          <w:color w:val="auto"/>
        </w:rPr>
      </w:pPr>
    </w:p>
    <w:p>
      <w:pPr>
        <w:jc w:val="both"/>
        <w:ind w:right="360"/>
        <w:spacing w:after="0" w:line="253" w:lineRule="auto"/>
        <w:rPr>
          <w:sz w:val="20"/>
          <w:szCs w:val="20"/>
          <w:color w:val="auto"/>
        </w:rPr>
      </w:pPr>
      <w:r>
        <w:rPr>
          <w:rFonts w:ascii="Arial" w:cs="Arial" w:eastAsia="Arial" w:hAnsi="Arial"/>
          <w:sz w:val="16"/>
          <w:szCs w:val="16"/>
          <w:color w:val="auto"/>
        </w:rPr>
        <w:t>Net revenues and unit deliveries increased in Fiscal 2020 compared to Fiscal 2019 primarily due to the Newmar acquisition, as well as strong growth in Class B shipments partially offset by lower third quarter results due to the COVID-19 pandemic and related suspension of manufacturing operations and disruptions across the dealer network, supply chain, and end consumers.</w:t>
      </w:r>
    </w:p>
    <w:p>
      <w:pPr>
        <w:spacing w:after="0" w:line="228" w:lineRule="exact"/>
        <w:rPr>
          <w:sz w:val="20"/>
          <w:szCs w:val="20"/>
          <w:color w:val="auto"/>
        </w:rPr>
      </w:pPr>
    </w:p>
    <w:p>
      <w:pPr>
        <w:ind w:right="700"/>
        <w:spacing w:after="0" w:line="260" w:lineRule="auto"/>
        <w:rPr>
          <w:sz w:val="20"/>
          <w:szCs w:val="20"/>
          <w:color w:val="auto"/>
        </w:rPr>
      </w:pPr>
      <w:r>
        <w:rPr>
          <w:rFonts w:ascii="Arial" w:cs="Arial" w:eastAsia="Arial" w:hAnsi="Arial"/>
          <w:sz w:val="16"/>
          <w:szCs w:val="16"/>
          <w:color w:val="auto"/>
        </w:rPr>
        <w:t>Average selling price increased in Fiscal 2020 compared to Fiscal 2019 primarily due to the Newmar acquisition, as Newmar primarily sells Class A products, which saw a significant increase in units sold compared to Fiscal 2019.</w:t>
      </w:r>
    </w:p>
    <w:p>
      <w:pPr>
        <w:spacing w:after="0" w:line="222"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Adjusted EBITDA increased in Fiscal 2020 compared to Fiscal 2019 primarily due to the Newmar acquisition, partially offset by reduced profitability resulting from the COVID-19 pandemic.</w:t>
      </w:r>
    </w:p>
    <w:p>
      <w:pPr>
        <w:spacing w:after="0" w:line="222"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We have seen an increase in the volume and dollar value of backlog as of August 29, 2020 compared to August 31, 2019 primarily due to the production interruptions and shelter-in-place mandates in response to the COVID-19 pandemic, paired with an increase in retail demand due to the perceived safety of RV travel and reduction in commercial air travel and cruises. These have resulted in historically low dealer inventory levels. The addition of the Newmar acquisition also contributed to the increase in backlog.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 Fiscal 2019 Compared to Fiscal 2018</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Performance Summary</w:t>
      </w:r>
    </w:p>
    <w:p>
      <w:pPr>
        <w:spacing w:after="0" w:line="268"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The following is an analysis of changes in key items included in the statements of operations for the fiscal year ended August 31, 2019 compared to the fiscal year ended August 25, 2018:</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20" w:type="dxa"/>
            <w:vAlign w:val="bottom"/>
          </w:tcPr>
          <w:p>
            <w:pPr>
              <w:ind w:left="20"/>
              <w:spacing w:after="0"/>
              <w:rPr>
                <w:sz w:val="20"/>
                <w:szCs w:val="20"/>
                <w:color w:val="auto"/>
              </w:rPr>
            </w:pPr>
            <w:r>
              <w:rPr>
                <w:rFonts w:ascii="Arial" w:cs="Arial" w:eastAsia="Arial" w:hAnsi="Arial"/>
                <w:sz w:val="16"/>
                <w:szCs w:val="16"/>
                <w:b w:val="1"/>
                <w:bCs w:val="1"/>
                <w:color w:val="auto"/>
              </w:rPr>
              <w:t>(in thousands, except percent and</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4"/>
        </w:trPr>
        <w:tc>
          <w:tcPr>
            <w:tcW w:w="2920" w:type="dxa"/>
            <w:vAlign w:val="bottom"/>
          </w:tcPr>
          <w:p>
            <w:pPr>
              <w:ind w:left="20"/>
              <w:spacing w:after="0"/>
              <w:rPr>
                <w:sz w:val="20"/>
                <w:szCs w:val="20"/>
                <w:color w:val="auto"/>
              </w:rPr>
            </w:pPr>
            <w:r>
              <w:rPr>
                <w:rFonts w:ascii="Arial" w:cs="Arial" w:eastAsia="Arial" w:hAnsi="Arial"/>
                <w:sz w:val="16"/>
                <w:szCs w:val="16"/>
                <w:b w:val="1"/>
                <w:bCs w:val="1"/>
                <w:color w:val="auto"/>
              </w:rPr>
              <w:t>per share data)</w:t>
            </w:r>
          </w:p>
        </w:tc>
        <w:tc>
          <w:tcPr>
            <w:tcW w:w="320" w:type="dxa"/>
            <w:vAlign w:val="bottom"/>
          </w:tcPr>
          <w:p>
            <w:pPr>
              <w:spacing w:after="0"/>
              <w:rPr>
                <w:sz w:val="20"/>
                <w:szCs w:val="20"/>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440" w:type="dxa"/>
            <w:vAlign w:val="bottom"/>
            <w:gridSpan w:val="2"/>
          </w:tcPr>
          <w:p>
            <w:pPr>
              <w:ind w:left="20"/>
              <w:spacing w:after="0" w:line="234"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320" w:type="dxa"/>
            <w:vAlign w:val="bottom"/>
          </w:tcPr>
          <w:p>
            <w:pPr>
              <w:spacing w:after="0"/>
              <w:rPr>
                <w:sz w:val="20"/>
                <w:szCs w:val="20"/>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460" w:type="dxa"/>
            <w:vAlign w:val="bottom"/>
            <w:gridSpan w:val="2"/>
          </w:tcPr>
          <w:p>
            <w:pPr>
              <w:ind w:left="20"/>
              <w:spacing w:after="0" w:line="234"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4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Arial" w:cs="Arial" w:eastAsia="Arial" w:hAnsi="Arial"/>
                <w:sz w:val="16"/>
                <w:szCs w:val="16"/>
                <w:b w:val="1"/>
                <w:bCs w:val="1"/>
                <w:color w:val="auto"/>
              </w:rPr>
              <w:t>$ Change</w:t>
            </w:r>
          </w:p>
        </w:tc>
        <w:tc>
          <w:tcPr>
            <w:tcW w:w="1160" w:type="dxa"/>
            <w:vAlign w:val="bottom"/>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237"/>
        </w:trPr>
        <w:tc>
          <w:tcPr>
            <w:tcW w:w="2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1,985,674</w:t>
            </w:r>
          </w:p>
        </w:tc>
        <w:tc>
          <w:tcPr>
            <w:tcW w:w="120" w:type="dxa"/>
            <w:vAlign w:val="bottom"/>
            <w:tcBorders>
              <w:top w:val="single" w:sz="8" w:color="CCEEFF"/>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2,016,829</w:t>
            </w:r>
          </w:p>
        </w:tc>
        <w:tc>
          <w:tcPr>
            <w:tcW w:w="120" w:type="dxa"/>
            <w:vAlign w:val="bottom"/>
            <w:tcBorders>
              <w:top w:val="single" w:sz="8" w:color="CCEEFF"/>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(31,155)</w:t>
            </w:r>
          </w:p>
        </w:tc>
        <w:tc>
          <w:tcPr>
            <w:tcW w:w="100" w:type="dxa"/>
            <w:vAlign w:val="bottom"/>
            <w:tcBorders>
              <w:top w:val="single" w:sz="8" w:color="CCEEFF"/>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37"/>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1,678,477</w:t>
            </w:r>
          </w:p>
        </w:tc>
        <w:tc>
          <w:tcPr>
            <w:tcW w:w="1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84.5 %</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1,716,993</w:t>
            </w:r>
          </w:p>
        </w:tc>
        <w:tc>
          <w:tcPr>
            <w:tcW w:w="1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85.1 %</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(38,516)</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43"/>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307,197</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15.5 %</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299,836</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14.9 %</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7,361</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33"/>
        </w:trPr>
        <w:tc>
          <w:tcPr>
            <w:tcW w:w="2920" w:type="dxa"/>
            <w:vAlign w:val="bottom"/>
          </w:tcPr>
          <w:p>
            <w:pPr>
              <w:ind w:left="20"/>
              <w:spacing w:after="0"/>
              <w:rPr>
                <w:sz w:val="20"/>
                <w:szCs w:val="20"/>
                <w:color w:val="auto"/>
              </w:rPr>
            </w:pPr>
            <w:r>
              <w:rPr>
                <w:rFonts w:ascii="Arial" w:cs="Arial" w:eastAsia="Arial" w:hAnsi="Arial"/>
                <w:sz w:val="16"/>
                <w:szCs w:val="16"/>
                <w:color w:val="auto"/>
              </w:rPr>
              <w:t>SG&amp;A</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142,295</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7.2 %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130,116</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6.5 %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12,179</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9.4 %</w:t>
            </w:r>
          </w:p>
        </w:tc>
      </w:tr>
      <w:tr>
        <w:trPr>
          <w:trHeight w:val="246"/>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9,635</w:t>
            </w:r>
          </w:p>
        </w:tc>
        <w:tc>
          <w:tcPr>
            <w:tcW w:w="120" w:type="dxa"/>
            <w:vAlign w:val="bottom"/>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9,328</w:t>
            </w:r>
          </w:p>
        </w:tc>
        <w:tc>
          <w:tcPr>
            <w:tcW w:w="120" w:type="dxa"/>
            <w:vAlign w:val="bottom"/>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307</w:t>
            </w:r>
          </w:p>
        </w:tc>
        <w:tc>
          <w:tcPr>
            <w:tcW w:w="10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237"/>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151,930</w:t>
            </w:r>
          </w:p>
        </w:tc>
        <w:tc>
          <w:tcPr>
            <w:tcW w:w="1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7.7 %</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139,444</w:t>
            </w:r>
          </w:p>
        </w:tc>
        <w:tc>
          <w:tcPr>
            <w:tcW w:w="1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6.9 %</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12,486</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9.0 %</w:t>
            </w:r>
          </w:p>
        </w:tc>
      </w:tr>
      <w:tr>
        <w:trPr>
          <w:trHeight w:val="243"/>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155,267</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160,392</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8.0 %</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(5,125)</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33"/>
        </w:trPr>
        <w:tc>
          <w:tcPr>
            <w:tcW w:w="29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17,939</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18,246</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46"/>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(1,581)</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1,087</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220.0 %</w:t>
            </w:r>
          </w:p>
        </w:tc>
      </w:tr>
      <w:tr>
        <w:trPr>
          <w:trHeight w:val="233"/>
        </w:trPr>
        <w:tc>
          <w:tcPr>
            <w:tcW w:w="292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138,909</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7.0 %</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142,640</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7.1 %</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(3,731)</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46"/>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27,111</w:t>
            </w:r>
          </w:p>
        </w:tc>
        <w:tc>
          <w:tcPr>
            <w:tcW w:w="120" w:type="dxa"/>
            <w:vAlign w:val="bottom"/>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40,283</w:t>
            </w:r>
          </w:p>
        </w:tc>
        <w:tc>
          <w:tcPr>
            <w:tcW w:w="120" w:type="dxa"/>
            <w:vAlign w:val="bottom"/>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(13,172)</w:t>
            </w:r>
          </w:p>
        </w:tc>
        <w:tc>
          <w:tcPr>
            <w:tcW w:w="10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w:t>
            </w:r>
          </w:p>
        </w:tc>
      </w:tr>
      <w:tr>
        <w:trPr>
          <w:trHeight w:val="243"/>
        </w:trPr>
        <w:tc>
          <w:tcPr>
            <w:tcW w:w="29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111,798</w:t>
            </w:r>
          </w:p>
        </w:tc>
        <w:tc>
          <w:tcPr>
            <w:tcW w:w="12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5.6 %</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102,357</w:t>
            </w:r>
          </w:p>
        </w:tc>
        <w:tc>
          <w:tcPr>
            <w:tcW w:w="12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5.1 %</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9,441</w:t>
            </w:r>
          </w:p>
        </w:tc>
        <w:tc>
          <w:tcPr>
            <w:tcW w:w="100" w:type="dxa"/>
            <w:vAlign w:val="bottom"/>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9.2 %</w:t>
            </w: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2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33"/>
        </w:trPr>
        <w:tc>
          <w:tcPr>
            <w:tcW w:w="2920" w:type="dxa"/>
            <w:vAlign w:val="bottom"/>
          </w:tcPr>
          <w:p>
            <w:pPr>
              <w:ind w:left="20"/>
              <w:spacing w:after="0"/>
              <w:rPr>
                <w:sz w:val="20"/>
                <w:szCs w:val="20"/>
                <w:color w:val="auto"/>
              </w:rPr>
            </w:pPr>
            <w:r>
              <w:rPr>
                <w:rFonts w:ascii="Arial" w:cs="Arial" w:eastAsia="Arial" w:hAnsi="Arial"/>
                <w:sz w:val="16"/>
                <w:szCs w:val="16"/>
                <w:color w:val="auto"/>
              </w:rPr>
              <w:t>Diluted income per share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3.52</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9.3 %</w:t>
            </w:r>
          </w:p>
        </w:tc>
      </w:tr>
      <w:tr>
        <w:trPr>
          <w:trHeight w:val="253"/>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average shares outstanding</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31,721</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31,814</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bl>
    <w:p>
      <w:pPr>
        <w:spacing w:after="0" w:line="113" w:lineRule="exact"/>
        <w:rPr>
          <w:sz w:val="20"/>
          <w:szCs w:val="20"/>
          <w:color w:val="auto"/>
        </w:rPr>
      </w:pPr>
    </w:p>
    <w:p>
      <w:pPr>
        <w:ind w:left="380" w:hanging="332"/>
        <w:spacing w:after="0"/>
        <w:tabs>
          <w:tab w:leader="none" w:pos="3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241"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Consolidated net revenues decreased in Fiscal 2019 compared to Fiscal 2018 primarily due to a decrease in our Motorhome segment sales, which was partially offset by an increase in our Towable segment sales and the acquisition of Chris-Craft in the fourth quarter of Fiscal 2018.</w:t>
      </w:r>
    </w:p>
    <w:p>
      <w:pPr>
        <w:spacing w:after="0" w:line="222"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Gross profit as a percentage of revenue increased in Fiscal 2019 compared to Fiscal 2018 due to a favorable mix and pricing that were partially offset by higher allowances and higher cost inputs.</w:t>
      </w:r>
    </w:p>
    <w:p>
      <w:pPr>
        <w:spacing w:after="0" w:line="222"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Operating expenses increased in Fiscal 2019 compared to Fiscal 2018 due to the addition of the Chris-Craft business and investments in our business, partially offset by a reduction in variable compensation.</w:t>
      </w:r>
    </w:p>
    <w:p>
      <w:pPr>
        <w:spacing w:after="0" w:line="141"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Interest expense decreased in Fiscal 2019 compared to Fiscal 2018 due to the unamortized debt issuance costs expensed in Fiscal 2018 related to our voluntary prepayment on our Term Loan and the amendment to our Credit Agreement (as defined below) during the second quarter of Fiscal 2018, which resulted in a decrease to the interest rate spread by 1.0% on the Term Loan and 0.25% on the ABL.</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Non-operating income increased in Fiscal 2019 compared to Fiscal 2018 due to net proceeds received from company-owned life insurance policies.</w:t>
      </w:r>
    </w:p>
    <w:p>
      <w:pPr>
        <w:spacing w:after="0" w:line="16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overall effective income tax rate decreased to 19.5% in Fiscal 2019 compared to 28.2% in Fiscal 2018 primarily due to the enactment of the Tax Cuts and Jobs Act (the "Tax Act") on December 22, 2017 and $3.6 million in net favorable discrete items, primarily attributable to R&amp;D-related tax credits, realized in Fiscal 2019. The reduction related to the enactment of the Tax Act is primarily attributable to the reduction in the Federal statutory tax rate to 21% being applied to the entirety of Fiscal 2019 earnings whereas Fiscal 2018 utilized a blended rate of 25.9%.</w:t>
      </w:r>
    </w:p>
    <w:p>
      <w:pPr>
        <w:spacing w:after="0" w:line="14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Net income and diluted income per share increased in Fiscal 2019 compared to Fiscal 2018 primarily due to a lower effective tax rate and increased Towable segment sales, partially offset by a decrease in our Motorhome segment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84"/>
        </w:trPr>
        <w:tc>
          <w:tcPr>
            <w:tcW w:w="7620" w:type="dxa"/>
            <w:vAlign w:val="bottom"/>
            <w:gridSpan w:val="2"/>
          </w:tcPr>
          <w:p>
            <w:pPr>
              <w:spacing w:after="0"/>
              <w:rPr>
                <w:rFonts w:ascii="Arial" w:cs="Arial" w:eastAsia="Arial" w:hAnsi="Arial"/>
                <w:sz w:val="16"/>
                <w:szCs w:val="16"/>
                <w:color w:val="0000FF"/>
              </w:rPr>
            </w:pPr>
            <w:r>
              <w:rPr>
                <w:rFonts w:ascii="Arial" w:cs="Arial" w:eastAsia="Arial" w:hAnsi="Arial"/>
                <w:sz w:val="16"/>
                <w:szCs w:val="16"/>
                <w:color w:val="0000FF"/>
              </w:rPr>
              <w:t xml:space="preserve">Table </w:t>
            </w:r>
            <w:hyperlink w:anchor="page1">
              <w:r>
                <w:rPr>
                  <w:rFonts w:ascii="Arial" w:cs="Arial" w:eastAsia="Arial" w:hAnsi="Arial"/>
                  <w:sz w:val="16"/>
                  <w:szCs w:val="16"/>
                  <w:color w:val="0000FF"/>
                </w:rPr>
                <w:t xml:space="preserve">of </w:t>
              </w:r>
            </w:hyperlink>
            <w:r>
              <w:rPr>
                <w:rFonts w:ascii="Arial" w:cs="Arial" w:eastAsia="Arial" w:hAnsi="Arial"/>
                <w:sz w:val="16"/>
                <w:szCs w:val="16"/>
                <w:color w:val="0000FF"/>
              </w:rPr>
              <w:t>Contents</w:t>
            </w:r>
          </w:p>
        </w:tc>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825"/>
        </w:trPr>
        <w:tc>
          <w:tcPr>
            <w:tcW w:w="76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Non-GAAP Reconciliation</w:t>
            </w: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2"/>
        </w:trPr>
        <w:tc>
          <w:tcPr>
            <w:tcW w:w="8280" w:type="dxa"/>
            <w:vAlign w:val="bottom"/>
            <w:gridSpan w:val="3"/>
          </w:tcPr>
          <w:p>
            <w:pPr>
              <w:spacing w:after="0"/>
              <w:rPr>
                <w:sz w:val="20"/>
                <w:szCs w:val="20"/>
                <w:color w:val="auto"/>
              </w:rPr>
            </w:pPr>
            <w:r>
              <w:rPr>
                <w:rFonts w:ascii="Arial" w:cs="Arial" w:eastAsia="Arial" w:hAnsi="Arial"/>
                <w:sz w:val="16"/>
                <w:szCs w:val="16"/>
                <w:color w:val="auto"/>
              </w:rPr>
              <w:t>The following table reconciles net income to consolidated EBITDA and Adjusted EBITDA for Fiscal 2019 and 2018:</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6"/>
        </w:trPr>
        <w:tc>
          <w:tcPr>
            <w:tcW w:w="76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6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2018</w:t>
            </w:r>
          </w:p>
        </w:tc>
      </w:tr>
      <w:tr>
        <w:trPr>
          <w:trHeight w:val="243"/>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6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111,798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102,357</w:t>
            </w:r>
          </w:p>
        </w:tc>
      </w:tr>
      <w:tr>
        <w:trPr>
          <w:trHeight w:val="23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6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17,939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18,246</w:t>
            </w:r>
          </w:p>
        </w:tc>
      </w:tr>
      <w:tr>
        <w:trPr>
          <w:trHeight w:val="253"/>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6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27,111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40,283</w:t>
            </w:r>
          </w:p>
        </w:tc>
      </w:tr>
      <w:tr>
        <w:trPr>
          <w:trHeight w:val="23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Depreciation</w:t>
            </w:r>
          </w:p>
        </w:tc>
        <w:tc>
          <w:tcPr>
            <w:tcW w:w="6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13,682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9,849</w:t>
            </w:r>
          </w:p>
        </w:tc>
      </w:tr>
      <w:tr>
        <w:trPr>
          <w:trHeight w:val="246"/>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6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9,635</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9,328</w:t>
            </w:r>
          </w:p>
        </w:tc>
      </w:tr>
      <w:tr>
        <w:trPr>
          <w:trHeight w:val="233"/>
        </w:trPr>
        <w:tc>
          <w:tcPr>
            <w:tcW w:w="7620" w:type="dxa"/>
            <w:vAlign w:val="bottom"/>
            <w:gridSpan w:val="2"/>
          </w:tcPr>
          <w:p>
            <w:pPr>
              <w:ind w:left="120"/>
              <w:spacing w:after="0"/>
              <w:rPr>
                <w:sz w:val="20"/>
                <w:szCs w:val="20"/>
                <w:color w:val="auto"/>
              </w:rPr>
            </w:pPr>
            <w:r>
              <w:rPr>
                <w:rFonts w:ascii="Arial" w:cs="Arial" w:eastAsia="Arial" w:hAnsi="Arial"/>
                <w:sz w:val="16"/>
                <w:szCs w:val="16"/>
                <w:color w:val="auto"/>
              </w:rPr>
              <w:t>EBITDA</w:t>
            </w:r>
          </w:p>
        </w:tc>
        <w:tc>
          <w:tcPr>
            <w:tcW w:w="6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180,165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180,063</w:t>
            </w:r>
          </w:p>
        </w:tc>
      </w:tr>
      <w:tr>
        <w:trPr>
          <w:trHeight w:val="253"/>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Acquisition-related costs</w:t>
            </w:r>
          </w:p>
        </w:tc>
        <w:tc>
          <w:tcPr>
            <w:tcW w:w="6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2,177</w:t>
            </w:r>
          </w:p>
        </w:tc>
      </w:tr>
      <w:tr>
        <w:trPr>
          <w:trHeight w:val="24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Restructuring</w:t>
            </w:r>
            <w:r>
              <w:rPr>
                <w:rFonts w:ascii="Arial" w:cs="Arial" w:eastAsia="Arial" w:hAnsi="Arial"/>
                <w:sz w:val="21"/>
                <w:szCs w:val="21"/>
                <w:color w:val="auto"/>
                <w:vertAlign w:val="superscript"/>
              </w:rPr>
              <w:t>(1)</w:t>
            </w:r>
          </w:p>
        </w:tc>
        <w:tc>
          <w:tcPr>
            <w:tcW w:w="6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6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(1,581)</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w:t>
            </w:r>
          </w:p>
        </w:tc>
      </w:tr>
      <w:tr>
        <w:trPr>
          <w:trHeight w:val="243"/>
        </w:trPr>
        <w:tc>
          <w:tcPr>
            <w:tcW w:w="7620" w:type="dxa"/>
            <w:vAlign w:val="bottom"/>
            <w:gridSpan w:val="2"/>
          </w:tcPr>
          <w:p>
            <w:pPr>
              <w:ind w:left="120"/>
              <w:spacing w:after="0"/>
              <w:rPr>
                <w:sz w:val="20"/>
                <w:szCs w:val="20"/>
                <w:color w:val="auto"/>
              </w:rPr>
            </w:pPr>
            <w:r>
              <w:rPr>
                <w:rFonts w:ascii="Arial" w:cs="Arial" w:eastAsia="Arial" w:hAnsi="Arial"/>
                <w:sz w:val="16"/>
                <w:szCs w:val="16"/>
                <w:color w:val="auto"/>
              </w:rPr>
              <w:t>Adjusted EBITDA</w:t>
            </w:r>
          </w:p>
        </w:tc>
        <w:tc>
          <w:tcPr>
            <w:tcW w:w="6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179,652</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181,746</w:t>
            </w:r>
          </w:p>
        </w:tc>
      </w:tr>
      <w:tr>
        <w:trPr>
          <w:trHeight w:val="21"/>
        </w:trPr>
        <w:tc>
          <w:tcPr>
            <w:tcW w:w="12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(1) Balance excludes depreciation expense classified as restructuring as the balance is already included in the EBITDA calculation.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Reportable Segment Performance Summary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080" w:type="dxa"/>
            <w:vAlign w:val="bottom"/>
          </w:tcPr>
          <w:p>
            <w:pPr>
              <w:spacing w:after="0"/>
              <w:rPr>
                <w:sz w:val="20"/>
                <w:szCs w:val="20"/>
                <w:color w:val="auto"/>
              </w:rPr>
            </w:pPr>
            <w:r>
              <w:rPr>
                <w:rFonts w:ascii="Arial" w:cs="Arial" w:eastAsia="Arial" w:hAnsi="Arial"/>
                <w:sz w:val="16"/>
                <w:szCs w:val="16"/>
                <w:i w:val="1"/>
                <w:iCs w:val="1"/>
                <w:color w:val="auto"/>
              </w:rPr>
              <w:t>Towable</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432"/>
        </w:trPr>
        <w:tc>
          <w:tcPr>
            <w:tcW w:w="7420" w:type="dxa"/>
            <w:vAlign w:val="bottom"/>
            <w:gridSpan w:val="8"/>
          </w:tcPr>
          <w:p>
            <w:pPr>
              <w:spacing w:after="0"/>
              <w:rPr>
                <w:sz w:val="20"/>
                <w:szCs w:val="20"/>
                <w:color w:val="auto"/>
              </w:rPr>
            </w:pPr>
            <w:r>
              <w:rPr>
                <w:rFonts w:ascii="Arial" w:cs="Arial" w:eastAsia="Arial" w:hAnsi="Arial"/>
                <w:sz w:val="16"/>
                <w:szCs w:val="16"/>
                <w:color w:val="auto"/>
              </w:rPr>
              <w:t>The following is an analysis of key changes in our Towable segment for Fiscal 2019 and 2018:</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6"/>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 except ASP)</w:t>
            </w: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of Revenues</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of Revenues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 Change</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43"/>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1,197,327</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1,127,723</w:t>
            </w:r>
          </w:p>
        </w:tc>
        <w:tc>
          <w:tcPr>
            <w:tcW w:w="156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69,604</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6.2 %</w:t>
            </w:r>
          </w:p>
        </w:tc>
      </w:tr>
      <w:tr>
        <w:trPr>
          <w:trHeight w:val="233"/>
        </w:trPr>
        <w:tc>
          <w:tcPr>
            <w:tcW w:w="30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163,677</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13.7 %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157,010</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13.9 %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6,667</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4.2 %</w:t>
            </w:r>
          </w:p>
        </w:tc>
      </w:tr>
      <w:tr>
        <w:trPr>
          <w:trHeight w:val="226"/>
        </w:trPr>
        <w:tc>
          <w:tcPr>
            <w:tcW w:w="3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308"/>
        </w:trPr>
        <w:tc>
          <w:tcPr>
            <w:tcW w:w="3080" w:type="dxa"/>
            <w:vAlign w:val="bottom"/>
          </w:tcPr>
          <w:p>
            <w:pPr>
              <w:ind w:left="2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(1)</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32,811</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30,941</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1,870</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6.0 %</w:t>
            </w:r>
          </w:p>
        </w:tc>
      </w:tr>
      <w:tr>
        <w:trPr>
          <w:trHeight w:val="394"/>
        </w:trPr>
        <w:tc>
          <w:tcPr>
            <w:tcW w:w="308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Pr>
          <w:p>
            <w:pPr>
              <w:spacing w:after="0"/>
              <w:rPr>
                <w:sz w:val="24"/>
                <w:szCs w:val="24"/>
                <w:color w:val="auto"/>
              </w:rPr>
            </w:pPr>
          </w:p>
        </w:tc>
        <w:tc>
          <w:tcPr>
            <w:tcW w:w="134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4"/>
                <w:szCs w:val="24"/>
                <w:color w:val="auto"/>
              </w:rPr>
            </w:pPr>
          </w:p>
        </w:tc>
        <w:tc>
          <w:tcPr>
            <w:tcW w:w="2500" w:type="dxa"/>
            <w:vAlign w:val="bottom"/>
            <w:gridSpan w:val="5"/>
          </w:tcPr>
          <w:p>
            <w:pPr>
              <w:ind w:left="8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 xml:space="preserve">    Unit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37"/>
        </w:trPr>
        <w:tc>
          <w:tcPr>
            <w:tcW w:w="3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2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22,458</w:t>
            </w:r>
          </w:p>
        </w:tc>
        <w:tc>
          <w:tcPr>
            <w:tcW w:w="12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61.0 %</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22,360</w:t>
            </w:r>
          </w:p>
        </w:tc>
        <w:tc>
          <w:tcPr>
            <w:tcW w:w="10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61.1 %</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36"/>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14,371</w:t>
            </w: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39.0 %</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14,229</w:t>
            </w: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38.9 %</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w:t>
            </w:r>
          </w:p>
        </w:tc>
      </w:tr>
      <w:tr>
        <w:trPr>
          <w:trHeight w:val="263"/>
        </w:trPr>
        <w:tc>
          <w:tcPr>
            <w:tcW w:w="3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Towable</w:t>
            </w: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36,829</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36,589</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r>
      <w:tr>
        <w:trPr>
          <w:trHeight w:val="20"/>
        </w:trPr>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99"/>
        </w:trPr>
        <w:tc>
          <w:tcPr>
            <w:tcW w:w="308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Pr>
          <w:p>
            <w:pPr>
              <w:spacing w:after="0"/>
              <w:rPr>
                <w:sz w:val="24"/>
                <w:szCs w:val="24"/>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b w:val="1"/>
                <w:bCs w:val="1"/>
                <w:color w:val="auto"/>
              </w:rPr>
              <w:t>August 31, 2019</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w w:val="98"/>
              </w:rPr>
              <w:t>August 25, 2018</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6"/>
        </w:trPr>
        <w:tc>
          <w:tcPr>
            <w:tcW w:w="3080" w:type="dxa"/>
            <w:vAlign w:val="bottom"/>
            <w:tcBorders>
              <w:top w:val="single" w:sz="8" w:color="auto"/>
            </w:tcBorders>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(3)</w:t>
            </w: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33"/>
        </w:trPr>
        <w:tc>
          <w:tcPr>
            <w:tcW w:w="3080" w:type="dxa"/>
            <w:vAlign w:val="bottom"/>
          </w:tcPr>
          <w:p>
            <w:pPr>
              <w:ind w:left="120"/>
              <w:spacing w:after="0"/>
              <w:rPr>
                <w:sz w:val="20"/>
                <w:szCs w:val="20"/>
                <w:color w:val="auto"/>
              </w:rPr>
            </w:pPr>
            <w:r>
              <w:rPr>
                <w:rFonts w:ascii="Arial" w:cs="Arial" w:eastAsia="Arial" w:hAnsi="Arial"/>
                <w:sz w:val="16"/>
                <w:szCs w:val="16"/>
                <w:color w:val="auto"/>
              </w:rPr>
              <w:t>Units</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7,225</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7,651</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53"/>
        </w:trPr>
        <w:tc>
          <w:tcPr>
            <w:tcW w:w="3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234,339</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244,854</w:t>
            </w:r>
          </w:p>
        </w:tc>
        <w:tc>
          <w:tcPr>
            <w:tcW w:w="156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(10,515)</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33"/>
        </w:trPr>
        <w:tc>
          <w:tcPr>
            <w:tcW w:w="308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3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Units</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15,658</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14,877</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5.2 %</w:t>
            </w:r>
          </w:p>
        </w:tc>
      </w:tr>
    </w:tbl>
    <w:p>
      <w:pPr>
        <w:spacing w:after="0" w:line="113"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ASP excludes off-invoice dealer incentives.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 w:lineRule="exact"/>
        <w:rPr>
          <w:rFonts w:ascii="Arial" w:cs="Arial" w:eastAsia="Arial" w:hAnsi="Arial"/>
          <w:sz w:val="14"/>
          <w:szCs w:val="14"/>
          <w:color w:val="auto"/>
        </w:rPr>
      </w:pPr>
    </w:p>
    <w:p>
      <w:pPr>
        <w:ind w:left="260" w:right="460" w:hanging="252"/>
        <w:spacing w:after="0" w:line="258" w:lineRule="auto"/>
        <w:tabs>
          <w:tab w:leader="none" w:pos="353"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which generally have been requested to be shipped within the next six months. Orders in backlog can be cancelled or postponed at the option of the dealer at any time without penalty and, therefore, backlog may not necessarily be an accurate measure of future sales.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Towable net revenues increased in Fiscal 2019 compared to Fiscal 2018 due to increased pricing and organic volume growth.</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Average selling price increased in Fiscal 2019 compared to Fiscal 2018 due to price increases as well as favorable product mix.</w:t>
      </w:r>
    </w:p>
    <w:p>
      <w:pPr>
        <w:spacing w:after="0" w:line="248"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Adjusted EBITDA increased in Fiscal 2019 compared to Fiscal 2018 primarily due to sales growth, offset partially by higher incentives to dealers and higher input costs.</w:t>
      </w:r>
    </w:p>
    <w:p>
      <w:pPr>
        <w:spacing w:after="0" w:line="222"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Towable unit deliveries grew in Fiscal 2019 compared to Fiscal 2018 primarily due to volume growth in excess of recent industry trends. Our Towable segment market share increased from 7.4% to 8.8% when comparing retail registrations during the twelve-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month trailing periods ended August 2018 and August 2019. Shipments grew faster than the industry as a result of greater penetration of our new products and further expansion of our products on dealer lots.</w:t>
      </w:r>
    </w:p>
    <w:p>
      <w:pPr>
        <w:spacing w:after="0" w:line="222"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We saw a decrease in the backlog volumes as of August 31, 2019 compared to August 25, 2018 due to our utilization of additional capacity added during 2018 and a change in our dealer ordering patterns as a result of a more challenging retail environment, partially offset by strong demand for our new products.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Motorhome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Motorhome segment for Fiscal 2019 and 2018:</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 except ASP)</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of Revenues</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of Revenues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706,927</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860,675</w:t>
            </w:r>
          </w:p>
        </w:tc>
        <w:tc>
          <w:tcPr>
            <w:tcW w:w="156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(153,748)</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r>
      <w:tr>
        <w:trPr>
          <w:trHeight w:val="233"/>
        </w:trPr>
        <w:tc>
          <w:tcPr>
            <w:tcW w:w="31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27,455</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35,508</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(8,053)</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(22.7)%</w:t>
            </w:r>
          </w:p>
        </w:tc>
      </w:tr>
      <w:tr>
        <w:trPr>
          <w:trHeight w:val="226"/>
        </w:trPr>
        <w:tc>
          <w:tcPr>
            <w:tcW w:w="3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415"/>
        </w:trPr>
        <w:tc>
          <w:tcPr>
            <w:tcW w:w="3120" w:type="dxa"/>
            <w:vAlign w:val="bottom"/>
          </w:tcPr>
          <w:p>
            <w:pPr>
              <w:ind w:left="20"/>
              <w:spacing w:after="0"/>
              <w:rPr>
                <w:sz w:val="20"/>
                <w:szCs w:val="20"/>
                <w:color w:val="auto"/>
              </w:rPr>
            </w:pPr>
            <w:r>
              <w:rPr>
                <w:rFonts w:ascii="Arial" w:cs="Arial" w:eastAsia="Arial" w:hAnsi="Arial"/>
                <w:sz w:val="32"/>
                <w:szCs w:val="32"/>
                <w:color w:val="auto"/>
                <w:vertAlign w:val="subscript"/>
              </w:rPr>
              <w:t>ASP</w:t>
            </w:r>
            <w:r>
              <w:rPr>
                <w:rFonts w:ascii="Arial" w:cs="Arial" w:eastAsia="Arial" w:hAnsi="Arial"/>
                <w:sz w:val="11"/>
                <w:szCs w:val="11"/>
                <w:color w:val="auto"/>
              </w:rPr>
              <w:t>(1)</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93,549</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89,879</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3,670</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4.1 %</w:t>
            </w:r>
          </w:p>
        </w:tc>
      </w:tr>
      <w:tr>
        <w:trPr>
          <w:trHeight w:val="287"/>
        </w:trPr>
        <w:tc>
          <w:tcPr>
            <w:tcW w:w="312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320" w:type="dxa"/>
            <w:vAlign w:val="bottom"/>
          </w:tcPr>
          <w:p>
            <w:pPr>
              <w:spacing w:after="0"/>
              <w:rPr>
                <w:sz w:val="24"/>
                <w:szCs w:val="24"/>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4"/>
                <w:szCs w:val="24"/>
                <w:color w:val="auto"/>
              </w:rPr>
            </w:pPr>
          </w:p>
        </w:tc>
        <w:tc>
          <w:tcPr>
            <w:tcW w:w="2500" w:type="dxa"/>
            <w:vAlign w:val="bottom"/>
            <w:gridSpan w:val="5"/>
          </w:tcPr>
          <w:p>
            <w:pPr>
              <w:ind w:left="6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 xml:space="preserve">    Unit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37"/>
        </w:trPr>
        <w:tc>
          <w:tcPr>
            <w:tcW w:w="3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32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1,582</w:t>
            </w:r>
          </w:p>
        </w:tc>
        <w:tc>
          <w:tcPr>
            <w:tcW w:w="12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20.8 %</w:t>
            </w: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2,997</w:t>
            </w:r>
          </w:p>
        </w:tc>
        <w:tc>
          <w:tcPr>
            <w:tcW w:w="12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31.4 %</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(1,415)</w:t>
            </w:r>
          </w:p>
        </w:tc>
        <w:tc>
          <w:tcPr>
            <w:tcW w:w="10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w:t>
            </w:r>
          </w:p>
        </w:tc>
      </w:tr>
      <w:tr>
        <w:trPr>
          <w:trHeight w:val="233"/>
        </w:trPr>
        <w:tc>
          <w:tcPr>
            <w:tcW w:w="3120" w:type="dxa"/>
            <w:vAlign w:val="bottom"/>
          </w:tcPr>
          <w:p>
            <w:pPr>
              <w:ind w:left="20"/>
              <w:spacing w:after="0"/>
              <w:rPr>
                <w:sz w:val="20"/>
                <w:szCs w:val="20"/>
                <w:color w:val="auto"/>
              </w:rPr>
            </w:pPr>
            <w:r>
              <w:rPr>
                <w:rFonts w:ascii="Arial" w:cs="Arial" w:eastAsia="Arial" w:hAnsi="Arial"/>
                <w:sz w:val="16"/>
                <w:szCs w:val="16"/>
                <w:color w:val="auto"/>
              </w:rPr>
              <w:t>Class B</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2,784</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36.7 %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2,012</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21.1 %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772</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38.4 %</w:t>
            </w:r>
          </w:p>
        </w:tc>
      </w:tr>
      <w:tr>
        <w:trPr>
          <w:trHeight w:val="246"/>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3,225</w:t>
            </w:r>
          </w:p>
        </w:tc>
        <w:tc>
          <w:tcPr>
            <w:tcW w:w="12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42.5 %</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4,539</w:t>
            </w:r>
          </w:p>
        </w:tc>
        <w:tc>
          <w:tcPr>
            <w:tcW w:w="12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47.5 %</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(1,314)</w:t>
            </w:r>
          </w:p>
        </w:tc>
        <w:tc>
          <w:tcPr>
            <w:tcW w:w="10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w:t>
            </w: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Total Motorhome</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7,591</w:t>
            </w:r>
          </w:p>
        </w:tc>
        <w:tc>
          <w:tcPr>
            <w:tcW w:w="120" w:type="dxa"/>
            <w:vAlign w:val="bottom"/>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9,548</w:t>
            </w:r>
          </w:p>
        </w:tc>
        <w:tc>
          <w:tcPr>
            <w:tcW w:w="120" w:type="dxa"/>
            <w:vAlign w:val="bottom"/>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(1,957)</w:t>
            </w:r>
          </w:p>
        </w:tc>
        <w:tc>
          <w:tcPr>
            <w:tcW w:w="100" w:type="dxa"/>
            <w:vAlign w:val="bottom"/>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r>
      <w:tr>
        <w:trPr>
          <w:trHeight w:val="20"/>
        </w:trPr>
        <w:tc>
          <w:tcPr>
            <w:tcW w:w="3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19"/>
        </w:trPr>
        <w:tc>
          <w:tcPr>
            <w:tcW w:w="312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14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August 31, 2019</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August 25, 2018</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6"/>
        </w:trPr>
        <w:tc>
          <w:tcPr>
            <w:tcW w:w="3120" w:type="dxa"/>
            <w:vAlign w:val="bottom"/>
            <w:tcBorders>
              <w:top w:val="single" w:sz="8" w:color="auto"/>
            </w:tcBorders>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(3)</w:t>
            </w: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33"/>
        </w:trPr>
        <w:tc>
          <w:tcPr>
            <w:tcW w:w="3120" w:type="dxa"/>
            <w:vAlign w:val="bottom"/>
          </w:tcPr>
          <w:p>
            <w:pPr>
              <w:ind w:left="120"/>
              <w:spacing w:after="0"/>
              <w:rPr>
                <w:sz w:val="20"/>
                <w:szCs w:val="20"/>
                <w:color w:val="auto"/>
              </w:rPr>
            </w:pPr>
            <w:r>
              <w:rPr>
                <w:rFonts w:ascii="Arial" w:cs="Arial" w:eastAsia="Arial" w:hAnsi="Arial"/>
                <w:sz w:val="16"/>
                <w:szCs w:val="16"/>
                <w:color w:val="auto"/>
              </w:rPr>
              <w:t>Units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1,808</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1,693</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6.8 %</w:t>
            </w:r>
          </w:p>
        </w:tc>
      </w:tr>
      <w:tr>
        <w:trPr>
          <w:trHeight w:val="253"/>
        </w:trPr>
        <w:tc>
          <w:tcPr>
            <w:tcW w:w="3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165,373</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157,554</w:t>
            </w:r>
          </w:p>
        </w:tc>
        <w:tc>
          <w:tcPr>
            <w:tcW w:w="156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7,819</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r>
      <w:tr>
        <w:trPr>
          <w:trHeight w:val="233"/>
        </w:trPr>
        <w:tc>
          <w:tcPr>
            <w:tcW w:w="312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31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Units</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3,891</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4,620</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r>
    </w:tbl>
    <w:p>
      <w:pPr>
        <w:spacing w:after="0" w:line="113"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ASP excludes off-invoice dealer incentives.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 w:lineRule="exact"/>
        <w:rPr>
          <w:rFonts w:ascii="Arial" w:cs="Arial" w:eastAsia="Arial" w:hAnsi="Arial"/>
          <w:sz w:val="14"/>
          <w:szCs w:val="14"/>
          <w:color w:val="auto"/>
        </w:rPr>
      </w:pPr>
    </w:p>
    <w:p>
      <w:pPr>
        <w:ind w:left="260" w:right="440" w:hanging="252"/>
        <w:spacing w:after="0" w:line="258" w:lineRule="auto"/>
        <w:tabs>
          <w:tab w:leader="none" w:pos="353"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which generally have been requested to be shipped within the next six months. Orders in backlog can be cancelled or postponed at the option of the dealer at any time without penalty and, therefore, backlog may not necessarily be an accurate measure of future sales.</w:t>
      </w:r>
    </w:p>
    <w:p>
      <w:pPr>
        <w:spacing w:after="0" w:line="218"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Motorhome net revenues decreased in Fiscal 2019 compared to Fiscal 2018 due to a decrease in the number of units sold, partially offset by increased pricing.</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Average selling price increased in Fiscal 2019 compared to Fiscal 2018 due to price increases implemented during the second half of Fiscal 2018.</w:t>
      </w:r>
    </w:p>
    <w:p>
      <w:pPr>
        <w:spacing w:after="0" w:line="248"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Adjusted EBITDA decreased in Fiscal 2019 compared to Fiscal 2018 due to lower volume and higher input costs, partially offset by increased pricing and favorable mix of business.</w:t>
      </w:r>
    </w:p>
    <w:p>
      <w:pPr>
        <w:spacing w:after="0" w:line="222"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Motorhome unit deliveries decreased in Fiscal 2019 compared to Fiscal 2018 driven by decreases in our Class A and Class C products, partially offset by an increase in our Class B products.</w:t>
      </w:r>
    </w:p>
    <w:p>
      <w:pPr>
        <w:spacing w:after="0" w:line="222"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We saw an increase in the volume and dollar value of backlog as of August 31, 2019 compared to August 25, 2018 due to the introduction of new product models.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Capital Resources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cash flows from total operations for Fiscal 2020, 2019, and 2018:</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2018</w:t>
            </w:r>
          </w:p>
        </w:tc>
      </w:tr>
      <w:tr>
        <w:trPr>
          <w:trHeight w:val="243"/>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cash provided by (used in):</w:t>
            </w:r>
          </w:p>
        </w:tc>
        <w:tc>
          <w:tcPr>
            <w:tcW w:w="1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33"/>
        </w:trPr>
        <w:tc>
          <w:tcPr>
            <w:tcW w:w="5440" w:type="dxa"/>
            <w:vAlign w:val="bottom"/>
          </w:tcPr>
          <w:p>
            <w:pPr>
              <w:ind w:left="120"/>
              <w:spacing w:after="0"/>
              <w:rPr>
                <w:sz w:val="20"/>
                <w:szCs w:val="20"/>
                <w:color w:val="auto"/>
              </w:rPr>
            </w:pPr>
            <w:r>
              <w:rPr>
                <w:rFonts w:ascii="Arial" w:cs="Arial" w:eastAsia="Arial" w:hAnsi="Arial"/>
                <w:sz w:val="16"/>
                <w:szCs w:val="16"/>
                <w:color w:val="auto"/>
              </w:rPr>
              <w:t>Operating activities</w:t>
            </w:r>
          </w:p>
        </w:tc>
        <w:tc>
          <w:tcPr>
            <w:tcW w:w="110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270,434</w:t>
            </w:r>
          </w:p>
        </w:tc>
        <w:tc>
          <w:tcPr>
            <w:tcW w:w="120" w:type="dxa"/>
            <w:vAlign w:val="bottom"/>
          </w:tcPr>
          <w:p>
            <w:pPr>
              <w:spacing w:after="0"/>
              <w:rPr>
                <w:sz w:val="20"/>
                <w:szCs w:val="20"/>
                <w:color w:val="auto"/>
              </w:rPr>
            </w:pP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133,750</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83,346</w:t>
            </w:r>
          </w:p>
        </w:tc>
      </w:tr>
      <w:tr>
        <w:trPr>
          <w:trHeight w:val="253"/>
        </w:trPr>
        <w:tc>
          <w:tcPr>
            <w:tcW w:w="5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Investing activities</w:t>
            </w:r>
          </w:p>
        </w:tc>
        <w:tc>
          <w:tcPr>
            <w:tcW w:w="110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(293,076)</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(38,936)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(111,761)</w:t>
            </w:r>
          </w:p>
        </w:tc>
      </w:tr>
      <w:tr>
        <w:trPr>
          <w:trHeight w:val="237"/>
        </w:trPr>
        <w:tc>
          <w:tcPr>
            <w:tcW w:w="54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Financing activities</w:t>
            </w:r>
          </w:p>
        </w:tc>
        <w:tc>
          <w:tcPr>
            <w:tcW w:w="1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277,786</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(59,725)</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(5,188)</w:t>
            </w:r>
          </w:p>
        </w:tc>
      </w:tr>
      <w:tr>
        <w:trPr>
          <w:trHeight w:val="268"/>
        </w:trPr>
        <w:tc>
          <w:tcPr>
            <w:tcW w:w="5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increase (decrease) in cash and cash equivalents</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255,144</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35,089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(33,603)</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264"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Cash provided by operating activities increased in Fiscal 2020 compared to Fiscal 2019 due to a focused effort on reducing expenses in a period of lower profitability and lower inventory levels due to the COVID-19 pandemic, as well as improved working capital in Fiscal 2020.</w:t>
      </w:r>
    </w:p>
    <w:p>
      <w:pPr>
        <w:spacing w:after="0" w:line="222"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Cash provided by operating activities increased in Fiscal 2019 compared to Fiscal 2018 primarily due to steady profitability and working capital as a percent of sales.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Cash used in investing activities increased in Fiscal 2020 compared to Fiscal 2019 primarily due to the Newmar acquisition.</w:t>
      </w:r>
    </w:p>
    <w:p>
      <w:pPr>
        <w:spacing w:after="0" w:line="24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Cash used in investing activities decreased in Fiscal 2019 compared to Fiscal 2018 primarily due to a decrease in cash used for the Chris-Craft acquisition in Fiscal 2018 partially offset by increased capital expenditures related to the capacity expansion within our Towable segment.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264"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Cash provided by financing activities increased in Fiscal 2020 compared to Fiscal 2019 primarily due to the Convertible Notes issued to finance the Newmar acquisition, and refinancing the Term Loan with the Senior Secured Notes, resulting in a more favorable interest rate.</w:t>
      </w:r>
    </w:p>
    <w:p>
      <w:pPr>
        <w:spacing w:after="0" w:line="222"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Cash used in financing activities increased in Fiscal 2019 compared to Fiscal 2018 primarily due to increased net payments on our Credit Agreement and increased share repurchases.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and Capital</w:t>
      </w:r>
    </w:p>
    <w:p>
      <w:pPr>
        <w:spacing w:after="0" w:line="252" w:lineRule="exact"/>
        <w:rPr>
          <w:sz w:val="20"/>
          <w:szCs w:val="20"/>
          <w:color w:val="auto"/>
        </w:rPr>
      </w:pPr>
    </w:p>
    <w:p>
      <w:pPr>
        <w:ind w:right="160"/>
        <w:spacing w:after="0" w:line="263" w:lineRule="auto"/>
        <w:rPr>
          <w:sz w:val="20"/>
          <w:szCs w:val="20"/>
          <w:color w:val="auto"/>
        </w:rPr>
      </w:pPr>
      <w:r>
        <w:rPr>
          <w:rFonts w:ascii="Arial" w:cs="Arial" w:eastAsia="Arial" w:hAnsi="Arial"/>
          <w:sz w:val="16"/>
          <w:szCs w:val="16"/>
          <w:color w:val="auto"/>
        </w:rPr>
        <w:t xml:space="preserve">During the first quarter of Fiscal 2020, we issued the Convertible Notes, which were used to partially fund the Newmar acquisition. Refer to Note 9, </w:t>
      </w:r>
      <w:r>
        <w:rPr>
          <w:rFonts w:ascii="Arial" w:cs="Arial" w:eastAsia="Arial" w:hAnsi="Arial"/>
          <w:sz w:val="16"/>
          <w:szCs w:val="16"/>
          <w:i w:val="1"/>
          <w:iCs w:val="1"/>
          <w:color w:val="auto"/>
        </w:rPr>
        <w:t>Long-Term Debt</w:t>
      </w:r>
      <w:r>
        <w:rPr>
          <w:rFonts w:ascii="Arial" w:cs="Arial" w:eastAsia="Arial" w:hAnsi="Arial"/>
          <w:sz w:val="16"/>
          <w:szCs w:val="16"/>
          <w:color w:val="auto"/>
        </w:rPr>
        <w:t>, of the Notes to Consolidated Financial Statements, included in Item 8,</w:t>
      </w:r>
      <w:r>
        <w:rPr>
          <w:rFonts w:ascii="Arial" w:cs="Arial" w:eastAsia="Arial" w:hAnsi="Arial"/>
          <w:sz w:val="16"/>
          <w:szCs w:val="16"/>
          <w:i w:val="1"/>
          <w:iCs w:val="1"/>
          <w:color w:val="auto"/>
        </w:rPr>
        <w:t xml:space="preserve"> Financial Statements and Supplementary Data</w:t>
      </w:r>
      <w:r>
        <w:rPr>
          <w:rFonts w:ascii="Arial" w:cs="Arial" w:eastAsia="Arial" w:hAnsi="Arial"/>
          <w:sz w:val="16"/>
          <w:szCs w:val="16"/>
          <w:color w:val="auto"/>
        </w:rPr>
        <w:t>, of this Annual Report on</w:t>
      </w:r>
      <w:r>
        <w:rPr>
          <w:rFonts w:ascii="Arial" w:cs="Arial" w:eastAsia="Arial" w:hAnsi="Arial"/>
          <w:sz w:val="16"/>
          <w:szCs w:val="16"/>
          <w:i w:val="1"/>
          <w:iCs w:val="1"/>
          <w:color w:val="auto"/>
        </w:rPr>
        <w:t xml:space="preserve"> </w:t>
      </w:r>
      <w:r>
        <w:rPr>
          <w:rFonts w:ascii="Arial" w:cs="Arial" w:eastAsia="Arial" w:hAnsi="Arial"/>
          <w:sz w:val="16"/>
          <w:szCs w:val="16"/>
          <w:color w:val="auto"/>
        </w:rPr>
        <w:t>Form 10-K for additional details.</w:t>
      </w:r>
    </w:p>
    <w:p>
      <w:pPr>
        <w:spacing w:after="0" w:line="221"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 xml:space="preserve">As of July 8, 2020, we closed our private offering (the "Senior Secured Notes Offering") of $300 million in aggregate principal amount of 6.25% senior secured notes due 2028 (the "Senior Secured Notes"). The proceeds from the Senior Secured Notes were used to repay the remaining debt on the term loan and for general corporate purposes. Refer to Note 9,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 of the Notes to Consolidated Financial Statements, included in Item 8,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 and Supplementary Data</w:t>
      </w:r>
      <w:r>
        <w:rPr>
          <w:rFonts w:ascii="Arial" w:cs="Arial" w:eastAsia="Arial" w:hAnsi="Arial"/>
          <w:sz w:val="16"/>
          <w:szCs w:val="16"/>
          <w:color w:val="auto"/>
        </w:rPr>
        <w:t>, of this Annual Report on Form 10-K for additional details.</w:t>
      </w:r>
    </w:p>
    <w:p>
      <w:pPr>
        <w:spacing w:after="0" w:line="229"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We maintain a $192.5 million asset-based revolving credit facility ("Credit Agreement") with a maturity date of October 22, 2024 subject to certain factors which may accelerate the maturity date. As of August 29, 2020, we had no borrowings against the ABL.</w:t>
      </w:r>
    </w:p>
    <w:p>
      <w:pPr>
        <w:spacing w:after="0" w:line="222"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As of August 29, 2020, we had $292.6 million in cash and cash equivalents and $192.5 million in unused ABL Credit Facility. Our cash and cash equivalent balances consist of high quality, short-term money market instruments.</w:t>
      </w:r>
    </w:p>
    <w:p>
      <w:pPr>
        <w:spacing w:after="0" w:line="222"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We believe cash flow from operations, existing lines of credit, and access to debt and capital markets will be sufficient to meet our current liquidity needs, and we have committed liquidity and cash reserves in excess of our anticipated funding requirements. We evaluate the financial stability of the counterparties for the Convertible Notes, the Senior Secured Notes, and the ABL, and will continue to monitor counterparty risk on an on-going basis.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Financial Measures</w:t>
      </w:r>
    </w:p>
    <w:p>
      <w:pPr>
        <w:spacing w:after="0" w:line="268"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Working capital at August 29, 2020 and August 31, 2019 was $413.2 million and $212.9 million, respectively. We currently expect cash on hand, funds generated from operations, and the borrowing available under our ABL and other debt instruments to be sufficient to cover both short-term and long-term operating requirements.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Expenditures</w:t>
      </w:r>
    </w:p>
    <w:p>
      <w:pPr>
        <w:spacing w:after="0" w:line="26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We anticipate capital expenditures in Fiscal 2021 of approximately $55.0 million to $65.0 million. We will continue to support organic growth through capacity expansion in our facilities and make improvements as necessary.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Repurchases and Dividends</w:t>
      </w:r>
    </w:p>
    <w:p>
      <w:pPr>
        <w:spacing w:after="0" w:line="268"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We repurchase our common stock and pay dividends pursuant to programs approved by our Board of Directors. Our long-term capital allocation strategy is to first fund operations and investments in growth, maintain reasonable liquidity, maintain a leverage ratio that reflects a prudent capital structure in light of the cyclical industry we compete in, and then return excess cash over time to shareholders through dividends and share repurchases.</w:t>
      </w:r>
    </w:p>
    <w:p>
      <w:pPr>
        <w:spacing w:after="0" w:line="228"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On October 18, 2017, our Board of Directors authorized a share repurchase program in the amount of $70.0 million. There is no time restriction on the authorization. During Fiscal 2020, we repurchased 45,000 shares of our common stock at a cost of $1.8 million to satisfy tax obligations on employee equity awards as they vested. No other shares of our common stock were repurchased during Fiscal 2020. We continually evaluate if share repurchases reflect a prudent use of our capital and, subject to compliance with our ABL credit facility and Senior Secured Notes, we may purchase shares in the future. At August 29, 2020, we have $59.9 million remaining on our board repurchase authorization.</w:t>
      </w:r>
    </w:p>
    <w:p>
      <w:pPr>
        <w:spacing w:after="0" w:line="230"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On August 19, 2020, our Board of Directors declared a quarterly cash dividend of $0.12 per share, totaling $4.0 million, paid on September 30, 2020 to common stockholders of record at the close of business on September 16, 2020.</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Commercial Commitments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Our principal contractual obligations and commercial commitments as of August 29, 2020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6"/>
                <w:szCs w:val="16"/>
                <w:b w:val="1"/>
                <w:bCs w:val="1"/>
                <w:color w:val="auto"/>
              </w:rPr>
              <w:t>Payments Due by Period</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198"/>
        </w:trPr>
        <w:tc>
          <w:tcPr>
            <w:tcW w:w="4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Less than 1</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ind w:right="79"/>
              <w:spacing w:after="0"/>
              <w:rPr>
                <w:sz w:val="20"/>
                <w:szCs w:val="20"/>
                <w:color w:val="auto"/>
              </w:rPr>
            </w:pPr>
            <w:r>
              <w:rPr>
                <w:rFonts w:ascii="Arial" w:cs="Arial" w:eastAsia="Arial" w:hAnsi="Arial"/>
                <w:sz w:val="16"/>
                <w:szCs w:val="16"/>
                <w:b w:val="1"/>
                <w:bCs w:val="1"/>
                <w:color w:val="auto"/>
              </w:rPr>
              <w:t>More than 5</w:t>
            </w:r>
          </w:p>
        </w:tc>
      </w:tr>
      <w:tr>
        <w:trPr>
          <w:trHeight w:val="234"/>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9"/>
              <w:spacing w:after="0" w:line="234" w:lineRule="exact"/>
              <w:rPr>
                <w:sz w:val="20"/>
                <w:szCs w:val="20"/>
                <w:color w:val="auto"/>
              </w:rPr>
            </w:pPr>
            <w:r>
              <w:rPr>
                <w:rFonts w:ascii="Arial" w:cs="Arial" w:eastAsia="Arial" w:hAnsi="Arial"/>
                <w:sz w:val="16"/>
                <w:szCs w:val="16"/>
                <w:b w:val="1"/>
                <w:bCs w:val="1"/>
                <w:color w:val="auto"/>
              </w:rPr>
              <w:t>Total</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7"/>
              </w:rPr>
              <w:t>Year</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1-3 Years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3-5 Years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Years</w:t>
            </w:r>
          </w:p>
        </w:tc>
      </w:tr>
      <w:tr>
        <w:trPr>
          <w:trHeight w:val="236"/>
        </w:trPr>
        <w:tc>
          <w:tcPr>
            <w:tcW w:w="4240" w:type="dxa"/>
            <w:vAlign w:val="bottom"/>
            <w:shd w:val="clear" w:color="auto" w:fill="CCEEFF"/>
          </w:tcPr>
          <w:p>
            <w:pPr>
              <w:ind w:left="20"/>
              <w:spacing w:after="0" w:line="237" w:lineRule="exact"/>
              <w:rPr>
                <w:sz w:val="20"/>
                <w:szCs w:val="20"/>
                <w:color w:val="auto"/>
              </w:rPr>
            </w:pPr>
            <w:r>
              <w:rPr>
                <w:rFonts w:ascii="Arial" w:cs="Arial" w:eastAsia="Arial" w:hAnsi="Arial"/>
                <w:sz w:val="16"/>
                <w:szCs w:val="16"/>
                <w:color w:val="auto"/>
              </w:rPr>
              <w:t>ABL</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4240" w:type="dxa"/>
            <w:vAlign w:val="bottom"/>
          </w:tcPr>
          <w:p>
            <w:pPr>
              <w:ind w:left="20"/>
              <w:spacing w:after="0"/>
              <w:rPr>
                <w:sz w:val="20"/>
                <w:szCs w:val="20"/>
                <w:color w:val="auto"/>
              </w:rPr>
            </w:pPr>
            <w:r>
              <w:rPr>
                <w:rFonts w:ascii="Arial" w:cs="Arial" w:eastAsia="Arial" w:hAnsi="Arial"/>
                <w:sz w:val="16"/>
                <w:szCs w:val="16"/>
                <w:color w:val="auto"/>
              </w:rPr>
              <w:t>Senior Secured Notes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300,000</w:t>
            </w:r>
          </w:p>
        </w:tc>
      </w:tr>
      <w:tr>
        <w:trPr>
          <w:trHeight w:val="253"/>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4240" w:type="dxa"/>
            <w:vAlign w:val="bottom"/>
          </w:tcPr>
          <w:p>
            <w:pPr>
              <w:ind w:left="20"/>
              <w:spacing w:after="0"/>
              <w:rPr>
                <w:sz w:val="20"/>
                <w:szCs w:val="20"/>
                <w:color w:val="auto"/>
              </w:rPr>
            </w:pPr>
            <w:r>
              <w:rPr>
                <w:rFonts w:ascii="Arial" w:cs="Arial" w:eastAsia="Arial" w:hAnsi="Arial"/>
                <w:sz w:val="16"/>
                <w:szCs w:val="16"/>
                <w:color w:val="auto"/>
              </w:rPr>
              <w:t>ABL commitment fee</w:t>
            </w:r>
            <w:r>
              <w:rPr>
                <w:rFonts w:ascii="Arial" w:cs="Arial" w:eastAsia="Arial" w:hAnsi="Arial"/>
                <w:sz w:val="21"/>
                <w:szCs w:val="21"/>
                <w:color w:val="auto"/>
                <w:vertAlign w:val="superscript"/>
              </w:rPr>
              <w:t>(3)</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interest payments</w:t>
            </w:r>
            <w:r>
              <w:rPr>
                <w:rFonts w:ascii="Arial" w:cs="Arial" w:eastAsia="Arial" w:hAnsi="Arial"/>
                <w:sz w:val="21"/>
                <w:szCs w:val="21"/>
                <w:color w:val="auto"/>
                <w:vertAlign w:val="superscript"/>
              </w:rPr>
              <w:t>(4)</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23,250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56,250</w:t>
            </w:r>
          </w:p>
        </w:tc>
      </w:tr>
      <w:tr>
        <w:trPr>
          <w:trHeight w:val="233"/>
        </w:trPr>
        <w:tc>
          <w:tcPr>
            <w:tcW w:w="4240" w:type="dxa"/>
            <w:vAlign w:val="bottom"/>
          </w:tcPr>
          <w:p>
            <w:pPr>
              <w:ind w:left="20"/>
              <w:spacing w:after="0"/>
              <w:rPr>
                <w:sz w:val="20"/>
                <w:szCs w:val="20"/>
                <w:color w:val="auto"/>
              </w:rPr>
            </w:pPr>
            <w:r>
              <w:rPr>
                <w:rFonts w:ascii="Arial" w:cs="Arial" w:eastAsia="Arial" w:hAnsi="Arial"/>
                <w:sz w:val="16"/>
                <w:szCs w:val="16"/>
                <w:color w:val="auto"/>
              </w:rPr>
              <w:t>Deferred compensation obligations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14,008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2,878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2,460</w:t>
            </w:r>
          </w:p>
        </w:tc>
      </w:tr>
      <w:tr>
        <w:trPr>
          <w:trHeight w:val="253"/>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Contracted services</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22,447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4240" w:type="dxa"/>
            <w:vAlign w:val="bottom"/>
          </w:tcPr>
          <w:p>
            <w:pPr>
              <w:ind w:left="20"/>
              <w:spacing w:after="0"/>
              <w:rPr>
                <w:sz w:val="20"/>
                <w:szCs w:val="20"/>
                <w:color w:val="auto"/>
              </w:rPr>
            </w:pPr>
            <w:r>
              <w:rPr>
                <w:rFonts w:ascii="Arial" w:cs="Arial" w:eastAsia="Arial" w:hAnsi="Arial"/>
                <w:sz w:val="16"/>
                <w:szCs w:val="16"/>
                <w:color w:val="auto"/>
              </w:rPr>
              <w:t>Operating lease obligations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38,786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8,485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8,580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17,318</w:t>
            </w:r>
          </w:p>
        </w:tc>
      </w:tr>
      <w:tr>
        <w:trPr>
          <w:trHeight w:val="24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obligations</w:t>
            </w: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2,576</w:t>
            </w:r>
          </w:p>
        </w:tc>
      </w:tr>
      <w:tr>
        <w:trPr>
          <w:trHeight w:val="243"/>
        </w:trPr>
        <w:tc>
          <w:tcPr>
            <w:tcW w:w="4240" w:type="dxa"/>
            <w:vAlign w:val="bottom"/>
          </w:tcPr>
          <w:p>
            <w:pPr>
              <w:ind w:left="120"/>
              <w:spacing w:after="0"/>
              <w:rPr>
                <w:sz w:val="20"/>
                <w:szCs w:val="20"/>
                <w:color w:val="auto"/>
              </w:rPr>
            </w:pPr>
            <w:r>
              <w:rPr>
                <w:rFonts w:ascii="Arial" w:cs="Arial" w:eastAsia="Arial" w:hAnsi="Arial"/>
                <w:sz w:val="16"/>
                <w:szCs w:val="16"/>
                <w:color w:val="auto"/>
              </w:rPr>
              <w:t>Total contractual cash obligations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856,671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44,017</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72,730</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361,320</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378,604</w:t>
            </w: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716"/>
        </w:trPr>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6"/>
                <w:szCs w:val="16"/>
                <w:b w:val="1"/>
                <w:bCs w:val="1"/>
                <w:color w:val="auto"/>
              </w:rPr>
              <w:t>Expiration by Period</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98"/>
        </w:trPr>
        <w:tc>
          <w:tcPr>
            <w:tcW w:w="4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Less than 1</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ind w:right="79"/>
              <w:spacing w:after="0"/>
              <w:rPr>
                <w:sz w:val="20"/>
                <w:szCs w:val="20"/>
                <w:color w:val="auto"/>
              </w:rPr>
            </w:pPr>
            <w:r>
              <w:rPr>
                <w:rFonts w:ascii="Arial" w:cs="Arial" w:eastAsia="Arial" w:hAnsi="Arial"/>
                <w:sz w:val="16"/>
                <w:szCs w:val="16"/>
                <w:b w:val="1"/>
                <w:bCs w:val="1"/>
                <w:color w:val="auto"/>
              </w:rPr>
              <w:t>More than 5</w:t>
            </w:r>
          </w:p>
        </w:tc>
      </w:tr>
      <w:tr>
        <w:trPr>
          <w:trHeight w:val="228"/>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7"/>
              </w:rPr>
              <w:t>Year</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1-3 Years</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3-5 Years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Years</w:t>
            </w:r>
          </w:p>
        </w:tc>
      </w:tr>
      <w:tr>
        <w:trPr>
          <w:trHeight w:val="243"/>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repurchase obligations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798,906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689,614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109,292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bl>
    <w:p>
      <w:pPr>
        <w:spacing w:after="0" w:line="126" w:lineRule="exact"/>
        <w:rPr>
          <w:sz w:val="20"/>
          <w:szCs w:val="20"/>
          <w:color w:val="auto"/>
        </w:rPr>
      </w:pPr>
    </w:p>
    <w:p>
      <w:pPr>
        <w:ind w:right="840"/>
        <w:spacing w:after="0" w:line="312" w:lineRule="auto"/>
        <w:rPr>
          <w:sz w:val="20"/>
          <w:szCs w:val="20"/>
          <w:color w:val="auto"/>
        </w:rPr>
      </w:pPr>
      <w:r>
        <w:rPr>
          <w:rFonts w:ascii="Arial" w:cs="Arial" w:eastAsia="Arial" w:hAnsi="Arial"/>
          <w:sz w:val="14"/>
          <w:szCs w:val="14"/>
          <w:color w:val="auto"/>
        </w:rPr>
        <w:t xml:space="preserve">Note: For additional information refer to Note 9, </w:t>
      </w:r>
      <w:r>
        <w:rPr>
          <w:rFonts w:ascii="Arial" w:cs="Arial" w:eastAsia="Arial" w:hAnsi="Arial"/>
          <w:sz w:val="14"/>
          <w:szCs w:val="14"/>
          <w:i w:val="1"/>
          <w:iCs w:val="1"/>
          <w:color w:val="auto"/>
        </w:rPr>
        <w:t>Long-Term Debt</w:t>
      </w:r>
      <w:r>
        <w:rPr>
          <w:rFonts w:ascii="Arial" w:cs="Arial" w:eastAsia="Arial" w:hAnsi="Arial"/>
          <w:sz w:val="14"/>
          <w:szCs w:val="14"/>
          <w:color w:val="auto"/>
        </w:rPr>
        <w:t xml:space="preserve">; Note 10 </w:t>
      </w:r>
      <w:r>
        <w:rPr>
          <w:rFonts w:ascii="Arial" w:cs="Arial" w:eastAsia="Arial" w:hAnsi="Arial"/>
          <w:sz w:val="14"/>
          <w:szCs w:val="14"/>
          <w:i w:val="1"/>
          <w:iCs w:val="1"/>
          <w:color w:val="auto"/>
        </w:rPr>
        <w:t>Leases,</w:t>
      </w:r>
      <w:r>
        <w:rPr>
          <w:rFonts w:ascii="Arial" w:cs="Arial" w:eastAsia="Arial" w:hAnsi="Arial"/>
          <w:sz w:val="14"/>
          <w:szCs w:val="14"/>
          <w:color w:val="auto"/>
        </w:rPr>
        <w:t xml:space="preserve"> Note 11, </w:t>
      </w:r>
      <w:r>
        <w:rPr>
          <w:rFonts w:ascii="Arial" w:cs="Arial" w:eastAsia="Arial" w:hAnsi="Arial"/>
          <w:sz w:val="14"/>
          <w:szCs w:val="14"/>
          <w:i w:val="1"/>
          <w:iCs w:val="1"/>
          <w:color w:val="auto"/>
        </w:rPr>
        <w:t>Employee and Retiree Benefits</w:t>
      </w:r>
      <w:r>
        <w:rPr>
          <w:rFonts w:ascii="Arial" w:cs="Arial" w:eastAsia="Arial" w:hAnsi="Arial"/>
          <w:sz w:val="14"/>
          <w:szCs w:val="14"/>
          <w:color w:val="auto"/>
        </w:rPr>
        <w:t xml:space="preserve">; and Note 12, </w:t>
      </w:r>
      <w:r>
        <w:rPr>
          <w:rFonts w:ascii="Arial" w:cs="Arial" w:eastAsia="Arial" w:hAnsi="Arial"/>
          <w:sz w:val="14"/>
          <w:szCs w:val="14"/>
          <w:i w:val="1"/>
          <w:iCs w:val="1"/>
          <w:color w:val="auto"/>
        </w:rPr>
        <w:t>Contingent Liabilities and</w:t>
      </w:r>
      <w:r>
        <w:rPr>
          <w:rFonts w:ascii="Arial" w:cs="Arial" w:eastAsia="Arial" w:hAnsi="Arial"/>
          <w:sz w:val="14"/>
          <w:szCs w:val="14"/>
          <w:color w:val="auto"/>
        </w:rPr>
        <w:t xml:space="preserve"> </w:t>
      </w:r>
      <w:r>
        <w:rPr>
          <w:rFonts w:ascii="Arial" w:cs="Arial" w:eastAsia="Arial" w:hAnsi="Arial"/>
          <w:sz w:val="14"/>
          <w:szCs w:val="14"/>
          <w:i w:val="1"/>
          <w:iCs w:val="1"/>
          <w:color w:val="auto"/>
        </w:rPr>
        <w:t>Commitments</w:t>
      </w:r>
      <w:r>
        <w:rPr>
          <w:rFonts w:ascii="Arial" w:cs="Arial" w:eastAsia="Arial" w:hAnsi="Arial"/>
          <w:sz w:val="14"/>
          <w:szCs w:val="14"/>
          <w:color w:val="auto"/>
        </w:rPr>
        <w:t>, of the Notes to Consolidated Financial Statements, included in Item 8,</w:t>
      </w:r>
      <w:r>
        <w:rPr>
          <w:rFonts w:ascii="Arial" w:cs="Arial" w:eastAsia="Arial" w:hAnsi="Arial"/>
          <w:sz w:val="14"/>
          <w:szCs w:val="14"/>
          <w:i w:val="1"/>
          <w:iCs w:val="1"/>
          <w:color w:val="auto"/>
        </w:rPr>
        <w:t xml:space="preserve"> Financial Statements and Supplementary Data.</w:t>
      </w:r>
    </w:p>
    <w:p>
      <w:pPr>
        <w:ind w:left="260" w:right="240" w:hanging="252"/>
        <w:spacing w:after="0" w:line="258" w:lineRule="auto"/>
        <w:tabs>
          <w:tab w:leader="none" w:pos="247"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table above does not reflect unrecognized tax benefits of $6.5 million and product warranties due to the uncertainty regarding the future cash outflows, as we are not able to reasonably estimate the timing or amount of the payments.</w:t>
      </w:r>
    </w:p>
    <w:p>
      <w:pPr>
        <w:spacing w:after="0" w:line="31" w:lineRule="exact"/>
        <w:rPr>
          <w:rFonts w:ascii="Arial" w:cs="Arial" w:eastAsia="Arial" w:hAnsi="Arial"/>
          <w:sz w:val="14"/>
          <w:szCs w:val="14"/>
          <w:color w:val="auto"/>
        </w:rPr>
      </w:pPr>
    </w:p>
    <w:p>
      <w:pPr>
        <w:ind w:left="260" w:right="140" w:hanging="252"/>
        <w:spacing w:after="0" w:line="258" w:lineRule="auto"/>
        <w:tabs>
          <w:tab w:leader="none" w:pos="247" w:val="left"/>
        </w:tabs>
        <w:numPr>
          <w:ilvl w:val="0"/>
          <w:numId w:val="20"/>
        </w:numPr>
        <w:rPr>
          <w:rFonts w:ascii="Arial" w:cs="Arial" w:eastAsia="Arial" w:hAnsi="Arial"/>
          <w:sz w:val="14"/>
          <w:szCs w:val="14"/>
          <w:color w:val="auto"/>
        </w:rPr>
      </w:pPr>
      <w:r>
        <w:rPr>
          <w:rFonts w:ascii="Arial" w:cs="Arial" w:eastAsia="Arial" w:hAnsi="Arial"/>
          <w:sz w:val="14"/>
          <w:szCs w:val="14"/>
          <w:color w:val="auto"/>
        </w:rPr>
        <w:t>Borrowings and repayments are expected to fluctuate over the term; therefore, we are not able to reasonably estimate in which future periods this amount will ultimately be settled.</w:t>
      </w:r>
    </w:p>
    <w:p>
      <w:pPr>
        <w:spacing w:after="0" w:line="31" w:lineRule="exact"/>
        <w:rPr>
          <w:rFonts w:ascii="Arial" w:cs="Arial" w:eastAsia="Arial" w:hAnsi="Arial"/>
          <w:sz w:val="14"/>
          <w:szCs w:val="14"/>
          <w:color w:val="auto"/>
        </w:rPr>
      </w:pPr>
    </w:p>
    <w:p>
      <w:pPr>
        <w:ind w:left="240" w:hanging="232"/>
        <w:spacing w:after="0"/>
        <w:tabs>
          <w:tab w:leader="none" w:pos="2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a commitment fee for unused borrowings on our ABL, which are assumed to be $192.5 million at August 29, 2020.</w:t>
      </w:r>
    </w:p>
    <w:p>
      <w:pPr>
        <w:spacing w:after="0" w:line="55" w:lineRule="exact"/>
        <w:rPr>
          <w:rFonts w:ascii="Arial" w:cs="Arial" w:eastAsia="Arial" w:hAnsi="Arial"/>
          <w:sz w:val="14"/>
          <w:szCs w:val="14"/>
          <w:color w:val="auto"/>
        </w:rPr>
      </w:pPr>
    </w:p>
    <w:p>
      <w:pPr>
        <w:ind w:left="240" w:hanging="232"/>
        <w:spacing w:after="0"/>
        <w:tabs>
          <w:tab w:leader="none" w:pos="2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Interest payments are based on fixed interest rates for the Senior Secured Notes and Convertible Notes.</w:t>
      </w:r>
    </w:p>
    <w:p>
      <w:pPr>
        <w:sectPr>
          <w:pgSz w:w="11900" w:h="16838" w:orient="portrait"/>
          <w:cols w:equalWidth="0" w:num="1">
            <w:col w:w="11220"/>
          </w:cols>
          <w:pgMar w:left="320" w:top="14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type w:val="continuous"/>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26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Our consolidated financial statements are prepared in accordance with GAAP. In connection with the preparation of our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believed to be relevant at the time our consolidated financial statements are prepared. Because future events and their effects cannot be determined with certainty, actual results could differ from our assumptions and estimates, and such differences could be material.</w:t>
      </w:r>
    </w:p>
    <w:p>
      <w:pPr>
        <w:spacing w:after="0" w:line="214"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 xml:space="preserve">Our significant accounting policies are discussed in Note 1,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included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of this Annual Report on Form 10-K. We believe that the following accounting estimates are the most critical to aid in fully understanding and evaluating our reported financial results. These estimates require our most difficult, subjective, or complex judgments because they relate to matters that are inherently uncertain. We have reviewed these critical accounting estimates and related disclosures with the Audit Committee of our Board of Directors.</w:t>
      </w:r>
    </w:p>
    <w:p>
      <w:pPr>
        <w:spacing w:after="0" w:line="227"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We have not made any material changes during the past three fiscal years, nor do we believe there is a reasonable likelihood of a material future change to the accounting methodologies for the areas described below.</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for Business Combinations</w:t>
      </w:r>
    </w:p>
    <w:p>
      <w:pPr>
        <w:spacing w:after="0" w:line="26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account for business combinations under the acquisition method of accounting. This method requires the recording of acquired assets, including separately identifiable intangible assets, and assumed liabilities at their acquisition date fair values. The excess of the purchase price over the fair value of assets acquired and liabilities assumed is recorded as goodwill. Determining the fair value of assets acquired and liabilities assumed requires management’s judgment and often involves the use of significant estimates and assumptions, including assumptions with respect to future cash flows, discount rates, royalty rates and asset lives, among other items.</w:t>
      </w:r>
    </w:p>
    <w:p>
      <w:pPr>
        <w:spacing w:after="0" w:line="230"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We used the income approach to value certain intangible assets. Under the income approach, an intangible asset’s fair value is equal to the present value of future economic benefits to be derived from ownership of the asset. We used the income approach known as the relief from royalty method to value the fair value of the trade name. The relief from royalty method is based on the hypothetical royalty stream that would be received if we were to license the trade name and was based on expected revenues. The fair value of the dealer network was estimated using an income approach known as the cost to recreate/cost savings method. This method uses the replacement of the asset as an indicator of the fair value of the asset. The determination of the fair value of other assets acquired and liabilities assumed involves assessing factors such as the expected future cash flows associated with individual assets and liabilities and appropriate discount rates at the date of the acquisition.</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Goodwill and Indefinite-lived Intangible Assets</w:t>
      </w:r>
    </w:p>
    <w:p>
      <w:pPr>
        <w:spacing w:after="0" w:line="26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We test goodwill and indefinite-lived intangible assets (trade names) for impairment at least annually in the fourth quarter and more frequently if events or circumstances occur that would indicate a reduction in fair value. Our test of impairment begins by either performing a qualitative evaluation or a quantitative test:</w:t>
      </w:r>
    </w:p>
    <w:p>
      <w:pPr>
        <w:spacing w:after="0" w:line="228" w:lineRule="exact"/>
        <w:rPr>
          <w:sz w:val="20"/>
          <w:szCs w:val="20"/>
          <w:color w:val="auto"/>
        </w:rPr>
      </w:pPr>
    </w:p>
    <w:p>
      <w:pPr>
        <w:ind w:left="660" w:right="40" w:hanging="328"/>
        <w:spacing w:after="0" w:line="250"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Qualitative evaluation - Performed to determine whether it is more likely than not that the carrying value of goodwill or the trade name exceeds the fair value of the asset. During our qualitative assessment, we make significant estimates, assumptions, and judgments, including, but not limited to, the macroeconomic conditions, industry and market conditions, cost factors, overall financial performance of the Company and the reporting units, changes in our share price, and relevant company-specific events. If we determine that it is more likely than not that the carrying value of goodwill exceeds the fair value of goodwill, we perform the quantitative test to determine the amount of the impairment.</w:t>
      </w:r>
    </w:p>
    <w:p>
      <w:pPr>
        <w:spacing w:after="0" w:line="229" w:lineRule="exact"/>
        <w:rPr>
          <w:rFonts w:ascii="Arial" w:cs="Arial" w:eastAsia="Arial" w:hAnsi="Arial"/>
          <w:sz w:val="16"/>
          <w:szCs w:val="16"/>
          <w:color w:val="auto"/>
        </w:rPr>
      </w:pPr>
    </w:p>
    <w:p>
      <w:pPr>
        <w:ind w:left="660" w:right="80" w:hanging="328"/>
        <w:spacing w:after="0" w:line="248"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Quantitative test - Used to calculate the fair value of goodwill or the trade name. If the carrying value of goodwill or the trade name exceeds the fair value of the asset, the impairment is calculated as the difference between the carrying value and fair value. Our goodwill fair value model uses a blend of the income (discounted future cash flow) and market (guideline public company) approaches, which includes the use of significant unobservable inputs (Level 3 inputs). Our trade name fair value model uses the income (relief-from-royalty) approach, which includes the use of significant unobservable inputs (Level 3 inputs). During these valuations, we make significant estimates, assumptions, and judgments, including, current and projected future levels of income based on management’s plans, business trends, market and economic conditions, and market-participant considerations.</w:t>
      </w:r>
    </w:p>
    <w:p>
      <w:pPr>
        <w:spacing w:after="0" w:line="235"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Actual results may differ from assumed and estimated amounts. As of August 29, 2020, our goodwill balance includes $244.7 million related to our Towable segment, $73.1 million related to our Newmar acquisition, and $30.2 million related to our Corporate/All Other operating segment from our Chris-Craft acquisition, and our indefinite-lived intangible asset balance is $275.3 million. No impairments were recorded in Fiscal 2020, 2019, and 2018.</w:t>
      </w:r>
    </w:p>
    <w:p>
      <w:pPr>
        <w:sectPr>
          <w:pgSz w:w="11900" w:h="16838" w:orient="portrait"/>
          <w:cols w:equalWidth="0" w:num="1">
            <w:col w:w="11220"/>
          </w:cols>
          <w:pgMar w:left="320" w:top="14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type w:val="continuous"/>
        </w:sectPr>
      </w:pPr>
    </w:p>
    <w:bookmarkStart w:id="35" w:name="page36"/>
    <w:bookmarkEnd w:id="3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Repurchase Commitments</w:t>
      </w:r>
    </w:p>
    <w:p>
      <w:pPr>
        <w:spacing w:after="0" w:line="26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It is customary practice for manufacturers in our industries to enter into repurchase agreements with financing institutions that provide financing to their dealers. Our repurchase agreements generally provide that, in the event of a default by a dealer in its obligation to these lenders, we will repurchase units sold to the dealer that have not been resold to retail customers. The terms of these agreements, which can last up to 24 months, provide that our liability will be the lesser of remaining principal owed by the dealer or dealer invoice less periodic reductions based on the time since the date of the original invoice. Our liability cannot exceed 100% of the dealer invoice. In certain instances, we also repurchase inventory from our dealers due to state law or regulatory requirements that govern voluntary or involuntary relationship terminations.</w:t>
      </w:r>
    </w:p>
    <w:p>
      <w:pPr>
        <w:spacing w:after="0" w:line="232"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Based on these repurchase agreements, we establish an associated loss reserve. Our loss reserve for repurchase commitments contains uncertainties because the calculation requires management to make assumptions and apply judgment regarding a number of factors. We base our reserve primarily on our historical loss experience rate per dollar of dealer inventory. The historical experience has been affected by a number of factors which are evaluated, such as macro-market conditions, current retail demand for our product, location of the dealer, and the financing source. The percentage of dealer inventory we estimate we will repurchase and the associated estimated loss is based on historical loss experience and current trends and economic conditions.</w:t>
      </w:r>
    </w:p>
    <w:p>
      <w:pPr>
        <w:spacing w:after="0" w:line="230"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Repurchase risk is affected by the credit worthiness of our dealer network and if we are obligated to repurchase a substantially larger number of units in the future, this would increase our costs and could have a material adverse effect on our results of operations, financial condition, and cash flows. A hypothetical change of a 10% increase or decrease in our repurchases commitments as of August 29, 2020 would not have a material effect on our net income.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Warranty</w:t>
      </w:r>
    </w:p>
    <w:p>
      <w:pPr>
        <w:spacing w:after="0" w:line="264"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We provide certain service and warranty on our products. Estimated costs related to product warranty are accrued at the time of sale and are based upon past warranty claims and unit sales history. Estimates are adjusted as needed to reflect actual costs incurred as information becomes available.</w:t>
      </w:r>
    </w:p>
    <w:p>
      <w:pPr>
        <w:spacing w:after="0" w:line="222"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 addition to the costs associated with the contractual warranty coverage provided on our products,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w:t>
      </w:r>
    </w:p>
    <w:p>
      <w:pPr>
        <w:spacing w:after="0" w:line="22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A significant increase in dealership labor rates, the cost of parts, or the frequency of claims could have a material adverse impact on our operating results for the period or periods in which such claims or additional costs materialize. A hypothetical change of a 10% increase or decrease in our warranty liability as of August 29, 2020 would not have a material effect on our net income.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248" w:lineRule="exact"/>
        <w:rPr>
          <w:sz w:val="20"/>
          <w:szCs w:val="20"/>
          <w:color w:val="auto"/>
        </w:rPr>
      </w:pPr>
    </w:p>
    <w:p>
      <w:pPr>
        <w:jc w:val="both"/>
        <w:ind w:right="200"/>
        <w:spacing w:after="0" w:line="263" w:lineRule="auto"/>
        <w:rPr>
          <w:sz w:val="20"/>
          <w:szCs w:val="20"/>
          <w:color w:val="auto"/>
        </w:rPr>
      </w:pPr>
      <w:r>
        <w:rPr>
          <w:rFonts w:ascii="Arial" w:cs="Arial" w:eastAsia="Arial" w:hAnsi="Arial"/>
          <w:sz w:val="16"/>
          <w:szCs w:val="16"/>
          <w:color w:val="auto"/>
        </w:rPr>
        <w:t xml:space="preserve">We account for income taxes in accordance with Accounting Standards Codification ("ASC") 740, </w:t>
      </w:r>
      <w:r>
        <w:rPr>
          <w:rFonts w:ascii="Arial" w:cs="Arial" w:eastAsia="Arial" w:hAnsi="Arial"/>
          <w:sz w:val="16"/>
          <w:szCs w:val="16"/>
          <w:i w:val="1"/>
          <w:iCs w:val="1"/>
          <w:color w:val="auto"/>
        </w:rPr>
        <w:t>Income Taxes</w:t>
      </w:r>
      <w:r>
        <w:rPr>
          <w:rFonts w:ascii="Arial" w:cs="Arial" w:eastAsia="Arial" w:hAnsi="Arial"/>
          <w:sz w:val="16"/>
          <w:szCs w:val="16"/>
          <w:color w:val="auto"/>
        </w:rPr>
        <w:t>. In preparing our financial statements, we are required to estimate our income taxes in each of the jurisdictions in which we operate. Significant judgment is required in determining our provision for income taxes, our deferred tax assets and liabilities, and any valuation allowance recorded against our deferred tax assets.</w:t>
      </w:r>
    </w:p>
    <w:p>
      <w:pPr>
        <w:spacing w:after="0" w:line="221"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We will continue to assess the likelihood that our deferred tax assets are properly measured and will be realizable at each reporting period. Any adjustment to the deferred tax assets could materially impact our financial position and results of operations. As of August 29, 2020, we have determined that our deferred tax assets are properly measured and realizable and, therefore, no valuation allowance has been recorded.</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New Accounting Pronouncements</w:t>
      </w:r>
    </w:p>
    <w:p>
      <w:pPr>
        <w:spacing w:after="0" w:line="252" w:lineRule="exact"/>
        <w:rPr>
          <w:sz w:val="20"/>
          <w:szCs w:val="20"/>
          <w:color w:val="auto"/>
        </w:rPr>
      </w:pPr>
    </w:p>
    <w:p>
      <w:pPr>
        <w:ind w:right="540"/>
        <w:spacing w:after="0" w:line="281" w:lineRule="auto"/>
        <w:rPr>
          <w:sz w:val="20"/>
          <w:szCs w:val="20"/>
          <w:color w:val="auto"/>
        </w:rPr>
      </w:pPr>
      <w:r>
        <w:rPr>
          <w:rFonts w:ascii="Arial" w:cs="Arial" w:eastAsia="Arial" w:hAnsi="Arial"/>
          <w:sz w:val="16"/>
          <w:szCs w:val="16"/>
          <w:color w:val="auto"/>
        </w:rPr>
        <w:t xml:space="preserve">For a summary of new applicable accounting pronouncements, see Note 1,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included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268"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The assets we maintain to fund deferred compensation have market risk, but we maintain a corresponding liability for these assets. The market risk is therefore borne by the participants in the deferred compensation program.</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During 2020, we were exposed to market risks related to fluctuations in interest rates on the outstanding variable rate debt. This included a Term Loan which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was subject to variable interest rates. Such variable interest rate risk was partially mitigated through the use of an interest rate swap contract. As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August 29, 2020, we have no interest rate swaps outstanding and the Term Loan has been repaid using the proceeds from our Senior Secured Notes. As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August 29, 2020, the ABL is our only floating rate debt instrument which remains undrawn.</w:t>
      </w:r>
    </w:p>
    <w:p>
      <w:pPr>
        <w:spacing w:after="0" w:line="248"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For variable rate debt, interest rate changes generally do not affect the fair value of the debt instrument, but do impact future earnings and cash flows, assuming other factors are held constant.</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18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We, the management of Winnebago Industries, Inc. (the "Company") are responsible for establishing and maintaining effective internal control over financial reporting and for the assessment of the effectiveness of internal control over financial reporting. The Company's internal control over financial reporting is a process designed, as defined in Rule 13a-15(f) under the Securities Exchange Act of 1934, as amended, to provide reasonable assurance regarding the reliability of financial reporting and the preparation of financial statements for external purposes in accordance with generally accepted accounting principles.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Company's internal control over financial reporting is supported by written policies and procedures that:</w:t>
      </w:r>
    </w:p>
    <w:p>
      <w:pPr>
        <w:spacing w:after="0" w:line="167" w:lineRule="exact"/>
        <w:rPr>
          <w:sz w:val="20"/>
          <w:szCs w:val="20"/>
          <w:color w:val="auto"/>
        </w:rPr>
      </w:pPr>
    </w:p>
    <w:p>
      <w:pPr>
        <w:ind w:left="660" w:right="380" w:hanging="328"/>
        <w:spacing w:after="0" w:line="260"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Company's assets;</w:t>
      </w:r>
    </w:p>
    <w:p>
      <w:pPr>
        <w:spacing w:after="0" w:line="141" w:lineRule="exact"/>
        <w:rPr>
          <w:rFonts w:ascii="Arial" w:cs="Arial" w:eastAsia="Arial" w:hAnsi="Arial"/>
          <w:sz w:val="16"/>
          <w:szCs w:val="16"/>
          <w:color w:val="auto"/>
        </w:rPr>
      </w:pPr>
    </w:p>
    <w:p>
      <w:pPr>
        <w:ind w:left="660" w:right="640" w:hanging="328"/>
        <w:spacing w:after="0" w:line="253"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the Company's management and directors; and</w:t>
      </w:r>
    </w:p>
    <w:p>
      <w:pPr>
        <w:spacing w:after="0" w:line="147" w:lineRule="exact"/>
        <w:rPr>
          <w:rFonts w:ascii="Arial" w:cs="Arial" w:eastAsia="Arial" w:hAnsi="Arial"/>
          <w:sz w:val="16"/>
          <w:szCs w:val="16"/>
          <w:color w:val="auto"/>
        </w:rPr>
      </w:pPr>
    </w:p>
    <w:p>
      <w:pPr>
        <w:ind w:left="660" w:right="80" w:hanging="328"/>
        <w:spacing w:after="0" w:line="260"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141"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In addition, the Audit Committee of the Board of Directors, consisting solely of independent directors, meets periodically with management of the Company, the internal auditors, and the independent registered public accounting firm to review internal accounting controls, audit results, and accounting principles and practices and annually selects the independent registered public accounting firm.</w:t>
      </w:r>
    </w:p>
    <w:p>
      <w:pPr>
        <w:spacing w:after="0" w:line="147" w:lineRule="exact"/>
        <w:rPr>
          <w:sz w:val="20"/>
          <w:szCs w:val="20"/>
          <w:color w:val="auto"/>
        </w:rPr>
      </w:pPr>
    </w:p>
    <w:p>
      <w:pPr>
        <w:ind w:right="680"/>
        <w:spacing w:after="0" w:line="25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 xml:space="preserve">In connection with the preparation of the Company's annual financial statements, management of the Company has undertaken an assessment of the effectiveness of the Company's internal control over financial reporting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Management's assessment included an evaluation of the design of the Company's internal control over financial reporting and testing of the operational effectiveness of the Company's internal control over financial reporting.</w:t>
      </w:r>
    </w:p>
    <w:p>
      <w:pPr>
        <w:spacing w:after="0" w:line="148"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 xml:space="preserve">During Fiscal 2020, management excluded certain elements of internal control over financial reporting pertaining to the activities of the Newmar business acquired in the first quarter (Refer to Note 2 </w:t>
      </w:r>
      <w:r>
        <w:rPr>
          <w:rFonts w:ascii="Arial" w:cs="Arial" w:eastAsia="Arial" w:hAnsi="Arial"/>
          <w:sz w:val="16"/>
          <w:szCs w:val="16"/>
          <w:i w:val="1"/>
          <w:iCs w:val="1"/>
          <w:color w:val="auto"/>
        </w:rPr>
        <w:t>Business Combinations</w:t>
      </w:r>
      <w:r>
        <w:rPr>
          <w:rFonts w:ascii="Arial" w:cs="Arial" w:eastAsia="Arial" w:hAnsi="Arial"/>
          <w:sz w:val="16"/>
          <w:szCs w:val="16"/>
          <w:color w:val="auto"/>
        </w:rPr>
        <w:t>). Exclusion in the year of acquisition is customary to allow management sufficient time to evaluate and integrate the acquired business into our internal control over financial reporting. Newmar represented 16.5% of the Company's consolidated net revenues, less than 1.0% of the Company's consolidated total operating income for the year ended August 29, 2020, and 24.4% of the Company's consolidated total assets as of August 29, 2020.</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Based on its assessment, management has concluded that the Company's internal control over financial reporting was effective as of August 29, 2020.</w:t>
      </w:r>
    </w:p>
    <w:p>
      <w:pPr>
        <w:spacing w:after="0" w:line="167"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Deloitte &amp; Touche LLP, the independent registered public accounting firm that audited the Company's financial statements included in this Annual Report on Form 10-K, has issued a report included herein, which expressed an unqualified opinion on the Company's internal control over financial reporting.</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Michael J. Happe</w:t>
            </w:r>
          </w:p>
        </w:tc>
        <w:tc>
          <w:tcPr>
            <w:tcW w:w="1480" w:type="dxa"/>
            <w:vAlign w:val="bottom"/>
          </w:tcPr>
          <w:p>
            <w:pPr>
              <w:spacing w:after="0"/>
              <w:rPr>
                <w:sz w:val="19"/>
                <w:szCs w:val="19"/>
                <w:color w:val="auto"/>
              </w:rPr>
            </w:pP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Bryan L. Hughes</w:t>
            </w:r>
          </w:p>
        </w:tc>
      </w:tr>
      <w:tr>
        <w:trPr>
          <w:trHeight w:val="224"/>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Michael J. Happe</w:t>
            </w:r>
          </w:p>
        </w:tc>
        <w:tc>
          <w:tcPr>
            <w:tcW w:w="4980" w:type="dxa"/>
            <w:vAlign w:val="bottom"/>
          </w:tcPr>
          <w:p>
            <w:pPr>
              <w:ind w:left="20"/>
              <w:spacing w:after="0"/>
              <w:rPr>
                <w:sz w:val="20"/>
                <w:szCs w:val="20"/>
                <w:color w:val="auto"/>
              </w:rPr>
            </w:pPr>
            <w:r>
              <w:rPr>
                <w:rFonts w:ascii="Arial" w:cs="Arial" w:eastAsia="Arial" w:hAnsi="Arial"/>
                <w:sz w:val="16"/>
                <w:szCs w:val="16"/>
                <w:color w:val="auto"/>
              </w:rPr>
              <w:t>Bryan L. Hughes</w:t>
            </w:r>
          </w:p>
        </w:tc>
      </w:tr>
      <w:tr>
        <w:trPr>
          <w:trHeight w:val="243"/>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President, Chief Executive Officer</w:t>
            </w:r>
          </w:p>
        </w:tc>
        <w:tc>
          <w:tcPr>
            <w:tcW w:w="4980" w:type="dxa"/>
            <w:vAlign w:val="bottom"/>
          </w:tcPr>
          <w:p>
            <w:pPr>
              <w:ind w:left="20"/>
              <w:spacing w:after="0"/>
              <w:rPr>
                <w:sz w:val="20"/>
                <w:szCs w:val="20"/>
                <w:color w:val="auto"/>
              </w:rPr>
            </w:pPr>
            <w:r>
              <w:rPr>
                <w:rFonts w:ascii="Arial" w:cs="Arial" w:eastAsia="Arial" w:hAnsi="Arial"/>
                <w:sz w:val="16"/>
                <w:szCs w:val="16"/>
                <w:color w:val="auto"/>
              </w:rPr>
              <w:t>Senior Vice President, Chief Financial Officer</w:t>
            </w:r>
          </w:p>
        </w:tc>
      </w:tr>
      <w:tr>
        <w:trPr>
          <w:trHeight w:val="459"/>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October 21, 2020</w:t>
            </w:r>
          </w:p>
        </w:tc>
        <w:tc>
          <w:tcPr>
            <w:tcW w:w="4980" w:type="dxa"/>
            <w:vAlign w:val="bottom"/>
          </w:tcPr>
          <w:p>
            <w:pPr>
              <w:ind w:left="20"/>
              <w:spacing w:after="0"/>
              <w:rPr>
                <w:sz w:val="20"/>
                <w:szCs w:val="20"/>
                <w:color w:val="auto"/>
              </w:rPr>
            </w:pPr>
            <w:r>
              <w:rPr>
                <w:rFonts w:ascii="Arial" w:cs="Arial" w:eastAsia="Arial" w:hAnsi="Arial"/>
                <w:sz w:val="16"/>
                <w:szCs w:val="16"/>
                <w:color w:val="auto"/>
              </w:rPr>
              <w:t>October 21,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Winnebago Industries, Inc.</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120"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We have audited the accompanying consolidated balance sheets of Winnebago Industries, Inc. and subsidiaries (the "Company") as of August 29, 2020 and August 31, 2019, the related consolidated statements of income and comprehensive income, changes in stockholders' equity, and cash flows, for each of the three years in the period ended August 29, 2020, and the related notes (collectively referred to as the "financial statements"). In our opinion, the financial statements present fairly, in all material respects, the financial position of the Company as of August 29, 2020 and August 31, 2019, and the results of its operations and its cash flows for each of the three years in the period ended August 29, 2020, in conformity with accounting principles generally accepted in the United States of America.</w:t>
      </w:r>
    </w:p>
    <w:p>
      <w:pPr>
        <w:spacing w:after="0" w:line="224" w:lineRule="exact"/>
        <w:rPr>
          <w:sz w:val="20"/>
          <w:szCs w:val="20"/>
          <w:color w:val="auto"/>
        </w:rPr>
      </w:pPr>
    </w:p>
    <w:p>
      <w:pPr>
        <w:ind w:right="20"/>
        <w:spacing w:after="0" w:line="235" w:lineRule="auto"/>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(PCAOB), the Company's internal control over financial reporting as of August 29, 2020,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and our report dated October 21, 2020, expressed an unqualified opinion on the Company's internal control over financial reporting.</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20" w:lineRule="exact"/>
        <w:rPr>
          <w:sz w:val="20"/>
          <w:szCs w:val="20"/>
          <w:color w:val="auto"/>
        </w:rPr>
      </w:pPr>
    </w:p>
    <w:p>
      <w:pPr>
        <w:ind w:right="140"/>
        <w:spacing w:after="0" w:line="235"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24" w:lineRule="exact"/>
        <w:rPr>
          <w:sz w:val="20"/>
          <w:szCs w:val="20"/>
          <w:color w:val="auto"/>
        </w:rPr>
      </w:pPr>
    </w:p>
    <w:p>
      <w:pPr>
        <w:ind w:right="20"/>
        <w:spacing w:after="0" w:line="23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Matters</w:t>
      </w:r>
    </w:p>
    <w:p>
      <w:pPr>
        <w:spacing w:after="0" w:line="120" w:lineRule="exact"/>
        <w:rPr>
          <w:sz w:val="20"/>
          <w:szCs w:val="20"/>
          <w:color w:val="auto"/>
        </w:rPr>
      </w:pPr>
    </w:p>
    <w:p>
      <w:pPr>
        <w:ind w:right="160"/>
        <w:spacing w:after="0" w:line="233" w:lineRule="auto"/>
        <w:rPr>
          <w:sz w:val="20"/>
          <w:szCs w:val="20"/>
          <w:color w:val="auto"/>
        </w:rPr>
      </w:pPr>
      <w:r>
        <w:rPr>
          <w:rFonts w:ascii="Arial" w:cs="Arial" w:eastAsia="Arial" w:hAnsi="Arial"/>
          <w:sz w:val="16"/>
          <w:szCs w:val="16"/>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72" w:lineRule="exact"/>
        <w:rPr>
          <w:sz w:val="20"/>
          <w:szCs w:val="20"/>
          <w:color w:val="auto"/>
        </w:rPr>
      </w:pPr>
    </w:p>
    <w:p>
      <w:pPr>
        <w:ind w:right="5060"/>
        <w:spacing w:after="0" w:line="382" w:lineRule="auto"/>
        <w:rPr>
          <w:sz w:val="20"/>
          <w:szCs w:val="20"/>
          <w:color w:val="auto"/>
        </w:rPr>
      </w:pPr>
      <w:r>
        <w:rPr>
          <w:rFonts w:ascii="Arial" w:cs="Arial" w:eastAsia="Arial" w:hAnsi="Arial"/>
          <w:sz w:val="16"/>
          <w:szCs w:val="16"/>
          <w:b w:val="1"/>
          <w:bCs w:val="1"/>
          <w:i w:val="1"/>
          <w:iCs w:val="1"/>
          <w:color w:val="auto"/>
        </w:rPr>
        <w:t xml:space="preserve">Product Warranties – Grand Design – Refer to Note 8 to the financial statements </w:t>
      </w:r>
      <w:r>
        <w:rPr>
          <w:rFonts w:ascii="Arial" w:cs="Arial" w:eastAsia="Arial" w:hAnsi="Arial"/>
          <w:sz w:val="16"/>
          <w:szCs w:val="16"/>
          <w:i w:val="1"/>
          <w:iCs w:val="1"/>
          <w:color w:val="auto"/>
        </w:rPr>
        <w:t>Critical Audit Matter Description</w:t>
      </w:r>
    </w:p>
    <w:p>
      <w:pPr>
        <w:spacing w:after="0" w:line="1" w:lineRule="exact"/>
        <w:rPr>
          <w:sz w:val="20"/>
          <w:szCs w:val="20"/>
          <w:color w:val="auto"/>
        </w:rPr>
      </w:pPr>
    </w:p>
    <w:p>
      <w:pPr>
        <w:jc w:val="both"/>
        <w:ind w:right="40"/>
        <w:spacing w:after="0" w:line="235" w:lineRule="auto"/>
        <w:rPr>
          <w:sz w:val="20"/>
          <w:szCs w:val="20"/>
          <w:color w:val="auto"/>
        </w:rPr>
      </w:pPr>
      <w:r>
        <w:rPr>
          <w:rFonts w:ascii="Arial" w:cs="Arial" w:eastAsia="Arial" w:hAnsi="Arial"/>
          <w:sz w:val="16"/>
          <w:szCs w:val="16"/>
          <w:color w:val="auto"/>
        </w:rPr>
        <w:t>The Company provides certain service and warranty on its products. Estimated costs related to product warranty are accrued at the time of sale based upon historical warranty claims and unit sales history. Estimates are adjusted as needed to reflect actual costs incurred as information becomes available. Grand Design RV, LLC (“Grand Design”) was founded in 2013 and acquired by the Company in November 2016 and makes up the majority of the Company’s $64 million product warranty accrual as of August 29, 2020.</w:t>
      </w:r>
    </w:p>
    <w:p>
      <w:pPr>
        <w:spacing w:after="0" w:line="224"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We identified the product warranty accrual for Grand Design as a critical audit matter because of the significant judgments made by management to estimate costs related to product warranties at the time of sale. This required a high degree of auditor judgment and an increased extent of effort when performing audit procedures to evaluate the reasonableness of management’s estimates of future warranty claims based on historical claims paid, specifically due to Grand Design’s significant growth since inception, introduction of new product lines and a relatively short history of warranty claims paid from which to develop product warranty estimates.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How the Critical Audit Matter Was Addressed in the Audit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Our procedures related to the auditing of the product warranty accrual for Grand Design included the following, among others:</w:t>
      </w:r>
    </w:p>
    <w:p>
      <w:pPr>
        <w:spacing w:after="0" w:line="100" w:lineRule="exact"/>
        <w:rPr>
          <w:sz w:val="20"/>
          <w:szCs w:val="20"/>
          <w:color w:val="auto"/>
        </w:rPr>
      </w:pPr>
    </w:p>
    <w:p>
      <w:pPr>
        <w:ind w:left="660" w:right="80" w:hanging="328"/>
        <w:spacing w:after="0" w:line="228"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evaluated the operating effectiveness of controls over management’s estimation of the product warranty accrual, including those over historical product warranty claim data and projected future product warranty claims.</w:t>
      </w:r>
    </w:p>
    <w:p>
      <w:pPr>
        <w:spacing w:after="0" w:line="1" w:lineRule="exact"/>
        <w:rPr>
          <w:rFonts w:ascii="Arial" w:cs="Arial" w:eastAsia="Arial" w:hAnsi="Arial"/>
          <w:sz w:val="16"/>
          <w:szCs w:val="16"/>
          <w:color w:val="auto"/>
        </w:rPr>
      </w:pPr>
    </w:p>
    <w:p>
      <w:pPr>
        <w:ind w:left="660" w:right="720" w:hanging="328"/>
        <w:spacing w:after="0" w:line="228"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evaluated the accuracy and relevance of the historical product warranty claims as an input to management’s product warranty accrual calculation.</w:t>
      </w:r>
    </w:p>
    <w:p>
      <w:pPr>
        <w:spacing w:after="0" w:line="1" w:lineRule="exact"/>
        <w:rPr>
          <w:rFonts w:ascii="Arial" w:cs="Arial" w:eastAsia="Arial" w:hAnsi="Arial"/>
          <w:sz w:val="16"/>
          <w:szCs w:val="16"/>
          <w:color w:val="auto"/>
        </w:rPr>
      </w:pPr>
    </w:p>
    <w:p>
      <w:pPr>
        <w:jc w:val="both"/>
        <w:ind w:left="660" w:right="80" w:hanging="328"/>
        <w:spacing w:after="0" w:line="228"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evaluated the completeness of the warranty accrual estimate through inquiries of operational and executive management regarding knowledge of known product warranty claims or product issues and evaluated whether they were appropriately considered in the determination of the product warranty accrual.</w:t>
      </w:r>
    </w:p>
    <w:p>
      <w:pPr>
        <w:spacing w:after="0" w:line="2" w:lineRule="exact"/>
        <w:rPr>
          <w:rFonts w:ascii="Arial" w:cs="Arial" w:eastAsia="Arial" w:hAnsi="Arial"/>
          <w:sz w:val="16"/>
          <w:szCs w:val="16"/>
          <w:color w:val="auto"/>
        </w:rPr>
      </w:pPr>
    </w:p>
    <w:p>
      <w:pPr>
        <w:ind w:left="660" w:right="360" w:hanging="328"/>
        <w:spacing w:after="0" w:line="242"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evaluated management’s ability to accurately estimate the warranty accrual by comparing the product warranty accrual in prior years to the actual product warranty claims paid in subsequent years.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right="300" w:hanging="328"/>
        <w:spacing w:after="0" w:line="242"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assessed management’s methodology and tested the valuation of the product warranty accrual by developing an expectation for the accrual based on the historical amounts recorded as a percentage of sales and compared our expectation to the amount recorded by management.</w:t>
      </w:r>
    </w:p>
    <w:p>
      <w:pPr>
        <w:spacing w:after="0" w:line="203" w:lineRule="exact"/>
        <w:rPr>
          <w:sz w:val="20"/>
          <w:szCs w:val="20"/>
          <w:color w:val="auto"/>
        </w:rPr>
      </w:pPr>
    </w:p>
    <w:p>
      <w:pPr>
        <w:ind w:right="1920"/>
        <w:spacing w:after="0" w:line="382" w:lineRule="auto"/>
        <w:rPr>
          <w:sz w:val="20"/>
          <w:szCs w:val="20"/>
          <w:color w:val="auto"/>
        </w:rPr>
      </w:pPr>
      <w:r>
        <w:rPr>
          <w:rFonts w:ascii="Arial" w:cs="Arial" w:eastAsia="Arial" w:hAnsi="Arial"/>
          <w:sz w:val="16"/>
          <w:szCs w:val="16"/>
          <w:b w:val="1"/>
          <w:bCs w:val="1"/>
          <w:color w:val="auto"/>
        </w:rPr>
        <w:t xml:space="preserve">Business Combinations — Valuation of Newmar Acquired Intangible Assets — Refer to Note 2 to the financial statements </w:t>
      </w:r>
      <w:r>
        <w:rPr>
          <w:rFonts w:ascii="Arial" w:cs="Arial" w:eastAsia="Arial" w:hAnsi="Arial"/>
          <w:sz w:val="16"/>
          <w:szCs w:val="16"/>
          <w:i w:val="1"/>
          <w:iCs w:val="1"/>
          <w:color w:val="auto"/>
        </w:rPr>
        <w:t>Critical Audit Matter Description</w:t>
      </w:r>
    </w:p>
    <w:p>
      <w:pPr>
        <w:spacing w:after="0" w:line="1" w:lineRule="exact"/>
        <w:rPr>
          <w:sz w:val="20"/>
          <w:szCs w:val="20"/>
          <w:color w:val="auto"/>
        </w:rPr>
      </w:pPr>
    </w:p>
    <w:p>
      <w:pPr>
        <w:ind w:right="220"/>
        <w:spacing w:after="0" w:line="235" w:lineRule="auto"/>
        <w:rPr>
          <w:sz w:val="20"/>
          <w:szCs w:val="20"/>
          <w:color w:val="auto"/>
        </w:rPr>
      </w:pPr>
      <w:r>
        <w:rPr>
          <w:rFonts w:ascii="Arial" w:cs="Arial" w:eastAsia="Arial" w:hAnsi="Arial"/>
          <w:sz w:val="16"/>
          <w:szCs w:val="16"/>
          <w:color w:val="auto"/>
        </w:rPr>
        <w:t>On November 8, 2019, the Company completed the acquisition of 100% of Newmar Corporation, Dutch Real Estate Corp., New-Way Transport, and New-Serv (collectively “Newmar”) for consideration paid of $357 million. Under the acquisition method of accounting for business combinations, the purchase price was allocated to the assets acquired and liabilities assumed based on their respective fair values at the date of acquisition, including the following indefinite-lived intangible assets:</w:t>
      </w:r>
    </w:p>
    <w:p>
      <w:pPr>
        <w:spacing w:after="0" w:line="81"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Trade name: $98 million</w:t>
      </w: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Dealer network: $64 million</w:t>
      </w:r>
    </w:p>
    <w:p>
      <w:pPr>
        <w:spacing w:after="0" w:line="100" w:lineRule="exact"/>
        <w:rPr>
          <w:sz w:val="20"/>
          <w:szCs w:val="20"/>
          <w:color w:val="auto"/>
        </w:rPr>
      </w:pPr>
    </w:p>
    <w:p>
      <w:pPr>
        <w:ind w:right="60"/>
        <w:spacing w:after="0" w:line="232" w:lineRule="auto"/>
        <w:rPr>
          <w:sz w:val="20"/>
          <w:szCs w:val="20"/>
          <w:color w:val="auto"/>
        </w:rPr>
      </w:pPr>
      <w:r>
        <w:rPr>
          <w:rFonts w:ascii="Arial" w:cs="Arial" w:eastAsia="Arial" w:hAnsi="Arial"/>
          <w:sz w:val="16"/>
          <w:szCs w:val="16"/>
          <w:color w:val="auto"/>
        </w:rPr>
        <w:t>The fair value of the trade name was estimated using the relief from royalty method and required management to make significant estimates and assumptions related to future revenues and the selection of the royalty rate and discount rate. The fair value of the dealer network was estimated using the cost to recreate/cost saving method and required management to make significant estimates and assumptions related to future cash flows and the selection of the discount rate. We identified the valuation of the Newmar indefinite-lived intangible assets as a critical audit matter because of the significant estimates and assumptions management made to estimate the fair value of these assets. This required a high degree of auditor judgment and an increased extent of effort, including the need to involve our fair value specialists, when performing audit procedures to evaluate the reasonableness of management’s forecasts of future revenues and cash flows and the selection of the discount rates and royalty rate for the indefinite-lived intangible assets.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How the Critical Audit Matter Was Addressed in the Audit</w:t>
      </w:r>
    </w:p>
    <w:p>
      <w:pPr>
        <w:spacing w:after="0" w:line="116" w:lineRule="exact"/>
        <w:rPr>
          <w:sz w:val="20"/>
          <w:szCs w:val="20"/>
          <w:color w:val="auto"/>
        </w:rPr>
      </w:pPr>
    </w:p>
    <w:p>
      <w:pPr>
        <w:ind w:right="720"/>
        <w:spacing w:after="0" w:line="242" w:lineRule="auto"/>
        <w:rPr>
          <w:sz w:val="20"/>
          <w:szCs w:val="20"/>
          <w:color w:val="auto"/>
        </w:rPr>
      </w:pPr>
      <w:r>
        <w:rPr>
          <w:rFonts w:ascii="Arial" w:cs="Arial" w:eastAsia="Arial" w:hAnsi="Arial"/>
          <w:sz w:val="16"/>
          <w:szCs w:val="16"/>
          <w:color w:val="auto"/>
        </w:rPr>
        <w:t>Our audit procedures related to the forecasts of future revenues and cash flows and selection of the discount rates and royalty rate for the acquired intangible assets included the following, among others:</w:t>
      </w:r>
    </w:p>
    <w:p>
      <w:pPr>
        <w:spacing w:after="0" w:line="223" w:lineRule="exact"/>
        <w:rPr>
          <w:sz w:val="20"/>
          <w:szCs w:val="20"/>
          <w:color w:val="auto"/>
        </w:rPr>
      </w:pPr>
    </w:p>
    <w:p>
      <w:pPr>
        <w:ind w:left="660" w:right="440" w:hanging="328"/>
        <w:spacing w:after="0" w:line="242"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tested the effectiveness of controls over the valuation of the acquired intangible assets, including management’s controls over forecasts of future revenues and cash flows, and the selection of the discount rates and royalty rate.</w:t>
      </w:r>
    </w:p>
    <w:p>
      <w:pPr>
        <w:spacing w:after="0" w:line="222" w:lineRule="exact"/>
        <w:rPr>
          <w:rFonts w:ascii="Arial" w:cs="Arial" w:eastAsia="Arial" w:hAnsi="Arial"/>
          <w:sz w:val="16"/>
          <w:szCs w:val="16"/>
          <w:color w:val="auto"/>
        </w:rPr>
      </w:pPr>
    </w:p>
    <w:p>
      <w:pPr>
        <w:ind w:left="660" w:right="640" w:hanging="328"/>
        <w:spacing w:after="0" w:line="242"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assessed the reasonableness of management’s forecast of future revenues and cash flows by comparing the Company’s projections to historical results for Newmar, historical results for the Company’s legacy motorized business, and projected industry growth rates.</w:t>
      </w:r>
    </w:p>
    <w:p>
      <w:pPr>
        <w:spacing w:after="0" w:line="222" w:lineRule="exact"/>
        <w:rPr>
          <w:rFonts w:ascii="Arial" w:cs="Arial" w:eastAsia="Arial" w:hAnsi="Arial"/>
          <w:sz w:val="16"/>
          <w:szCs w:val="16"/>
          <w:color w:val="auto"/>
        </w:rPr>
      </w:pPr>
    </w:p>
    <w:p>
      <w:pPr>
        <w:ind w:left="660" w:right="180" w:hanging="328"/>
        <w:spacing w:after="0" w:line="242"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With the assistance of our fair value specialists, we evaluated the reasonableness of the (1) valuation methodology and (2) the discount rates and royalty rate by:</w:t>
      </w:r>
    </w:p>
    <w:p>
      <w:pPr>
        <w:spacing w:after="0" w:line="214" w:lineRule="exact"/>
        <w:rPr>
          <w:rFonts w:ascii="Arial" w:cs="Arial" w:eastAsia="Arial" w:hAnsi="Arial"/>
          <w:sz w:val="16"/>
          <w:szCs w:val="16"/>
          <w:color w:val="auto"/>
        </w:rPr>
      </w:pPr>
    </w:p>
    <w:p>
      <w:pPr>
        <w:ind w:left="1300" w:hanging="320"/>
        <w:spacing w:after="0"/>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Testing the source information underlying the determination of the discount rates and royalty rate.</w:t>
      </w:r>
    </w:p>
    <w:p>
      <w:pPr>
        <w:ind w:left="1300" w:hanging="320"/>
        <w:spacing w:after="0" w:line="228"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Comparing the selected royalty rate to market data for comparable licensing agreement rates.</w:t>
      </w:r>
    </w:p>
    <w:p>
      <w:pPr>
        <w:ind w:left="1300" w:hanging="320"/>
        <w:spacing w:after="0" w:line="228"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Testing the mathematical accuracy of the calculation of the discount rates.</w:t>
      </w:r>
    </w:p>
    <w:p>
      <w:pPr>
        <w:ind w:left="1300" w:hanging="320"/>
        <w:spacing w:after="0"/>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Developing a range of independent estimates for the discount rates and comparing those to the discount rates selected by management.</w:t>
      </w:r>
    </w:p>
    <w:p>
      <w:pPr>
        <w:spacing w:after="0" w:line="215" w:lineRule="exact"/>
        <w:rPr>
          <w:sz w:val="20"/>
          <w:szCs w:val="20"/>
          <w:color w:val="auto"/>
        </w:rPr>
      </w:pPr>
    </w:p>
    <w:p>
      <w:pPr>
        <w:ind w:right="4320"/>
        <w:spacing w:after="0" w:line="382" w:lineRule="auto"/>
        <w:rPr>
          <w:sz w:val="20"/>
          <w:szCs w:val="20"/>
          <w:color w:val="auto"/>
        </w:rPr>
      </w:pPr>
      <w:r>
        <w:rPr>
          <w:rFonts w:ascii="Arial" w:cs="Arial" w:eastAsia="Arial" w:hAnsi="Arial"/>
          <w:sz w:val="16"/>
          <w:szCs w:val="16"/>
          <w:b w:val="1"/>
          <w:bCs w:val="1"/>
          <w:color w:val="auto"/>
        </w:rPr>
        <w:t xml:space="preserve">Goodwill – Chris-Craft Reporting Unit – Refer to Notes 1 and 7 to the Financial Statements </w:t>
      </w:r>
      <w:r>
        <w:rPr>
          <w:rFonts w:ascii="Arial" w:cs="Arial" w:eastAsia="Arial" w:hAnsi="Arial"/>
          <w:sz w:val="16"/>
          <w:szCs w:val="16"/>
          <w:i w:val="1"/>
          <w:iCs w:val="1"/>
          <w:color w:val="auto"/>
        </w:rPr>
        <w:t>Critical Audit Matter Description</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The Company tests goodwill for impairment annually in the fourth quarter and more frequently if events occur or circumstances change that would indicate the carrying amounts may be impaired. The Company’s evaluation of goodwill for impairment involves the comparison of the fair value of each reporting unit to its carrying value. The Company’s fair value model uses a blend of the income and market approaches. The determination of the reporting unit’s fair value using an income approach involves the use of a discounted cash flow model that requires management to make significant estimates and assumptions related to forecasts of future revenues and operating margins, as well as the selection of the long-term growth rate and discount rate. The determination of the reporting unit’s fair value using the market approach requires management to make assumptions related to earnings before interest, taxes, depreciation, and amortization (EBITDA) multiples. Changes in the assumptions can have a significant impact on both the fair value of the reporting unit and the amount of any impairment charge.</w:t>
      </w:r>
    </w:p>
    <w:p>
      <w:pPr>
        <w:spacing w:after="0" w:line="224"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The goodwill balance was $348 million as of August 29, 2020, of which $30 million was allocated to the Chris-Craft reporting unit. The estimated fair value of the Chris-Craft reporting unit exceeded its carrying value as of the measurement date and, therefore, no impairment was recognized.</w:t>
      </w:r>
    </w:p>
    <w:p>
      <w:pPr>
        <w:spacing w:after="0" w:line="223" w:lineRule="exact"/>
        <w:rPr>
          <w:sz w:val="20"/>
          <w:szCs w:val="20"/>
          <w:color w:val="auto"/>
        </w:rPr>
      </w:pPr>
    </w:p>
    <w:p>
      <w:pPr>
        <w:ind w:right="20"/>
        <w:spacing w:after="0" w:line="235" w:lineRule="auto"/>
        <w:rPr>
          <w:sz w:val="20"/>
          <w:szCs w:val="20"/>
          <w:color w:val="auto"/>
        </w:rPr>
      </w:pPr>
      <w:r>
        <w:rPr>
          <w:rFonts w:ascii="Arial" w:cs="Arial" w:eastAsia="Arial" w:hAnsi="Arial"/>
          <w:sz w:val="16"/>
          <w:szCs w:val="16"/>
          <w:color w:val="auto"/>
        </w:rPr>
        <w:t>Given the significant judgments made by management to estimate the fair value of the Chris-Craft reporting unit, performing audit procedures to evaluate the reasonableness of management’s estimates and assumptions related to forecasts of future revenues and operating margins, EBITDA multiples, as well as the selection of the long-term growth rate and discount rate, especially due to the sensitivity of Chris-Craft’s operations to periods of volatility in its end markets, required a high degree of auditor judgment and an increased extent of effort, including the need to involve our fair value specialists.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How the Critical Audit Matter Was Addressed in the Audit</w:t>
      </w:r>
    </w:p>
    <w:p>
      <w:pPr>
        <w:spacing w:after="0" w:line="116" w:lineRule="exact"/>
        <w:rPr>
          <w:sz w:val="20"/>
          <w:szCs w:val="20"/>
          <w:color w:val="auto"/>
        </w:rPr>
      </w:pPr>
    </w:p>
    <w:p>
      <w:pPr>
        <w:ind w:right="200"/>
        <w:spacing w:after="0" w:line="242" w:lineRule="auto"/>
        <w:rPr>
          <w:sz w:val="20"/>
          <w:szCs w:val="20"/>
          <w:color w:val="auto"/>
        </w:rPr>
      </w:pPr>
      <w:r>
        <w:rPr>
          <w:rFonts w:ascii="Arial" w:cs="Arial" w:eastAsia="Arial" w:hAnsi="Arial"/>
          <w:sz w:val="16"/>
          <w:szCs w:val="16"/>
          <w:color w:val="auto"/>
        </w:rPr>
        <w:t>Our audit procedures related to the forecasts of future revenues and operating margins, EBITDA multiples, and the selection of the long-term growth rate and discount rate for the Chris-Craft reporting unit included the following, among others:</w:t>
      </w:r>
    </w:p>
    <w:p>
      <w:pPr>
        <w:spacing w:after="0" w:line="223" w:lineRule="exact"/>
        <w:rPr>
          <w:sz w:val="20"/>
          <w:szCs w:val="20"/>
          <w:color w:val="auto"/>
        </w:rPr>
      </w:pPr>
    </w:p>
    <w:p>
      <w:pPr>
        <w:ind w:left="660" w:hanging="328"/>
        <w:spacing w:after="0" w:line="228"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tested the effectiveness of controls over management’s goodwill impairment evaluation, including those over the determination of fair value, such as controls related to management’s development of forecasts of future revenues and operating margins, EBITDA multiples and the selection of the long-term growth rate and discount rate.</w:t>
      </w:r>
    </w:p>
    <w:p>
      <w:pPr>
        <w:spacing w:after="0" w:line="2" w:lineRule="exact"/>
        <w:rPr>
          <w:rFonts w:ascii="Arial" w:cs="Arial" w:eastAsia="Arial" w:hAnsi="Arial"/>
          <w:sz w:val="16"/>
          <w:szCs w:val="16"/>
          <w:color w:val="auto"/>
        </w:rPr>
      </w:pPr>
    </w:p>
    <w:p>
      <w:pPr>
        <w:ind w:left="660" w:right="220" w:hanging="328"/>
        <w:spacing w:after="0" w:line="228"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evaluated management’s ability to accurately forecast future revenues and operating margins by comparing actual results to management’s historical forecasts.</w:t>
      </w:r>
    </w:p>
    <w:p>
      <w:pPr>
        <w:spacing w:after="0" w:line="1" w:lineRule="exact"/>
        <w:rPr>
          <w:rFonts w:ascii="Arial" w:cs="Arial" w:eastAsia="Arial" w:hAnsi="Arial"/>
          <w:sz w:val="16"/>
          <w:szCs w:val="16"/>
          <w:color w:val="auto"/>
        </w:rPr>
      </w:pPr>
    </w:p>
    <w:p>
      <w:pPr>
        <w:ind w:left="660" w:right="60" w:hanging="328"/>
        <w:spacing w:after="0" w:line="228"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evaluated the reasonableness of management’s forecast of future revenues and operating margins included in the income approach model by comparing the forecasts to:</w:t>
      </w:r>
    </w:p>
    <w:p>
      <w:pPr>
        <w:spacing w:after="0" w:line="1" w:lineRule="exact"/>
        <w:rPr>
          <w:rFonts w:ascii="Arial" w:cs="Arial" w:eastAsia="Arial" w:hAnsi="Arial"/>
          <w:sz w:val="16"/>
          <w:szCs w:val="16"/>
          <w:color w:val="auto"/>
        </w:rPr>
      </w:pPr>
    </w:p>
    <w:p>
      <w:pPr>
        <w:ind w:left="1300" w:hanging="320"/>
        <w:spacing w:after="0" w:line="228"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Historical revenues and operating margins.</w:t>
      </w:r>
    </w:p>
    <w:p>
      <w:pPr>
        <w:ind w:left="1300" w:hanging="320"/>
        <w:spacing w:after="0" w:line="228"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strategic plans communicated to the Board of Directors.</w:t>
      </w:r>
    </w:p>
    <w:p>
      <w:pPr>
        <w:ind w:left="1300" w:hanging="320"/>
        <w:spacing w:after="0" w:line="228"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Forecasted information included in analyst and industry reports for the Company and certain of its peer companies.</w:t>
      </w:r>
    </w:p>
    <w:p>
      <w:pPr>
        <w:ind w:left="660" w:right="180" w:hanging="328"/>
        <w:spacing w:after="0" w:line="228"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With the assistance of our fair value specialists, we evaluated the reasonableness of the valuation methodology, the EBITDA multiples used, the long-term growth rate and the discount rate selected by:</w:t>
      </w:r>
    </w:p>
    <w:p>
      <w:pPr>
        <w:spacing w:after="0" w:line="1" w:lineRule="exact"/>
        <w:rPr>
          <w:rFonts w:ascii="Arial" w:cs="Arial" w:eastAsia="Arial" w:hAnsi="Arial"/>
          <w:sz w:val="16"/>
          <w:szCs w:val="16"/>
          <w:color w:val="auto"/>
        </w:rPr>
      </w:pPr>
    </w:p>
    <w:p>
      <w:pPr>
        <w:ind w:left="1300" w:hanging="320"/>
        <w:spacing w:after="0" w:line="228"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Testing the underlying source information and mathematical accuracy of the calculations.</w:t>
      </w:r>
    </w:p>
    <w:p>
      <w:pPr>
        <w:ind w:left="1300" w:hanging="320"/>
        <w:spacing w:after="0" w:line="228"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Comparing the EBITDA multiples selected by management to EBITDA multiples of guideline peer companies.</w:t>
      </w:r>
    </w:p>
    <w:p>
      <w:pPr>
        <w:ind w:left="1300" w:right="800" w:hanging="320"/>
        <w:spacing w:after="0" w:line="228" w:lineRule="auto"/>
        <w:tabs>
          <w:tab w:leader="none" w:pos="1290" w:val="left"/>
        </w:tabs>
        <w:numPr>
          <w:ilvl w:val="1"/>
          <w:numId w:val="27"/>
        </w:numPr>
        <w:rPr>
          <w:rFonts w:ascii="Arial" w:cs="Arial" w:eastAsia="Arial" w:hAnsi="Arial"/>
          <w:sz w:val="16"/>
          <w:szCs w:val="16"/>
          <w:color w:val="auto"/>
        </w:rPr>
      </w:pPr>
      <w:r>
        <w:rPr>
          <w:rFonts w:ascii="Arial" w:cs="Arial" w:eastAsia="Arial" w:hAnsi="Arial"/>
          <w:sz w:val="16"/>
          <w:szCs w:val="16"/>
          <w:color w:val="auto"/>
        </w:rPr>
        <w:t>Comparing proxies of the long-term growth rate for the relevant economy and industry to the long-term growth rate selected by management.</w:t>
      </w:r>
    </w:p>
    <w:p>
      <w:pPr>
        <w:spacing w:after="0" w:line="1" w:lineRule="exact"/>
        <w:rPr>
          <w:rFonts w:ascii="Arial" w:cs="Arial" w:eastAsia="Arial" w:hAnsi="Arial"/>
          <w:sz w:val="16"/>
          <w:szCs w:val="16"/>
          <w:color w:val="auto"/>
        </w:rPr>
      </w:pPr>
    </w:p>
    <w:p>
      <w:pPr>
        <w:ind w:left="1300" w:hanging="320"/>
        <w:spacing w:after="0"/>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Developing a range of independent estimates for the discount rate and comparing those to the rate selected by management.</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Deloitte &amp; Touche LLP</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rPr>
          <w:sz w:val="20"/>
          <w:szCs w:val="20"/>
          <w:color w:val="auto"/>
        </w:rPr>
      </w:pPr>
      <w:r>
        <w:rPr>
          <w:rFonts w:ascii="Arial" w:cs="Arial" w:eastAsia="Arial" w:hAnsi="Arial"/>
          <w:sz w:val="16"/>
          <w:szCs w:val="16"/>
          <w:color w:val="auto"/>
        </w:rPr>
        <w:t>October 21, 2020</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1986.</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41" w:right="43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Winnebago Industries, Inc.</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18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 xml:space="preserve">We have audited the internal control over financial reporting of Winnebago Industries, Inc. and subsidiaries (the “Company”) as of August 29, 2020,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August 29, 2020,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COSO.</w:t>
      </w:r>
    </w:p>
    <w:p>
      <w:pPr>
        <w:spacing w:after="0" w:line="14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as of and for the year ended August 29, 2020, of the Company and our report dated October 21, 2020, expressed an unqualified opinion on those financial statements.</w:t>
      </w:r>
    </w:p>
    <w:p>
      <w:pPr>
        <w:spacing w:after="0" w:line="134" w:lineRule="exact"/>
        <w:rPr>
          <w:sz w:val="20"/>
          <w:szCs w:val="20"/>
          <w:color w:val="auto"/>
        </w:rPr>
      </w:pPr>
    </w:p>
    <w:p>
      <w:pPr>
        <w:ind w:right="360"/>
        <w:spacing w:after="0" w:line="235" w:lineRule="auto"/>
        <w:rPr>
          <w:sz w:val="20"/>
          <w:szCs w:val="20"/>
          <w:color w:val="auto"/>
        </w:rPr>
      </w:pPr>
      <w:r>
        <w:rPr>
          <w:rFonts w:ascii="Arial" w:cs="Arial" w:eastAsia="Arial" w:hAnsi="Arial"/>
          <w:sz w:val="16"/>
          <w:szCs w:val="16"/>
          <w:color w:val="auto"/>
        </w:rPr>
        <w:t>As described in Management’s Report on Internal Control over Financial Reporting, management excluded from its assessment the internal control over financial reporting at Newmar Corporation, which was acquired on November 8, 2019, and whose financial statements constitute 24.4% of total assets, 16.5% of net revenues, and less than 1% of operating income of the consolidated financial statements amounts as of and for the year ended August 29, 2020. Accordingly, our audit did not include the internal control over financial reporting at Newmar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55" w:lineRule="exact"/>
        <w:rPr>
          <w:sz w:val="20"/>
          <w:szCs w:val="20"/>
          <w:color w:val="auto"/>
        </w:rPr>
      </w:pPr>
    </w:p>
    <w:p>
      <w:pPr>
        <w:ind w:right="100"/>
        <w:spacing w:after="0" w:line="233"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27" w:lineRule="exact"/>
        <w:rPr>
          <w:sz w:val="20"/>
          <w:szCs w:val="20"/>
          <w:color w:val="auto"/>
        </w:rPr>
      </w:pPr>
    </w:p>
    <w:p>
      <w:pPr>
        <w:ind w:right="60"/>
        <w:spacing w:after="0" w:line="233"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59" w:lineRule="exact"/>
        <w:rPr>
          <w:sz w:val="20"/>
          <w:szCs w:val="20"/>
          <w:color w:val="auto"/>
        </w:rPr>
      </w:pPr>
    </w:p>
    <w:p>
      <w:pPr>
        <w:ind w:right="280"/>
        <w:spacing w:after="0" w:line="237"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Deloitte &amp; Touche LLP</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rPr>
          <w:sz w:val="20"/>
          <w:szCs w:val="20"/>
          <w:color w:val="auto"/>
        </w:rPr>
      </w:pPr>
      <w:r>
        <w:rPr>
          <w:rFonts w:ascii="Arial" w:cs="Arial" w:eastAsia="Arial" w:hAnsi="Arial"/>
          <w:sz w:val="16"/>
          <w:szCs w:val="16"/>
          <w:color w:val="auto"/>
        </w:rPr>
        <w:t>October 21, 2020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4"/>
        </w:trPr>
        <w:tc>
          <w:tcPr>
            <w:tcW w:w="5760" w:type="dxa"/>
            <w:vAlign w:val="bottom"/>
            <w:gridSpan w:val="2"/>
          </w:tcPr>
          <w:p>
            <w:pPr>
              <w:spacing w:after="0"/>
              <w:rPr>
                <w:rFonts w:ascii="Arial" w:cs="Arial" w:eastAsia="Arial" w:hAnsi="Arial"/>
                <w:sz w:val="16"/>
                <w:szCs w:val="16"/>
                <w:color w:val="0000FF"/>
              </w:rPr>
            </w:pPr>
            <w:r>
              <w:rPr>
                <w:rFonts w:ascii="Arial" w:cs="Arial" w:eastAsia="Arial" w:hAnsi="Arial"/>
                <w:sz w:val="16"/>
                <w:szCs w:val="16"/>
                <w:color w:val="0000FF"/>
              </w:rPr>
              <w:t xml:space="preserve">Table </w:t>
            </w:r>
            <w:hyperlink w:anchor="page1">
              <w:r>
                <w:rPr>
                  <w:rFonts w:ascii="Arial" w:cs="Arial" w:eastAsia="Arial" w:hAnsi="Arial"/>
                  <w:sz w:val="16"/>
                  <w:szCs w:val="16"/>
                  <w:color w:val="0000FF"/>
                </w:rPr>
                <w:t xml:space="preserve">of </w:t>
              </w:r>
            </w:hyperlink>
            <w:r>
              <w:rPr>
                <w:rFonts w:ascii="Arial" w:cs="Arial" w:eastAsia="Arial" w:hAnsi="Arial"/>
                <w:sz w:val="16"/>
                <w:szCs w:val="16"/>
                <w:color w:val="0000FF"/>
              </w:rPr>
              <w:t>Contents</w:t>
            </w: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799"/>
        </w:trPr>
        <w:tc>
          <w:tcPr>
            <w:tcW w:w="576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93"/>
        </w:trPr>
        <w:tc>
          <w:tcPr>
            <w:tcW w:w="576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Income and Comprehensive Income</w:t>
            </w: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1"/>
        </w:trPr>
        <w:tc>
          <w:tcPr>
            <w:tcW w:w="5760" w:type="dxa"/>
            <w:vAlign w:val="bottom"/>
            <w:gridSpan w:val="2"/>
          </w:tcPr>
          <w:p>
            <w:pPr>
              <w:spacing w:after="0"/>
              <w:rPr>
                <w:sz w:val="20"/>
                <w:szCs w:val="20"/>
                <w:color w:val="auto"/>
              </w:rPr>
            </w:pPr>
            <w:r>
              <w:rPr>
                <w:rFonts w:ascii="Arial" w:cs="Arial" w:eastAsia="Arial" w:hAnsi="Arial"/>
                <w:sz w:val="16"/>
                <w:szCs w:val="16"/>
                <w:i w:val="1"/>
                <w:iCs w:val="1"/>
                <w:color w:val="auto"/>
              </w:rPr>
              <w:t>$ in thousands, except per share data</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56"/>
        </w:trPr>
        <w:tc>
          <w:tcPr>
            <w:tcW w:w="5760" w:type="dxa"/>
            <w:vAlign w:val="bottom"/>
            <w:gridSpan w:val="2"/>
          </w:tcPr>
          <w:p>
            <w:pPr>
              <w:ind w:left="20"/>
              <w:spacing w:after="0"/>
              <w:rPr>
                <w:sz w:val="20"/>
                <w:szCs w:val="20"/>
                <w:color w:val="auto"/>
              </w:rPr>
            </w:pPr>
            <w:r>
              <w:rPr>
                <w:rFonts w:ascii="Arial" w:cs="Arial" w:eastAsia="Arial" w:hAnsi="Arial"/>
                <w:sz w:val="16"/>
                <w:szCs w:val="16"/>
                <w:b w:val="1"/>
                <w:bCs w:val="1"/>
                <w:color w:val="auto"/>
              </w:rPr>
              <w:t>Fiscal Years Ended</w:t>
            </w:r>
          </w:p>
        </w:tc>
        <w:tc>
          <w:tcPr>
            <w:tcW w:w="180" w:type="dxa"/>
            <w:vAlign w:val="bottom"/>
          </w:tcPr>
          <w:p>
            <w:pPr>
              <w:spacing w:after="0"/>
              <w:rPr>
                <w:sz w:val="22"/>
                <w:szCs w:val="22"/>
                <w:color w:val="auto"/>
              </w:rPr>
            </w:pPr>
          </w:p>
        </w:tc>
        <w:tc>
          <w:tcPr>
            <w:tcW w:w="168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29, 2020</w:t>
            </w:r>
          </w:p>
        </w:tc>
        <w:tc>
          <w:tcPr>
            <w:tcW w:w="180" w:type="dxa"/>
            <w:vAlign w:val="bottom"/>
          </w:tcPr>
          <w:p>
            <w:pPr>
              <w:spacing w:after="0"/>
              <w:rPr>
                <w:sz w:val="22"/>
                <w:szCs w:val="22"/>
                <w:color w:val="auto"/>
              </w:rPr>
            </w:pPr>
          </w:p>
        </w:tc>
        <w:tc>
          <w:tcPr>
            <w:tcW w:w="168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31, 2019</w:t>
            </w:r>
          </w:p>
        </w:tc>
        <w:tc>
          <w:tcPr>
            <w:tcW w:w="180" w:type="dxa"/>
            <w:vAlign w:val="bottom"/>
          </w:tcPr>
          <w:p>
            <w:pPr>
              <w:spacing w:after="0"/>
              <w:rPr>
                <w:sz w:val="22"/>
                <w:szCs w:val="22"/>
                <w:color w:val="auto"/>
              </w:rPr>
            </w:pPr>
          </w:p>
        </w:tc>
        <w:tc>
          <w:tcPr>
            <w:tcW w:w="158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25, 2018</w:t>
            </w:r>
          </w:p>
        </w:tc>
      </w:tr>
      <w:tr>
        <w:trPr>
          <w:trHeight w:val="233"/>
        </w:trPr>
        <w:tc>
          <w:tcPr>
            <w:tcW w:w="57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2,355,533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1,985,674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2,016,829</w:t>
            </w:r>
          </w:p>
        </w:tc>
      </w:tr>
      <w:tr>
        <w:trPr>
          <w:trHeight w:val="246"/>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goods sold</w:t>
            </w: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2,042,605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1,678,477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1,716,993</w:t>
            </w:r>
          </w:p>
        </w:tc>
      </w:tr>
      <w:tr>
        <w:trPr>
          <w:trHeight w:val="237"/>
        </w:trPr>
        <w:tc>
          <w:tcPr>
            <w:tcW w:w="57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312,928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307,197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299,836</w:t>
            </w:r>
          </w:p>
        </w:tc>
      </w:tr>
      <w:tr>
        <w:trPr>
          <w:trHeight w:val="243"/>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177,061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142,295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130,116</w:t>
            </w:r>
          </w:p>
        </w:tc>
      </w:tr>
      <w:tr>
        <w:trPr>
          <w:trHeight w:val="236"/>
        </w:trPr>
        <w:tc>
          <w:tcPr>
            <w:tcW w:w="57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22,104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9,328</w:t>
            </w:r>
          </w:p>
        </w:tc>
      </w:tr>
      <w:tr>
        <w:trPr>
          <w:trHeight w:val="237"/>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199,165</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151,930</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139,444</w:t>
            </w:r>
          </w:p>
        </w:tc>
      </w:tr>
      <w:tr>
        <w:trPr>
          <w:trHeight w:val="233"/>
        </w:trPr>
        <w:tc>
          <w:tcPr>
            <w:tcW w:w="5760" w:type="dxa"/>
            <w:vAlign w:val="bottom"/>
            <w:gridSpan w:val="2"/>
          </w:tcPr>
          <w:p>
            <w:pPr>
              <w:ind w:left="20"/>
              <w:spacing w:after="0"/>
              <w:rPr>
                <w:sz w:val="20"/>
                <w:szCs w:val="20"/>
                <w:color w:val="auto"/>
              </w:rPr>
            </w:pPr>
            <w:r>
              <w:rPr>
                <w:rFonts w:ascii="Arial" w:cs="Arial" w:eastAsia="Arial" w:hAnsi="Arial"/>
                <w:sz w:val="16"/>
                <w:szCs w:val="16"/>
                <w:color w:val="auto"/>
              </w:rPr>
              <w:t>Operating income</w:t>
            </w:r>
          </w:p>
        </w:tc>
        <w:tc>
          <w:tcPr>
            <w:tcW w:w="18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113,763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155,267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160,392</w:t>
            </w:r>
          </w:p>
        </w:tc>
      </w:tr>
      <w:tr>
        <w:trPr>
          <w:trHeight w:val="253"/>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37,461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17,939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18,246</w:t>
            </w:r>
          </w:p>
        </w:tc>
      </w:tr>
      <w:tr>
        <w:trPr>
          <w:trHeight w:val="237"/>
        </w:trPr>
        <w:tc>
          <w:tcPr>
            <w:tcW w:w="57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Non-operating income</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w:t>
            </w:r>
          </w:p>
        </w:tc>
      </w:tr>
      <w:tr>
        <w:trPr>
          <w:trHeight w:val="243"/>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77,276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138,909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142,640</w:t>
            </w:r>
          </w:p>
        </w:tc>
      </w:tr>
      <w:tr>
        <w:trPr>
          <w:trHeight w:val="236"/>
        </w:trPr>
        <w:tc>
          <w:tcPr>
            <w:tcW w:w="57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Provision for income taxes</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15,834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27,111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40,283</w:t>
            </w:r>
          </w:p>
        </w:tc>
      </w:tr>
      <w:tr>
        <w:trPr>
          <w:trHeight w:val="268"/>
        </w:trPr>
        <w:tc>
          <w:tcPr>
            <w:tcW w:w="5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61,442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102,357</w:t>
            </w:r>
          </w:p>
        </w:tc>
      </w:tr>
      <w:tr>
        <w:trPr>
          <w:trHeight w:val="20"/>
        </w:trPr>
        <w:tc>
          <w:tcPr>
            <w:tcW w:w="57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43"/>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per common share:</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33"/>
        </w:trPr>
        <w:tc>
          <w:tcPr>
            <w:tcW w:w="5760" w:type="dxa"/>
            <w:vAlign w:val="bottom"/>
            <w:gridSpan w:val="2"/>
          </w:tcPr>
          <w:p>
            <w:pPr>
              <w:ind w:left="220"/>
              <w:spacing w:after="0"/>
              <w:rPr>
                <w:sz w:val="20"/>
                <w:szCs w:val="20"/>
                <w:color w:val="auto"/>
              </w:rPr>
            </w:pPr>
            <w:r>
              <w:rPr>
                <w:rFonts w:ascii="Arial" w:cs="Arial" w:eastAsia="Arial" w:hAnsi="Arial"/>
                <w:sz w:val="16"/>
                <w:szCs w:val="16"/>
                <w:color w:val="auto"/>
              </w:rPr>
              <w:t>Basic</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3.24</w:t>
            </w:r>
          </w:p>
        </w:tc>
      </w:tr>
      <w:tr>
        <w:trPr>
          <w:trHeight w:val="253"/>
        </w:trPr>
        <w:tc>
          <w:tcPr>
            <w:tcW w:w="57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r>
      <w:tr>
        <w:trPr>
          <w:trHeight w:val="257"/>
        </w:trPr>
        <w:tc>
          <w:tcPr>
            <w:tcW w:w="5760" w:type="dxa"/>
            <w:vAlign w:val="bottom"/>
            <w:gridSpan w:val="2"/>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43"/>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33"/>
        </w:trPr>
        <w:tc>
          <w:tcPr>
            <w:tcW w:w="5760" w:type="dxa"/>
            <w:vAlign w:val="bottom"/>
            <w:gridSpan w:val="2"/>
          </w:tcPr>
          <w:p>
            <w:pPr>
              <w:ind w:left="220"/>
              <w:spacing w:after="0"/>
              <w:rPr>
                <w:sz w:val="20"/>
                <w:szCs w:val="20"/>
                <w:color w:val="auto"/>
              </w:rPr>
            </w:pPr>
            <w:r>
              <w:rPr>
                <w:rFonts w:ascii="Arial" w:cs="Arial" w:eastAsia="Arial" w:hAnsi="Arial"/>
                <w:sz w:val="16"/>
                <w:szCs w:val="16"/>
                <w:color w:val="auto"/>
              </w:rPr>
              <w:t>Basic</w:t>
            </w:r>
          </w:p>
        </w:tc>
        <w:tc>
          <w:tcPr>
            <w:tcW w:w="18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33,236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31,536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31,596</w:t>
            </w:r>
          </w:p>
        </w:tc>
      </w:tr>
      <w:tr>
        <w:trPr>
          <w:trHeight w:val="253"/>
        </w:trPr>
        <w:tc>
          <w:tcPr>
            <w:tcW w:w="57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33,454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31,721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31,814</w:t>
            </w:r>
          </w:p>
        </w:tc>
      </w:tr>
      <w:tr>
        <w:trPr>
          <w:trHeight w:val="256"/>
        </w:trPr>
        <w:tc>
          <w:tcPr>
            <w:tcW w:w="5760" w:type="dxa"/>
            <w:vAlign w:val="bottom"/>
            <w:gridSpan w:val="2"/>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43"/>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61,442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111,798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102,357</w:t>
            </w:r>
          </w:p>
        </w:tc>
      </w:tr>
      <w:tr>
        <w:trPr>
          <w:trHeight w:val="233"/>
        </w:trPr>
        <w:tc>
          <w:tcPr>
            <w:tcW w:w="5760" w:type="dxa"/>
            <w:vAlign w:val="bottom"/>
            <w:gridSpan w:val="2"/>
          </w:tcPr>
          <w:p>
            <w:pPr>
              <w:ind w:left="20"/>
              <w:spacing w:after="0"/>
              <w:rPr>
                <w:sz w:val="20"/>
                <w:szCs w:val="20"/>
                <w:color w:val="auto"/>
              </w:rPr>
            </w:pPr>
            <w:r>
              <w:rPr>
                <w:rFonts w:ascii="Arial" w:cs="Arial" w:eastAsia="Arial" w:hAnsi="Arial"/>
                <w:sz w:val="16"/>
                <w:szCs w:val="16"/>
                <w:color w:val="auto"/>
              </w:rPr>
              <w:t>Other comprehensive (loss) income:</w:t>
            </w: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3"/>
        </w:trPr>
        <w:tc>
          <w:tcPr>
            <w:tcW w:w="57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Amortization of net actuarial loss (net of tax of $12, $10, and $11)</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40"/>
        </w:trPr>
        <w:tc>
          <w:tcPr>
            <w:tcW w:w="57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Change in fair value of interest rate swap (net of tax of $22, $454, and $840)</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1,947</w:t>
            </w:r>
          </w:p>
        </w:tc>
      </w:tr>
      <w:tr>
        <w:trPr>
          <w:trHeight w:val="233"/>
        </w:trPr>
        <w:tc>
          <w:tcPr>
            <w:tcW w:w="57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other comprehensive (loss) income</w:t>
            </w:r>
          </w:p>
        </w:tc>
        <w:tc>
          <w:tcPr>
            <w:tcW w:w="18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(1,383)</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1,974</w:t>
            </w:r>
          </w:p>
        </w:tc>
      </w:tr>
      <w:tr>
        <w:trPr>
          <w:trHeight w:val="243"/>
        </w:trPr>
        <w:tc>
          <w:tcPr>
            <w:tcW w:w="5760" w:type="dxa"/>
            <w:vAlign w:val="bottom"/>
            <w:gridSpan w:val="2"/>
          </w:tcPr>
          <w:p>
            <w:pPr>
              <w:ind w:left="20"/>
              <w:spacing w:after="0"/>
              <w:rPr>
                <w:sz w:val="20"/>
                <w:szCs w:val="20"/>
                <w:color w:val="auto"/>
              </w:rPr>
            </w:pPr>
            <w:r>
              <w:rPr>
                <w:rFonts w:ascii="Arial" w:cs="Arial" w:eastAsia="Arial" w:hAnsi="Arial"/>
                <w:sz w:val="16"/>
                <w:szCs w:val="16"/>
                <w:color w:val="auto"/>
              </w:rPr>
              <w:t>Comprehensive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61,407</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110,415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104,331</w:t>
            </w:r>
          </w:p>
        </w:tc>
      </w:tr>
      <w:tr>
        <w:trPr>
          <w:trHeight w:val="20"/>
        </w:trPr>
        <w:tc>
          <w:tcPr>
            <w:tcW w:w="12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84"/>
        </w:trPr>
        <w:tc>
          <w:tcPr>
            <w:tcW w:w="7600" w:type="dxa"/>
            <w:vAlign w:val="bottom"/>
            <w:gridSpan w:val="2"/>
          </w:tcPr>
          <w:p>
            <w:pPr>
              <w:spacing w:after="0"/>
              <w:rPr>
                <w:rFonts w:ascii="Arial" w:cs="Arial" w:eastAsia="Arial" w:hAnsi="Arial"/>
                <w:sz w:val="16"/>
                <w:szCs w:val="16"/>
                <w:color w:val="0000FF"/>
              </w:rPr>
            </w:pPr>
            <w:r>
              <w:rPr>
                <w:rFonts w:ascii="Arial" w:cs="Arial" w:eastAsia="Arial" w:hAnsi="Arial"/>
                <w:sz w:val="16"/>
                <w:szCs w:val="16"/>
                <w:color w:val="0000FF"/>
              </w:rPr>
              <w:t xml:space="preserve">Table </w:t>
            </w:r>
            <w:hyperlink w:anchor="page1">
              <w:r>
                <w:rPr>
                  <w:rFonts w:ascii="Arial" w:cs="Arial" w:eastAsia="Arial" w:hAnsi="Arial"/>
                  <w:sz w:val="16"/>
                  <w:szCs w:val="16"/>
                  <w:color w:val="0000FF"/>
                </w:rPr>
                <w:t xml:space="preserve">of </w:t>
              </w:r>
            </w:hyperlink>
            <w:r>
              <w:rPr>
                <w:rFonts w:ascii="Arial" w:cs="Arial" w:eastAsia="Arial" w:hAnsi="Arial"/>
                <w:sz w:val="16"/>
                <w:szCs w:val="16"/>
                <w:color w:val="0000FF"/>
              </w:rPr>
              <w:t>Contents</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799"/>
        </w:trPr>
        <w:tc>
          <w:tcPr>
            <w:tcW w:w="760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93"/>
        </w:trPr>
        <w:tc>
          <w:tcPr>
            <w:tcW w:w="7600" w:type="dxa"/>
            <w:vAlign w:val="bottom"/>
            <w:gridSpan w:val="2"/>
          </w:tcPr>
          <w:p>
            <w:pPr>
              <w:spacing w:after="0"/>
              <w:rPr>
                <w:sz w:val="20"/>
                <w:szCs w:val="20"/>
                <w:color w:val="auto"/>
              </w:rPr>
            </w:pPr>
            <w:r>
              <w:rPr>
                <w:rFonts w:ascii="Arial" w:cs="Arial" w:eastAsia="Arial" w:hAnsi="Arial"/>
                <w:sz w:val="16"/>
                <w:szCs w:val="16"/>
                <w:b w:val="1"/>
                <w:bCs w:val="1"/>
                <w:color w:val="auto"/>
              </w:rPr>
              <w:t>Consolidated Balance Sheets</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1"/>
        </w:trPr>
        <w:tc>
          <w:tcPr>
            <w:tcW w:w="7600" w:type="dxa"/>
            <w:vAlign w:val="bottom"/>
            <w:gridSpan w:val="2"/>
          </w:tcPr>
          <w:p>
            <w:pPr>
              <w:spacing w:after="0"/>
              <w:rPr>
                <w:sz w:val="20"/>
                <w:szCs w:val="20"/>
                <w:color w:val="auto"/>
              </w:rPr>
            </w:pPr>
            <w:r>
              <w:rPr>
                <w:rFonts w:ascii="Arial" w:cs="Arial" w:eastAsia="Arial" w:hAnsi="Arial"/>
                <w:sz w:val="16"/>
                <w:szCs w:val="16"/>
                <w:i w:val="1"/>
                <w:iCs w:val="1"/>
                <w:color w:val="auto"/>
              </w:rPr>
              <w:t>$ and shares in thousands, except per share data</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56"/>
        </w:trPr>
        <w:tc>
          <w:tcPr>
            <w:tcW w:w="1280" w:type="dxa"/>
            <w:vAlign w:val="bottom"/>
          </w:tcPr>
          <w:p>
            <w:pPr>
              <w:spacing w:after="0"/>
              <w:rPr>
                <w:sz w:val="22"/>
                <w:szCs w:val="22"/>
                <w:color w:val="auto"/>
              </w:rPr>
            </w:pPr>
          </w:p>
        </w:tc>
        <w:tc>
          <w:tcPr>
            <w:tcW w:w="6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80" w:type="dxa"/>
            <w:vAlign w:val="bottom"/>
            <w:gridSpan w:val="2"/>
          </w:tcPr>
          <w:p>
            <w:pPr>
              <w:ind w:left="60"/>
              <w:spacing w:after="0"/>
              <w:rPr>
                <w:sz w:val="20"/>
                <w:szCs w:val="20"/>
                <w:color w:val="auto"/>
              </w:rPr>
            </w:pPr>
            <w:r>
              <w:rPr>
                <w:rFonts w:ascii="Arial" w:cs="Arial" w:eastAsia="Arial" w:hAnsi="Arial"/>
                <w:sz w:val="16"/>
                <w:szCs w:val="16"/>
                <w:b w:val="1"/>
                <w:bCs w:val="1"/>
                <w:color w:val="auto"/>
              </w:rPr>
              <w:t>August 29, 2020</w:t>
            </w:r>
          </w:p>
        </w:tc>
        <w:tc>
          <w:tcPr>
            <w:tcW w:w="180" w:type="dxa"/>
            <w:vAlign w:val="bottom"/>
          </w:tcPr>
          <w:p>
            <w:pPr>
              <w:spacing w:after="0"/>
              <w:rPr>
                <w:sz w:val="22"/>
                <w:szCs w:val="22"/>
                <w:color w:val="auto"/>
              </w:rPr>
            </w:pPr>
          </w:p>
        </w:tc>
        <w:tc>
          <w:tcPr>
            <w:tcW w:w="158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31, 2019</w:t>
            </w:r>
          </w:p>
        </w:tc>
      </w:tr>
      <w:tr>
        <w:trPr>
          <w:trHeight w:val="243"/>
        </w:trPr>
        <w:tc>
          <w:tcPr>
            <w:tcW w:w="76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580" w:type="dxa"/>
            <w:vAlign w:val="bottom"/>
            <w:tcBorders>
              <w:top w:val="single" w:sz="8" w:color="auto"/>
            </w:tcBorders>
            <w:shd w:val="clear" w:color="auto" w:fill="CCEEFF"/>
          </w:tcPr>
          <w:p>
            <w:pPr>
              <w:spacing w:after="0"/>
              <w:rPr>
                <w:sz w:val="21"/>
                <w:szCs w:val="21"/>
                <w:color w:val="auto"/>
              </w:rPr>
            </w:pPr>
          </w:p>
        </w:tc>
      </w:tr>
      <w:tr>
        <w:trPr>
          <w:trHeight w:val="233"/>
        </w:trPr>
        <w:tc>
          <w:tcPr>
            <w:tcW w:w="7600" w:type="dxa"/>
            <w:vAlign w:val="bottom"/>
            <w:gridSpan w:val="2"/>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3"/>
        </w:trPr>
        <w:tc>
          <w:tcPr>
            <w:tcW w:w="76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292,575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37,431</w:t>
            </w:r>
          </w:p>
        </w:tc>
      </w:tr>
      <w:tr>
        <w:trPr>
          <w:trHeight w:val="240"/>
        </w:trPr>
        <w:tc>
          <w:tcPr>
            <w:tcW w:w="7600" w:type="dxa"/>
            <w:vAlign w:val="bottom"/>
            <w:gridSpan w:val="2"/>
          </w:tcPr>
          <w:p>
            <w:pPr>
              <w:ind w:left="140"/>
              <w:spacing w:after="0"/>
              <w:rPr>
                <w:sz w:val="20"/>
                <w:szCs w:val="20"/>
                <w:color w:val="auto"/>
              </w:rPr>
            </w:pPr>
            <w:r>
              <w:rPr>
                <w:rFonts w:ascii="Arial" w:cs="Arial" w:eastAsia="Arial" w:hAnsi="Arial"/>
                <w:sz w:val="16"/>
                <w:szCs w:val="16"/>
                <w:color w:val="auto"/>
              </w:rPr>
              <w:t>Receivables, less allowance for doubtful accounts ($353 and $160, respectively)</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220,798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158,049</w:t>
            </w:r>
          </w:p>
        </w:tc>
      </w:tr>
      <w:tr>
        <w:trPr>
          <w:trHeight w:val="246"/>
        </w:trPr>
        <w:tc>
          <w:tcPr>
            <w:tcW w:w="76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Inventories</w:t>
            </w: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182,941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201,126</w:t>
            </w:r>
          </w:p>
        </w:tc>
      </w:tr>
      <w:tr>
        <w:trPr>
          <w:trHeight w:val="237"/>
        </w:trPr>
        <w:tc>
          <w:tcPr>
            <w:tcW w:w="76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17,296</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14,051</w:t>
            </w:r>
          </w:p>
        </w:tc>
      </w:tr>
      <w:tr>
        <w:trPr>
          <w:trHeight w:val="236"/>
        </w:trPr>
        <w:tc>
          <w:tcPr>
            <w:tcW w:w="7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713,610</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410,657</w:t>
            </w:r>
          </w:p>
        </w:tc>
      </w:tr>
      <w:tr>
        <w:trPr>
          <w:trHeight w:val="233"/>
        </w:trPr>
        <w:tc>
          <w:tcPr>
            <w:tcW w:w="7600" w:type="dxa"/>
            <w:vAlign w:val="bottom"/>
            <w:gridSpan w:val="2"/>
          </w:tcPr>
          <w:p>
            <w:pPr>
              <w:ind w:left="2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174,945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127,572</w:t>
            </w:r>
          </w:p>
        </w:tc>
      </w:tr>
      <w:tr>
        <w:trPr>
          <w:trHeight w:val="253"/>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33"/>
        </w:trPr>
        <w:tc>
          <w:tcPr>
            <w:tcW w:w="7600" w:type="dxa"/>
            <w:vAlign w:val="bottom"/>
            <w:gridSpan w:val="2"/>
          </w:tcPr>
          <w:p>
            <w:pPr>
              <w:ind w:left="1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348,058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274,931</w:t>
            </w:r>
          </w:p>
        </w:tc>
      </w:tr>
      <w:tr>
        <w:trPr>
          <w:trHeight w:val="253"/>
        </w:trPr>
        <w:tc>
          <w:tcPr>
            <w:tcW w:w="76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intangible assets, net</w:t>
            </w: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404,768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256,082</w:t>
            </w:r>
          </w:p>
        </w:tc>
      </w:tr>
      <w:tr>
        <w:trPr>
          <w:trHeight w:val="233"/>
        </w:trPr>
        <w:tc>
          <w:tcPr>
            <w:tcW w:w="7600" w:type="dxa"/>
            <w:vAlign w:val="bottom"/>
            <w:gridSpan w:val="2"/>
          </w:tcPr>
          <w:p>
            <w:pPr>
              <w:ind w:left="120"/>
              <w:spacing w:after="0"/>
              <w:rPr>
                <w:sz w:val="20"/>
                <w:szCs w:val="20"/>
                <w:color w:val="auto"/>
              </w:rPr>
            </w:pPr>
            <w:r>
              <w:rPr>
                <w:rFonts w:ascii="Arial" w:cs="Arial" w:eastAsia="Arial" w:hAnsi="Arial"/>
                <w:sz w:val="16"/>
                <w:szCs w:val="16"/>
                <w:color w:val="auto"/>
              </w:rPr>
              <w:t>Investment in life insurance</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27,838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26,846</w:t>
            </w:r>
          </w:p>
        </w:tc>
      </w:tr>
      <w:tr>
        <w:trPr>
          <w:trHeight w:val="253"/>
        </w:trPr>
        <w:tc>
          <w:tcPr>
            <w:tcW w:w="76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Operating lease assets</w:t>
            </w: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29,463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76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15,018</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8,143</w:t>
            </w:r>
          </w:p>
        </w:tc>
      </w:tr>
      <w:tr>
        <w:trPr>
          <w:trHeight w:val="268"/>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1,713,700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1,104,231</w:t>
            </w:r>
          </w:p>
        </w:tc>
      </w:tr>
      <w:tr>
        <w:trPr>
          <w:trHeight w:val="20"/>
        </w:trPr>
        <w:tc>
          <w:tcPr>
            <w:tcW w:w="76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128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43"/>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33"/>
        </w:trPr>
        <w:tc>
          <w:tcPr>
            <w:tcW w:w="760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3"/>
        </w:trPr>
        <w:tc>
          <w:tcPr>
            <w:tcW w:w="76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132,490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81,635</w:t>
            </w:r>
          </w:p>
        </w:tc>
      </w:tr>
      <w:tr>
        <w:trPr>
          <w:trHeight w:val="233"/>
        </w:trPr>
        <w:tc>
          <w:tcPr>
            <w:tcW w:w="7600" w:type="dxa"/>
            <w:vAlign w:val="bottom"/>
            <w:gridSpan w:val="2"/>
          </w:tcPr>
          <w:p>
            <w:pPr>
              <w:ind w:left="120"/>
              <w:spacing w:after="0"/>
              <w:rPr>
                <w:sz w:val="20"/>
                <w:szCs w:val="20"/>
                <w:color w:val="auto"/>
              </w:rPr>
            </w:pPr>
            <w:r>
              <w:rPr>
                <w:rFonts w:ascii="Arial" w:cs="Arial" w:eastAsia="Arial" w:hAnsi="Arial"/>
                <w:sz w:val="16"/>
                <w:szCs w:val="16"/>
                <w:color w:val="auto"/>
              </w:rPr>
              <w:t>Income taxes payable</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8,840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76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Accrued expenses:</w:t>
            </w: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33"/>
        </w:trPr>
        <w:tc>
          <w:tcPr>
            <w:tcW w:w="7600" w:type="dxa"/>
            <w:vAlign w:val="bottom"/>
            <w:gridSpan w:val="2"/>
          </w:tcPr>
          <w:p>
            <w:pPr>
              <w:ind w:left="220"/>
              <w:spacing w:after="0"/>
              <w:rPr>
                <w:sz w:val="20"/>
                <w:szCs w:val="20"/>
                <w:color w:val="auto"/>
              </w:rPr>
            </w:pPr>
            <w:r>
              <w:rPr>
                <w:rFonts w:ascii="Arial" w:cs="Arial" w:eastAsia="Arial" w:hAnsi="Arial"/>
                <w:sz w:val="16"/>
                <w:szCs w:val="16"/>
                <w:color w:val="auto"/>
              </w:rPr>
              <w:t>Accrued compensation</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36,533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20,328</w:t>
            </w:r>
          </w:p>
        </w:tc>
      </w:tr>
      <w:tr>
        <w:trPr>
          <w:trHeight w:val="253"/>
        </w:trPr>
        <w:tc>
          <w:tcPr>
            <w:tcW w:w="7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Product warranties</w:t>
            </w: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64,031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44,436</w:t>
            </w:r>
          </w:p>
        </w:tc>
      </w:tr>
      <w:tr>
        <w:trPr>
          <w:trHeight w:val="233"/>
        </w:trPr>
        <w:tc>
          <w:tcPr>
            <w:tcW w:w="7600" w:type="dxa"/>
            <w:vAlign w:val="bottom"/>
            <w:gridSpan w:val="2"/>
          </w:tcPr>
          <w:p>
            <w:pPr>
              <w:ind w:left="220"/>
              <w:spacing w:after="0"/>
              <w:rPr>
                <w:sz w:val="20"/>
                <w:szCs w:val="20"/>
                <w:color w:val="auto"/>
              </w:rPr>
            </w:pPr>
            <w:r>
              <w:rPr>
                <w:rFonts w:ascii="Arial" w:cs="Arial" w:eastAsia="Arial" w:hAnsi="Arial"/>
                <w:sz w:val="16"/>
                <w:szCs w:val="16"/>
                <w:color w:val="auto"/>
              </w:rPr>
              <w:t>Self-insurance</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17,437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13,820</w:t>
            </w:r>
          </w:p>
        </w:tc>
      </w:tr>
      <w:tr>
        <w:trPr>
          <w:trHeight w:val="253"/>
        </w:trPr>
        <w:tc>
          <w:tcPr>
            <w:tcW w:w="7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Promotional</w:t>
            </w: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10,896</w:t>
            </w:r>
          </w:p>
        </w:tc>
      </w:tr>
      <w:tr>
        <w:trPr>
          <w:trHeight w:val="233"/>
        </w:trPr>
        <w:tc>
          <w:tcPr>
            <w:tcW w:w="7600" w:type="dxa"/>
            <w:vAlign w:val="bottom"/>
            <w:gridSpan w:val="2"/>
          </w:tcPr>
          <w:p>
            <w:pPr>
              <w:ind w:left="220"/>
              <w:spacing w:after="0"/>
              <w:rPr>
                <w:sz w:val="20"/>
                <w:szCs w:val="20"/>
                <w:color w:val="auto"/>
              </w:rPr>
            </w:pPr>
            <w:r>
              <w:rPr>
                <w:rFonts w:ascii="Arial" w:cs="Arial" w:eastAsia="Arial" w:hAnsi="Arial"/>
                <w:sz w:val="16"/>
                <w:szCs w:val="16"/>
                <w:color w:val="auto"/>
              </w:rPr>
              <w:t>Accrued interest</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4,652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4,059</w:t>
            </w:r>
          </w:p>
        </w:tc>
      </w:tr>
      <w:tr>
        <w:trPr>
          <w:trHeight w:val="253"/>
        </w:trPr>
        <w:tc>
          <w:tcPr>
            <w:tcW w:w="7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23,864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13,678</w:t>
            </w:r>
          </w:p>
        </w:tc>
      </w:tr>
      <w:tr>
        <w:trPr>
          <w:trHeight w:val="237"/>
        </w:trPr>
        <w:tc>
          <w:tcPr>
            <w:tcW w:w="7600" w:type="dxa"/>
            <w:vAlign w:val="bottom"/>
            <w:gridSpan w:val="2"/>
          </w:tcPr>
          <w:p>
            <w:pPr>
              <w:ind w:left="120"/>
              <w:spacing w:after="0"/>
              <w:rPr>
                <w:sz w:val="20"/>
                <w:szCs w:val="20"/>
                <w:color w:val="auto"/>
              </w:rPr>
            </w:pPr>
            <w:r>
              <w:rPr>
                <w:rFonts w:ascii="Arial" w:cs="Arial" w:eastAsia="Arial" w:hAnsi="Arial"/>
                <w:sz w:val="16"/>
                <w:szCs w:val="16"/>
                <w:color w:val="auto"/>
              </w:rPr>
              <w:t>Current maturities of long-term debt</w:t>
            </w:r>
          </w:p>
        </w:tc>
        <w:tc>
          <w:tcPr>
            <w:tcW w:w="20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8,892</w:t>
            </w:r>
          </w:p>
        </w:tc>
      </w:tr>
      <w:tr>
        <w:trPr>
          <w:trHeight w:val="243"/>
        </w:trPr>
        <w:tc>
          <w:tcPr>
            <w:tcW w:w="760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300,390</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197,744</w:t>
            </w:r>
          </w:p>
        </w:tc>
      </w:tr>
      <w:tr>
        <w:trPr>
          <w:trHeight w:val="213"/>
        </w:trPr>
        <w:tc>
          <w:tcPr>
            <w:tcW w:w="7600" w:type="dxa"/>
            <w:vAlign w:val="bottom"/>
            <w:gridSpan w:val="2"/>
          </w:tcPr>
          <w:p>
            <w:pPr>
              <w:ind w:left="20"/>
              <w:spacing w:after="0"/>
              <w:rPr>
                <w:sz w:val="20"/>
                <w:szCs w:val="20"/>
                <w:color w:val="auto"/>
              </w:rPr>
            </w:pPr>
            <w:r>
              <w:rPr>
                <w:rFonts w:ascii="Arial" w:cs="Arial" w:eastAsia="Arial" w:hAnsi="Arial"/>
                <w:sz w:val="16"/>
                <w:szCs w:val="16"/>
                <w:color w:val="auto"/>
              </w:rPr>
              <w:t>Non-current liabilities:</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53"/>
        </w:trPr>
        <w:tc>
          <w:tcPr>
            <w:tcW w:w="76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Long-term debt, less current maturities</w:t>
            </w: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512,630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245,402</w:t>
            </w:r>
          </w:p>
        </w:tc>
      </w:tr>
      <w:tr>
        <w:trPr>
          <w:trHeight w:val="233"/>
        </w:trPr>
        <w:tc>
          <w:tcPr>
            <w:tcW w:w="7600" w:type="dxa"/>
            <w:vAlign w:val="bottom"/>
            <w:gridSpan w:val="2"/>
          </w:tcPr>
          <w:p>
            <w:pPr>
              <w:ind w:left="12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15,608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12,032</w:t>
            </w:r>
          </w:p>
        </w:tc>
      </w:tr>
      <w:tr>
        <w:trPr>
          <w:trHeight w:val="253"/>
        </w:trPr>
        <w:tc>
          <w:tcPr>
            <w:tcW w:w="76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Unrecognized tax benefits</w:t>
            </w: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3,591</w:t>
            </w:r>
          </w:p>
        </w:tc>
      </w:tr>
      <w:tr>
        <w:trPr>
          <w:trHeight w:val="233"/>
        </w:trPr>
        <w:tc>
          <w:tcPr>
            <w:tcW w:w="7600" w:type="dxa"/>
            <w:vAlign w:val="bottom"/>
            <w:gridSpan w:val="2"/>
          </w:tcPr>
          <w:p>
            <w:pPr>
              <w:ind w:left="120"/>
              <w:spacing w:after="0"/>
              <w:rPr>
                <w:sz w:val="20"/>
                <w:szCs w:val="20"/>
                <w:color w:val="auto"/>
              </w:rPr>
            </w:pPr>
            <w:r>
              <w:rPr>
                <w:rFonts w:ascii="Arial" w:cs="Arial" w:eastAsia="Arial" w:hAnsi="Arial"/>
                <w:sz w:val="16"/>
                <w:szCs w:val="16"/>
                <w:color w:val="auto"/>
              </w:rPr>
              <w:t>Operating lease liabilities</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27,048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76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Deferred compensation benefits, net of current portion</w:t>
            </w: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12,878</w:t>
            </w:r>
          </w:p>
        </w:tc>
      </w:tr>
      <w:tr>
        <w:trPr>
          <w:trHeight w:val="236"/>
        </w:trPr>
        <w:tc>
          <w:tcPr>
            <w:tcW w:w="76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12,917</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w:t>
            </w:r>
          </w:p>
        </w:tc>
      </w:tr>
      <w:tr>
        <w:trPr>
          <w:trHeight w:val="243"/>
        </w:trPr>
        <w:tc>
          <w:tcPr>
            <w:tcW w:w="7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non-current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585,844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274,275</w:t>
            </w:r>
          </w:p>
        </w:tc>
      </w:tr>
      <w:tr>
        <w:trPr>
          <w:trHeight w:val="213"/>
        </w:trPr>
        <w:tc>
          <w:tcPr>
            <w:tcW w:w="7600" w:type="dxa"/>
            <w:vAlign w:val="bottom"/>
            <w:gridSpan w:val="2"/>
          </w:tcPr>
          <w:p>
            <w:pPr>
              <w:ind w:left="20"/>
              <w:spacing w:after="0"/>
              <w:rPr>
                <w:sz w:val="20"/>
                <w:szCs w:val="20"/>
                <w:color w:val="auto"/>
              </w:rPr>
            </w:pPr>
            <w:r>
              <w:rPr>
                <w:rFonts w:ascii="Arial" w:cs="Arial" w:eastAsia="Arial" w:hAnsi="Arial"/>
                <w:sz w:val="16"/>
                <w:szCs w:val="16"/>
                <w:color w:val="auto"/>
              </w:rPr>
              <w:t>Contingent liabilities and commitments (Note 12)</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53"/>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40"/>
        </w:trPr>
        <w:tc>
          <w:tcPr>
            <w:tcW w:w="7600" w:type="dxa"/>
            <w:vAlign w:val="bottom"/>
            <w:gridSpan w:val="2"/>
          </w:tcPr>
          <w:p>
            <w:pPr>
              <w:ind w:left="140"/>
              <w:spacing w:after="0"/>
              <w:rPr>
                <w:sz w:val="20"/>
                <w:szCs w:val="20"/>
                <w:color w:val="auto"/>
              </w:rPr>
            </w:pPr>
            <w:r>
              <w:rPr>
                <w:rFonts w:ascii="Arial" w:cs="Arial" w:eastAsia="Arial" w:hAnsi="Arial"/>
                <w:sz w:val="16"/>
                <w:szCs w:val="16"/>
                <w:color w:val="auto"/>
              </w:rPr>
              <w:t>Preferred stock, par value $0.01: Authorized-10,000 shares; Issued-none</w:t>
            </w:r>
          </w:p>
        </w:tc>
        <w:tc>
          <w:tcPr>
            <w:tcW w:w="20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76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Common stock, par value $0.50: Authorized-60,000 shares; Issued-51,776 shares</w:t>
            </w: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25,888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25,888</w:t>
            </w:r>
          </w:p>
        </w:tc>
      </w:tr>
      <w:tr>
        <w:trPr>
          <w:trHeight w:val="233"/>
        </w:trPr>
        <w:tc>
          <w:tcPr>
            <w:tcW w:w="7600" w:type="dxa"/>
            <w:vAlign w:val="bottom"/>
            <w:gridSpan w:val="2"/>
          </w:tcPr>
          <w:p>
            <w:pPr>
              <w:ind w:left="12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203,791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91,185</w:t>
            </w:r>
          </w:p>
        </w:tc>
      </w:tr>
      <w:tr>
        <w:trPr>
          <w:trHeight w:val="253"/>
        </w:trPr>
        <w:tc>
          <w:tcPr>
            <w:tcW w:w="76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913,610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866,886</w:t>
            </w:r>
          </w:p>
        </w:tc>
      </w:tr>
      <w:tr>
        <w:trPr>
          <w:trHeight w:val="233"/>
        </w:trPr>
        <w:tc>
          <w:tcPr>
            <w:tcW w:w="7600" w:type="dxa"/>
            <w:vAlign w:val="bottom"/>
            <w:gridSpan w:val="2"/>
          </w:tcPr>
          <w:p>
            <w:pPr>
              <w:ind w:left="120"/>
              <w:spacing w:after="0"/>
              <w:rPr>
                <w:sz w:val="20"/>
                <w:szCs w:val="20"/>
                <w:color w:val="auto"/>
              </w:rPr>
            </w:pPr>
            <w:r>
              <w:rPr>
                <w:rFonts w:ascii="Arial" w:cs="Arial" w:eastAsia="Arial" w:hAnsi="Arial"/>
                <w:sz w:val="16"/>
                <w:szCs w:val="16"/>
                <w:color w:val="auto"/>
              </w:rPr>
              <w:t>Accumulated other comprehensive income (loss)</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(491)</w:t>
            </w:r>
          </w:p>
        </w:tc>
      </w:tr>
      <w:tr>
        <w:trPr>
          <w:trHeight w:val="250"/>
        </w:trPr>
        <w:tc>
          <w:tcPr>
            <w:tcW w:w="76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Treasury stock, at cost: 18,133 and 20,262 shares, respectively</w:t>
            </w:r>
          </w:p>
        </w:tc>
        <w:tc>
          <w:tcPr>
            <w:tcW w:w="2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(315,297)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(351,256)</w:t>
            </w:r>
          </w:p>
        </w:tc>
      </w:tr>
      <w:tr>
        <w:trPr>
          <w:trHeight w:val="233"/>
        </w:trPr>
        <w:tc>
          <w:tcPr>
            <w:tcW w:w="76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827,466</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632,212</w:t>
            </w:r>
          </w:p>
        </w:tc>
      </w:tr>
      <w:tr>
        <w:trPr>
          <w:trHeight w:val="268"/>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1,713,700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1,104,231</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184"/>
        </w:trPr>
        <w:tc>
          <w:tcPr>
            <w:tcW w:w="5760" w:type="dxa"/>
            <w:vAlign w:val="bottom"/>
            <w:gridSpan w:val="2"/>
          </w:tcPr>
          <w:p>
            <w:pPr>
              <w:spacing w:after="0"/>
              <w:rPr>
                <w:rFonts w:ascii="Arial" w:cs="Arial" w:eastAsia="Arial" w:hAnsi="Arial"/>
                <w:sz w:val="16"/>
                <w:szCs w:val="16"/>
                <w:color w:val="0000FF"/>
              </w:rPr>
            </w:pPr>
            <w:r>
              <w:rPr>
                <w:rFonts w:ascii="Arial" w:cs="Arial" w:eastAsia="Arial" w:hAnsi="Arial"/>
                <w:sz w:val="16"/>
                <w:szCs w:val="16"/>
                <w:color w:val="0000FF"/>
              </w:rPr>
              <w:t xml:space="preserve">Table </w:t>
            </w:r>
            <w:hyperlink w:anchor="page1">
              <w:r>
                <w:rPr>
                  <w:rFonts w:ascii="Arial" w:cs="Arial" w:eastAsia="Arial" w:hAnsi="Arial"/>
                  <w:sz w:val="16"/>
                  <w:szCs w:val="16"/>
                  <w:color w:val="0000FF"/>
                </w:rPr>
                <w:t xml:space="preserve">of </w:t>
              </w:r>
            </w:hyperlink>
            <w:r>
              <w:rPr>
                <w:rFonts w:ascii="Arial" w:cs="Arial" w:eastAsia="Arial" w:hAnsi="Arial"/>
                <w:sz w:val="16"/>
                <w:szCs w:val="16"/>
                <w:color w:val="0000FF"/>
              </w:rPr>
              <w:t>Contents</w:t>
            </w: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799"/>
        </w:trPr>
        <w:tc>
          <w:tcPr>
            <w:tcW w:w="576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93"/>
        </w:trPr>
        <w:tc>
          <w:tcPr>
            <w:tcW w:w="576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1"/>
        </w:trPr>
        <w:tc>
          <w:tcPr>
            <w:tcW w:w="5760" w:type="dxa"/>
            <w:vAlign w:val="bottom"/>
            <w:gridSpan w:val="2"/>
          </w:tcPr>
          <w:p>
            <w:pPr>
              <w:spacing w:after="0"/>
              <w:rPr>
                <w:sz w:val="20"/>
                <w:szCs w:val="20"/>
                <w:color w:val="auto"/>
              </w:rPr>
            </w:pPr>
            <w:r>
              <w:rPr>
                <w:rFonts w:ascii="Arial" w:cs="Arial" w:eastAsia="Arial" w:hAnsi="Arial"/>
                <w:sz w:val="16"/>
                <w:szCs w:val="16"/>
                <w:i w:val="1"/>
                <w:iCs w:val="1"/>
                <w:color w:val="auto"/>
              </w:rPr>
              <w:t>$ in thousands</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56"/>
        </w:trPr>
        <w:tc>
          <w:tcPr>
            <w:tcW w:w="5760" w:type="dxa"/>
            <w:vAlign w:val="bottom"/>
            <w:gridSpan w:val="2"/>
          </w:tcPr>
          <w:p>
            <w:pPr>
              <w:ind w:left="20"/>
              <w:spacing w:after="0"/>
              <w:rPr>
                <w:sz w:val="20"/>
                <w:szCs w:val="20"/>
                <w:color w:val="auto"/>
              </w:rPr>
            </w:pPr>
            <w:r>
              <w:rPr>
                <w:rFonts w:ascii="Arial" w:cs="Arial" w:eastAsia="Arial" w:hAnsi="Arial"/>
                <w:sz w:val="16"/>
                <w:szCs w:val="16"/>
                <w:b w:val="1"/>
                <w:bCs w:val="1"/>
                <w:color w:val="auto"/>
              </w:rPr>
              <w:t>Fiscal Years Ended</w:t>
            </w:r>
          </w:p>
        </w:tc>
        <w:tc>
          <w:tcPr>
            <w:tcW w:w="180" w:type="dxa"/>
            <w:vAlign w:val="bottom"/>
          </w:tcPr>
          <w:p>
            <w:pPr>
              <w:spacing w:after="0"/>
              <w:rPr>
                <w:sz w:val="22"/>
                <w:szCs w:val="22"/>
                <w:color w:val="auto"/>
              </w:rPr>
            </w:pPr>
          </w:p>
        </w:tc>
        <w:tc>
          <w:tcPr>
            <w:tcW w:w="168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29, 2020</w:t>
            </w:r>
          </w:p>
        </w:tc>
        <w:tc>
          <w:tcPr>
            <w:tcW w:w="180" w:type="dxa"/>
            <w:vAlign w:val="bottom"/>
          </w:tcPr>
          <w:p>
            <w:pPr>
              <w:spacing w:after="0"/>
              <w:rPr>
                <w:sz w:val="22"/>
                <w:szCs w:val="22"/>
                <w:color w:val="auto"/>
              </w:rPr>
            </w:pPr>
          </w:p>
        </w:tc>
        <w:tc>
          <w:tcPr>
            <w:tcW w:w="168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31, 2019</w:t>
            </w:r>
          </w:p>
        </w:tc>
        <w:tc>
          <w:tcPr>
            <w:tcW w:w="180" w:type="dxa"/>
            <w:vAlign w:val="bottom"/>
          </w:tcPr>
          <w:p>
            <w:pPr>
              <w:spacing w:after="0"/>
              <w:rPr>
                <w:sz w:val="22"/>
                <w:szCs w:val="22"/>
                <w:color w:val="auto"/>
              </w:rPr>
            </w:pPr>
          </w:p>
        </w:tc>
        <w:tc>
          <w:tcPr>
            <w:tcW w:w="158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25, 2018</w:t>
            </w:r>
          </w:p>
        </w:tc>
      </w:tr>
      <w:tr>
        <w:trPr>
          <w:trHeight w:val="233"/>
        </w:trPr>
        <w:tc>
          <w:tcPr>
            <w:tcW w:w="57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r>
      <w:tr>
        <w:trPr>
          <w:trHeight w:val="253"/>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61,442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111,798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102,357</w:t>
            </w:r>
          </w:p>
        </w:tc>
      </w:tr>
      <w:tr>
        <w:trPr>
          <w:trHeight w:val="177"/>
        </w:trPr>
        <w:tc>
          <w:tcPr>
            <w:tcW w:w="576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Adjustments to reconcile net income to net cash provided by operating</w:t>
            </w: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98"/>
        </w:trPr>
        <w:tc>
          <w:tcPr>
            <w:tcW w:w="5760" w:type="dxa"/>
            <w:vAlign w:val="bottom"/>
            <w:gridSpan w:val="2"/>
          </w:tcPr>
          <w:p>
            <w:pPr>
              <w:ind w:left="26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46"/>
        </w:trPr>
        <w:tc>
          <w:tcPr>
            <w:tcW w:w="5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Depreciation</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15,997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9,849</w:t>
            </w:r>
          </w:p>
        </w:tc>
      </w:tr>
      <w:tr>
        <w:trPr>
          <w:trHeight w:val="233"/>
        </w:trPr>
        <w:tc>
          <w:tcPr>
            <w:tcW w:w="5760" w:type="dxa"/>
            <w:vAlign w:val="bottom"/>
            <w:gridSpan w:val="2"/>
          </w:tcPr>
          <w:p>
            <w:pPr>
              <w:ind w:left="120"/>
              <w:spacing w:after="0"/>
              <w:rPr>
                <w:sz w:val="20"/>
                <w:szCs w:val="20"/>
                <w:color w:val="auto"/>
              </w:rPr>
            </w:pPr>
            <w:r>
              <w:rPr>
                <w:rFonts w:ascii="Arial" w:cs="Arial" w:eastAsia="Arial" w:hAnsi="Arial"/>
                <w:sz w:val="16"/>
                <w:szCs w:val="16"/>
                <w:color w:val="auto"/>
              </w:rPr>
              <w:t>Amortization of intangibles</w:t>
            </w:r>
          </w:p>
        </w:tc>
        <w:tc>
          <w:tcPr>
            <w:tcW w:w="18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22,104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9,635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9,328</w:t>
            </w:r>
          </w:p>
        </w:tc>
      </w:tr>
      <w:tr>
        <w:trPr>
          <w:trHeight w:val="253"/>
        </w:trPr>
        <w:tc>
          <w:tcPr>
            <w:tcW w:w="5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Non-cash interest expense, net</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10,727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5760" w:type="dxa"/>
            <w:vAlign w:val="bottom"/>
            <w:gridSpan w:val="2"/>
          </w:tcPr>
          <w:p>
            <w:pPr>
              <w:ind w:left="120"/>
              <w:spacing w:after="0"/>
              <w:rPr>
                <w:sz w:val="20"/>
                <w:szCs w:val="20"/>
                <w:color w:val="auto"/>
              </w:rPr>
            </w:pPr>
            <w:r>
              <w:rPr>
                <w:rFonts w:ascii="Arial" w:cs="Arial" w:eastAsia="Arial" w:hAnsi="Arial"/>
                <w:sz w:val="16"/>
                <w:szCs w:val="16"/>
                <w:color w:val="auto"/>
              </w:rPr>
              <w:t>Amortization of debt issuance costs</w:t>
            </w:r>
          </w:p>
        </w:tc>
        <w:tc>
          <w:tcPr>
            <w:tcW w:w="18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7,379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1,612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2,206</w:t>
            </w:r>
          </w:p>
        </w:tc>
      </w:tr>
      <w:tr>
        <w:trPr>
          <w:trHeight w:val="253"/>
        </w:trPr>
        <w:tc>
          <w:tcPr>
            <w:tcW w:w="5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Last in, first-out expense</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3,344</w:t>
            </w:r>
          </w:p>
        </w:tc>
      </w:tr>
      <w:tr>
        <w:trPr>
          <w:trHeight w:val="233"/>
        </w:trPr>
        <w:tc>
          <w:tcPr>
            <w:tcW w:w="5760" w:type="dxa"/>
            <w:vAlign w:val="bottom"/>
            <w:gridSpan w:val="2"/>
          </w:tcPr>
          <w:p>
            <w:pPr>
              <w:ind w:left="120"/>
              <w:spacing w:after="0"/>
              <w:rPr>
                <w:sz w:val="20"/>
                <w:szCs w:val="20"/>
                <w:color w:val="auto"/>
              </w:rPr>
            </w:pPr>
            <w:r>
              <w:rPr>
                <w:rFonts w:ascii="Arial" w:cs="Arial" w:eastAsia="Arial" w:hAnsi="Arial"/>
                <w:sz w:val="16"/>
                <w:szCs w:val="16"/>
                <w:color w:val="auto"/>
              </w:rPr>
              <w:t>Stock-based compensation</w:t>
            </w:r>
          </w:p>
        </w:tc>
        <w:tc>
          <w:tcPr>
            <w:tcW w:w="18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6,475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7,058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7,434</w:t>
            </w:r>
          </w:p>
        </w:tc>
      </w:tr>
      <w:tr>
        <w:trPr>
          <w:trHeight w:val="253"/>
        </w:trPr>
        <w:tc>
          <w:tcPr>
            <w:tcW w:w="5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5,784</w:t>
            </w:r>
          </w:p>
        </w:tc>
      </w:tr>
      <w:tr>
        <w:trPr>
          <w:trHeight w:val="233"/>
        </w:trPr>
        <w:tc>
          <w:tcPr>
            <w:tcW w:w="5760" w:type="dxa"/>
            <w:vAlign w:val="bottom"/>
            <w:gridSpan w:val="2"/>
          </w:tcPr>
          <w:p>
            <w:pPr>
              <w:ind w:left="120"/>
              <w:spacing w:after="0"/>
              <w:rPr>
                <w:sz w:val="20"/>
                <w:szCs w:val="20"/>
                <w:color w:val="auto"/>
              </w:rPr>
            </w:pPr>
            <w:r>
              <w:rPr>
                <w:rFonts w:ascii="Arial" w:cs="Arial" w:eastAsia="Arial" w:hAnsi="Arial"/>
                <w:sz w:val="16"/>
                <w:szCs w:val="16"/>
                <w:color w:val="auto"/>
              </w:rPr>
              <w:t>Deferred compensation expense</w:t>
            </w:r>
          </w:p>
        </w:tc>
        <w:tc>
          <w:tcPr>
            <w:tcW w:w="18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1,070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1,201</w:t>
            </w:r>
          </w:p>
        </w:tc>
      </w:tr>
      <w:tr>
        <w:trPr>
          <w:trHeight w:val="253"/>
        </w:trPr>
        <w:tc>
          <w:tcPr>
            <w:tcW w:w="5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w:t>
            </w:r>
          </w:p>
        </w:tc>
      </w:tr>
      <w:tr>
        <w:trPr>
          <w:trHeight w:val="233"/>
        </w:trPr>
        <w:tc>
          <w:tcPr>
            <w:tcW w:w="5760" w:type="dxa"/>
            <w:vAlign w:val="bottom"/>
            <w:gridSpan w:val="2"/>
          </w:tcPr>
          <w:p>
            <w:pPr>
              <w:ind w:left="20"/>
              <w:spacing w:after="0"/>
              <w:rPr>
                <w:sz w:val="20"/>
                <w:szCs w:val="20"/>
                <w:color w:val="auto"/>
              </w:rPr>
            </w:pPr>
            <w:r>
              <w:rPr>
                <w:rFonts w:ascii="Arial" w:cs="Arial" w:eastAsia="Arial" w:hAnsi="Arial"/>
                <w:sz w:val="16"/>
                <w:szCs w:val="16"/>
                <w:color w:val="auto"/>
              </w:rPr>
              <w:t>Change in assets and liabilities:</w:t>
            </w: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3"/>
        </w:trPr>
        <w:tc>
          <w:tcPr>
            <w:tcW w:w="5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Receivables</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(37,739)</w:t>
            </w:r>
          </w:p>
        </w:tc>
      </w:tr>
      <w:tr>
        <w:trPr>
          <w:trHeight w:val="233"/>
        </w:trPr>
        <w:tc>
          <w:tcPr>
            <w:tcW w:w="5760" w:type="dxa"/>
            <w:vAlign w:val="bottom"/>
            <w:gridSpan w:val="2"/>
          </w:tcPr>
          <w:p>
            <w:pPr>
              <w:ind w:left="12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105,994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(8,256)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(46,429)</w:t>
            </w:r>
          </w:p>
        </w:tc>
      </w:tr>
      <w:tr>
        <w:trPr>
          <w:trHeight w:val="253"/>
        </w:trPr>
        <w:tc>
          <w:tcPr>
            <w:tcW w:w="5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2,353</w:t>
            </w:r>
          </w:p>
        </w:tc>
      </w:tr>
      <w:tr>
        <w:trPr>
          <w:trHeight w:val="233"/>
        </w:trPr>
        <w:tc>
          <w:tcPr>
            <w:tcW w:w="5760" w:type="dxa"/>
            <w:vAlign w:val="bottom"/>
            <w:gridSpan w:val="2"/>
          </w:tcPr>
          <w:p>
            <w:pPr>
              <w:ind w:left="12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37,041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(1,278)</w:t>
            </w:r>
          </w:p>
        </w:tc>
      </w:tr>
      <w:tr>
        <w:trPr>
          <w:trHeight w:val="253"/>
        </w:trPr>
        <w:tc>
          <w:tcPr>
            <w:tcW w:w="5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Income taxes and unrecognized tax benefits</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(13,810)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7,939</w:t>
            </w:r>
          </w:p>
        </w:tc>
      </w:tr>
      <w:tr>
        <w:trPr>
          <w:trHeight w:val="237"/>
        </w:trPr>
        <w:tc>
          <w:tcPr>
            <w:tcW w:w="57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Accrued expenses and other liabilities</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21,646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17,992</w:t>
            </w:r>
          </w:p>
        </w:tc>
      </w:tr>
      <w:tr>
        <w:trPr>
          <w:trHeight w:val="243"/>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270,434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133,750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83,346</w:t>
            </w:r>
          </w:p>
        </w:tc>
      </w:tr>
      <w:tr>
        <w:trPr>
          <w:trHeight w:val="213"/>
        </w:trPr>
        <w:tc>
          <w:tcPr>
            <w:tcW w:w="5760" w:type="dxa"/>
            <w:vAlign w:val="bottom"/>
            <w:gridSpan w:val="2"/>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53"/>
        </w:trPr>
        <w:tc>
          <w:tcPr>
            <w:tcW w:w="5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Purchases of property and equipment</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(40,858)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(28,668)</w:t>
            </w:r>
          </w:p>
        </w:tc>
      </w:tr>
      <w:tr>
        <w:trPr>
          <w:trHeight w:val="233"/>
        </w:trPr>
        <w:tc>
          <w:tcPr>
            <w:tcW w:w="5760" w:type="dxa"/>
            <w:vAlign w:val="bottom"/>
            <w:gridSpan w:val="2"/>
          </w:tcPr>
          <w:p>
            <w:pPr>
              <w:ind w:left="120"/>
              <w:spacing w:after="0"/>
              <w:rPr>
                <w:sz w:val="20"/>
                <w:szCs w:val="20"/>
                <w:color w:val="auto"/>
              </w:rPr>
            </w:pPr>
            <w:r>
              <w:rPr>
                <w:rFonts w:ascii="Arial" w:cs="Arial" w:eastAsia="Arial" w:hAnsi="Arial"/>
                <w:sz w:val="16"/>
                <w:szCs w:val="16"/>
                <w:color w:val="auto"/>
              </w:rPr>
              <w:t>Acquisition of business, net of cash acquired</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(260,965)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(81,200)</w:t>
            </w:r>
          </w:p>
        </w:tc>
      </w:tr>
      <w:tr>
        <w:trPr>
          <w:trHeight w:val="253"/>
        </w:trPr>
        <w:tc>
          <w:tcPr>
            <w:tcW w:w="5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Proceeds from the sale of property</w:t>
            </w:r>
          </w:p>
        </w:tc>
        <w:tc>
          <w:tcPr>
            <w:tcW w:w="18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r>
      <w:tr>
        <w:trPr>
          <w:trHeight w:val="237"/>
        </w:trPr>
        <w:tc>
          <w:tcPr>
            <w:tcW w:w="57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(2,231)</w:t>
            </w:r>
          </w:p>
        </w:tc>
      </w:tr>
      <w:tr>
        <w:trPr>
          <w:trHeight w:val="243"/>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(293,076)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(38,936)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(111,761)</w:t>
            </w:r>
          </w:p>
        </w:tc>
      </w:tr>
      <w:tr>
        <w:trPr>
          <w:trHeight w:val="213"/>
        </w:trPr>
        <w:tc>
          <w:tcPr>
            <w:tcW w:w="5760" w:type="dxa"/>
            <w:vAlign w:val="bottom"/>
            <w:gridSpan w:val="2"/>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53"/>
        </w:trPr>
        <w:tc>
          <w:tcPr>
            <w:tcW w:w="5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Borrowings on long-term debt</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2,786,824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891,892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221,133</w:t>
            </w:r>
          </w:p>
        </w:tc>
      </w:tr>
      <w:tr>
        <w:trPr>
          <w:trHeight w:val="233"/>
        </w:trPr>
        <w:tc>
          <w:tcPr>
            <w:tcW w:w="5760" w:type="dxa"/>
            <w:vAlign w:val="bottom"/>
            <w:gridSpan w:val="2"/>
          </w:tcPr>
          <w:p>
            <w:pPr>
              <w:ind w:left="120"/>
              <w:spacing w:after="0"/>
              <w:rPr>
                <w:sz w:val="20"/>
                <w:szCs w:val="20"/>
                <w:color w:val="auto"/>
              </w:rPr>
            </w:pPr>
            <w:r>
              <w:rPr>
                <w:rFonts w:ascii="Arial" w:cs="Arial" w:eastAsia="Arial" w:hAnsi="Arial"/>
                <w:sz w:val="16"/>
                <w:szCs w:val="16"/>
                <w:color w:val="auto"/>
              </w:rPr>
              <w:t>Repayments on long-term debt</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(2,446,824)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(930,424)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(206,601)</w:t>
            </w:r>
          </w:p>
        </w:tc>
      </w:tr>
      <w:tr>
        <w:trPr>
          <w:trHeight w:val="253"/>
        </w:trPr>
        <w:tc>
          <w:tcPr>
            <w:tcW w:w="5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Purchase of convertible bond hedge</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5760" w:type="dxa"/>
            <w:vAlign w:val="bottom"/>
            <w:gridSpan w:val="2"/>
          </w:tcPr>
          <w:p>
            <w:pPr>
              <w:ind w:left="120"/>
              <w:spacing w:after="0"/>
              <w:rPr>
                <w:sz w:val="20"/>
                <w:szCs w:val="20"/>
                <w:color w:val="auto"/>
              </w:rPr>
            </w:pPr>
            <w:r>
              <w:rPr>
                <w:rFonts w:ascii="Arial" w:cs="Arial" w:eastAsia="Arial" w:hAnsi="Arial"/>
                <w:sz w:val="16"/>
                <w:szCs w:val="16"/>
                <w:color w:val="auto"/>
              </w:rPr>
              <w:t>Proceeds from issuance of warrants</w:t>
            </w:r>
          </w:p>
        </w:tc>
        <w:tc>
          <w:tcPr>
            <w:tcW w:w="18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42,210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5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Payments of cash dividends</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(12,738)</w:t>
            </w:r>
          </w:p>
        </w:tc>
      </w:tr>
      <w:tr>
        <w:trPr>
          <w:trHeight w:val="233"/>
        </w:trPr>
        <w:tc>
          <w:tcPr>
            <w:tcW w:w="5760" w:type="dxa"/>
            <w:vAlign w:val="bottom"/>
            <w:gridSpan w:val="2"/>
          </w:tcPr>
          <w:p>
            <w:pPr>
              <w:ind w:left="120"/>
              <w:spacing w:after="0"/>
              <w:rPr>
                <w:sz w:val="20"/>
                <w:szCs w:val="20"/>
                <w:color w:val="auto"/>
              </w:rPr>
            </w:pPr>
            <w:r>
              <w:rPr>
                <w:rFonts w:ascii="Arial" w:cs="Arial" w:eastAsia="Arial" w:hAnsi="Arial"/>
                <w:sz w:val="16"/>
                <w:szCs w:val="16"/>
                <w:color w:val="auto"/>
              </w:rPr>
              <w:t>Payments for repurchases of common stock</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(1,844)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(8,171)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(6,481)</w:t>
            </w:r>
          </w:p>
        </w:tc>
      </w:tr>
      <w:tr>
        <w:trPr>
          <w:trHeight w:val="253"/>
        </w:trPr>
        <w:tc>
          <w:tcPr>
            <w:tcW w:w="5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Payments of debt issuance costs</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r>
      <w:tr>
        <w:trPr>
          <w:trHeight w:val="236"/>
        </w:trPr>
        <w:tc>
          <w:tcPr>
            <w:tcW w:w="57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r>
      <w:tr>
        <w:trPr>
          <w:trHeight w:val="237"/>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18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277,786</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(59,725)</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(5,188)</w:t>
            </w:r>
          </w:p>
        </w:tc>
      </w:tr>
      <w:tr>
        <w:trPr>
          <w:trHeight w:val="233"/>
        </w:trPr>
        <w:tc>
          <w:tcPr>
            <w:tcW w:w="5760" w:type="dxa"/>
            <w:vAlign w:val="bottom"/>
            <w:gridSpan w:val="2"/>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18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255,144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35,089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(33,603)</w:t>
            </w:r>
          </w:p>
        </w:tc>
      </w:tr>
      <w:tr>
        <w:trPr>
          <w:trHeight w:val="246"/>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37,431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35,945</w:t>
            </w:r>
          </w:p>
        </w:tc>
      </w:tr>
      <w:tr>
        <w:trPr>
          <w:trHeight w:val="243"/>
        </w:trPr>
        <w:tc>
          <w:tcPr>
            <w:tcW w:w="5760" w:type="dxa"/>
            <w:vAlign w:val="bottom"/>
            <w:gridSpan w:val="2"/>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292,575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37,431</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2,342</w:t>
            </w:r>
          </w:p>
        </w:tc>
      </w:tr>
      <w:tr>
        <w:trPr>
          <w:trHeight w:val="20"/>
        </w:trPr>
        <w:tc>
          <w:tcPr>
            <w:tcW w:w="12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Supplement cash flow disclosure: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00" w:type="dxa"/>
            <w:vAlign w:val="bottom"/>
          </w:tcPr>
          <w:p>
            <w:pPr>
              <w:ind w:left="120"/>
              <w:spacing w:after="0"/>
              <w:rPr>
                <w:sz w:val="20"/>
                <w:szCs w:val="20"/>
                <w:color w:val="auto"/>
              </w:rPr>
            </w:pPr>
            <w:r>
              <w:rPr>
                <w:rFonts w:ascii="Arial" w:cs="Arial" w:eastAsia="Arial" w:hAnsi="Arial"/>
                <w:sz w:val="16"/>
                <w:szCs w:val="16"/>
                <w:color w:val="auto"/>
              </w:rPr>
              <w:t>Income taxes paid, net</w:t>
            </w:r>
          </w:p>
        </w:tc>
        <w:tc>
          <w:tcPr>
            <w:tcW w:w="110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3,667</w:t>
            </w:r>
          </w:p>
        </w:tc>
        <w:tc>
          <w:tcPr>
            <w:tcW w:w="7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37,061</w:t>
            </w:r>
          </w:p>
        </w:tc>
        <w:tc>
          <w:tcPr>
            <w:tcW w:w="7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26,436</w:t>
            </w:r>
          </w:p>
        </w:tc>
      </w:tr>
      <w:tr>
        <w:trPr>
          <w:trHeight w:val="253"/>
        </w:trPr>
        <w:tc>
          <w:tcPr>
            <w:tcW w:w="5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paid</w:t>
            </w:r>
          </w:p>
        </w:tc>
        <w:tc>
          <w:tcPr>
            <w:tcW w:w="11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17,253</w:t>
            </w:r>
          </w:p>
        </w:tc>
        <w:tc>
          <w:tcPr>
            <w:tcW w:w="7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14,921</w:t>
            </w:r>
          </w:p>
        </w:tc>
        <w:tc>
          <w:tcPr>
            <w:tcW w:w="7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16,565</w:t>
            </w:r>
          </w:p>
        </w:tc>
      </w:tr>
      <w:tr>
        <w:trPr>
          <w:trHeight w:val="256"/>
        </w:trPr>
        <w:tc>
          <w:tcPr>
            <w:tcW w:w="5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43"/>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transactions:</w:t>
            </w:r>
          </w:p>
        </w:tc>
        <w:tc>
          <w:tcPr>
            <w:tcW w:w="1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3"/>
        </w:trPr>
        <w:tc>
          <w:tcPr>
            <w:tcW w:w="5300" w:type="dxa"/>
            <w:vAlign w:val="bottom"/>
          </w:tcPr>
          <w:p>
            <w:pPr>
              <w:ind w:left="120"/>
              <w:spacing w:after="0"/>
              <w:rPr>
                <w:sz w:val="20"/>
                <w:szCs w:val="20"/>
                <w:color w:val="auto"/>
              </w:rPr>
            </w:pPr>
            <w:r>
              <w:rPr>
                <w:rFonts w:ascii="Arial" w:cs="Arial" w:eastAsia="Arial" w:hAnsi="Arial"/>
                <w:sz w:val="16"/>
                <w:szCs w:val="16"/>
                <w:color w:val="auto"/>
              </w:rPr>
              <w:t>Issuance of Winnebago common stock for acquisition of business</w:t>
            </w:r>
          </w:p>
        </w:tc>
        <w:tc>
          <w:tcPr>
            <w:tcW w:w="110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92,572</w:t>
            </w:r>
          </w:p>
        </w:tc>
        <w:tc>
          <w:tcPr>
            <w:tcW w:w="7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5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Capital expenditures in accounts payable</w:t>
            </w:r>
          </w:p>
        </w:tc>
        <w:tc>
          <w:tcPr>
            <w:tcW w:w="11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178</w:t>
            </w:r>
          </w:p>
        </w:tc>
        <w:tc>
          <w:tcPr>
            <w:tcW w:w="7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387</w:t>
            </w:r>
          </w:p>
        </w:tc>
        <w:tc>
          <w:tcPr>
            <w:tcW w:w="7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w:t>
            </w: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6" w:name="page47"/>
    <w:bookmarkEnd w:id="4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Changes in Stockholders' Equity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and shares in thousands, except per share data</w:t>
      </w:r>
    </w:p>
    <w:p>
      <w:pPr>
        <w:spacing w:after="0" w:line="165" w:lineRule="exact"/>
        <w:rPr>
          <w:sz w:val="20"/>
          <w:szCs w:val="20"/>
          <w:color w:val="auto"/>
        </w:rPr>
      </w:pPr>
    </w:p>
    <w:tbl>
      <w:tblPr>
        <w:tblLayout w:type="fixed"/>
        <w:tblInd w:w="2540" w:type="dxa"/>
        <w:tblCellMar>
          <w:top w:w="0" w:type="dxa"/>
          <w:left w:w="0" w:type="dxa"/>
          <w:bottom w:w="0" w:type="dxa"/>
          <w:right w:w="0" w:type="dxa"/>
        </w:tblCellMar>
      </w:tblPr>
      <w:tr>
        <w:trPr>
          <w:trHeight w:val="162"/>
        </w:trPr>
        <w:tc>
          <w:tcPr>
            <w:tcW w:w="18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Common Shares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9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Treasury Stock</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840" w:type="dxa"/>
            <w:vAlign w:val="bottom"/>
            <w:tcBorders>
              <w:bottom w:val="single" w:sz="8" w:color="auto"/>
            </w:tcBorders>
            <w:gridSpan w:val="2"/>
            <w:vMerge w:val="continue"/>
          </w:tcPr>
          <w:p>
            <w:pPr>
              <w:spacing w:after="0"/>
              <w:rPr>
                <w:sz w:val="11"/>
                <w:szCs w:val="11"/>
                <w:color w:val="auto"/>
              </w:rPr>
            </w:pPr>
          </w:p>
        </w:tc>
        <w:tc>
          <w:tcPr>
            <w:tcW w:w="10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Paid-In</w:t>
            </w:r>
          </w:p>
        </w:tc>
        <w:tc>
          <w:tcPr>
            <w:tcW w:w="920" w:type="dxa"/>
            <w:vAlign w:val="bottom"/>
          </w:tcPr>
          <w:p>
            <w:pPr>
              <w:ind w:left="180"/>
              <w:spacing w:after="0" w:line="129" w:lineRule="exact"/>
              <w:rPr>
                <w:sz w:val="20"/>
                <w:szCs w:val="20"/>
                <w:color w:val="auto"/>
              </w:rPr>
            </w:pPr>
            <w:r>
              <w:rPr>
                <w:rFonts w:ascii="Arial" w:cs="Arial" w:eastAsia="Arial" w:hAnsi="Arial"/>
                <w:sz w:val="14"/>
                <w:szCs w:val="14"/>
                <w:b w:val="1"/>
                <w:bCs w:val="1"/>
                <w:color w:val="auto"/>
              </w:rPr>
              <w:t>Retained</w:t>
            </w:r>
          </w:p>
        </w:tc>
        <w:tc>
          <w:tcPr>
            <w:tcW w:w="1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Comprehensive</w:t>
            </w:r>
          </w:p>
        </w:tc>
        <w:tc>
          <w:tcPr>
            <w:tcW w:w="1860" w:type="dxa"/>
            <w:vAlign w:val="bottom"/>
            <w:tcBorders>
              <w:bottom w:val="single" w:sz="8" w:color="auto"/>
            </w:tcBorders>
            <w:gridSpan w:val="2"/>
            <w:vMerge w:val="continue"/>
          </w:tcPr>
          <w:p>
            <w:pPr>
              <w:spacing w:after="0"/>
              <w:rPr>
                <w:sz w:val="11"/>
                <w:szCs w:val="11"/>
                <w:color w:val="auto"/>
              </w:rPr>
            </w:pPr>
          </w:p>
        </w:tc>
        <w:tc>
          <w:tcPr>
            <w:tcW w:w="1380" w:type="dxa"/>
            <w:vAlign w:val="bottom"/>
          </w:tcPr>
          <w:p>
            <w:pPr>
              <w:jc w:val="center"/>
              <w:ind w:left="8"/>
              <w:spacing w:after="0" w:line="129" w:lineRule="exact"/>
              <w:rPr>
                <w:sz w:val="20"/>
                <w:szCs w:val="20"/>
                <w:color w:val="auto"/>
              </w:rPr>
            </w:pPr>
            <w:r>
              <w:rPr>
                <w:rFonts w:ascii="Arial" w:cs="Arial" w:eastAsia="Arial" w:hAnsi="Arial"/>
                <w:sz w:val="14"/>
                <w:szCs w:val="14"/>
                <w:b w:val="1"/>
                <w:bCs w:val="1"/>
                <w:color w:val="auto"/>
              </w:rPr>
              <w:t>Total Stockholders'</w:t>
            </w:r>
          </w:p>
        </w:tc>
        <w:tc>
          <w:tcPr>
            <w:tcW w:w="0" w:type="dxa"/>
            <w:vAlign w:val="bottom"/>
          </w:tcPr>
          <w:p>
            <w:pPr>
              <w:spacing w:after="0"/>
              <w:rPr>
                <w:sz w:val="1"/>
                <w:szCs w:val="1"/>
                <w:color w:val="auto"/>
              </w:rPr>
            </w:pPr>
          </w:p>
        </w:tc>
      </w:tr>
      <w:tr>
        <w:trPr>
          <w:trHeight w:val="197"/>
        </w:trPr>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Number</w:t>
            </w:r>
          </w:p>
        </w:tc>
        <w:tc>
          <w:tcPr>
            <w:tcW w:w="960" w:type="dxa"/>
            <w:vAlign w:val="bottom"/>
          </w:tcPr>
          <w:p>
            <w:pPr>
              <w:ind w:left="200"/>
              <w:spacing w:after="0"/>
              <w:rPr>
                <w:sz w:val="20"/>
                <w:szCs w:val="20"/>
                <w:color w:val="auto"/>
              </w:rPr>
            </w:pPr>
            <w:r>
              <w:rPr>
                <w:rFonts w:ascii="Arial" w:cs="Arial" w:eastAsia="Arial" w:hAnsi="Arial"/>
                <w:sz w:val="14"/>
                <w:szCs w:val="14"/>
                <w:b w:val="1"/>
                <w:bCs w:val="1"/>
                <w:color w:val="auto"/>
              </w:rPr>
              <w:t>Amount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Capital</w:t>
            </w:r>
          </w:p>
        </w:tc>
        <w:tc>
          <w:tcPr>
            <w:tcW w:w="920" w:type="dxa"/>
            <w:vAlign w:val="bottom"/>
          </w:tcPr>
          <w:p>
            <w:pPr>
              <w:ind w:left="180"/>
              <w:spacing w:after="0"/>
              <w:rPr>
                <w:sz w:val="20"/>
                <w:szCs w:val="20"/>
                <w:color w:val="auto"/>
              </w:rPr>
            </w:pPr>
            <w:r>
              <w:rPr>
                <w:rFonts w:ascii="Arial" w:cs="Arial" w:eastAsia="Arial" w:hAnsi="Arial"/>
                <w:sz w:val="14"/>
                <w:szCs w:val="14"/>
                <w:b w:val="1"/>
                <w:bCs w:val="1"/>
                <w:color w:val="auto"/>
              </w:rPr>
              <w:t>Earnings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Income (Loss)</w:t>
            </w: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Number</w:t>
            </w:r>
          </w:p>
        </w:tc>
        <w:tc>
          <w:tcPr>
            <w:tcW w:w="980" w:type="dxa"/>
            <w:vAlign w:val="bottom"/>
          </w:tcPr>
          <w:p>
            <w:pPr>
              <w:ind w:left="200"/>
              <w:spacing w:after="0"/>
              <w:rPr>
                <w:sz w:val="20"/>
                <w:szCs w:val="20"/>
                <w:color w:val="auto"/>
              </w:rPr>
            </w:pPr>
            <w:r>
              <w:rPr>
                <w:rFonts w:ascii="Arial" w:cs="Arial" w:eastAsia="Arial" w:hAnsi="Arial"/>
                <w:sz w:val="14"/>
                <w:szCs w:val="14"/>
                <w:b w:val="1"/>
                <w:bCs w:val="1"/>
                <w:color w:val="auto"/>
              </w:rPr>
              <w:t>Amount</w:t>
            </w:r>
          </w:p>
        </w:tc>
        <w:tc>
          <w:tcPr>
            <w:tcW w:w="1380" w:type="dxa"/>
            <w:vAlign w:val="bottom"/>
          </w:tcPr>
          <w:p>
            <w:pPr>
              <w:jc w:val="center"/>
              <w:ind w:left="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06285"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p>
      <w:pPr>
        <w:spacing w:after="0" w:line="57"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Balances at August 26, 2017</w:t>
      </w:r>
    </w:p>
    <w:p>
      <w:pPr>
        <w:spacing w:after="0" w:line="55" w:lineRule="exact"/>
        <w:rPr>
          <w:sz w:val="20"/>
          <w:szCs w:val="20"/>
          <w:color w:val="auto"/>
        </w:rPr>
      </w:pPr>
    </w:p>
    <w:p>
      <w:pPr>
        <w:ind w:left="20" w:right="300"/>
        <w:spacing w:after="0" w:line="258" w:lineRule="auto"/>
        <w:rPr>
          <w:sz w:val="20"/>
          <w:szCs w:val="20"/>
          <w:color w:val="auto"/>
        </w:rPr>
      </w:pPr>
      <w:r>
        <w:rPr>
          <w:rFonts w:ascii="Arial" w:cs="Arial" w:eastAsia="Arial" w:hAnsi="Arial"/>
          <w:sz w:val="14"/>
          <w:szCs w:val="14"/>
          <w:color w:val="auto"/>
        </w:rPr>
        <w:t>Stock-based compensation, net of forfeitures</w:t>
      </w:r>
    </w:p>
    <w:p>
      <w:pPr>
        <w:spacing w:after="0" w:line="32" w:lineRule="exact"/>
        <w:rPr>
          <w:sz w:val="20"/>
          <w:szCs w:val="20"/>
          <w:color w:val="auto"/>
        </w:rPr>
      </w:pPr>
    </w:p>
    <w:p>
      <w:pPr>
        <w:ind w:left="20" w:right="580"/>
        <w:spacing w:after="0" w:line="311" w:lineRule="auto"/>
        <w:rPr>
          <w:sz w:val="20"/>
          <w:szCs w:val="20"/>
          <w:color w:val="auto"/>
        </w:rPr>
      </w:pPr>
      <w:r>
        <w:rPr>
          <w:rFonts w:ascii="Arial" w:cs="Arial" w:eastAsia="Arial" w:hAnsi="Arial"/>
          <w:sz w:val="14"/>
          <w:szCs w:val="14"/>
          <w:color w:val="auto"/>
        </w:rPr>
        <w:t>Issuance of stock Repurchase of common stock</w:t>
      </w:r>
    </w:p>
    <w:p>
      <w:pPr>
        <w:spacing w:after="0" w:line="1" w:lineRule="exact"/>
        <w:rPr>
          <w:sz w:val="20"/>
          <w:szCs w:val="20"/>
          <w:color w:val="auto"/>
        </w:rPr>
      </w:pPr>
    </w:p>
    <w:p>
      <w:pPr>
        <w:ind w:left="20" w:right="180"/>
        <w:spacing w:after="0" w:line="229" w:lineRule="auto"/>
        <w:rPr>
          <w:sz w:val="20"/>
          <w:szCs w:val="20"/>
          <w:color w:val="auto"/>
        </w:rPr>
      </w:pPr>
      <w:r>
        <w:rPr>
          <w:rFonts w:ascii="Arial" w:cs="Arial" w:eastAsia="Arial" w:hAnsi="Arial"/>
          <w:sz w:val="14"/>
          <w:szCs w:val="14"/>
          <w:color w:val="auto"/>
        </w:rPr>
        <w:t>Common stock dividends; $0.40 per share</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Actuarial loss, net of tax</w:t>
      </w:r>
    </w:p>
    <w:p>
      <w:pPr>
        <w:spacing w:after="0" w:line="55" w:lineRule="exact"/>
        <w:rPr>
          <w:sz w:val="20"/>
          <w:szCs w:val="20"/>
          <w:color w:val="auto"/>
        </w:rPr>
      </w:pPr>
    </w:p>
    <w:p>
      <w:pPr>
        <w:ind w:left="20" w:right="240"/>
        <w:spacing w:after="0" w:line="258" w:lineRule="auto"/>
        <w:rPr>
          <w:sz w:val="20"/>
          <w:szCs w:val="20"/>
          <w:color w:val="auto"/>
        </w:rPr>
      </w:pPr>
      <w:r>
        <w:rPr>
          <w:rFonts w:ascii="Arial" w:cs="Arial" w:eastAsia="Arial" w:hAnsi="Arial"/>
          <w:sz w:val="14"/>
          <w:szCs w:val="14"/>
          <w:color w:val="auto"/>
        </w:rPr>
        <w:t>Change in fair value of interest rate swap, net of tax</w:t>
      </w:r>
    </w:p>
    <w:p>
      <w:pPr>
        <w:spacing w:after="0" w:line="32" w:lineRule="exact"/>
        <w:rPr>
          <w:sz w:val="20"/>
          <w:szCs w:val="20"/>
          <w:color w:val="auto"/>
        </w:rPr>
      </w:pPr>
    </w:p>
    <w:p>
      <w:pPr>
        <w:ind w:left="20" w:right="620"/>
        <w:spacing w:after="0" w:line="332" w:lineRule="auto"/>
        <w:rPr>
          <w:sz w:val="20"/>
          <w:szCs w:val="20"/>
          <w:color w:val="auto"/>
        </w:rPr>
      </w:pPr>
      <w:r>
        <w:rPr>
          <w:rFonts w:ascii="Arial" w:cs="Arial" w:eastAsia="Arial" w:hAnsi="Arial"/>
          <w:sz w:val="14"/>
          <w:szCs w:val="14"/>
          <w:color w:val="auto"/>
        </w:rPr>
        <w:t>Reclassification of tax effects Net income</w:t>
      </w:r>
    </w:p>
    <w:p>
      <w:pPr>
        <w:ind w:left="20"/>
        <w:spacing w:after="0"/>
        <w:rPr>
          <w:sz w:val="20"/>
          <w:szCs w:val="20"/>
          <w:color w:val="auto"/>
        </w:rPr>
      </w:pPr>
      <w:r>
        <w:rPr>
          <w:rFonts w:ascii="Arial" w:cs="Arial" w:eastAsia="Arial" w:hAnsi="Arial"/>
          <w:sz w:val="14"/>
          <w:szCs w:val="14"/>
          <w:color w:val="auto"/>
        </w:rPr>
        <w:t>Balances at August 25, 2018</w:t>
      </w:r>
    </w:p>
    <w:p>
      <w:pPr>
        <w:spacing w:after="0" w:line="55" w:lineRule="exact"/>
        <w:rPr>
          <w:sz w:val="20"/>
          <w:szCs w:val="20"/>
          <w:color w:val="auto"/>
        </w:rPr>
      </w:pPr>
    </w:p>
    <w:p>
      <w:pPr>
        <w:ind w:left="20" w:right="300"/>
        <w:spacing w:after="0" w:line="258" w:lineRule="auto"/>
        <w:rPr>
          <w:sz w:val="20"/>
          <w:szCs w:val="20"/>
          <w:color w:val="auto"/>
        </w:rPr>
      </w:pPr>
      <w:r>
        <w:rPr>
          <w:rFonts w:ascii="Arial" w:cs="Arial" w:eastAsia="Arial" w:hAnsi="Arial"/>
          <w:sz w:val="14"/>
          <w:szCs w:val="14"/>
          <w:color w:val="auto"/>
        </w:rPr>
        <w:t>Stock-based compensation, net of forfeitures</w:t>
      </w:r>
    </w:p>
    <w:p>
      <w:pPr>
        <w:spacing w:after="0" w:line="32" w:lineRule="exact"/>
        <w:rPr>
          <w:sz w:val="20"/>
          <w:szCs w:val="20"/>
          <w:color w:val="auto"/>
        </w:rPr>
      </w:pPr>
    </w:p>
    <w:p>
      <w:pPr>
        <w:ind w:left="20" w:right="580"/>
        <w:spacing w:after="0" w:line="311" w:lineRule="auto"/>
        <w:rPr>
          <w:sz w:val="20"/>
          <w:szCs w:val="20"/>
          <w:color w:val="auto"/>
        </w:rPr>
      </w:pPr>
      <w:r>
        <w:rPr>
          <w:rFonts w:ascii="Arial" w:cs="Arial" w:eastAsia="Arial" w:hAnsi="Arial"/>
          <w:sz w:val="14"/>
          <w:szCs w:val="14"/>
          <w:color w:val="auto"/>
        </w:rPr>
        <w:t>Issuance of stock Repurchase of common stock</w:t>
      </w:r>
    </w:p>
    <w:p>
      <w:pPr>
        <w:spacing w:after="0" w:line="1" w:lineRule="exact"/>
        <w:rPr>
          <w:sz w:val="20"/>
          <w:szCs w:val="20"/>
          <w:color w:val="auto"/>
        </w:rPr>
      </w:pPr>
    </w:p>
    <w:p>
      <w:pPr>
        <w:ind w:left="20" w:right="180"/>
        <w:spacing w:after="0" w:line="229" w:lineRule="auto"/>
        <w:rPr>
          <w:sz w:val="20"/>
          <w:szCs w:val="20"/>
          <w:color w:val="auto"/>
        </w:rPr>
      </w:pPr>
      <w:r>
        <w:rPr>
          <w:rFonts w:ascii="Arial" w:cs="Arial" w:eastAsia="Arial" w:hAnsi="Arial"/>
          <w:sz w:val="14"/>
          <w:szCs w:val="14"/>
          <w:color w:val="auto"/>
        </w:rPr>
        <w:t>Common stock dividends; $0.43 per share</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Actuarial loss, net of tax</w:t>
      </w:r>
    </w:p>
    <w:p>
      <w:pPr>
        <w:spacing w:after="0" w:line="55" w:lineRule="exact"/>
        <w:rPr>
          <w:sz w:val="20"/>
          <w:szCs w:val="20"/>
          <w:color w:val="auto"/>
        </w:rPr>
      </w:pPr>
    </w:p>
    <w:p>
      <w:pPr>
        <w:ind w:left="20" w:right="240"/>
        <w:spacing w:after="0" w:line="258" w:lineRule="auto"/>
        <w:rPr>
          <w:sz w:val="20"/>
          <w:szCs w:val="20"/>
          <w:color w:val="auto"/>
        </w:rPr>
      </w:pPr>
      <w:r>
        <w:rPr>
          <w:rFonts w:ascii="Arial" w:cs="Arial" w:eastAsia="Arial" w:hAnsi="Arial"/>
          <w:sz w:val="14"/>
          <w:szCs w:val="14"/>
          <w:color w:val="auto"/>
        </w:rPr>
        <w:t>Change in fair value of interest rate swap, net of tax</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Balances at August 31, 2019</w:t>
      </w:r>
    </w:p>
    <w:p>
      <w:pPr>
        <w:spacing w:after="0" w:line="55" w:lineRule="exact"/>
        <w:rPr>
          <w:sz w:val="20"/>
          <w:szCs w:val="20"/>
          <w:color w:val="auto"/>
        </w:rPr>
      </w:pPr>
    </w:p>
    <w:p>
      <w:pPr>
        <w:ind w:left="20" w:right="300"/>
        <w:spacing w:after="0" w:line="258" w:lineRule="auto"/>
        <w:rPr>
          <w:sz w:val="20"/>
          <w:szCs w:val="20"/>
          <w:color w:val="auto"/>
        </w:rPr>
      </w:pPr>
      <w:r>
        <w:rPr>
          <w:rFonts w:ascii="Arial" w:cs="Arial" w:eastAsia="Arial" w:hAnsi="Arial"/>
          <w:sz w:val="14"/>
          <w:szCs w:val="14"/>
          <w:color w:val="auto"/>
        </w:rPr>
        <w:t>Stock-based compensation, net of forfeitures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Issuance of stock</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Issuance of stock for acquisition</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Repurchase of common stock</w:t>
      </w:r>
    </w:p>
    <w:p>
      <w:pPr>
        <w:spacing w:after="0" w:line="42" w:lineRule="exact"/>
        <w:rPr>
          <w:sz w:val="20"/>
          <w:szCs w:val="20"/>
          <w:color w:val="auto"/>
        </w:rPr>
      </w:pPr>
    </w:p>
    <w:p>
      <w:pPr>
        <w:ind w:left="20" w:right="180"/>
        <w:spacing w:after="0" w:line="229" w:lineRule="auto"/>
        <w:rPr>
          <w:sz w:val="20"/>
          <w:szCs w:val="20"/>
          <w:color w:val="auto"/>
        </w:rPr>
      </w:pPr>
      <w:r>
        <w:rPr>
          <w:rFonts w:ascii="Arial" w:cs="Arial" w:eastAsia="Arial" w:hAnsi="Arial"/>
          <w:sz w:val="14"/>
          <w:szCs w:val="14"/>
          <w:color w:val="auto"/>
        </w:rPr>
        <w:t>Common stock dividends; $0.45 per share</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Actuarial loss, net of tax</w:t>
      </w:r>
    </w:p>
    <w:p>
      <w:pPr>
        <w:spacing w:after="0" w:line="55" w:lineRule="exact"/>
        <w:rPr>
          <w:sz w:val="20"/>
          <w:szCs w:val="20"/>
          <w:color w:val="auto"/>
        </w:rPr>
      </w:pPr>
    </w:p>
    <w:p>
      <w:pPr>
        <w:ind w:left="20" w:right="240"/>
        <w:spacing w:after="0" w:line="258" w:lineRule="auto"/>
        <w:rPr>
          <w:sz w:val="20"/>
          <w:szCs w:val="20"/>
          <w:color w:val="auto"/>
        </w:rPr>
      </w:pPr>
      <w:r>
        <w:rPr>
          <w:rFonts w:ascii="Arial" w:cs="Arial" w:eastAsia="Arial" w:hAnsi="Arial"/>
          <w:sz w:val="14"/>
          <w:szCs w:val="14"/>
          <w:color w:val="auto"/>
        </w:rPr>
        <w:t>Change in fair value of interest rate swap, net of tax</w:t>
      </w:r>
    </w:p>
    <w:p>
      <w:pPr>
        <w:spacing w:after="0" w:line="18" w:lineRule="exact"/>
        <w:rPr>
          <w:sz w:val="20"/>
          <w:szCs w:val="20"/>
          <w:color w:val="auto"/>
        </w:rPr>
      </w:pPr>
    </w:p>
    <w:p>
      <w:pPr>
        <w:ind w:left="20"/>
        <w:spacing w:after="0" w:line="219" w:lineRule="auto"/>
        <w:rPr>
          <w:sz w:val="20"/>
          <w:szCs w:val="20"/>
          <w:color w:val="auto"/>
        </w:rPr>
      </w:pPr>
      <w:r>
        <w:rPr>
          <w:rFonts w:ascii="Arial" w:cs="Arial" w:eastAsia="Arial" w:hAnsi="Arial"/>
          <w:sz w:val="14"/>
          <w:szCs w:val="14"/>
          <w:color w:val="auto"/>
        </w:rPr>
        <w:t>Equity component of convertible senior notes and offering costs, net of tax of $20,840</w:t>
      </w:r>
    </w:p>
    <w:p>
      <w:pPr>
        <w:spacing w:after="0" w:line="18" w:lineRule="exact"/>
        <w:rPr>
          <w:sz w:val="20"/>
          <w:szCs w:val="20"/>
          <w:color w:val="auto"/>
        </w:rPr>
      </w:pPr>
    </w:p>
    <w:p>
      <w:pPr>
        <w:ind w:left="20" w:right="80"/>
        <w:spacing w:after="0" w:line="229" w:lineRule="auto"/>
        <w:rPr>
          <w:sz w:val="20"/>
          <w:szCs w:val="20"/>
          <w:color w:val="auto"/>
        </w:rPr>
      </w:pPr>
      <w:r>
        <w:rPr>
          <w:rFonts w:ascii="Arial" w:cs="Arial" w:eastAsia="Arial" w:hAnsi="Arial"/>
          <w:sz w:val="14"/>
          <w:szCs w:val="14"/>
          <w:color w:val="auto"/>
        </w:rPr>
        <w:t>Convertible note hedge purchase, net of tax of $17,417</w:t>
      </w:r>
    </w:p>
    <w:p>
      <w:pPr>
        <w:spacing w:after="0" w:line="30" w:lineRule="exact"/>
        <w:rPr>
          <w:sz w:val="20"/>
          <w:szCs w:val="20"/>
          <w:color w:val="auto"/>
        </w:rPr>
      </w:pPr>
    </w:p>
    <w:p>
      <w:pPr>
        <w:ind w:left="20" w:right="1140"/>
        <w:spacing w:after="0" w:line="338" w:lineRule="auto"/>
        <w:rPr>
          <w:sz w:val="20"/>
          <w:szCs w:val="20"/>
          <w:color w:val="auto"/>
        </w:rPr>
      </w:pPr>
      <w:r>
        <w:rPr>
          <w:rFonts w:ascii="Arial" w:cs="Arial" w:eastAsia="Arial" w:hAnsi="Arial"/>
          <w:sz w:val="14"/>
          <w:szCs w:val="14"/>
          <w:color w:val="auto"/>
        </w:rPr>
        <w:t>Issuance of warrants Net income</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Balances at August 29, 2020</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820" w:type="dxa"/>
            <w:vAlign w:val="bottom"/>
          </w:tcPr>
          <w:p>
            <w:pPr>
              <w:jc w:val="right"/>
              <w:spacing w:after="0"/>
              <w:rPr>
                <w:sz w:val="20"/>
                <w:szCs w:val="20"/>
                <w:color w:val="auto"/>
              </w:rPr>
            </w:pPr>
            <w:r>
              <w:rPr>
                <w:rFonts w:ascii="Arial" w:cs="Arial" w:eastAsia="Arial" w:hAnsi="Arial"/>
                <w:sz w:val="14"/>
                <w:szCs w:val="14"/>
                <w:color w:val="auto"/>
              </w:rPr>
              <w:t>51,776</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25,888</w:t>
            </w: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80,401</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679,138</w:t>
            </w:r>
          </w:p>
        </w:tc>
        <w:tc>
          <w:tcPr>
            <w:tcW w:w="580" w:type="dxa"/>
            <w:vAlign w:val="bottom"/>
          </w:tcPr>
          <w:p>
            <w:pPr>
              <w:spacing w:after="0"/>
              <w:rPr>
                <w:sz w:val="14"/>
                <w:szCs w:val="14"/>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(1,023)</w:t>
            </w:r>
          </w:p>
        </w:tc>
        <w:tc>
          <w:tcPr>
            <w:tcW w:w="720" w:type="dxa"/>
            <w:vAlign w:val="bottom"/>
          </w:tcPr>
          <w:p>
            <w:pPr>
              <w:jc w:val="right"/>
              <w:spacing w:after="0"/>
              <w:rPr>
                <w:sz w:val="20"/>
                <w:szCs w:val="20"/>
                <w:color w:val="auto"/>
              </w:rPr>
            </w:pPr>
            <w:r>
              <w:rPr>
                <w:rFonts w:ascii="Arial" w:cs="Arial" w:eastAsia="Arial" w:hAnsi="Arial"/>
                <w:sz w:val="14"/>
                <w:szCs w:val="14"/>
                <w:color w:val="auto"/>
              </w:rPr>
              <w:t>(20,183)</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(342,730)</w:t>
            </w:r>
          </w:p>
        </w:tc>
        <w:tc>
          <w:tcPr>
            <w:tcW w:w="48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441,674</w:t>
            </w:r>
          </w:p>
        </w:tc>
      </w:tr>
      <w:tr>
        <w:trPr>
          <w:trHeight w:val="378"/>
        </w:trPr>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7,406</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78</w:t>
            </w:r>
          </w:p>
        </w:tc>
        <w:tc>
          <w:tcPr>
            <w:tcW w:w="48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7,484</w:t>
            </w:r>
          </w:p>
        </w:tc>
      </w:tr>
      <w:tr>
        <w:trPr>
          <w:trHeight w:val="216"/>
        </w:trPr>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(1,584)</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8"/>
                <w:szCs w:val="18"/>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104</w:t>
            </w:r>
          </w:p>
        </w:tc>
        <w:tc>
          <w:tcPr>
            <w:tcW w:w="24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1,759</w:t>
            </w:r>
          </w:p>
        </w:tc>
        <w:tc>
          <w:tcPr>
            <w:tcW w:w="48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175</w:t>
            </w:r>
          </w:p>
        </w:tc>
      </w:tr>
      <w:tr>
        <w:trPr>
          <w:trHeight w:val="216"/>
        </w:trPr>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8"/>
                <w:szCs w:val="18"/>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(169)</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(6,481)</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(6,481)</w:t>
            </w:r>
          </w:p>
        </w:tc>
      </w:tr>
      <w:tr>
        <w:trPr>
          <w:trHeight w:val="324"/>
        </w:trPr>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(12,738)</w:t>
            </w:r>
          </w:p>
        </w:tc>
        <w:tc>
          <w:tcPr>
            <w:tcW w:w="58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(12,738)</w:t>
            </w:r>
          </w:p>
        </w:tc>
      </w:tr>
      <w:tr>
        <w:trPr>
          <w:trHeight w:val="216"/>
        </w:trPr>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8"/>
                <w:szCs w:val="18"/>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27</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27</w:t>
            </w:r>
          </w:p>
        </w:tc>
      </w:tr>
      <w:tr>
        <w:trPr>
          <w:trHeight w:val="378"/>
        </w:trPr>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1,947</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1,947</w:t>
            </w:r>
          </w:p>
        </w:tc>
      </w:tr>
      <w:tr>
        <w:trPr>
          <w:trHeight w:val="216"/>
        </w:trPr>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w:t>
            </w:r>
          </w:p>
        </w:tc>
        <w:tc>
          <w:tcPr>
            <w:tcW w:w="580" w:type="dxa"/>
            <w:vAlign w:val="bottom"/>
          </w:tcPr>
          <w:p>
            <w:pPr>
              <w:spacing w:after="0"/>
              <w:rPr>
                <w:sz w:val="18"/>
                <w:szCs w:val="18"/>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(59)</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22"/>
        </w:trPr>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102,357</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102,357</w:t>
            </w:r>
          </w:p>
        </w:tc>
      </w:tr>
      <w:tr>
        <w:trPr>
          <w:trHeight w:val="204"/>
        </w:trPr>
        <w:tc>
          <w:tcPr>
            <w:tcW w:w="820" w:type="dxa"/>
            <w:vAlign w:val="bottom"/>
          </w:tcPr>
          <w:p>
            <w:pPr>
              <w:jc w:val="right"/>
              <w:spacing w:after="0"/>
              <w:rPr>
                <w:sz w:val="20"/>
                <w:szCs w:val="20"/>
                <w:color w:val="auto"/>
              </w:rPr>
            </w:pPr>
            <w:r>
              <w:rPr>
                <w:rFonts w:ascii="Arial" w:cs="Arial" w:eastAsia="Arial" w:hAnsi="Arial"/>
                <w:sz w:val="14"/>
                <w:szCs w:val="14"/>
                <w:color w:val="auto"/>
              </w:rPr>
              <w:t>51,776</w:t>
            </w: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25,888</w:t>
            </w: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86,223</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768,816</w:t>
            </w:r>
          </w:p>
        </w:tc>
        <w:tc>
          <w:tcPr>
            <w:tcW w:w="580" w:type="dxa"/>
            <w:vAlign w:val="bottom"/>
          </w:tcPr>
          <w:p>
            <w:pPr>
              <w:spacing w:after="0"/>
              <w:rPr>
                <w:sz w:val="17"/>
                <w:szCs w:val="17"/>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892</w:t>
            </w:r>
          </w:p>
        </w:tc>
        <w:tc>
          <w:tcPr>
            <w:tcW w:w="720" w:type="dxa"/>
            <w:vAlign w:val="bottom"/>
          </w:tcPr>
          <w:p>
            <w:pPr>
              <w:jc w:val="right"/>
              <w:spacing w:after="0"/>
              <w:rPr>
                <w:sz w:val="20"/>
                <w:szCs w:val="20"/>
                <w:color w:val="auto"/>
              </w:rPr>
            </w:pPr>
            <w:r>
              <w:rPr>
                <w:rFonts w:ascii="Arial" w:cs="Arial" w:eastAsia="Arial" w:hAnsi="Arial"/>
                <w:sz w:val="14"/>
                <w:szCs w:val="14"/>
                <w:color w:val="auto"/>
              </w:rPr>
              <w:t>(20,243)</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(347,374)</w:t>
            </w:r>
          </w:p>
        </w:tc>
        <w:tc>
          <w:tcPr>
            <w:tcW w:w="4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534,445</w:t>
            </w:r>
          </w:p>
        </w:tc>
      </w:tr>
      <w:tr>
        <w:trPr>
          <w:trHeight w:val="378"/>
        </w:trPr>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6,993</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82</w:t>
            </w:r>
          </w:p>
        </w:tc>
        <w:tc>
          <w:tcPr>
            <w:tcW w:w="48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7,075</w:t>
            </w:r>
          </w:p>
        </w:tc>
      </w:tr>
      <w:tr>
        <w:trPr>
          <w:trHeight w:val="216"/>
        </w:trPr>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(2,031)</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8"/>
                <w:szCs w:val="18"/>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244</w:t>
            </w:r>
          </w:p>
        </w:tc>
        <w:tc>
          <w:tcPr>
            <w:tcW w:w="24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4,207</w:t>
            </w:r>
          </w:p>
        </w:tc>
        <w:tc>
          <w:tcPr>
            <w:tcW w:w="48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2,176</w:t>
            </w:r>
          </w:p>
        </w:tc>
      </w:tr>
      <w:tr>
        <w:trPr>
          <w:trHeight w:val="216"/>
        </w:trPr>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8"/>
                <w:szCs w:val="18"/>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(268)</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(8,171)</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(8,171)</w:t>
            </w:r>
          </w:p>
        </w:tc>
      </w:tr>
      <w:tr>
        <w:trPr>
          <w:trHeight w:val="324"/>
        </w:trPr>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(13,728)</w:t>
            </w:r>
          </w:p>
        </w:tc>
        <w:tc>
          <w:tcPr>
            <w:tcW w:w="58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(13,728)</w:t>
            </w:r>
          </w:p>
        </w:tc>
      </w:tr>
      <w:tr>
        <w:trPr>
          <w:trHeight w:val="216"/>
        </w:trPr>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8"/>
                <w:szCs w:val="18"/>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32</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32</w:t>
            </w:r>
          </w:p>
        </w:tc>
      </w:tr>
      <w:tr>
        <w:trPr>
          <w:trHeight w:val="378"/>
        </w:trPr>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4"/>
                <w:szCs w:val="24"/>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(1,415)</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(1,415)</w:t>
            </w:r>
          </w:p>
        </w:tc>
      </w:tr>
      <w:tr>
        <w:trPr>
          <w:trHeight w:val="222"/>
        </w:trPr>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111,798</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111,798</w:t>
            </w:r>
          </w:p>
        </w:tc>
      </w:tr>
      <w:tr>
        <w:trPr>
          <w:trHeight w:val="203"/>
        </w:trPr>
        <w:tc>
          <w:tcPr>
            <w:tcW w:w="820" w:type="dxa"/>
            <w:vAlign w:val="bottom"/>
          </w:tcPr>
          <w:p>
            <w:pPr>
              <w:jc w:val="right"/>
              <w:spacing w:after="0"/>
              <w:rPr>
                <w:sz w:val="20"/>
                <w:szCs w:val="20"/>
                <w:color w:val="auto"/>
              </w:rPr>
            </w:pPr>
            <w:r>
              <w:rPr>
                <w:rFonts w:ascii="Arial" w:cs="Arial" w:eastAsia="Arial" w:hAnsi="Arial"/>
                <w:sz w:val="14"/>
                <w:szCs w:val="14"/>
                <w:color w:val="auto"/>
              </w:rPr>
              <w:t>51,776</w:t>
            </w: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25,888</w:t>
            </w: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91,185</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866,886</w:t>
            </w:r>
          </w:p>
        </w:tc>
        <w:tc>
          <w:tcPr>
            <w:tcW w:w="58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(491)</w:t>
            </w:r>
          </w:p>
        </w:tc>
        <w:tc>
          <w:tcPr>
            <w:tcW w:w="720" w:type="dxa"/>
            <w:vAlign w:val="bottom"/>
          </w:tcPr>
          <w:p>
            <w:pPr>
              <w:jc w:val="right"/>
              <w:spacing w:after="0"/>
              <w:rPr>
                <w:sz w:val="20"/>
                <w:szCs w:val="20"/>
                <w:color w:val="auto"/>
              </w:rPr>
            </w:pPr>
            <w:r>
              <w:rPr>
                <w:rFonts w:ascii="Arial" w:cs="Arial" w:eastAsia="Arial" w:hAnsi="Arial"/>
                <w:sz w:val="14"/>
                <w:szCs w:val="14"/>
                <w:color w:val="auto"/>
              </w:rPr>
              <w:t>(20,262)</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(351,256)</w:t>
            </w:r>
          </w:p>
        </w:tc>
        <w:tc>
          <w:tcPr>
            <w:tcW w:w="4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632,212</w:t>
            </w:r>
          </w:p>
        </w:tc>
      </w:tr>
      <w:tr>
        <w:trPr>
          <w:trHeight w:val="378"/>
        </w:trPr>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6,446</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29</w:t>
            </w:r>
          </w:p>
        </w:tc>
        <w:tc>
          <w:tcPr>
            <w:tcW w:w="48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6,475</w:t>
            </w:r>
          </w:p>
        </w:tc>
      </w:tr>
      <w:tr>
        <w:trPr>
          <w:trHeight w:val="216"/>
        </w:trPr>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(1,813)</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8"/>
                <w:szCs w:val="18"/>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174</w:t>
            </w:r>
          </w:p>
        </w:tc>
        <w:tc>
          <w:tcPr>
            <w:tcW w:w="24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3,013</w:t>
            </w:r>
          </w:p>
        </w:tc>
        <w:tc>
          <w:tcPr>
            <w:tcW w:w="48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1,200</w:t>
            </w:r>
          </w:p>
        </w:tc>
      </w:tr>
      <w:tr>
        <w:trPr>
          <w:trHeight w:val="216"/>
        </w:trPr>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57,811</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8"/>
                <w:szCs w:val="18"/>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2,000</w:t>
            </w:r>
          </w:p>
        </w:tc>
        <w:tc>
          <w:tcPr>
            <w:tcW w:w="24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34,761</w:t>
            </w:r>
          </w:p>
        </w:tc>
        <w:tc>
          <w:tcPr>
            <w:tcW w:w="48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92,572</w:t>
            </w:r>
          </w:p>
        </w:tc>
      </w:tr>
      <w:tr>
        <w:trPr>
          <w:trHeight w:val="216"/>
        </w:trPr>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8"/>
                <w:szCs w:val="18"/>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(45)</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(1,844)</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(1,844)</w:t>
            </w:r>
          </w:p>
        </w:tc>
      </w:tr>
      <w:tr>
        <w:trPr>
          <w:trHeight w:val="324"/>
        </w:trPr>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(14,718)</w:t>
            </w:r>
          </w:p>
        </w:tc>
        <w:tc>
          <w:tcPr>
            <w:tcW w:w="58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(14,718)</w:t>
            </w:r>
          </w:p>
        </w:tc>
      </w:tr>
      <w:tr>
        <w:trPr>
          <w:trHeight w:val="216"/>
        </w:trPr>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8"/>
                <w:szCs w:val="18"/>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33</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33</w:t>
            </w:r>
          </w:p>
        </w:tc>
      </w:tr>
      <w:tr>
        <w:trPr>
          <w:trHeight w:val="378"/>
        </w:trPr>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4"/>
                <w:szCs w:val="24"/>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(68)</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459"/>
        </w:trPr>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61,335</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61,335</w:t>
            </w:r>
          </w:p>
        </w:tc>
      </w:tr>
      <w:tr>
        <w:trPr>
          <w:trHeight w:val="324"/>
        </w:trPr>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(53,383)</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(53,383)</w:t>
            </w:r>
          </w:p>
        </w:tc>
      </w:tr>
      <w:tr>
        <w:trPr>
          <w:trHeight w:val="216"/>
        </w:trPr>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42,210</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8"/>
                <w:szCs w:val="18"/>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42,210</w:t>
            </w:r>
          </w:p>
        </w:tc>
      </w:tr>
      <w:tr>
        <w:trPr>
          <w:trHeight w:val="222"/>
        </w:trPr>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61,442</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61,442</w:t>
            </w:r>
          </w:p>
        </w:tc>
      </w:tr>
      <w:tr>
        <w:trPr>
          <w:trHeight w:val="209"/>
        </w:trPr>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51,776</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25,888</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203,791</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913,610</w:t>
            </w:r>
          </w:p>
        </w:tc>
        <w:tc>
          <w:tcPr>
            <w:tcW w:w="5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(526)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(18,133)</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(315,297)</w:t>
            </w: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827,466</w:t>
            </w:r>
          </w:p>
        </w:tc>
      </w:tr>
      <w:tr>
        <w:trPr>
          <w:trHeight w:val="27"/>
        </w:trPr>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-4842510</wp:posOffset>
            </wp:positionV>
            <wp:extent cx="7106285"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-4568190</wp:posOffset>
            </wp:positionV>
            <wp:extent cx="7106285" cy="205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6285" cy="20574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-4225290</wp:posOffset>
            </wp:positionV>
            <wp:extent cx="7106285" cy="2400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6285" cy="24003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-3848100</wp:posOffset>
            </wp:positionV>
            <wp:extent cx="710628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-3565525</wp:posOffset>
            </wp:positionV>
            <wp:extent cx="7106285" cy="2400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6285" cy="24003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-3188335</wp:posOffset>
            </wp:positionV>
            <wp:extent cx="7106285"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-2845435</wp:posOffset>
            </wp:positionV>
            <wp:extent cx="710628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-2468245</wp:posOffset>
            </wp:positionV>
            <wp:extent cx="710628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-2185035</wp:posOffset>
            </wp:positionV>
            <wp:extent cx="7106285" cy="2400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6285" cy="24003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-1807845</wp:posOffset>
            </wp:positionV>
            <wp:extent cx="710628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-1533525</wp:posOffset>
            </wp:positionV>
            <wp:extent cx="7106285" cy="2057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6285" cy="20574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-1190625</wp:posOffset>
            </wp:positionV>
            <wp:extent cx="7106285" cy="2400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6285" cy="24003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-659130</wp:posOffset>
            </wp:positionV>
            <wp:extent cx="7106285" cy="2057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6285" cy="20574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-316230</wp:posOffset>
            </wp:positionV>
            <wp:extent cx="7106285"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00" w:space="40"/>
            <w:col w:w="8660"/>
          </w:cols>
          <w:pgMar w:left="320" w:top="141" w:right="379"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type w:val="continuous"/>
        </w:sectPr>
      </w:pPr>
    </w:p>
    <w:bookmarkStart w:id="47" w:name="page48"/>
    <w:bookmarkEnd w:id="4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Summary of Significant Accounting Policies</w:t>
      </w:r>
    </w:p>
    <w:p>
      <w:pPr>
        <w:spacing w:after="0" w:line="268"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Unless the context otherwise requires, the use of the terms "Winnebago Industries," "Winnebago," and "the Company" in these Notes to Consolidated Financial Statements refers to Winnebago Industries, Inc. and its wholly-owned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Nature of Operations</w:t>
      </w:r>
    </w:p>
    <w:p>
      <w:pPr>
        <w:spacing w:after="0" w:line="26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Winnebago Industries, Inc. is one of the leading North American manufacturers with a diversified portfolio of recreation vehicles ("RV"s) and marine products used primarily in leisure travel and outdoor recreation activities. The Company distributes RV and marine products primarily through independent dealers throughout the U.S. and Canada, who then retail the products to the end consumer. The Company also distributes marine products internationally through independent dealers, who then retail the products to the end consumer. Other products manufactured by the Company consist primarily of original equipment manufacturing parts for other manufacturers and commercial vehicles.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Reportable Segments</w:t>
      </w:r>
    </w:p>
    <w:p>
      <w:pPr>
        <w:spacing w:after="0" w:line="268"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 xml:space="preserve">The Company has two reportable segments: (1) Towable and (2) Motorhome. The Towable segment includes all products which are not motorized and are generally towed by another vehicle. The Motorhome segment includes products that include a motorized chassis as well as other related manufactured products. Certain corporate administration expenses and non-operating income and expense are recorded in a Corporate / All Other category. See Note 3, </w:t>
      </w:r>
      <w:r>
        <w:rPr>
          <w:rFonts w:ascii="Arial" w:cs="Arial" w:eastAsia="Arial" w:hAnsi="Arial"/>
          <w:sz w:val="16"/>
          <w:szCs w:val="16"/>
          <w:i w:val="1"/>
          <w:iCs w:val="1"/>
          <w:color w:val="auto"/>
        </w:rPr>
        <w:t>Business Segments</w:t>
      </w:r>
      <w:r>
        <w:rPr>
          <w:rFonts w:ascii="Arial" w:cs="Arial" w:eastAsia="Arial" w:hAnsi="Arial"/>
          <w:sz w:val="16"/>
          <w:szCs w:val="16"/>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Principles of Consolidation</w:t>
      </w:r>
    </w:p>
    <w:p>
      <w:pPr>
        <w:spacing w:after="0" w:line="26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consolidated financial statements for Fiscal 2020 include the parent company and the Company's wholly-owned subsidiaries. All intercompany balances and transactions with our subsidiaries have been eliminated.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Period</w:t>
      </w:r>
    </w:p>
    <w:p>
      <w:pPr>
        <w:spacing w:after="0" w:line="268"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The Company follows a 52-/53-week fiscal year, ending the last Saturday in August. Fiscal 2020 is a 52-week year, Fiscal 2019 was a 53-week year, and 2018 was a 52-week year. The extra (53rd) week in Fiscal 2019 was recognized in our fourth quarter.</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268" w:lineRule="exact"/>
        <w:rPr>
          <w:sz w:val="20"/>
          <w:szCs w:val="20"/>
          <w:color w:val="auto"/>
        </w:rPr>
      </w:pPr>
    </w:p>
    <w:p>
      <w:pPr>
        <w:jc w:val="both"/>
        <w:ind w:right="420"/>
        <w:spacing w:after="0" w:line="25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years. Actual results could differ from those estimates.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w:t>
      </w:r>
    </w:p>
    <w:p>
      <w:pPr>
        <w:spacing w:after="0" w:line="26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Cash equivalents include all investments with original maturities of three months or less or which are readily convertible into known amounts of cash and are not legally restricted. The carrying amount approximates fair value due to the short maturity of the investments. Accounts at each banking institution are insured by the Federal Deposit Insurance Corporation up to $250,000, while the remaining balances are uninsured.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 Instruments and Hedging Activities</w:t>
      </w:r>
    </w:p>
    <w:p>
      <w:pPr>
        <w:spacing w:after="0" w:line="26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 xml:space="preserve">The Company used derivative instruments to hedge their floating interest rate exposure. Derivative instruments were accounted for at fair value in accordance with Accounting Standards Codification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These derivatives were designated as cash flow hedges for accounting purposes. Changes in fair value, for the effective portion of qualifying hedges, were recorded in other comprehensive income. The Company reviewed the effectiveness of the hedging instruments on a quarterly basis, recognized current year hedge ineffectiveness and the impact of the termination of the underlying instrument immediately in earnings, and discontinued hedge accounting for any hedge that was no longer considered to be highly effective. As of August 29, 2020, the Company does not have any derivative instruments or hedging activities related to interest rate risk. See Note 4 </w:t>
      </w:r>
      <w:r>
        <w:rPr>
          <w:rFonts w:ascii="Arial" w:cs="Arial" w:eastAsia="Arial" w:hAnsi="Arial"/>
          <w:sz w:val="16"/>
          <w:szCs w:val="16"/>
          <w:i w:val="1"/>
          <w:iCs w:val="1"/>
          <w:color w:val="auto"/>
        </w:rPr>
        <w:t>Derivatives,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Investments, and Fair Value Measurements </w:t>
      </w:r>
      <w:r>
        <w:rPr>
          <w:rFonts w:ascii="Arial" w:cs="Arial" w:eastAsia="Arial" w:hAnsi="Arial"/>
          <w:sz w:val="16"/>
          <w:szCs w:val="16"/>
          <w:color w:val="auto"/>
        </w:rPr>
        <w:t>and Note 9</w:t>
      </w:r>
      <w:r>
        <w:rPr>
          <w:rFonts w:ascii="Arial" w:cs="Arial" w:eastAsia="Arial" w:hAnsi="Arial"/>
          <w:sz w:val="16"/>
          <w:szCs w:val="16"/>
          <w:i w:val="1"/>
          <w:iCs w:val="1"/>
          <w:color w:val="auto"/>
        </w:rPr>
        <w:t xml:space="preserve"> Long-Term Debt </w:t>
      </w:r>
      <w:r>
        <w:rPr>
          <w:rFonts w:ascii="Arial" w:cs="Arial" w:eastAsia="Arial" w:hAnsi="Arial"/>
          <w:sz w:val="16"/>
          <w:szCs w:val="16"/>
          <w:color w:val="auto"/>
        </w:rPr>
        <w:t>for additional information on the convertible debt.</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Receivables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Receivables consist principally of amounts due from the Company's dealer network for RVs and boats sold.</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48" w:name="page49"/>
    <w:bookmarkEnd w:id="4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The Company establishes allowances for doubtful accounts based on historical loss experience and any specific customer collection issues identified. Additional amounts are provided through charges to income as the Company deems necessary, after evaluation of receivables and current economic conditions. Amounts which are considered to be uncollectible are written off, and recoveries of amounts previously written off are credited to the allowance upon recovery.</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Inventories</w:t>
      </w:r>
    </w:p>
    <w:p>
      <w:pPr>
        <w:spacing w:after="0" w:line="268"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Generally, inventories are stated at the lower of cost or market, valued using the First-in, First-out basis ("FIFO"), except for the Company's Winnebago Motorhome operating segment, which is valued using the Last-in, First-out ("LIFO") basis. Manufacturing cost includes materials, labor, and manufacturing overhead. Unallocated overhead and abnormal costs are expensed as incurred.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and Equipment</w:t>
      </w:r>
    </w:p>
    <w:p>
      <w:pPr>
        <w:spacing w:after="0" w:line="268"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Depreciation of property and equipment is computed using the straight-line method on the cost of the assets, less allowance for salvage value where appropriate, at rates based upon their estimated service lives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Asset Class</w:t>
            </w:r>
          </w:p>
        </w:tc>
        <w:tc>
          <w:tcPr>
            <w:tcW w:w="44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Asset Life</w:t>
            </w:r>
          </w:p>
        </w:tc>
      </w:tr>
      <w:tr>
        <w:trPr>
          <w:trHeight w:val="243"/>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w:t>
            </w:r>
          </w:p>
        </w:tc>
        <w:tc>
          <w:tcPr>
            <w:tcW w:w="4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 years</w:t>
            </w:r>
          </w:p>
        </w:tc>
      </w:tr>
      <w:tr>
        <w:trPr>
          <w:trHeight w:val="240"/>
        </w:trPr>
        <w:tc>
          <w:tcPr>
            <w:tcW w:w="6800" w:type="dxa"/>
            <w:vAlign w:val="bottom"/>
          </w:tcPr>
          <w:p>
            <w:pPr>
              <w:ind w:left="20"/>
              <w:spacing w:after="0"/>
              <w:rPr>
                <w:sz w:val="20"/>
                <w:szCs w:val="20"/>
                <w:color w:val="auto"/>
              </w:rPr>
            </w:pPr>
            <w:r>
              <w:rPr>
                <w:rFonts w:ascii="Arial" w:cs="Arial" w:eastAsia="Arial" w:hAnsi="Arial"/>
                <w:sz w:val="16"/>
                <w:szCs w:val="16"/>
                <w:color w:val="auto"/>
              </w:rPr>
              <w:t>Machinery and equipment</w:t>
            </w:r>
          </w:p>
        </w:tc>
        <w:tc>
          <w:tcPr>
            <w:tcW w:w="4440" w:type="dxa"/>
            <w:vAlign w:val="bottom"/>
          </w:tcPr>
          <w:p>
            <w:pPr>
              <w:jc w:val="right"/>
              <w:spacing w:after="0"/>
              <w:rPr>
                <w:sz w:val="20"/>
                <w:szCs w:val="20"/>
                <w:color w:val="auto"/>
              </w:rPr>
            </w:pPr>
            <w:r>
              <w:rPr>
                <w:rFonts w:ascii="Arial" w:cs="Arial" w:eastAsia="Arial" w:hAnsi="Arial"/>
                <w:sz w:val="16"/>
                <w:szCs w:val="16"/>
                <w:color w:val="auto"/>
              </w:rPr>
              <w:t>3-15 years</w:t>
            </w:r>
          </w:p>
        </w:tc>
      </w:tr>
      <w:tr>
        <w:trPr>
          <w:trHeight w:val="246"/>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w:t>
            </w:r>
          </w:p>
        </w:tc>
        <w:tc>
          <w:tcPr>
            <w:tcW w:w="4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 years</w:t>
            </w:r>
          </w:p>
        </w:tc>
      </w:tr>
      <w:tr>
        <w:trPr>
          <w:trHeight w:val="237"/>
        </w:trPr>
        <w:tc>
          <w:tcPr>
            <w:tcW w:w="6800" w:type="dxa"/>
            <w:vAlign w:val="bottom"/>
          </w:tcPr>
          <w:p>
            <w:pPr>
              <w:ind w:left="20"/>
              <w:spacing w:after="0"/>
              <w:rPr>
                <w:sz w:val="20"/>
                <w:szCs w:val="20"/>
                <w:color w:val="auto"/>
              </w:rPr>
            </w:pPr>
            <w:r>
              <w:rPr>
                <w:rFonts w:ascii="Arial" w:cs="Arial" w:eastAsia="Arial" w:hAnsi="Arial"/>
                <w:sz w:val="16"/>
                <w:szCs w:val="16"/>
                <w:color w:val="auto"/>
              </w:rPr>
              <w:t>Transportation equipment</w:t>
            </w:r>
          </w:p>
        </w:tc>
        <w:tc>
          <w:tcPr>
            <w:tcW w:w="4440" w:type="dxa"/>
            <w:vAlign w:val="bottom"/>
          </w:tcPr>
          <w:p>
            <w:pPr>
              <w:jc w:val="right"/>
              <w:spacing w:after="0"/>
              <w:rPr>
                <w:sz w:val="20"/>
                <w:szCs w:val="20"/>
                <w:color w:val="auto"/>
              </w:rPr>
            </w:pPr>
            <w:r>
              <w:rPr>
                <w:rFonts w:ascii="Arial" w:cs="Arial" w:eastAsia="Arial" w:hAnsi="Arial"/>
                <w:sz w:val="16"/>
                <w:szCs w:val="16"/>
                <w:color w:val="auto"/>
              </w:rPr>
              <w:t>5-6 years</w:t>
            </w:r>
          </w:p>
        </w:tc>
      </w:tr>
      <w:tr>
        <w:trPr>
          <w:trHeight w:val="553"/>
        </w:trPr>
        <w:tc>
          <w:tcPr>
            <w:tcW w:w="6800" w:type="dxa"/>
            <w:vAlign w:val="bottom"/>
          </w:tcPr>
          <w:p>
            <w:pPr>
              <w:spacing w:after="0"/>
              <w:rPr>
                <w:sz w:val="20"/>
                <w:szCs w:val="20"/>
                <w:color w:val="auto"/>
              </w:rPr>
            </w:pPr>
            <w:r>
              <w:rPr>
                <w:rFonts w:ascii="Arial" w:cs="Arial" w:eastAsia="Arial" w:hAnsi="Arial"/>
                <w:sz w:val="16"/>
                <w:szCs w:val="16"/>
                <w:b w:val="1"/>
                <w:bCs w:val="1"/>
                <w:color w:val="auto"/>
              </w:rPr>
              <w:t>Goodwill and Indefinite-Lived Intangible Assets</w:t>
            </w:r>
          </w:p>
        </w:tc>
        <w:tc>
          <w:tcPr>
            <w:tcW w:w="4440" w:type="dxa"/>
            <w:vAlign w:val="bottom"/>
          </w:tcPr>
          <w:p>
            <w:pPr>
              <w:spacing w:after="0"/>
              <w:rPr>
                <w:sz w:val="24"/>
                <w:szCs w:val="24"/>
                <w:color w:val="auto"/>
              </w:rPr>
            </w:pPr>
          </w:p>
        </w:tc>
      </w:tr>
      <w:tr>
        <w:trPr>
          <w:trHeight w:val="432"/>
        </w:trPr>
        <w:tc>
          <w:tcPr>
            <w:tcW w:w="6800" w:type="dxa"/>
            <w:vAlign w:val="bottom"/>
          </w:tcPr>
          <w:p>
            <w:pPr>
              <w:spacing w:after="0"/>
              <w:rPr>
                <w:sz w:val="20"/>
                <w:szCs w:val="20"/>
                <w:color w:val="auto"/>
              </w:rPr>
            </w:pPr>
            <w:r>
              <w:rPr>
                <w:rFonts w:ascii="Arial" w:cs="Arial" w:eastAsia="Arial" w:hAnsi="Arial"/>
                <w:sz w:val="16"/>
                <w:szCs w:val="16"/>
                <w:i w:val="1"/>
                <w:iCs w:val="1"/>
                <w:color w:val="auto"/>
              </w:rPr>
              <w:t>Goodwill</w:t>
            </w:r>
          </w:p>
        </w:tc>
        <w:tc>
          <w:tcPr>
            <w:tcW w:w="4440" w:type="dxa"/>
            <w:vAlign w:val="bottom"/>
          </w:tcPr>
          <w:p>
            <w:pPr>
              <w:spacing w:after="0"/>
              <w:rPr>
                <w:sz w:val="24"/>
                <w:szCs w:val="24"/>
                <w:color w:val="auto"/>
              </w:rPr>
            </w:pPr>
          </w:p>
        </w:tc>
      </w:tr>
    </w:tbl>
    <w:p>
      <w:pPr>
        <w:spacing w:after="0" w:line="237"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 xml:space="preserve">Goodwill is tested annually in the fourth quarter of each year and is tested for impairment between annual tests if an event occurs or circumstances change that would indicate the carrying amounts may be impaired. Impairment testing for goodwill is done at a reporting unit level and all goodwill is assigned to a reporting unit. The Company's reporting units are the same as the operating segments as defined in Note 3, </w:t>
      </w:r>
      <w:r>
        <w:rPr>
          <w:rFonts w:ascii="Arial" w:cs="Arial" w:eastAsia="Arial" w:hAnsi="Arial"/>
          <w:sz w:val="16"/>
          <w:szCs w:val="16"/>
          <w:i w:val="1"/>
          <w:iCs w:val="1"/>
          <w:color w:val="auto"/>
        </w:rPr>
        <w:t>Business Segments</w:t>
      </w:r>
      <w:r>
        <w:rPr>
          <w:rFonts w:ascii="Arial" w:cs="Arial" w:eastAsia="Arial" w:hAnsi="Arial"/>
          <w:sz w:val="16"/>
          <w:szCs w:val="16"/>
          <w:color w:val="auto"/>
        </w:rPr>
        <w:t>.</w:t>
      </w:r>
    </w:p>
    <w:p>
      <w:pPr>
        <w:spacing w:after="0" w:line="22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Companies have the option to first assess qualitative factors to determine whether the fair value of a reporting unit is “more likely than not” less than its carrying amount. If it is more likely than not that an impairment has occurred, companies then perform the quantitative goodwill impairment test. If the Company performs the quantitative test, the carrying value of the reporting unit is compared to an estimate of the reporting unit’s fair value to identify impairment. The estimate of the reporting unit’s fair value is determined by weighting a discounted cash flow model and a market-related model using current industry information that involve significant unobservable inputs (Level 3 inputs). In determining the estimated future cash flow, the Company considers and applies certain estimates and judgments, including current and projected future levels of income based on management plans, business trends, prospects, market and economic conditions, and market-participant considerations. If the Company fails the quantitative assessment of goodwill impairment, an impairment loss equal to the amount that a reporting unit's carrying value exceeds its fair value will be recognized.</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Trade names</w:t>
      </w:r>
    </w:p>
    <w:p>
      <w:pPr>
        <w:spacing w:after="0" w:line="264"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The Company has indefinite-lived intangible assets for trade names related to Newmar within the Motorhome segment, Grand Design within the Towable segment, and to Chris-Craft within the Corporate / All Other category. Annually in the fourth quarter, or if conditions indicate an interim review is necessary, the Company assesses qualitative factors to determine if it is more likely than not that the fair value of an indefinite-lived intangible asset is less than its carrying amount. If the Company performs a quantitative test, the relief from royalty method is used to determine the fair value of the trade name. This method uses assumptions, which require significant judgment and actual results may differ from assumed and estimated amounts. If the Company concludes that there has been impairment, the asset's carrying value will be written down to its fair value.</w:t>
      </w:r>
    </w:p>
    <w:p>
      <w:pPr>
        <w:spacing w:after="0" w:line="232"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During the fourth quarter of Fiscal 2020, the Company completed the annual impairment tests. The Company elected to rely on a qualitative assessment for the Grand Design business, and performed the quantitative analysis for the Chris-Craft and Newmar businesses. The result of the test was that the fair value exceeded the carrying value, and no impairment was indicated.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Definite-Lived Intangible Assets and Long-Lived Assets</w:t>
      </w:r>
    </w:p>
    <w:p>
      <w:pPr>
        <w:spacing w:after="0" w:line="268"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Long-lived assets, which include property, plant and equipment, and definite-lived intangible assets, primarily the dealer network, are assessed for impairment whenever events or changes in circumstances indicate the carrying amount of the asset may not be recoverable from future cash flows. The impairment test involves comparing the carrying amount of the asset to the forecasted undiscounted future cash flows generated by that asset. These assumptions require significant judgment and actual results may differ from assumed and estimated amounts. In the event the carrying amount of the asset exceeds the undiscounted future cash flows generated by that asset and the carrying amount is not considered recoverable, an impairment exists. An impairment loss is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49" w:name="page50"/>
    <w:bookmarkEnd w:id="4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measured as the excess of the asset’s carrying amount over its fair value and is recognized in the statement of income in the period that the impairment occurs. The reasonableness of the useful lives of the asset and other long-lived assets is regularly evaluated.</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There was no impairment loss for the year ended August 29, 2020 for definite-lived intangible assets or long-lived assets.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Self-Insurance</w:t>
      </w:r>
    </w:p>
    <w:p>
      <w:pPr>
        <w:spacing w:after="0" w:line="26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Generally, the Company self-insures for a portion of product liability claims, workers' compensation, and health insurance. Under these plans, liabilities are recognized for claims incurred, including those incurred but not reported. The Company uses third party administrators and actuaries using historical claims experience and various state statutes to assist in the determination of the accrued liability balance. The Company has a $50.0 million insurance policy that includes a self-insured retention for product liability of $1.0 million per occurrence and $2.0 million in aggregate per policy year. The Company's self-insured health insurance policy includes an individual retention of $0.3 million per occurrence and an aggregate retention of 125% of expected annual claims. The Company maintains excess liability insurance with outside insurance carriers to minimize the risks related to catastrophic claims in excess of self-insured positions for product liability, health insurance, and personal injury matters. Any material change in the aforementioned factors could have an adverse impact on operating results. Balances are included within Accrued expenses: Self-insurance on our Consolidated Balance Sheets.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68"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In preparing these financial statements, the Company is required to estimate the income taxes in each of the jurisdictions in which the Company operates. This process involves estimating the current tax exposure together with assessing temporary differences resulting from differing treatment of items for tax and accounting purposes. These temporary differences result in deferred tax assets and liabilities, which are included within the balance sheet. The Company then assesses the likelihood that the deferred tax assets will be realized based on future taxable income and, to the extent that recovery is not likely, a valuation allowance is established. To the extent the Company establishes a valuation allowance or changes this allowance in a period, an expense or a benefit is included within the tax provision in the Consolidated Statements of Income and Comprehensive Income.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Litigation expense, including estimated defense costs, is recorded when probable and reasonably estimable.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26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 xml:space="preserve">The Company's primary source of revenue is generated through the sale of non-motorized towable units, motorized units, and marine units to the Company's independent dealer network (customers). Unit revenue is recognized at a point-in-time when the performance obligation is satisfied, which generally occurs when the unit is shipped to or picked-up from the manufacturing facilities by the customer. The Company's payment terms are typically before or on delivery, and do not include a significant financing component. The amount of consideration received and recorded to revenue varies with changes in marketing incentives and offers to customers. These marketing incentives and offers to customers are considered variable consideration. The Company adjusts the estimate of revenue at the earlier of when the most likely amount of consideration expected to be received changes or when the consideration becomes fixed. Refer to Note 13, </w:t>
      </w:r>
      <w:r>
        <w:rPr>
          <w:rFonts w:ascii="Arial" w:cs="Arial" w:eastAsia="Arial" w:hAnsi="Arial"/>
          <w:sz w:val="16"/>
          <w:szCs w:val="16"/>
          <w:i w:val="1"/>
          <w:iCs w:val="1"/>
          <w:color w:val="auto"/>
        </w:rPr>
        <w:t>Revenue Recognition</w:t>
      </w:r>
      <w:r>
        <w:rPr>
          <w:rFonts w:ascii="Arial" w:cs="Arial" w:eastAsia="Arial" w:hAnsi="Arial"/>
          <w:sz w:val="16"/>
          <w:szCs w:val="16"/>
          <w:color w:val="auto"/>
        </w:rPr>
        <w:t>, for additional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Advertising</w:t>
      </w:r>
    </w:p>
    <w:p>
      <w:pPr>
        <w:spacing w:after="0" w:line="268"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Advertising costs, which consist primarily of literature and trade shows, were $12.5 million, $8.3 million, and $7.4 million in Fiscal 2020, 2019, and 2018, respectively. Advertising costs are included in Selling, general, and administrative expenses and are expensed as incurred.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w:t>
      </w:r>
    </w:p>
    <w:p>
      <w:pPr>
        <w:spacing w:after="0" w:line="268"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On August 19, 2020, the Board of Directors declared a quarterly cash dividend of $0.12 per share, totaling $4.0 million, paid on September 30, 2020 to common stockholders of record at the close of business on September 16, 2020.</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Coronavirus (COVID-19) pandemic</w:t>
      </w:r>
    </w:p>
    <w:p>
      <w:pPr>
        <w:spacing w:after="0" w:line="255" w:lineRule="exact"/>
        <w:rPr>
          <w:sz w:val="20"/>
          <w:szCs w:val="20"/>
          <w:color w:val="auto"/>
        </w:rPr>
      </w:pPr>
    </w:p>
    <w:p>
      <w:pPr>
        <w:ind w:right="120"/>
        <w:spacing w:after="0" w:line="232" w:lineRule="auto"/>
        <w:rPr>
          <w:sz w:val="20"/>
          <w:szCs w:val="20"/>
          <w:color w:val="auto"/>
        </w:rPr>
      </w:pPr>
      <w:r>
        <w:rPr>
          <w:rFonts w:ascii="Arial" w:cs="Arial" w:eastAsia="Arial" w:hAnsi="Arial"/>
          <w:sz w:val="16"/>
          <w:szCs w:val="16"/>
          <w:color w:val="auto"/>
        </w:rPr>
        <w:t>The Company is closely monitoring the impact of the 2019 novel coronavirus, or COVID-19, on all aspects of its business. COVID-19 was declared a global pandemic by the World Health Organization on March 11, 2020 and the President of the United States declared the COVID-19 outbreak a national emergency on March 13, 2020. The Coronavirus Aid, Relief, and Economic Security (CARES) Act was signed into law on March 27, 2020. The Company is taking advantage of the employer payroll tax (FICA) deferral offered by CARES which allows the Company to defer the payment of employer payroll taxes for the period from March 27, 2020 to December 31, 2020. The deferred FICA liability as of August 29, 2020 was $7.8 million and will be payable in equal installments at December 2021 and December 2022. Additionally, the Company is taking advantage of a tax credit granted to companies under the CARES Act who continued to pay their employees when operations were fully or partially suspended. The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0" w:name="page51"/>
    <w:bookmarkEnd w:id="5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80"/>
        <w:spacing w:after="0" w:line="242" w:lineRule="auto"/>
        <w:rPr>
          <w:sz w:val="20"/>
          <w:szCs w:val="20"/>
          <w:color w:val="auto"/>
        </w:rPr>
      </w:pPr>
      <w:r>
        <w:rPr>
          <w:rFonts w:ascii="Arial" w:cs="Arial" w:eastAsia="Arial" w:hAnsi="Arial"/>
          <w:sz w:val="16"/>
          <w:szCs w:val="16"/>
          <w:color w:val="auto"/>
        </w:rPr>
        <w:t>refundable tax credit, reflected in cost of goods sold and within other current assets, is approximately $4.0 million and is expected to be received in Fiscal 2021.</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Events</w:t>
      </w:r>
    </w:p>
    <w:p>
      <w:pPr>
        <w:spacing w:after="0" w:line="268"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 xml:space="preserve">The Company has evaluated events occurring between the end of the most recent fiscal year and the date the financial statements were issued. There were no material subsequent events except as disclosed in Note 14 </w:t>
      </w:r>
      <w:r>
        <w:rPr>
          <w:rFonts w:ascii="Arial" w:cs="Arial" w:eastAsia="Arial" w:hAnsi="Arial"/>
          <w:sz w:val="16"/>
          <w:szCs w:val="16"/>
          <w:i w:val="1"/>
          <w:iCs w:val="1"/>
          <w:color w:val="auto"/>
        </w:rPr>
        <w:t>Stock-Based Compensation Plans.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 Accounting Pronouncements</w:t>
      </w:r>
    </w:p>
    <w:p>
      <w:pPr>
        <w:spacing w:after="0" w:line="252"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 xml:space="preserve">The Company adopted the Financial Accounting Standards Update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 of September 1, 2019, using the modified retrospective basis as of the beginning of the period of adoption. In addition, the Company elected the package of practical expedients permitted under the transition guidance with the new standard, which among other things, allowed the Company to carry forward the historical lease classification, and the Company elected the hindsight practical expedient. Adoption of the new standard resulted in the recording of net lease assets and lease liabilities of $33.8 million and $33.4 million, respectively, as of September 1, 2019. The adoption of the standard did not materially impact the Company's consolidated net earnings and had no impact on the Company's cash flows. See Note 10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for more information regarding our operating and financing leases.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ASU 2016-02</w:t>
            </w:r>
          </w:p>
        </w:tc>
        <w:tc>
          <w:tcPr>
            <w:tcW w:w="20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9"/>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August 31, 2019</w:t>
            </w:r>
          </w:p>
        </w:tc>
        <w:tc>
          <w:tcPr>
            <w:tcW w:w="180" w:type="dxa"/>
            <w:vAlign w:val="bottom"/>
          </w:tcPr>
          <w:p>
            <w:pPr>
              <w:spacing w:after="0"/>
              <w:rPr>
                <w:sz w:val="16"/>
                <w:szCs w:val="16"/>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Adjustment on</w:t>
            </w:r>
          </w:p>
        </w:tc>
        <w:tc>
          <w:tcPr>
            <w:tcW w:w="200" w:type="dxa"/>
            <w:vAlign w:val="bottom"/>
          </w:tcPr>
          <w:p>
            <w:pPr>
              <w:spacing w:after="0"/>
              <w:rPr>
                <w:sz w:val="16"/>
                <w:szCs w:val="16"/>
                <w:color w:val="auto"/>
              </w:rPr>
            </w:pPr>
          </w:p>
        </w:tc>
        <w:tc>
          <w:tcPr>
            <w:tcW w:w="1740" w:type="dxa"/>
            <w:vAlign w:val="bottom"/>
          </w:tcPr>
          <w:p>
            <w:pPr>
              <w:jc w:val="right"/>
              <w:ind w:right="179"/>
              <w:spacing w:after="0"/>
              <w:rPr>
                <w:sz w:val="20"/>
                <w:szCs w:val="20"/>
                <w:color w:val="auto"/>
              </w:rPr>
            </w:pPr>
            <w:r>
              <w:rPr>
                <w:rFonts w:ascii="Arial" w:cs="Arial" w:eastAsia="Arial" w:hAnsi="Arial"/>
                <w:sz w:val="16"/>
                <w:szCs w:val="16"/>
                <w:b w:val="1"/>
                <w:bCs w:val="1"/>
                <w:color w:val="auto"/>
              </w:rPr>
              <w:t>September 1, 2019</w:t>
            </w:r>
          </w:p>
        </w:tc>
      </w:tr>
      <w:tr>
        <w:trPr>
          <w:trHeight w:val="228"/>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9"/>
                <w:szCs w:val="19"/>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As Reported</w:t>
            </w:r>
          </w:p>
        </w:tc>
        <w:tc>
          <w:tcPr>
            <w:tcW w:w="180" w:type="dxa"/>
            <w:vAlign w:val="bottom"/>
          </w:tcPr>
          <w:p>
            <w:pPr>
              <w:spacing w:after="0"/>
              <w:rPr>
                <w:sz w:val="19"/>
                <w:szCs w:val="19"/>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September 1, 2019</w:t>
            </w:r>
          </w:p>
        </w:tc>
        <w:tc>
          <w:tcPr>
            <w:tcW w:w="200" w:type="dxa"/>
            <w:vAlign w:val="bottom"/>
          </w:tcPr>
          <w:p>
            <w:pPr>
              <w:spacing w:after="0"/>
              <w:rPr>
                <w:sz w:val="19"/>
                <w:szCs w:val="19"/>
                <w:color w:val="auto"/>
              </w:rPr>
            </w:pPr>
          </w:p>
        </w:tc>
        <w:tc>
          <w:tcPr>
            <w:tcW w:w="1740" w:type="dxa"/>
            <w:vAlign w:val="bottom"/>
          </w:tcPr>
          <w:p>
            <w:pPr>
              <w:jc w:val="right"/>
              <w:ind w:right="419"/>
              <w:spacing w:after="0"/>
              <w:rPr>
                <w:sz w:val="20"/>
                <w:szCs w:val="20"/>
                <w:color w:val="auto"/>
              </w:rPr>
            </w:pPr>
            <w:r>
              <w:rPr>
                <w:rFonts w:ascii="Arial" w:cs="Arial" w:eastAsia="Arial" w:hAnsi="Arial"/>
                <w:sz w:val="16"/>
                <w:szCs w:val="16"/>
                <w:b w:val="1"/>
                <w:bCs w:val="1"/>
                <w:color w:val="auto"/>
              </w:rPr>
              <w:t>As Adjusted</w:t>
            </w:r>
          </w:p>
        </w:tc>
      </w:tr>
      <w:tr>
        <w:trPr>
          <w:trHeight w:val="243"/>
        </w:trPr>
        <w:tc>
          <w:tcPr>
            <w:tcW w:w="5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21"/>
                <w:szCs w:val="21"/>
                <w:color w:val="auto"/>
              </w:rPr>
            </w:pPr>
          </w:p>
        </w:tc>
        <w:tc>
          <w:tcPr>
            <w:tcW w:w="16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7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740" w:type="dxa"/>
            <w:vAlign w:val="bottom"/>
            <w:tcBorders>
              <w:top w:val="single" w:sz="8" w:color="auto"/>
            </w:tcBorders>
            <w:shd w:val="clear" w:color="auto" w:fill="CCEEFF"/>
          </w:tcPr>
          <w:p>
            <w:pPr>
              <w:spacing w:after="0"/>
              <w:rPr>
                <w:sz w:val="21"/>
                <w:szCs w:val="21"/>
                <w:color w:val="auto"/>
              </w:rPr>
            </w:pPr>
          </w:p>
        </w:tc>
      </w:tr>
      <w:tr>
        <w:trPr>
          <w:trHeight w:val="233"/>
        </w:trPr>
        <w:tc>
          <w:tcPr>
            <w:tcW w:w="5240" w:type="dxa"/>
            <w:vAlign w:val="bottom"/>
          </w:tcPr>
          <w:p>
            <w:pPr>
              <w:ind w:left="120"/>
              <w:spacing w:after="0"/>
              <w:rPr>
                <w:sz w:val="20"/>
                <w:szCs w:val="20"/>
                <w:color w:val="auto"/>
              </w:rPr>
            </w:pPr>
            <w:r>
              <w:rPr>
                <w:rFonts w:ascii="Arial" w:cs="Arial" w:eastAsia="Arial" w:hAnsi="Arial"/>
                <w:sz w:val="16"/>
                <w:szCs w:val="16"/>
                <w:color w:val="auto"/>
              </w:rPr>
              <w:t>Other intangible assets, net</w:t>
            </w: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256,082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(1,310)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254,772</w:t>
            </w:r>
          </w:p>
        </w:tc>
      </w:tr>
      <w:tr>
        <w:trPr>
          <w:trHeight w:val="246"/>
        </w:trPr>
        <w:tc>
          <w:tcPr>
            <w:tcW w:w="5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Lease assets</w:t>
            </w:r>
          </w:p>
        </w:tc>
        <w:tc>
          <w:tcPr>
            <w:tcW w:w="2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33,811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33,811</w:t>
            </w:r>
          </w:p>
        </w:tc>
      </w:tr>
      <w:tr>
        <w:trPr>
          <w:trHeight w:val="243"/>
        </w:trPr>
        <w:tc>
          <w:tcPr>
            <w:tcW w:w="52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1,104,231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32,501</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1,136,732</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37"/>
        </w:trPr>
        <w:tc>
          <w:tcPr>
            <w:tcW w:w="5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r>
      <w:tr>
        <w:trPr>
          <w:trHeight w:val="233"/>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46"/>
        </w:trPr>
        <w:tc>
          <w:tcPr>
            <w:tcW w:w="5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expenses: Other</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13,678</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1,258</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14,936</w:t>
            </w:r>
          </w:p>
        </w:tc>
      </w:tr>
      <w:tr>
        <w:trPr>
          <w:trHeight w:val="233"/>
        </w:trPr>
        <w:tc>
          <w:tcPr>
            <w:tcW w:w="524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197,744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1,258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199,002</w:t>
            </w:r>
          </w:p>
        </w:tc>
      </w:tr>
      <w:tr>
        <w:trPr>
          <w:trHeight w:val="246"/>
        </w:trPr>
        <w:tc>
          <w:tcPr>
            <w:tcW w:w="5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Lease liabilities</w:t>
            </w:r>
          </w:p>
        </w:tc>
        <w:tc>
          <w:tcPr>
            <w:tcW w:w="2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31,243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31,243</w:t>
            </w:r>
          </w:p>
        </w:tc>
      </w:tr>
      <w:tr>
        <w:trPr>
          <w:trHeight w:val="237"/>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non-current liabilities</w:t>
            </w:r>
          </w:p>
        </w:tc>
        <w:tc>
          <w:tcPr>
            <w:tcW w:w="240" w:type="dxa"/>
            <w:vAlign w:val="bottom"/>
            <w:tcBorders>
              <w:top w:val="single" w:sz="8" w:color="auto"/>
              <w:bottom w:val="single" w:sz="8" w:color="auto"/>
            </w:tcBorders>
          </w:tcPr>
          <w:p>
            <w:pPr>
              <w:spacing w:after="0"/>
              <w:rPr>
                <w:sz w:val="20"/>
                <w:szCs w:val="20"/>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274,275</w:t>
            </w:r>
          </w:p>
        </w:tc>
        <w:tc>
          <w:tcPr>
            <w:tcW w:w="12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31,243</w:t>
            </w:r>
          </w:p>
        </w:tc>
        <w:tc>
          <w:tcPr>
            <w:tcW w:w="1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305,518</w:t>
            </w:r>
          </w:p>
        </w:tc>
      </w:tr>
      <w:tr>
        <w:trPr>
          <w:trHeight w:val="26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1,104,231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1,136,732</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 xml:space="preserve">Also, in the first quarter of Fiscal 2020, the Company adopted ASU 2017-12, </w:t>
      </w:r>
      <w:r>
        <w:rPr>
          <w:rFonts w:ascii="Arial" w:cs="Arial" w:eastAsia="Arial" w:hAnsi="Arial"/>
          <w:sz w:val="16"/>
          <w:szCs w:val="16"/>
          <w:i w:val="1"/>
          <w:iCs w:val="1"/>
          <w:color w:val="auto"/>
        </w:rPr>
        <w:t>Derivatives and Hedging (Topic 815)</w:t>
      </w:r>
      <w:r>
        <w:rPr>
          <w:rFonts w:ascii="Arial" w:cs="Arial" w:eastAsia="Arial" w:hAnsi="Arial"/>
          <w:sz w:val="16"/>
          <w:szCs w:val="16"/>
          <w:color w:val="auto"/>
        </w:rPr>
        <w:t>, which improves the financial reporting of hedging relationships to better portray the economic results of an entity's risk management activities in its financial statements. The adoption of this standard did not materially impact the Company's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239"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 xml:space="preserve">In August 2020, the Financial Accounting Standards Board ("FASB") issued ASU 2020-06, </w:t>
      </w:r>
      <w:r>
        <w:rPr>
          <w:rFonts w:ascii="Arial" w:cs="Arial" w:eastAsia="Arial" w:hAnsi="Arial"/>
          <w:sz w:val="16"/>
          <w:szCs w:val="16"/>
          <w:i w:val="1"/>
          <w:iCs w:val="1"/>
          <w:color w:val="auto"/>
        </w:rPr>
        <w:t>Debt - Debt with Conversion and Other Options (Subtopic 470-20)</w:t>
      </w:r>
      <w:r>
        <w:rPr>
          <w:rFonts w:ascii="Arial" w:cs="Arial" w:eastAsia="Arial" w:hAnsi="Arial"/>
          <w:sz w:val="16"/>
          <w:szCs w:val="16"/>
          <w:color w:val="auto"/>
        </w:rPr>
        <w:t xml:space="preserve"> </w:t>
      </w:r>
      <w:r>
        <w:rPr>
          <w:rFonts w:ascii="Arial" w:cs="Arial" w:eastAsia="Arial" w:hAnsi="Arial"/>
          <w:sz w:val="16"/>
          <w:szCs w:val="16"/>
          <w:i w:val="1"/>
          <w:iCs w:val="1"/>
          <w:color w:val="auto"/>
        </w:rPr>
        <w:t>and Derivatives and Hedging - Contracts in Entity's Own Equity (Subtopic 815-40)</w:t>
      </w:r>
      <w:r>
        <w:rPr>
          <w:rFonts w:ascii="Arial" w:cs="Arial" w:eastAsia="Arial" w:hAnsi="Arial"/>
          <w:sz w:val="16"/>
          <w:szCs w:val="16"/>
          <w:color w:val="auto"/>
        </w:rPr>
        <w:t>. ASU 2020-06 reduces the number of models used to account for</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instruments, amends diluted EPS calculations for convertible instruments, and amends the requirements for a contract (or embedded derivative) that is potentially settled in an entity's own shares to be classified in equity. The amendments add certain disclosure requirements to increase transparency and decision-usefulness about a convertible instrument's terms and features. Under the amendment, the Company must use the if-converted method for including convertible instruments in diluted EPS as opposed to the treasury stock method. ASU 2020-06 is effective for annual reporting periods beginning after December 15, 2021 (the Company's Fiscal 2023). Early adoption is allowed under the standard with either a modified retrospective or full retrospective method. The Company expects to adopt the new guidance in the first quarter of Fiscal 2023. While it will change the Company's diluted EPS reporting, the extent to which the standard will have a material impact on its consolidated financial statements is uncertain at this time.</w:t>
      </w:r>
    </w:p>
    <w:p>
      <w:pPr>
        <w:spacing w:after="0" w:line="208" w:lineRule="exact"/>
        <w:rPr>
          <w:sz w:val="20"/>
          <w:szCs w:val="20"/>
          <w:color w:val="auto"/>
        </w:rPr>
      </w:pPr>
    </w:p>
    <w:p>
      <w:pPr>
        <w:ind w:right="120"/>
        <w:spacing w:after="0" w:line="235" w:lineRule="auto"/>
        <w:rPr>
          <w:sz w:val="20"/>
          <w:szCs w:val="20"/>
          <w:color w:val="auto"/>
        </w:rPr>
      </w:pPr>
      <w:r>
        <w:rPr>
          <w:rFonts w:ascii="Arial" w:cs="Arial" w:eastAsia="Arial" w:hAnsi="Arial"/>
          <w:sz w:val="16"/>
          <w:szCs w:val="16"/>
          <w:color w:val="auto"/>
        </w:rPr>
        <w:t xml:space="preserve">In March 2020, FASB issued ASU 2020-04, </w:t>
      </w:r>
      <w:r>
        <w:rPr>
          <w:rFonts w:ascii="Arial" w:cs="Arial" w:eastAsia="Arial" w:hAnsi="Arial"/>
          <w:sz w:val="16"/>
          <w:szCs w:val="16"/>
          <w:i w:val="1"/>
          <w:iCs w:val="1"/>
          <w:color w:val="auto"/>
        </w:rPr>
        <w:t>Reference Rate Reform (Topic 848): Facilitation of Effects of Reference Rate Reform on Financial Reporting</w:t>
      </w:r>
      <w:r>
        <w:rPr>
          <w:rFonts w:ascii="Arial" w:cs="Arial" w:eastAsia="Arial" w:hAnsi="Arial"/>
          <w:sz w:val="16"/>
          <w:szCs w:val="16"/>
          <w:color w:val="auto"/>
        </w:rPr>
        <w:t>. ASU 2020-04 provides practical expedients and exceptions for applying GAAP to contracts, hedging relationships, and other transactions affected by reference rate reform if certain criteria are met. The expedients and exceptions provided by the amendments in this update apply only to contracts, hedging relationships, and other transactions that reference the London interbank offered rate (“LIBOR”) or another reference rate expected to be discontinued as a result of reference rate reform. These amendments are not applicable to contract modifications made and hedging relationships entered into or evaluated after December 31, 2022. ASU 2020-04 is effective as of March 12, 2020 through December 31, 2022 and may be applied to contract modifications and hedging relationships from the beginning of an interim period that includes or is subsequent to March 12, 2020.</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adopt this standard when LIBOR is discontinued, and does not expect a material impact to its consolidated financial statements.</w:t>
      </w:r>
    </w:p>
    <w:p>
      <w:pPr>
        <w:spacing w:after="0" w:line="219" w:lineRule="exact"/>
        <w:rPr>
          <w:sz w:val="20"/>
          <w:szCs w:val="20"/>
          <w:color w:val="auto"/>
        </w:rPr>
      </w:pPr>
    </w:p>
    <w:p>
      <w:pPr>
        <w:ind w:right="180"/>
        <w:spacing w:after="0"/>
        <w:rPr>
          <w:sz w:val="20"/>
          <w:szCs w:val="20"/>
          <w:color w:val="auto"/>
        </w:rPr>
      </w:pPr>
      <w:r>
        <w:rPr>
          <w:rFonts w:ascii="Arial" w:cs="Arial" w:eastAsia="Arial" w:hAnsi="Arial"/>
          <w:sz w:val="16"/>
          <w:szCs w:val="16"/>
          <w:color w:val="auto"/>
        </w:rPr>
        <w:t xml:space="preserve">In December 2019,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ASU 2019-12 simplifies the accounting for income taxes by removing certain exceptions to the general principles of Topic 740. The standard is effective for annual reporting periods beginning after December 15, 2020 (the Company's Fiscal 2022), including interim periods within those annual reporting periods. The Company expects to adopt the new guidance in the first quarter of Fiscal 2022, and does not expect a material impact to its consolidated financial statements.</w:t>
      </w:r>
    </w:p>
    <w:p>
      <w:pPr>
        <w:spacing w:after="0" w:line="223"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 xml:space="preserve">In June 2016, FASB issued ASU 2016-13, </w:t>
      </w:r>
      <w:r>
        <w:rPr>
          <w:rFonts w:ascii="Arial" w:cs="Arial" w:eastAsia="Arial" w:hAnsi="Arial"/>
          <w:sz w:val="16"/>
          <w:szCs w:val="16"/>
          <w:i w:val="1"/>
          <w:iCs w:val="1"/>
          <w:color w:val="auto"/>
        </w:rPr>
        <w:t>Financial Instruments - Credit Losses (Topic 326): Measurement of Credit Losses on Financial Instruments</w:t>
      </w:r>
      <w:r>
        <w:rPr>
          <w:rFonts w:ascii="Arial" w:cs="Arial" w:eastAsia="Arial" w:hAnsi="Arial"/>
          <w:sz w:val="16"/>
          <w:szCs w:val="16"/>
          <w:color w:val="auto"/>
        </w:rPr>
        <w:t>, and has since issued additional amendments. ASU 2016-13 will replace today’s “incurred loss” approach with an “expected loss” model for instruments measured at amortized cost. The standard is effective for annual reporting periods beginning after December 15, 2019 (our Fiscal 2021), including interim periods within those annual reporting periods. The Company expects to adopt the new guidance in the first quarter of Fiscal 2021, and does not expect a material impact to its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Business Combinations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Newmar Corporation</w:t>
      </w:r>
    </w:p>
    <w:p>
      <w:pPr>
        <w:spacing w:after="0" w:line="26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On November 8, 2019, pursuant to the terms of the Stock Purchase Agreement dated September 15, 2019 (the "Purchase Agreement"), Winnebago completed the acquisition of 100% of Newmar Corporation, Dutch Real Estate Corp., New-Way Transport, and New-Serv (collectively “Newmar”). Newmar is a leading manufacturer of Class A and Super C motorized recreation vehicles that are sold through an established network of independent authorized dealers throughout North America.</w:t>
      </w:r>
    </w:p>
    <w:p>
      <w:pPr>
        <w:spacing w:after="0" w:line="175"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The following table summarizes the total consideration paid for Newmar, which is subject to purchase price adjustments as stipulated in the Purchase Agreement: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November 8, 2019</w:t>
            </w:r>
          </w:p>
        </w:tc>
      </w:tr>
      <w:tr>
        <w:trPr>
          <w:trHeight w:val="243"/>
        </w:trPr>
        <w:tc>
          <w:tcPr>
            <w:tcW w:w="9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264,434</w:t>
            </w:r>
          </w:p>
        </w:tc>
      </w:tr>
      <w:tr>
        <w:trPr>
          <w:trHeight w:val="240"/>
        </w:trPr>
        <w:tc>
          <w:tcPr>
            <w:tcW w:w="9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Winnebago Industries shares: 2,000,000 at $46.29</w:t>
            </w: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92,572</w:t>
            </w:r>
          </w:p>
        </w:tc>
      </w:tr>
      <w:tr>
        <w:trPr>
          <w:trHeight w:val="265"/>
        </w:trPr>
        <w:tc>
          <w:tcPr>
            <w:tcW w:w="9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357,006</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 xml:space="preserve">The cash portion of the purchase price of the acquisition and certain transaction expenses were funded through the private placement of convertible senior notes (as further described in Note 9, </w:t>
      </w:r>
      <w:r>
        <w:rPr>
          <w:rFonts w:ascii="Arial" w:cs="Arial" w:eastAsia="Arial" w:hAnsi="Arial"/>
          <w:sz w:val="16"/>
          <w:szCs w:val="16"/>
          <w:i w:val="1"/>
          <w:iCs w:val="1"/>
          <w:color w:val="auto"/>
        </w:rPr>
        <w:t>Long-Term Debt</w:t>
      </w:r>
      <w:r>
        <w:rPr>
          <w:rFonts w:ascii="Arial" w:cs="Arial" w:eastAsia="Arial" w:hAnsi="Arial"/>
          <w:sz w:val="16"/>
          <w:szCs w:val="16"/>
          <w:color w:val="auto"/>
        </w:rPr>
        <w:t>) and cash on hand. The stock consideration was discounted by 7.0% due to lack of marketability because of the one year lock-up restrictions.</w:t>
      </w:r>
    </w:p>
    <w:p>
      <w:pPr>
        <w:spacing w:after="0" w:line="22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The total purchase price was allocated to the net tangible and intangible assets of Newmar acquired, based on their fair values at the date of the acquisition. During the third quarter of Fiscal 2020, the Company finalized the valuation and completed the purchase price allocation, which included purchase price adjustments of $3.3 million. The following table summarizes the final fair values assigned to the Newmar net assets acquired and the determination of net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84"/>
        </w:trPr>
        <w:tc>
          <w:tcPr>
            <w:tcW w:w="9580" w:type="dxa"/>
            <w:vAlign w:val="bottom"/>
            <w:gridSpan w:val="2"/>
          </w:tcPr>
          <w:p>
            <w:pPr>
              <w:spacing w:after="0"/>
              <w:rPr>
                <w:rFonts w:ascii="Arial" w:cs="Arial" w:eastAsia="Arial" w:hAnsi="Arial"/>
                <w:sz w:val="16"/>
                <w:szCs w:val="16"/>
                <w:color w:val="0000FF"/>
              </w:rPr>
            </w:pPr>
            <w:r>
              <w:rPr>
                <w:rFonts w:ascii="Arial" w:cs="Arial" w:eastAsia="Arial" w:hAnsi="Arial"/>
                <w:sz w:val="16"/>
                <w:szCs w:val="16"/>
                <w:color w:val="0000FF"/>
              </w:rPr>
              <w:t xml:space="preserve">Table </w:t>
            </w:r>
            <w:hyperlink w:anchor="page1">
              <w:r>
                <w:rPr>
                  <w:rFonts w:ascii="Arial" w:cs="Arial" w:eastAsia="Arial" w:hAnsi="Arial"/>
                  <w:sz w:val="16"/>
                  <w:szCs w:val="16"/>
                  <w:color w:val="0000FF"/>
                </w:rPr>
                <w:t xml:space="preserve">of </w:t>
              </w:r>
            </w:hyperlink>
            <w:r>
              <w:rPr>
                <w:rFonts w:ascii="Arial" w:cs="Arial" w:eastAsia="Arial" w:hAnsi="Arial"/>
                <w:sz w:val="16"/>
                <w:szCs w:val="16"/>
                <w:color w:val="0000FF"/>
              </w:rPr>
              <w:t>Contents</w:t>
            </w: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892"/>
        </w:trPr>
        <w:tc>
          <w:tcPr>
            <w:tcW w:w="1280" w:type="dxa"/>
            <w:vAlign w:val="bottom"/>
            <w:tcBorders>
              <w:top w:val="single" w:sz="8" w:color="0000FF"/>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8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November 8, 2019</w:t>
            </w:r>
          </w:p>
        </w:tc>
      </w:tr>
      <w:tr>
        <w:trPr>
          <w:trHeight w:val="243"/>
        </w:trPr>
        <w:tc>
          <w:tcPr>
            <w:tcW w:w="9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3,469</w:t>
            </w:r>
          </w:p>
        </w:tc>
      </w:tr>
      <w:tr>
        <w:trPr>
          <w:trHeight w:val="233"/>
        </w:trPr>
        <w:tc>
          <w:tcPr>
            <w:tcW w:w="9580" w:type="dxa"/>
            <w:vAlign w:val="bottom"/>
            <w:gridSpan w:val="2"/>
          </w:tcPr>
          <w:p>
            <w:pPr>
              <w:ind w:left="20"/>
              <w:spacing w:after="0"/>
              <w:rPr>
                <w:sz w:val="20"/>
                <w:szCs w:val="20"/>
                <w:color w:val="auto"/>
              </w:rPr>
            </w:pPr>
            <w:r>
              <w:rPr>
                <w:rFonts w:ascii="Arial" w:cs="Arial" w:eastAsia="Arial" w:hAnsi="Arial"/>
                <w:sz w:val="16"/>
                <w:szCs w:val="16"/>
                <w:color w:val="auto"/>
              </w:rPr>
              <w:t>Accounts receivable</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37,147</w:t>
            </w:r>
          </w:p>
        </w:tc>
      </w:tr>
      <w:tr>
        <w:trPr>
          <w:trHeight w:val="253"/>
        </w:trPr>
        <w:tc>
          <w:tcPr>
            <w:tcW w:w="9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82,621</w:t>
            </w:r>
          </w:p>
        </w:tc>
      </w:tr>
      <w:tr>
        <w:trPr>
          <w:trHeight w:val="233"/>
        </w:trPr>
        <w:tc>
          <w:tcPr>
            <w:tcW w:w="9580" w:type="dxa"/>
            <w:vAlign w:val="bottom"/>
            <w:gridSpan w:val="2"/>
          </w:tcPr>
          <w:p>
            <w:pPr>
              <w:ind w:left="20"/>
              <w:spacing w:after="0"/>
              <w:rPr>
                <w:sz w:val="20"/>
                <w:szCs w:val="20"/>
                <w:color w:val="auto"/>
              </w:rPr>
            </w:pPr>
            <w:r>
              <w:rPr>
                <w:rFonts w:ascii="Arial" w:cs="Arial" w:eastAsia="Arial" w:hAnsi="Arial"/>
                <w:sz w:val="16"/>
                <w:szCs w:val="16"/>
                <w:color w:val="auto"/>
              </w:rPr>
              <w:t>Prepaid expenses and other assets</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9,830</w:t>
            </w:r>
          </w:p>
        </w:tc>
      </w:tr>
      <w:tr>
        <w:trPr>
          <w:trHeight w:val="253"/>
        </w:trPr>
        <w:tc>
          <w:tcPr>
            <w:tcW w:w="9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31,143</w:t>
            </w:r>
          </w:p>
        </w:tc>
      </w:tr>
      <w:tr>
        <w:trPr>
          <w:trHeight w:val="233"/>
        </w:trPr>
        <w:tc>
          <w:tcPr>
            <w:tcW w:w="9580" w:type="dxa"/>
            <w:vAlign w:val="bottom"/>
            <w:gridSpan w:val="2"/>
          </w:tcPr>
          <w:p>
            <w:pPr>
              <w:ind w:left="20"/>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73,127</w:t>
            </w:r>
          </w:p>
        </w:tc>
      </w:tr>
      <w:tr>
        <w:trPr>
          <w:trHeight w:val="246"/>
        </w:trPr>
        <w:tc>
          <w:tcPr>
            <w:tcW w:w="9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intangible assets</w:t>
            </w:r>
          </w:p>
        </w:tc>
        <w:tc>
          <w:tcPr>
            <w:tcW w:w="1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172,100</w:t>
            </w:r>
          </w:p>
        </w:tc>
      </w:tr>
      <w:tr>
        <w:trPr>
          <w:trHeight w:val="233"/>
        </w:trPr>
        <w:tc>
          <w:tcPr>
            <w:tcW w:w="9580" w:type="dxa"/>
            <w:vAlign w:val="bottom"/>
            <w:gridSpan w:val="2"/>
          </w:tcPr>
          <w:p>
            <w:pPr>
              <w:ind w:left="120"/>
              <w:spacing w:after="0"/>
              <w:rPr>
                <w:sz w:val="20"/>
                <w:szCs w:val="20"/>
                <w:color w:val="auto"/>
              </w:rPr>
            </w:pPr>
            <w:r>
              <w:rPr>
                <w:rFonts w:ascii="Arial" w:cs="Arial" w:eastAsia="Arial" w:hAnsi="Arial"/>
                <w:sz w:val="16"/>
                <w:szCs w:val="16"/>
                <w:color w:val="auto"/>
              </w:rPr>
              <w:t>Total assets acquired</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409,437</w:t>
            </w:r>
          </w:p>
        </w:tc>
      </w:tr>
      <w:tr>
        <w:trPr>
          <w:trHeight w:val="253"/>
        </w:trPr>
        <w:tc>
          <w:tcPr>
            <w:tcW w:w="9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14,023</w:t>
            </w:r>
          </w:p>
        </w:tc>
      </w:tr>
      <w:tr>
        <w:trPr>
          <w:trHeight w:val="233"/>
        </w:trPr>
        <w:tc>
          <w:tcPr>
            <w:tcW w:w="9580" w:type="dxa"/>
            <w:vAlign w:val="bottom"/>
            <w:gridSpan w:val="2"/>
          </w:tcPr>
          <w:p>
            <w:pPr>
              <w:ind w:left="20"/>
              <w:spacing w:after="0"/>
              <w:rPr>
                <w:sz w:val="20"/>
                <w:szCs w:val="20"/>
                <w:color w:val="auto"/>
              </w:rPr>
            </w:pPr>
            <w:r>
              <w:rPr>
                <w:rFonts w:ascii="Arial" w:cs="Arial" w:eastAsia="Arial" w:hAnsi="Arial"/>
                <w:sz w:val="16"/>
                <w:szCs w:val="16"/>
                <w:color w:val="auto"/>
              </w:rPr>
              <w:t>Accrued compensation</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4,306</w:t>
            </w:r>
          </w:p>
        </w:tc>
      </w:tr>
      <w:tr>
        <w:trPr>
          <w:trHeight w:val="253"/>
        </w:trPr>
        <w:tc>
          <w:tcPr>
            <w:tcW w:w="9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Product warranties</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15,147</w:t>
            </w:r>
          </w:p>
        </w:tc>
      </w:tr>
      <w:tr>
        <w:trPr>
          <w:trHeight w:val="233"/>
        </w:trPr>
        <w:tc>
          <w:tcPr>
            <w:tcW w:w="9580" w:type="dxa"/>
            <w:vAlign w:val="bottom"/>
            <w:gridSpan w:val="2"/>
          </w:tcPr>
          <w:p>
            <w:pPr>
              <w:ind w:left="20"/>
              <w:spacing w:after="0"/>
              <w:rPr>
                <w:sz w:val="20"/>
                <w:szCs w:val="20"/>
                <w:color w:val="auto"/>
              </w:rPr>
            </w:pPr>
            <w:r>
              <w:rPr>
                <w:rFonts w:ascii="Arial" w:cs="Arial" w:eastAsia="Arial" w:hAnsi="Arial"/>
                <w:sz w:val="16"/>
                <w:szCs w:val="16"/>
                <w:color w:val="auto"/>
              </w:rPr>
              <w:t>Promotional</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6,351</w:t>
            </w:r>
          </w:p>
        </w:tc>
      </w:tr>
      <w:tr>
        <w:trPr>
          <w:trHeight w:val="253"/>
        </w:trPr>
        <w:tc>
          <w:tcPr>
            <w:tcW w:w="9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11,636</w:t>
            </w:r>
          </w:p>
        </w:tc>
      </w:tr>
      <w:tr>
        <w:trPr>
          <w:trHeight w:val="237"/>
        </w:trPr>
        <w:tc>
          <w:tcPr>
            <w:tcW w:w="95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Deferred tax liabilities</w:t>
            </w: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w:t>
            </w:r>
          </w:p>
        </w:tc>
      </w:tr>
      <w:tr>
        <w:trPr>
          <w:trHeight w:val="237"/>
        </w:trPr>
        <w:tc>
          <w:tcPr>
            <w:tcW w:w="95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liabilities assumed</w:t>
            </w:r>
          </w:p>
        </w:tc>
        <w:tc>
          <w:tcPr>
            <w:tcW w:w="12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52,431</w:t>
            </w:r>
          </w:p>
        </w:tc>
      </w:tr>
      <w:tr>
        <w:trPr>
          <w:trHeight w:val="243"/>
        </w:trPr>
        <w:tc>
          <w:tcPr>
            <w:tcW w:w="9580" w:type="dxa"/>
            <w:vAlign w:val="bottom"/>
            <w:gridSpan w:val="2"/>
          </w:tcPr>
          <w:p>
            <w:pPr>
              <w:ind w:left="20"/>
              <w:spacing w:after="0"/>
              <w:rPr>
                <w:sz w:val="20"/>
                <w:szCs w:val="20"/>
                <w:color w:val="auto"/>
              </w:rPr>
            </w:pPr>
            <w:r>
              <w:rPr>
                <w:rFonts w:ascii="Arial" w:cs="Arial" w:eastAsia="Arial" w:hAnsi="Arial"/>
                <w:sz w:val="16"/>
                <w:szCs w:val="16"/>
                <w:color w:val="auto"/>
              </w:rPr>
              <w:t>Total purchase price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357,006</w:t>
            </w:r>
          </w:p>
        </w:tc>
      </w:tr>
      <w:tr>
        <w:trPr>
          <w:trHeight w:val="20"/>
        </w:trPr>
        <w:tc>
          <w:tcPr>
            <w:tcW w:w="128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The goodwill, recognized in the Company's Motorhome segment, is primarily attributable to the value of the workforce, reputation of founders, customer and dealer growth opportunities, and expected synergies. Key areas of cost synergies include increased purchasing power for raw materials and supply chain consolidation. Goodwill is expected to be mostly deductible for tax purposes.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80" w:type="dxa"/>
            <w:vAlign w:val="bottom"/>
          </w:tcPr>
          <w:p>
            <w:pPr>
              <w:spacing w:after="0"/>
              <w:rPr>
                <w:sz w:val="20"/>
                <w:szCs w:val="20"/>
                <w:color w:val="auto"/>
              </w:rPr>
            </w:pPr>
            <w:r>
              <w:rPr>
                <w:rFonts w:ascii="Arial" w:cs="Arial" w:eastAsia="Arial" w:hAnsi="Arial"/>
                <w:sz w:val="16"/>
                <w:szCs w:val="16"/>
                <w:color w:val="auto"/>
              </w:rPr>
              <w:t>The following table summarizes the other intangible assets acquired:</w:t>
            </w:r>
          </w:p>
        </w:tc>
        <w:tc>
          <w:tcPr>
            <w:tcW w:w="2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tcPr>
          <w:p>
            <w:pPr>
              <w:spacing w:after="0"/>
              <w:rPr>
                <w:sz w:val="16"/>
                <w:szCs w:val="16"/>
                <w:color w:val="auto"/>
              </w:rPr>
            </w:pPr>
          </w:p>
        </w:tc>
      </w:tr>
      <w:tr>
        <w:trPr>
          <w:trHeight w:val="499"/>
        </w:trPr>
        <w:tc>
          <w:tcPr>
            <w:tcW w:w="598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3000" w:type="dxa"/>
            <w:vAlign w:val="bottom"/>
            <w:gridSpan w:val="2"/>
          </w:tcPr>
          <w:p>
            <w:pPr>
              <w:ind w:left="1060"/>
              <w:spacing w:after="0"/>
              <w:rPr>
                <w:sz w:val="20"/>
                <w:szCs w:val="20"/>
                <w:color w:val="auto"/>
              </w:rPr>
            </w:pPr>
            <w:r>
              <w:rPr>
                <w:rFonts w:ascii="Arial" w:cs="Arial" w:eastAsia="Arial" w:hAnsi="Arial"/>
                <w:sz w:val="16"/>
                <w:szCs w:val="16"/>
                <w:b w:val="1"/>
                <w:bCs w:val="1"/>
                <w:color w:val="auto"/>
              </w:rPr>
              <w:t>November 8, 2019</w:t>
            </w: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99"/>
              </w:rPr>
              <w:t>Useful Life-Years</w:t>
            </w:r>
          </w:p>
        </w:tc>
      </w:tr>
      <w:tr>
        <w:trPr>
          <w:trHeight w:val="243"/>
        </w:trPr>
        <w:tc>
          <w:tcPr>
            <w:tcW w:w="5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Trade name</w:t>
            </w:r>
          </w:p>
        </w:tc>
        <w:tc>
          <w:tcPr>
            <w:tcW w:w="2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98,000</w:t>
            </w:r>
          </w:p>
        </w:tc>
        <w:tc>
          <w:tcPr>
            <w:tcW w:w="180" w:type="dxa"/>
            <w:vAlign w:val="bottom"/>
            <w:tcBorders>
              <w:top w:val="single" w:sz="8" w:color="CCEEFF"/>
            </w:tcBorders>
            <w:shd w:val="clear" w:color="auto" w:fill="CCEEFF"/>
          </w:tcPr>
          <w:p>
            <w:pPr>
              <w:spacing w:after="0"/>
              <w:rPr>
                <w:sz w:val="21"/>
                <w:szCs w:val="21"/>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Indefinite</w:t>
            </w:r>
          </w:p>
        </w:tc>
      </w:tr>
      <w:tr>
        <w:trPr>
          <w:trHeight w:val="233"/>
        </w:trPr>
        <w:tc>
          <w:tcPr>
            <w:tcW w:w="5980" w:type="dxa"/>
            <w:vAlign w:val="bottom"/>
          </w:tcPr>
          <w:p>
            <w:pPr>
              <w:ind w:left="20"/>
              <w:spacing w:after="0"/>
              <w:rPr>
                <w:sz w:val="20"/>
                <w:szCs w:val="20"/>
                <w:color w:val="auto"/>
              </w:rPr>
            </w:pPr>
            <w:r>
              <w:rPr>
                <w:rFonts w:ascii="Arial" w:cs="Arial" w:eastAsia="Arial" w:hAnsi="Arial"/>
                <w:sz w:val="16"/>
                <w:szCs w:val="16"/>
                <w:color w:val="auto"/>
              </w:rPr>
              <w:t>Dealer network</w:t>
            </w:r>
          </w:p>
        </w:tc>
        <w:tc>
          <w:tcPr>
            <w:tcW w:w="2820" w:type="dxa"/>
            <w:vAlign w:val="bottom"/>
          </w:tcPr>
          <w:p>
            <w:pPr>
              <w:jc w:val="right"/>
              <w:spacing w:after="0"/>
              <w:rPr>
                <w:sz w:val="20"/>
                <w:szCs w:val="20"/>
                <w:color w:val="auto"/>
              </w:rPr>
            </w:pPr>
            <w:r>
              <w:rPr>
                <w:rFonts w:ascii="Arial" w:cs="Arial" w:eastAsia="Arial" w:hAnsi="Arial"/>
                <w:sz w:val="16"/>
                <w:szCs w:val="16"/>
                <w:color w:val="auto"/>
              </w:rPr>
              <w:t>64,000</w:t>
            </w:r>
          </w:p>
        </w:tc>
        <w:tc>
          <w:tcPr>
            <w:tcW w:w="18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6"/>
                <w:szCs w:val="16"/>
                <w:color w:val="auto"/>
              </w:rPr>
              <w:t>12.0</w:t>
            </w:r>
          </w:p>
        </w:tc>
      </w:tr>
      <w:tr>
        <w:trPr>
          <w:trHeight w:val="253"/>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Backlog</w:t>
            </w:r>
          </w:p>
        </w:tc>
        <w:tc>
          <w:tcPr>
            <w:tcW w:w="2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8,800</w:t>
            </w:r>
          </w:p>
        </w:tc>
        <w:tc>
          <w:tcPr>
            <w:tcW w:w="180" w:type="dxa"/>
            <w:vAlign w:val="bottom"/>
            <w:shd w:val="clear" w:color="auto" w:fill="CCEEFF"/>
          </w:tcPr>
          <w:p>
            <w:pPr>
              <w:spacing w:after="0"/>
              <w:rPr>
                <w:sz w:val="21"/>
                <w:szCs w:val="21"/>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0.5</w:t>
            </w:r>
          </w:p>
        </w:tc>
      </w:tr>
      <w:tr>
        <w:trPr>
          <w:trHeight w:val="223"/>
        </w:trPr>
        <w:tc>
          <w:tcPr>
            <w:tcW w:w="5980" w:type="dxa"/>
            <w:vAlign w:val="bottom"/>
          </w:tcPr>
          <w:p>
            <w:pPr>
              <w:ind w:left="20"/>
              <w:spacing w:after="0"/>
              <w:rPr>
                <w:sz w:val="20"/>
                <w:szCs w:val="20"/>
                <w:color w:val="auto"/>
              </w:rPr>
            </w:pPr>
            <w:r>
              <w:rPr>
                <w:rFonts w:ascii="Arial" w:cs="Arial" w:eastAsia="Arial" w:hAnsi="Arial"/>
                <w:sz w:val="16"/>
                <w:szCs w:val="16"/>
                <w:color w:val="auto"/>
              </w:rPr>
              <w:t>Non-compete agreements</w:t>
            </w:r>
          </w:p>
        </w:tc>
        <w:tc>
          <w:tcPr>
            <w:tcW w:w="2820" w:type="dxa"/>
            <w:vAlign w:val="bottom"/>
          </w:tcPr>
          <w:p>
            <w:pPr>
              <w:jc w:val="right"/>
              <w:spacing w:after="0"/>
              <w:rPr>
                <w:sz w:val="20"/>
                <w:szCs w:val="20"/>
                <w:color w:val="auto"/>
              </w:rPr>
            </w:pPr>
            <w:r>
              <w:rPr>
                <w:rFonts w:ascii="Arial" w:cs="Arial" w:eastAsia="Arial" w:hAnsi="Arial"/>
                <w:sz w:val="16"/>
                <w:szCs w:val="16"/>
                <w:color w:val="auto"/>
              </w:rPr>
              <w:t>1,300</w:t>
            </w:r>
          </w:p>
        </w:tc>
        <w:tc>
          <w:tcPr>
            <w:tcW w:w="18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Arial" w:cs="Arial" w:eastAsia="Arial" w:hAnsi="Arial"/>
                <w:sz w:val="16"/>
                <w:szCs w:val="16"/>
                <w:color w:val="auto"/>
                <w:w w:val="98"/>
              </w:rPr>
              <w:t>5.0</w:t>
            </w:r>
          </w:p>
        </w:tc>
      </w:tr>
    </w:tbl>
    <w:p>
      <w:pPr>
        <w:spacing w:after="0" w:line="372"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fair value of the trade name and dealer network were estimated using an income approach. Under the income approach, an intangible asset's fair value is equal to the present value of the future economic benefits to be derived from ownership of the asset. The fair value of the trade name was estimated using an income approach, specifically the relief from royalty method. The relief from royalty method is based on the hypothetical royalty stream that would be received if the Company were to license the trade name and was based on expected revenues. The fair value of the trade name was estimated using an income approach, specifically the cost to recreate/cost saving method. This method uses the replacement of the asset as an indicator of the fair value of the asset. The useful life of the intangibles was determined considering the expected cash flows used to measure the fair value of the intangible assets adjusted for the entity-specific factors including legal, regulatory, contractual, competitive, economic or other factors that may limit the useful life of intangible assets. On the acquisition date, amortizable intangible assets had a weighted-average useful life of approximately 10.5 years.</w:t>
      </w:r>
    </w:p>
    <w:p>
      <w:pPr>
        <w:spacing w:after="0" w:line="234"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The results of Newmar's operations have been included in the Company's Consolidated Financial Statements from the close of the acquisition within the Motorhome segment. The following table provides net revenues and operating income from the Newmar operating segment included in the Company's consolidated results following the November 8, 2019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84"/>
        </w:trPr>
        <w:tc>
          <w:tcPr>
            <w:tcW w:w="5980" w:type="dxa"/>
            <w:vAlign w:val="bottom"/>
            <w:gridSpan w:val="2"/>
          </w:tcPr>
          <w:p>
            <w:pPr>
              <w:spacing w:after="0"/>
              <w:rPr>
                <w:rFonts w:ascii="Arial" w:cs="Arial" w:eastAsia="Arial" w:hAnsi="Arial"/>
                <w:sz w:val="16"/>
                <w:szCs w:val="16"/>
                <w:color w:val="0000FF"/>
              </w:rPr>
            </w:pPr>
            <w:r>
              <w:rPr>
                <w:rFonts w:ascii="Arial" w:cs="Arial" w:eastAsia="Arial" w:hAnsi="Arial"/>
                <w:sz w:val="16"/>
                <w:szCs w:val="16"/>
                <w:color w:val="0000FF"/>
              </w:rPr>
              <w:t xml:space="preserve">Table </w:t>
            </w:r>
            <w:hyperlink w:anchor="page1">
              <w:r>
                <w:rPr>
                  <w:rFonts w:ascii="Arial" w:cs="Arial" w:eastAsia="Arial" w:hAnsi="Arial"/>
                  <w:sz w:val="16"/>
                  <w:szCs w:val="16"/>
                  <w:color w:val="0000FF"/>
                </w:rPr>
                <w:t xml:space="preserve">of </w:t>
              </w:r>
            </w:hyperlink>
            <w:r>
              <w:rPr>
                <w:rFonts w:ascii="Arial" w:cs="Arial" w:eastAsia="Arial" w:hAnsi="Arial"/>
                <w:sz w:val="16"/>
                <w:szCs w:val="16"/>
                <w:color w:val="0000FF"/>
              </w:rPr>
              <w:t>Contents</w:t>
            </w:r>
          </w:p>
        </w:tc>
        <w:tc>
          <w:tcPr>
            <w:tcW w:w="35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892"/>
        </w:trPr>
        <w:tc>
          <w:tcPr>
            <w:tcW w:w="59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35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2020</w:t>
            </w:r>
          </w:p>
        </w:tc>
      </w:tr>
      <w:tr>
        <w:trPr>
          <w:trHeight w:val="243"/>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388,383</w:t>
            </w:r>
          </w:p>
        </w:tc>
      </w:tr>
      <w:tr>
        <w:trPr>
          <w:trHeight w:val="224"/>
        </w:trPr>
        <w:tc>
          <w:tcPr>
            <w:tcW w:w="598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35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(3,642)</w:t>
            </w:r>
          </w:p>
        </w:tc>
      </w:tr>
    </w:tbl>
    <w:p>
      <w:pPr>
        <w:spacing w:after="0" w:line="372"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 following unaudited pro forma information represents the Company's results of operations as if the Fiscal 2020 acquisition of Newmar had occurred at the beginning of Fiscal 2019:</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24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2019</w:t>
            </w:r>
          </w:p>
        </w:tc>
      </w:tr>
      <w:tr>
        <w:trPr>
          <w:trHeight w:val="243"/>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4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2,508,792</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2,645,914</w:t>
            </w:r>
          </w:p>
        </w:tc>
      </w:tr>
      <w:tr>
        <w:trPr>
          <w:trHeight w:val="233"/>
        </w:trPr>
        <w:tc>
          <w:tcPr>
            <w:tcW w:w="486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24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72,609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101,692</w:t>
            </w:r>
          </w:p>
        </w:tc>
      </w:tr>
      <w:tr>
        <w:trPr>
          <w:trHeight w:val="253"/>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per share - basic</w:t>
            </w:r>
          </w:p>
        </w:tc>
        <w:tc>
          <w:tcPr>
            <w:tcW w:w="24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r>
      <w:tr>
        <w:trPr>
          <w:trHeight w:val="224"/>
        </w:trPr>
        <w:tc>
          <w:tcPr>
            <w:tcW w:w="4860" w:type="dxa"/>
            <w:vAlign w:val="bottom"/>
          </w:tcPr>
          <w:p>
            <w:pPr>
              <w:ind w:left="20"/>
              <w:spacing w:after="0"/>
              <w:rPr>
                <w:sz w:val="20"/>
                <w:szCs w:val="20"/>
                <w:color w:val="auto"/>
              </w:rPr>
            </w:pPr>
            <w:r>
              <w:rPr>
                <w:rFonts w:ascii="Arial" w:cs="Arial" w:eastAsia="Arial" w:hAnsi="Arial"/>
                <w:sz w:val="16"/>
                <w:szCs w:val="16"/>
                <w:color w:val="auto"/>
              </w:rPr>
              <w:t>Income per share - diluted</w:t>
            </w:r>
          </w:p>
        </w:tc>
        <w:tc>
          <w:tcPr>
            <w:tcW w:w="24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9"/>
                <w:szCs w:val="19"/>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3.02</w:t>
            </w:r>
          </w:p>
        </w:tc>
      </w:tr>
    </w:tbl>
    <w:p>
      <w:pPr>
        <w:spacing w:after="0" w:line="372"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The unaudited pro forma data above includes the following significant non-recurring adjustments made to account for certain costs which would have changed if the acquisition of Newmar had occurred at the beginning of Fiscal 2019:</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2019</w:t>
            </w:r>
          </w:p>
        </w:tc>
      </w:tr>
      <w:tr>
        <w:trPr>
          <w:trHeight w:val="243"/>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intangibles (1 year or less useful life)</w:t>
            </w:r>
            <w:r>
              <w:rPr>
                <w:rFonts w:ascii="Arial" w:cs="Arial" w:eastAsia="Arial" w:hAnsi="Arial"/>
                <w:sz w:val="21"/>
                <w:szCs w:val="21"/>
                <w:color w:val="auto"/>
                <w:vertAlign w:val="superscript"/>
              </w:rPr>
              <w:t>(1)</w:t>
            </w:r>
          </w:p>
        </w:tc>
        <w:tc>
          <w:tcPr>
            <w:tcW w:w="8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13,610</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(13,610)</w:t>
            </w:r>
          </w:p>
        </w:tc>
      </w:tr>
      <w:tr>
        <w:trPr>
          <w:trHeight w:val="243"/>
        </w:trPr>
        <w:tc>
          <w:tcPr>
            <w:tcW w:w="6500" w:type="dxa"/>
            <w:vAlign w:val="bottom"/>
          </w:tcPr>
          <w:p>
            <w:pPr>
              <w:ind w:left="20"/>
              <w:spacing w:after="0"/>
              <w:rPr>
                <w:sz w:val="20"/>
                <w:szCs w:val="20"/>
                <w:color w:val="auto"/>
              </w:rPr>
            </w:pPr>
            <w:r>
              <w:rPr>
                <w:rFonts w:ascii="Arial" w:cs="Arial" w:eastAsia="Arial" w:hAnsi="Arial"/>
                <w:sz w:val="16"/>
                <w:szCs w:val="16"/>
                <w:color w:val="auto"/>
              </w:rPr>
              <w:t>Increase in amortization of intangibles</w:t>
            </w:r>
            <w:r>
              <w:rPr>
                <w:rFonts w:ascii="Arial" w:cs="Arial" w:eastAsia="Arial" w:hAnsi="Arial"/>
                <w:sz w:val="21"/>
                <w:szCs w:val="21"/>
                <w:color w:val="auto"/>
                <w:vertAlign w:val="superscript"/>
              </w:rPr>
              <w:t>(2)</w:t>
            </w:r>
          </w:p>
        </w:tc>
        <w:tc>
          <w:tcPr>
            <w:tcW w:w="8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(1,061)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(5,578)</w:t>
            </w:r>
          </w:p>
        </w:tc>
      </w:tr>
      <w:tr>
        <w:trPr>
          <w:trHeight w:val="243"/>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Expenses related to business combination (transaction costs)</w:t>
            </w:r>
            <w:r>
              <w:rPr>
                <w:rFonts w:ascii="Arial" w:cs="Arial" w:eastAsia="Arial" w:hAnsi="Arial"/>
                <w:sz w:val="21"/>
                <w:szCs w:val="21"/>
                <w:color w:val="auto"/>
                <w:vertAlign w:val="superscript"/>
              </w:rPr>
              <w:t>(3)</w:t>
            </w:r>
          </w:p>
        </w:tc>
        <w:tc>
          <w:tcPr>
            <w:tcW w:w="8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(9,950)</w:t>
            </w:r>
          </w:p>
        </w:tc>
      </w:tr>
      <w:tr>
        <w:trPr>
          <w:trHeight w:val="243"/>
        </w:trPr>
        <w:tc>
          <w:tcPr>
            <w:tcW w:w="6500" w:type="dxa"/>
            <w:vAlign w:val="bottom"/>
          </w:tcPr>
          <w:p>
            <w:pPr>
              <w:ind w:left="20"/>
              <w:spacing w:after="0"/>
              <w:rPr>
                <w:sz w:val="20"/>
                <w:szCs w:val="20"/>
                <w:color w:val="auto"/>
              </w:rPr>
            </w:pPr>
            <w:r>
              <w:rPr>
                <w:rFonts w:ascii="Arial" w:cs="Arial" w:eastAsia="Arial" w:hAnsi="Arial"/>
                <w:sz w:val="16"/>
                <w:szCs w:val="16"/>
                <w:color w:val="auto"/>
              </w:rPr>
              <w:t>Interest to reflect new debt structure</w:t>
            </w:r>
            <w:r>
              <w:rPr>
                <w:rFonts w:ascii="Arial" w:cs="Arial" w:eastAsia="Arial" w:hAnsi="Arial"/>
                <w:sz w:val="21"/>
                <w:szCs w:val="21"/>
                <w:color w:val="auto"/>
                <w:vertAlign w:val="superscript"/>
              </w:rPr>
              <w:t>(4)</w:t>
            </w:r>
          </w:p>
        </w:tc>
        <w:tc>
          <w:tcPr>
            <w:tcW w:w="8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(4,356)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(19,155)</w:t>
            </w:r>
          </w:p>
        </w:tc>
      </w:tr>
      <w:tr>
        <w:trPr>
          <w:trHeight w:val="243"/>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Taxes related to the adjustments to the pro forma data and to the income of Newmar</w:t>
            </w:r>
            <w:r>
              <w:rPr>
                <w:rFonts w:ascii="Arial" w:cs="Arial" w:eastAsia="Arial" w:hAnsi="Arial"/>
                <w:sz w:val="21"/>
                <w:szCs w:val="21"/>
                <w:color w:val="auto"/>
                <w:vertAlign w:val="superscript"/>
              </w:rPr>
              <w:t>(5)</w:t>
            </w:r>
          </w:p>
        </w:tc>
        <w:tc>
          <w:tcPr>
            <w:tcW w:w="8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2,686</w:t>
            </w:r>
          </w:p>
        </w:tc>
      </w:tr>
    </w:tbl>
    <w:p>
      <w:pPr>
        <w:spacing w:after="0" w:line="113" w:lineRule="exact"/>
        <w:rPr>
          <w:sz w:val="20"/>
          <w:szCs w:val="20"/>
          <w:color w:val="auto"/>
        </w:rPr>
      </w:pPr>
    </w:p>
    <w:p>
      <w:pPr>
        <w:ind w:left="220" w:hanging="212"/>
        <w:spacing w:after="0"/>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amortization adjustments for the backlog intangible asset and the fair-value inventory adjustment.</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amortization adjustments for the dealer network and non-compete intangible assets.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Pro forma transaction costs include $0.6 million incurred prior to the acquisition.</w:t>
      </w:r>
    </w:p>
    <w:p>
      <w:pPr>
        <w:spacing w:after="0" w:line="1" w:lineRule="exact"/>
        <w:rPr>
          <w:rFonts w:ascii="Arial" w:cs="Arial" w:eastAsia="Arial" w:hAnsi="Arial"/>
          <w:sz w:val="14"/>
          <w:szCs w:val="14"/>
          <w:color w:val="auto"/>
        </w:rPr>
      </w:pPr>
    </w:p>
    <w:p>
      <w:pPr>
        <w:ind w:left="260" w:right="480" w:hanging="252"/>
        <w:spacing w:after="0" w:line="241" w:lineRule="auto"/>
        <w:tabs>
          <w:tab w:leader="none" w:pos="353"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Includes adjustments for cash and non-cash interest expense as well as deferred financing costs. Refer to Note 9, </w:t>
      </w:r>
      <w:r>
        <w:rPr>
          <w:rFonts w:ascii="Arial" w:cs="Arial" w:eastAsia="Arial" w:hAnsi="Arial"/>
          <w:sz w:val="14"/>
          <w:szCs w:val="14"/>
          <w:i w:val="1"/>
          <w:iCs w:val="1"/>
          <w:color w:val="auto"/>
        </w:rPr>
        <w:t>Long-Term Debt,</w:t>
      </w:r>
      <w:r>
        <w:rPr>
          <w:rFonts w:ascii="Arial" w:cs="Arial" w:eastAsia="Arial" w:hAnsi="Arial"/>
          <w:sz w:val="14"/>
          <w:szCs w:val="14"/>
          <w:color w:val="auto"/>
        </w:rPr>
        <w:t xml:space="preserve"> for additional information on the Company's new debt structure as a result of the acquisition.</w:t>
      </w: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Calculated using the Company's U.S. federal statutory rate of 21.0%.</w:t>
      </w:r>
    </w:p>
    <w:p>
      <w:pPr>
        <w:spacing w:after="0" w:line="241"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The unaudited pro forma information is not necessarily indicative of the results that the Company would have achieved had the transaction actually taken place at the beginning of Fiscal 2019, and the unaudited pro forma information does not purport to be indicative of future financial operating results. The unaudited pro forma condensed consolidated financial information does not reflect any operating efficiencies and cost savings that may be realized from the integration of the acquisition.</w:t>
      </w:r>
    </w:p>
    <w:p>
      <w:pPr>
        <w:spacing w:after="0" w:line="229"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Transaction costs related to the Newmar acquisition were $10.4 million, of which $9.8 million were expensed during Fiscal 2020 and $0.6 million were expensed during the fourth quarter of Fiscal 2019. Transaction costs are included in Selling, general, and administrative expenses in the accompanying Consolidated Statements of Income and Comprehensive Income.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Chris-Craft USA, Inc.</w:t>
      </w:r>
    </w:p>
    <w:p>
      <w:pPr>
        <w:spacing w:after="0" w:line="26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On June 4, 2018, the Company acquired 100% of the ownership interest of Chris-Craft USA, Inc. ("Chris-Craft"). The acquisition diversifies the Company's outdoor lifestyle value proposition into the recreational powerboat industry. The assets, liabilities, and operating results have been included in the financial statements from the date of acquisition within the Corporate / All Other category. Pro forma results of operations for this acquisition have not been presented, as it was immaterial to the reported results. The purchase price allocation was finalized during the fourth quarter of Fiscal 2019.</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Business Segments</w:t>
      </w:r>
    </w:p>
    <w:p>
      <w:pPr>
        <w:spacing w:after="0" w:line="268" w:lineRule="exact"/>
        <w:rPr>
          <w:sz w:val="20"/>
          <w:szCs w:val="20"/>
          <w:color w:val="auto"/>
        </w:rPr>
      </w:pPr>
    </w:p>
    <w:p>
      <w:pPr>
        <w:ind w:right="600"/>
        <w:spacing w:after="0" w:line="253" w:lineRule="auto"/>
        <w:rPr>
          <w:sz w:val="20"/>
          <w:szCs w:val="20"/>
          <w:color w:val="auto"/>
        </w:rPr>
      </w:pPr>
      <w:r>
        <w:rPr>
          <w:rFonts w:ascii="Arial" w:cs="Arial" w:eastAsia="Arial" w:hAnsi="Arial"/>
          <w:sz w:val="16"/>
          <w:szCs w:val="16"/>
          <w:color w:val="auto"/>
        </w:rPr>
        <w:t>The Company has identified six operating segments: 1) Grand Design towables, 2) Winnebago towables, 3) Winnebago motorhomes, 4) Newmar motorhomes, 5) Chris-Craft marine, and 6) Winnebago specialty vehicles. The Company evaluates performance based on each operating segment's Adjusted EBITDA, as defined below, which excludes certain corporate administration expenses and non-operating income and expense.</w:t>
      </w:r>
    </w:p>
    <w:p>
      <w:pPr>
        <w:spacing w:after="0" w:line="22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Company's two reportable segments include: 1) Towable (comprised of products which are not motorized and are generally towed by another vehicle as well as other related manufactured products and services), which is an aggregation of the Winnebago towables and Grand Design towables operating segments and 2) Motorhome (comprised of products that include a motorized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4" w:name="page55"/>
    <w:bookmarkEnd w:id="5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chassis as well as other related manufactured products and services), which is an aggregation of the Winnebago motorhomes and Newmar motorhomes operating segments.</w:t>
      </w:r>
    </w:p>
    <w:p>
      <w:pPr>
        <w:spacing w:after="0" w:line="222"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Corporate / All Other category includes the Chris-Craft marine and Winnebago specialty vehicles operating segments as well as expenses related to certain corporate administration expenses for the oversight of the enterprise. These expenses include items such as corporate leadership and administration costs.</w:t>
      </w:r>
    </w:p>
    <w:p>
      <w:pPr>
        <w:spacing w:after="0" w:line="228"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Identifiable assets of the reportable segments exclude general corporate assets, which principally consist of cash and cash equivalents and certain deferred tax balances. The general corporate assets are included in the Corporate / All Other category.</w:t>
      </w:r>
    </w:p>
    <w:p>
      <w:pPr>
        <w:spacing w:after="0" w:line="222"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 xml:space="preserve">The Company's chief operating decision maker ("CODM") is the Chief Executive Officer. The CODM relies on internal management reporting that analyzes consolidated results to the net earnings level and operating segment's Adjusted EBITDA. The CODM has ultimate responsibility for enterprise decisions. The CODM determines, in particular, resource allocation for, and monitors the performance of, the consolidated enterprise, the Towable segment, and the Motorhome segment. The Towable segment management and Motorhome segment management have responsibility for operating decisions, allocating resources, and assessing performance within their respective segments. The accounting policies of both reportable segments are the same and are described in Note 1,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w:t>
      </w:r>
    </w:p>
    <w:p>
      <w:pPr>
        <w:spacing w:after="0" w:line="23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Company evaluates the performance of the reportable segments based on Adjusted EBITDA. EBITDA is defined as net income before interest expense, provision for income taxes, and depreciation and amortization expense. Adjusted EBITDA is defined as net income before interest expense, provision for income taxes, depreciation and amortization expense, and other adjustments made in order to present comparable results from year to year. Examples of items excluded from Adjusted EBITDA include acquisition-related fair-value inventory step-up, acquisition-related costs, restructuring expenses, and non-operating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60" w:type="dxa"/>
            <w:vAlign w:val="bottom"/>
          </w:tcPr>
          <w:p>
            <w:pPr>
              <w:spacing w:after="0"/>
              <w:rPr>
                <w:sz w:val="20"/>
                <w:szCs w:val="20"/>
                <w:color w:val="auto"/>
              </w:rPr>
            </w:pPr>
            <w:r>
              <w:rPr>
                <w:rFonts w:ascii="Arial" w:cs="Arial" w:eastAsia="Arial" w:hAnsi="Arial"/>
                <w:sz w:val="16"/>
                <w:szCs w:val="16"/>
                <w:color w:val="auto"/>
              </w:rPr>
              <w:t>The following table shows information by reportable segment:</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56"/>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2018</w:t>
            </w:r>
          </w:p>
        </w:tc>
      </w:tr>
      <w:tr>
        <w:trPr>
          <w:trHeight w:val="243"/>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33"/>
        </w:trPr>
        <w:tc>
          <w:tcPr>
            <w:tcW w:w="5760" w:type="dxa"/>
            <w:vAlign w:val="bottom"/>
          </w:tcPr>
          <w:p>
            <w:pPr>
              <w:ind w:left="20"/>
              <w:spacing w:after="0"/>
              <w:rPr>
                <w:sz w:val="20"/>
                <w:szCs w:val="20"/>
                <w:color w:val="auto"/>
              </w:rPr>
            </w:pPr>
            <w:r>
              <w:rPr>
                <w:rFonts w:ascii="Arial" w:cs="Arial" w:eastAsia="Arial" w:hAnsi="Arial"/>
                <w:sz w:val="16"/>
                <w:szCs w:val="16"/>
                <w:color w:val="auto"/>
              </w:rPr>
              <w:t>Towable</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1,227,567</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1,197,327</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1,127,723</w:t>
            </w:r>
          </w:p>
        </w:tc>
      </w:tr>
      <w:tr>
        <w:trPr>
          <w:trHeight w:val="253"/>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1,056,794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706,927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860,675</w:t>
            </w:r>
          </w:p>
        </w:tc>
      </w:tr>
      <w:tr>
        <w:trPr>
          <w:trHeight w:val="237"/>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 All Other</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71,172</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81,420</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28,431</w:t>
            </w:r>
          </w:p>
        </w:tc>
      </w:tr>
      <w:tr>
        <w:trPr>
          <w:trHeight w:val="268"/>
        </w:trPr>
        <w:tc>
          <w:tcPr>
            <w:tcW w:w="5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Consolidated</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2,355,533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1,985,674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2,016,829</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43"/>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33"/>
        </w:trPr>
        <w:tc>
          <w:tcPr>
            <w:tcW w:w="5760" w:type="dxa"/>
            <w:vAlign w:val="bottom"/>
          </w:tcPr>
          <w:p>
            <w:pPr>
              <w:ind w:left="20"/>
              <w:spacing w:after="0"/>
              <w:rPr>
                <w:sz w:val="20"/>
                <w:szCs w:val="20"/>
                <w:color w:val="auto"/>
              </w:rPr>
            </w:pPr>
            <w:r>
              <w:rPr>
                <w:rFonts w:ascii="Arial" w:cs="Arial" w:eastAsia="Arial" w:hAnsi="Arial"/>
                <w:sz w:val="16"/>
                <w:szCs w:val="16"/>
                <w:color w:val="auto"/>
              </w:rPr>
              <w:t>Towable</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148,276</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163,677</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157,010</w:t>
            </w:r>
          </w:p>
        </w:tc>
      </w:tr>
      <w:tr>
        <w:trPr>
          <w:trHeight w:val="253"/>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32,949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27,455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35,508</w:t>
            </w:r>
          </w:p>
        </w:tc>
      </w:tr>
      <w:tr>
        <w:trPr>
          <w:trHeight w:val="236"/>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 All Other</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(13,150)</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(11,480)</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(10,772)</w:t>
            </w:r>
          </w:p>
        </w:tc>
      </w:tr>
      <w:tr>
        <w:trPr>
          <w:trHeight w:val="268"/>
        </w:trPr>
        <w:tc>
          <w:tcPr>
            <w:tcW w:w="5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Consolidated</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168,075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179,652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181,746</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43"/>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33"/>
        </w:trPr>
        <w:tc>
          <w:tcPr>
            <w:tcW w:w="5760" w:type="dxa"/>
            <w:vAlign w:val="bottom"/>
          </w:tcPr>
          <w:p>
            <w:pPr>
              <w:ind w:left="20"/>
              <w:spacing w:after="0"/>
              <w:rPr>
                <w:sz w:val="20"/>
                <w:szCs w:val="20"/>
                <w:color w:val="auto"/>
              </w:rPr>
            </w:pPr>
            <w:r>
              <w:rPr>
                <w:rFonts w:ascii="Arial" w:cs="Arial" w:eastAsia="Arial" w:hAnsi="Arial"/>
                <w:sz w:val="16"/>
                <w:szCs w:val="16"/>
                <w:color w:val="auto"/>
              </w:rPr>
              <w:t>Towable</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13,389</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27,679</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18,460</w:t>
            </w:r>
          </w:p>
        </w:tc>
      </w:tr>
      <w:tr>
        <w:trPr>
          <w:trHeight w:val="253"/>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15,061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9,302</w:t>
            </w:r>
          </w:p>
        </w:tc>
      </w:tr>
      <w:tr>
        <w:trPr>
          <w:trHeight w:val="237"/>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 All Other</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3,927</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3,210</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w:t>
            </w:r>
          </w:p>
        </w:tc>
      </w:tr>
      <w:tr>
        <w:trPr>
          <w:trHeight w:val="268"/>
        </w:trPr>
        <w:tc>
          <w:tcPr>
            <w:tcW w:w="5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Consolidated</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32,377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40,858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28,668</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9"/>
                <w:szCs w:val="19"/>
                <w:color w:val="auto"/>
              </w:rPr>
            </w:pPr>
          </w:p>
        </w:tc>
        <w:tc>
          <w:tcPr>
            <w:tcW w:w="170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29, 2020</w:t>
            </w:r>
          </w:p>
        </w:tc>
        <w:tc>
          <w:tcPr>
            <w:tcW w:w="180" w:type="dxa"/>
            <w:vAlign w:val="bottom"/>
          </w:tcPr>
          <w:p>
            <w:pPr>
              <w:spacing w:after="0"/>
              <w:rPr>
                <w:sz w:val="19"/>
                <w:szCs w:val="19"/>
                <w:color w:val="auto"/>
              </w:rPr>
            </w:pPr>
          </w:p>
        </w:tc>
        <w:tc>
          <w:tcPr>
            <w:tcW w:w="158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31, 2019</w:t>
            </w:r>
          </w:p>
        </w:tc>
      </w:tr>
      <w:tr>
        <w:trPr>
          <w:trHeight w:val="243"/>
        </w:trPr>
        <w:tc>
          <w:tcPr>
            <w:tcW w:w="7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top w:val="single" w:sz="8" w:color="auto"/>
            </w:tcBorders>
            <w:shd w:val="clear" w:color="auto" w:fill="CCEEFF"/>
          </w:tcPr>
          <w:p>
            <w:pPr>
              <w:spacing w:after="0"/>
              <w:rPr>
                <w:sz w:val="21"/>
                <w:szCs w:val="21"/>
                <w:color w:val="auto"/>
              </w:rPr>
            </w:pPr>
          </w:p>
        </w:tc>
        <w:tc>
          <w:tcPr>
            <w:tcW w:w="15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580" w:type="dxa"/>
            <w:vAlign w:val="bottom"/>
            <w:tcBorders>
              <w:top w:val="single" w:sz="8" w:color="auto"/>
            </w:tcBorders>
            <w:shd w:val="clear" w:color="auto" w:fill="CCEEFF"/>
          </w:tcPr>
          <w:p>
            <w:pPr>
              <w:spacing w:after="0"/>
              <w:rPr>
                <w:sz w:val="21"/>
                <w:szCs w:val="21"/>
                <w:color w:val="auto"/>
              </w:rPr>
            </w:pPr>
          </w:p>
        </w:tc>
      </w:tr>
      <w:tr>
        <w:trPr>
          <w:trHeight w:val="233"/>
        </w:trPr>
        <w:tc>
          <w:tcPr>
            <w:tcW w:w="7600" w:type="dxa"/>
            <w:vAlign w:val="bottom"/>
          </w:tcPr>
          <w:p>
            <w:pPr>
              <w:ind w:left="20"/>
              <w:spacing w:after="0"/>
              <w:rPr>
                <w:sz w:val="20"/>
                <w:szCs w:val="20"/>
                <w:color w:val="auto"/>
              </w:rPr>
            </w:pPr>
            <w:r>
              <w:rPr>
                <w:rFonts w:ascii="Arial" w:cs="Arial" w:eastAsia="Arial" w:hAnsi="Arial"/>
                <w:sz w:val="16"/>
                <w:szCs w:val="16"/>
                <w:color w:val="auto"/>
              </w:rPr>
              <w:t>Towable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718,253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628,994</w:t>
            </w:r>
          </w:p>
        </w:tc>
      </w:tr>
      <w:tr>
        <w:trPr>
          <w:trHeight w:val="25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600,304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332,157</w:t>
            </w:r>
          </w:p>
        </w:tc>
      </w:tr>
      <w:tr>
        <w:trPr>
          <w:trHeight w:val="236"/>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 All Other</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395,143</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143,080</w:t>
            </w:r>
          </w:p>
        </w:tc>
      </w:tr>
      <w:tr>
        <w:trPr>
          <w:trHeight w:val="268"/>
        </w:trPr>
        <w:tc>
          <w:tcPr>
            <w:tcW w:w="7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Consolidated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1,713,700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1,104,231</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80" w:type="dxa"/>
            <w:vAlign w:val="bottom"/>
          </w:tcPr>
          <w:p>
            <w:pPr>
              <w:spacing w:after="0"/>
              <w:rPr>
                <w:sz w:val="20"/>
                <w:szCs w:val="20"/>
                <w:color w:val="auto"/>
              </w:rPr>
            </w:pPr>
            <w:r>
              <w:rPr>
                <w:rFonts w:ascii="Arial" w:cs="Arial" w:eastAsia="Arial" w:hAnsi="Arial"/>
                <w:sz w:val="16"/>
                <w:szCs w:val="16"/>
                <w:color w:val="auto"/>
              </w:rPr>
              <w:t>The following table reconciles net income to consolidated Adjusted EBITDA:</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56"/>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2018</w:t>
            </w:r>
          </w:p>
        </w:tc>
      </w:tr>
      <w:tr>
        <w:trPr>
          <w:trHeight w:val="243"/>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61,442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111,798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102,357</w:t>
            </w:r>
          </w:p>
        </w:tc>
      </w:tr>
      <w:tr>
        <w:trPr>
          <w:trHeight w:val="233"/>
        </w:trPr>
        <w:tc>
          <w:tcPr>
            <w:tcW w:w="5780" w:type="dxa"/>
            <w:vAlign w:val="bottom"/>
          </w:tcPr>
          <w:p>
            <w:pPr>
              <w:ind w:left="120"/>
              <w:spacing w:after="0"/>
              <w:rPr>
                <w:sz w:val="20"/>
                <w:szCs w:val="20"/>
                <w:color w:val="auto"/>
              </w:rPr>
            </w:pPr>
            <w:r>
              <w:rPr>
                <w:rFonts w:ascii="Arial" w:cs="Arial" w:eastAsia="Arial" w:hAnsi="Arial"/>
                <w:sz w:val="16"/>
                <w:szCs w:val="16"/>
                <w:color w:val="auto"/>
              </w:rPr>
              <w:t>Interest expense</w:t>
            </w:r>
          </w:p>
        </w:tc>
        <w:tc>
          <w:tcPr>
            <w:tcW w:w="40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37,461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17,939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18,246</w:t>
            </w:r>
          </w:p>
        </w:tc>
      </w:tr>
      <w:tr>
        <w:trPr>
          <w:trHeight w:val="253"/>
        </w:trPr>
        <w:tc>
          <w:tcPr>
            <w:tcW w:w="5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Provision for income taxes</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15,834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27,111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40,283</w:t>
            </w:r>
          </w:p>
        </w:tc>
      </w:tr>
      <w:tr>
        <w:trPr>
          <w:trHeight w:val="233"/>
        </w:trPr>
        <w:tc>
          <w:tcPr>
            <w:tcW w:w="5780" w:type="dxa"/>
            <w:vAlign w:val="bottom"/>
          </w:tcPr>
          <w:p>
            <w:pPr>
              <w:ind w:left="120"/>
              <w:spacing w:after="0"/>
              <w:rPr>
                <w:sz w:val="20"/>
                <w:szCs w:val="20"/>
                <w:color w:val="auto"/>
              </w:rPr>
            </w:pPr>
            <w:r>
              <w:rPr>
                <w:rFonts w:ascii="Arial" w:cs="Arial" w:eastAsia="Arial" w:hAnsi="Arial"/>
                <w:sz w:val="16"/>
                <w:szCs w:val="16"/>
                <w:color w:val="auto"/>
              </w:rPr>
              <w:t>Depreciation</w:t>
            </w:r>
          </w:p>
        </w:tc>
        <w:tc>
          <w:tcPr>
            <w:tcW w:w="40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15,997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13,682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9,849</w:t>
            </w:r>
          </w:p>
        </w:tc>
      </w:tr>
      <w:tr>
        <w:trPr>
          <w:trHeight w:val="246"/>
        </w:trPr>
        <w:tc>
          <w:tcPr>
            <w:tcW w:w="5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intangible assets</w:t>
            </w:r>
          </w:p>
        </w:tc>
        <w:tc>
          <w:tcPr>
            <w:tcW w:w="4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22,104</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9,635</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9,328</w:t>
            </w:r>
          </w:p>
        </w:tc>
      </w:tr>
      <w:tr>
        <w:trPr>
          <w:trHeight w:val="233"/>
        </w:trPr>
        <w:tc>
          <w:tcPr>
            <w:tcW w:w="5780" w:type="dxa"/>
            <w:vAlign w:val="bottom"/>
          </w:tcPr>
          <w:p>
            <w:pPr>
              <w:ind w:left="20"/>
              <w:spacing w:after="0"/>
              <w:rPr>
                <w:sz w:val="20"/>
                <w:szCs w:val="20"/>
                <w:color w:val="auto"/>
              </w:rPr>
            </w:pPr>
            <w:r>
              <w:rPr>
                <w:rFonts w:ascii="Arial" w:cs="Arial" w:eastAsia="Arial" w:hAnsi="Arial"/>
                <w:sz w:val="16"/>
                <w:szCs w:val="16"/>
                <w:color w:val="auto"/>
              </w:rPr>
              <w:t>EBITDA</w:t>
            </w:r>
          </w:p>
        </w:tc>
        <w:tc>
          <w:tcPr>
            <w:tcW w:w="40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152,838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180,165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180,063</w:t>
            </w:r>
          </w:p>
        </w:tc>
      </w:tr>
      <w:tr>
        <w:trPr>
          <w:trHeight w:val="253"/>
        </w:trPr>
        <w:tc>
          <w:tcPr>
            <w:tcW w:w="5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Acquisition-related fair-value inventory step-up</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4,810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5780" w:type="dxa"/>
            <w:vAlign w:val="bottom"/>
          </w:tcPr>
          <w:p>
            <w:pPr>
              <w:ind w:left="120"/>
              <w:spacing w:after="0"/>
              <w:rPr>
                <w:sz w:val="20"/>
                <w:szCs w:val="20"/>
                <w:color w:val="auto"/>
              </w:rPr>
            </w:pPr>
            <w:r>
              <w:rPr>
                <w:rFonts w:ascii="Arial" w:cs="Arial" w:eastAsia="Arial" w:hAnsi="Arial"/>
                <w:sz w:val="16"/>
                <w:szCs w:val="16"/>
                <w:color w:val="auto"/>
              </w:rPr>
              <w:t>Acquisition-related costs</w:t>
            </w:r>
          </w:p>
        </w:tc>
        <w:tc>
          <w:tcPr>
            <w:tcW w:w="40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9,761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2,177</w:t>
            </w:r>
          </w:p>
        </w:tc>
      </w:tr>
      <w:tr>
        <w:trPr>
          <w:trHeight w:val="253"/>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Restructuring</w:t>
            </w:r>
            <w:r>
              <w:rPr>
                <w:rFonts w:ascii="Arial" w:cs="Arial" w:eastAsia="Arial" w:hAnsi="Arial"/>
                <w:sz w:val="21"/>
                <w:szCs w:val="21"/>
                <w:color w:val="auto"/>
                <w:vertAlign w:val="superscript"/>
              </w:rPr>
              <w:t>(1)</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57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Non-operating income</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(1,581)</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w:t>
            </w:r>
          </w:p>
        </w:tc>
      </w:tr>
      <w:tr>
        <w:trPr>
          <w:trHeight w:val="26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168,075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179,652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181,746</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Balance excludes depreciation expense classified as restructuring as the balance is already included in the EBITDA calculation.</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60" w:type="dxa"/>
            <w:vAlign w:val="bottom"/>
          </w:tcPr>
          <w:p>
            <w:pPr>
              <w:spacing w:after="0"/>
              <w:rPr>
                <w:sz w:val="20"/>
                <w:szCs w:val="20"/>
                <w:color w:val="auto"/>
              </w:rPr>
            </w:pPr>
            <w:r>
              <w:rPr>
                <w:rFonts w:ascii="Arial" w:cs="Arial" w:eastAsia="Arial" w:hAnsi="Arial"/>
                <w:sz w:val="16"/>
                <w:szCs w:val="16"/>
                <w:color w:val="auto"/>
              </w:rPr>
              <w:t>The following table reconciles net revenues by geographic area:</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56"/>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2018</w:t>
            </w:r>
          </w:p>
        </w:tc>
      </w:tr>
      <w:tr>
        <w:trPr>
          <w:trHeight w:val="243"/>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2,225,028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1,836,472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1,860,613</w:t>
            </w:r>
          </w:p>
        </w:tc>
      </w:tr>
      <w:tr>
        <w:trPr>
          <w:trHeight w:val="236"/>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International</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130,505</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149,202</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156,216</w:t>
            </w:r>
          </w:p>
        </w:tc>
      </w:tr>
      <w:tr>
        <w:trPr>
          <w:trHeight w:val="268"/>
        </w:trPr>
        <w:tc>
          <w:tcPr>
            <w:tcW w:w="5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Revenues</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2,355,533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1,985,674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2,016,829</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Derivatives, Investments, and Fair Value Measurements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p>
      <w:pPr>
        <w:spacing w:after="0" w:line="252"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 xml:space="preserve">The Company accounts for fair value measurements in accordance with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which defines fair value, establishes a framework for measurement, and expands disclosure about fair value measurement. The fair value 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The Company's assessment of the significance of a particular item to the fair value measurement in its entirety requires judgment, including the consideration of inputs specific to the asset or liability.</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1 - </w:t>
      </w:r>
      <w:r>
        <w:rPr>
          <w:rFonts w:ascii="Arial" w:cs="Arial" w:eastAsia="Arial" w:hAnsi="Arial"/>
          <w:sz w:val="16"/>
          <w:szCs w:val="16"/>
          <w:color w:val="auto"/>
        </w:rPr>
        <w:t>Unadjusted quoted prices that are available in active markets for the identical assets or liabilities at the measurement date.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2 - </w:t>
      </w:r>
      <w:r>
        <w:rPr>
          <w:rFonts w:ascii="Arial" w:cs="Arial" w:eastAsia="Arial" w:hAnsi="Arial"/>
          <w:sz w:val="16"/>
          <w:szCs w:val="16"/>
          <w:color w:val="auto"/>
        </w:rPr>
        <w:t>Other observable inputs available at the measurement date, other than quoted prices included in Level 1, either directly or indirectly, including:</w:t>
      </w:r>
    </w:p>
    <w:p>
      <w:pPr>
        <w:spacing w:after="0" w:line="21"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16"/>
          <w:szCs w:val="16"/>
          <w:i w:val="1"/>
          <w:iCs w:val="1"/>
          <w:color w:val="auto"/>
        </w:rPr>
      </w:pPr>
      <w:r>
        <w:rPr>
          <w:rFonts w:ascii="Arial" w:cs="Arial" w:eastAsia="Arial" w:hAnsi="Arial"/>
          <w:sz w:val="16"/>
          <w:szCs w:val="16"/>
          <w:color w:val="auto"/>
        </w:rPr>
        <w:t>Quoted prices for similar assets or liabilities in active markets;</w:t>
      </w:r>
    </w:p>
    <w:p>
      <w:pPr>
        <w:spacing w:after="0" w:line="5" w:lineRule="exact"/>
        <w:rPr>
          <w:rFonts w:ascii="Arial" w:cs="Arial" w:eastAsia="Arial" w:hAnsi="Arial"/>
          <w:sz w:val="16"/>
          <w:szCs w:val="16"/>
          <w:i w:val="1"/>
          <w:iCs w:val="1"/>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Quoted prices for identical or similar assets in nonactive markets;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Inputs other than quoted prices that are observable for the asset or liability;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Inputs that are derived principally from or corroborated by other observable market data.</w:t>
      </w:r>
    </w:p>
    <w:p>
      <w:pPr>
        <w:spacing w:after="0" w:line="232"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i w:val="1"/>
          <w:iCs w:val="1"/>
          <w:color w:val="auto"/>
        </w:rPr>
        <w:t xml:space="preserve">Level 3 - </w:t>
      </w:r>
      <w:r>
        <w:rPr>
          <w:rFonts w:ascii="Arial" w:cs="Arial" w:eastAsia="Arial" w:hAnsi="Arial"/>
          <w:sz w:val="16"/>
          <w:szCs w:val="16"/>
          <w:color w:val="auto"/>
        </w:rPr>
        <w:t>Unobservable inputs that cannot be corroborated by observable market data and reflect the use of significant management judgment. These values</w:t>
      </w:r>
      <w:r>
        <w:rPr>
          <w:rFonts w:ascii="Arial" w:cs="Arial" w:eastAsia="Arial" w:hAnsi="Arial"/>
          <w:sz w:val="16"/>
          <w:szCs w:val="16"/>
          <w:i w:val="1"/>
          <w:iCs w:val="1"/>
          <w:color w:val="auto"/>
        </w:rPr>
        <w:t xml:space="preserve"> </w:t>
      </w:r>
      <w:r>
        <w:rPr>
          <w:rFonts w:ascii="Arial" w:cs="Arial" w:eastAsia="Arial" w:hAnsi="Arial"/>
          <w:sz w:val="16"/>
          <w:szCs w:val="16"/>
          <w:color w:val="auto"/>
        </w:rPr>
        <w:t>are generally determined using pricing models for which the assumptions utilize management’s estimates of market participant assumptions.</w:t>
      </w:r>
    </w:p>
    <w:p>
      <w:pPr>
        <w:spacing w:after="0" w:line="206"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 following tables set forth by level within the fair value hierarchy the Company's financial assets and liabilities that were accounted for at fair value on a recurring basis at August 29, 2020 and August 31, 2019 according to the valuation techniques that was used to determine their fair values: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Fair Value at</w:t>
            </w:r>
          </w:p>
        </w:tc>
        <w:tc>
          <w:tcPr>
            <w:tcW w:w="12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Fair Value Hierarchy</w:t>
            </w: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236"/>
        </w:trPr>
        <w:tc>
          <w:tcPr>
            <w:tcW w:w="398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20"/>
                <w:szCs w:val="20"/>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August 29, 2020</w:t>
            </w: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Level 1</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gridSpan w:val="2"/>
          </w:tcPr>
          <w:p>
            <w:pPr>
              <w:ind w:left="240"/>
              <w:spacing w:after="0"/>
              <w:rPr>
                <w:sz w:val="20"/>
                <w:szCs w:val="20"/>
                <w:color w:val="auto"/>
              </w:rPr>
            </w:pPr>
            <w:r>
              <w:rPr>
                <w:rFonts w:ascii="Arial" w:cs="Arial" w:eastAsia="Arial" w:hAnsi="Arial"/>
                <w:sz w:val="16"/>
                <w:szCs w:val="16"/>
                <w:b w:val="1"/>
                <w:bCs w:val="1"/>
                <w:color w:val="auto"/>
              </w:rPr>
              <w:t>Level 2</w:t>
            </w:r>
          </w:p>
        </w:tc>
        <w:tc>
          <w:tcPr>
            <w:tcW w:w="360" w:type="dxa"/>
            <w:vAlign w:val="bottom"/>
          </w:tcPr>
          <w:p>
            <w:pPr>
              <w:spacing w:after="0"/>
              <w:rPr>
                <w:sz w:val="20"/>
                <w:szCs w:val="20"/>
                <w:color w:val="auto"/>
              </w:rPr>
            </w:pPr>
          </w:p>
        </w:tc>
        <w:tc>
          <w:tcPr>
            <w:tcW w:w="1380" w:type="dxa"/>
            <w:vAlign w:val="bottom"/>
          </w:tcPr>
          <w:p>
            <w:pPr>
              <w:ind w:left="240"/>
              <w:spacing w:after="0"/>
              <w:rPr>
                <w:sz w:val="20"/>
                <w:szCs w:val="20"/>
                <w:color w:val="auto"/>
              </w:rPr>
            </w:pPr>
            <w:r>
              <w:rPr>
                <w:rFonts w:ascii="Arial" w:cs="Arial" w:eastAsia="Arial" w:hAnsi="Arial"/>
                <w:sz w:val="16"/>
                <w:szCs w:val="16"/>
                <w:b w:val="1"/>
                <w:bCs w:val="1"/>
                <w:color w:val="auto"/>
              </w:rPr>
              <w:t>Level 3</w:t>
            </w:r>
          </w:p>
        </w:tc>
      </w:tr>
      <w:tr>
        <w:trPr>
          <w:trHeight w:val="243"/>
        </w:trPr>
        <w:tc>
          <w:tcPr>
            <w:tcW w:w="3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Assets that fund deferred compensation:</w:t>
            </w:r>
          </w:p>
        </w:tc>
        <w:tc>
          <w:tcPr>
            <w:tcW w:w="18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spacing w:after="0"/>
              <w:rPr>
                <w:sz w:val="21"/>
                <w:szCs w:val="21"/>
                <w:color w:val="auto"/>
              </w:rPr>
            </w:pPr>
          </w:p>
        </w:tc>
      </w:tr>
      <w:tr>
        <w:trPr>
          <w:trHeight w:val="233"/>
        </w:trPr>
        <w:tc>
          <w:tcPr>
            <w:tcW w:w="3980" w:type="dxa"/>
            <w:vAlign w:val="bottom"/>
          </w:tcPr>
          <w:p>
            <w:pPr>
              <w:ind w:left="120"/>
              <w:spacing w:after="0"/>
              <w:rPr>
                <w:sz w:val="20"/>
                <w:szCs w:val="20"/>
                <w:color w:val="auto"/>
              </w:rPr>
            </w:pPr>
            <w:r>
              <w:rPr>
                <w:rFonts w:ascii="Arial" w:cs="Arial" w:eastAsia="Arial" w:hAnsi="Arial"/>
                <w:sz w:val="16"/>
                <w:szCs w:val="16"/>
                <w:color w:val="auto"/>
              </w:rPr>
              <w:t>Domestic equity funds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20"/>
                <w:szCs w:val="20"/>
                <w:color w:val="auto"/>
              </w:rPr>
            </w:pPr>
          </w:p>
        </w:tc>
        <w:tc>
          <w:tcPr>
            <w:tcW w:w="1260" w:type="dxa"/>
            <w:vAlign w:val="bottom"/>
          </w:tcPr>
          <w:p>
            <w:pPr>
              <w:jc w:val="right"/>
              <w:ind w:right="1059"/>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80" w:type="dxa"/>
            <w:vAlign w:val="bottom"/>
          </w:tcPr>
          <w:p>
            <w:pPr>
              <w:ind w:left="1140"/>
              <w:spacing w:after="0"/>
              <w:rPr>
                <w:sz w:val="20"/>
                <w:szCs w:val="20"/>
                <w:color w:val="auto"/>
              </w:rPr>
            </w:pPr>
            <w:r>
              <w:rPr>
                <w:rFonts w:ascii="Arial" w:cs="Arial" w:eastAsia="Arial" w:hAnsi="Arial"/>
                <w:sz w:val="16"/>
                <w:szCs w:val="16"/>
                <w:color w:val="auto"/>
              </w:rPr>
              <w:t>—</w:t>
            </w:r>
          </w:p>
        </w:tc>
      </w:tr>
      <w:tr>
        <w:trPr>
          <w:trHeight w:val="253"/>
        </w:trPr>
        <w:tc>
          <w:tcPr>
            <w:tcW w:w="3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38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w:t>
            </w:r>
          </w:p>
        </w:tc>
      </w:tr>
      <w:tr>
        <w:trPr>
          <w:trHeight w:val="236"/>
        </w:trPr>
        <w:tc>
          <w:tcPr>
            <w:tcW w:w="39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Fixed income funds</w:t>
            </w: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1140"/>
              <w:spacing w:after="0"/>
              <w:rPr>
                <w:sz w:val="20"/>
                <w:szCs w:val="20"/>
                <w:color w:val="auto"/>
              </w:rPr>
            </w:pPr>
            <w:r>
              <w:rPr>
                <w:rFonts w:ascii="Arial" w:cs="Arial" w:eastAsia="Arial" w:hAnsi="Arial"/>
                <w:sz w:val="16"/>
                <w:szCs w:val="16"/>
                <w:color w:val="auto"/>
              </w:rPr>
              <w:t>—</w:t>
            </w:r>
          </w:p>
        </w:tc>
      </w:tr>
      <w:tr>
        <w:trPr>
          <w:trHeight w:val="263"/>
        </w:trPr>
        <w:tc>
          <w:tcPr>
            <w:tcW w:w="3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assets at fair value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ind w:left="160"/>
              <w:spacing w:after="0"/>
              <w:rPr>
                <w:sz w:val="20"/>
                <w:szCs w:val="20"/>
                <w:color w:val="auto"/>
              </w:rPr>
            </w:pPr>
            <w:r>
              <w:rPr>
                <w:rFonts w:ascii="Arial" w:cs="Arial" w:eastAsia="Arial" w:hAnsi="Arial"/>
                <w:sz w:val="16"/>
                <w:szCs w:val="16"/>
                <w:b w:val="1"/>
                <w:bCs w:val="1"/>
                <w:color w:val="auto"/>
              </w:rPr>
              <w:t>Fair Value at</w:t>
            </w:r>
          </w:p>
        </w:tc>
        <w:tc>
          <w:tcPr>
            <w:tcW w:w="12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rPr>
              <w:t>Fair Value Hierarchy</w:t>
            </w: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236"/>
        </w:trPr>
        <w:tc>
          <w:tcPr>
            <w:tcW w:w="398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0"/>
                <w:szCs w:val="20"/>
                <w:color w:val="auto"/>
              </w:rPr>
            </w:pPr>
          </w:p>
        </w:tc>
        <w:tc>
          <w:tcPr>
            <w:tcW w:w="1600" w:type="dxa"/>
            <w:vAlign w:val="bottom"/>
            <w:gridSpan w:val="2"/>
          </w:tcPr>
          <w:p>
            <w:pPr>
              <w:ind w:left="240"/>
              <w:spacing w:after="0"/>
              <w:rPr>
                <w:sz w:val="20"/>
                <w:szCs w:val="20"/>
                <w:color w:val="auto"/>
              </w:rPr>
            </w:pPr>
            <w:r>
              <w:rPr>
                <w:rFonts w:ascii="Arial" w:cs="Arial" w:eastAsia="Arial" w:hAnsi="Arial"/>
                <w:sz w:val="16"/>
                <w:szCs w:val="16"/>
                <w:b w:val="1"/>
                <w:bCs w:val="1"/>
                <w:color w:val="auto"/>
              </w:rPr>
              <w:t>August 31, 2019</w:t>
            </w: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Level 1</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9"/>
              </w:rPr>
              <w:t>Level 2</w:t>
            </w:r>
          </w:p>
        </w:tc>
        <w:tc>
          <w:tcPr>
            <w:tcW w:w="360" w:type="dxa"/>
            <w:vAlign w:val="bottom"/>
          </w:tcPr>
          <w:p>
            <w:pPr>
              <w:spacing w:after="0"/>
              <w:rPr>
                <w:sz w:val="20"/>
                <w:szCs w:val="20"/>
                <w:color w:val="auto"/>
              </w:rPr>
            </w:pPr>
          </w:p>
        </w:tc>
        <w:tc>
          <w:tcPr>
            <w:tcW w:w="1380" w:type="dxa"/>
            <w:vAlign w:val="bottom"/>
          </w:tcPr>
          <w:p>
            <w:pPr>
              <w:ind w:left="240"/>
              <w:spacing w:after="0"/>
              <w:rPr>
                <w:sz w:val="20"/>
                <w:szCs w:val="20"/>
                <w:color w:val="auto"/>
              </w:rPr>
            </w:pPr>
            <w:r>
              <w:rPr>
                <w:rFonts w:ascii="Arial" w:cs="Arial" w:eastAsia="Arial" w:hAnsi="Arial"/>
                <w:sz w:val="16"/>
                <w:szCs w:val="16"/>
                <w:b w:val="1"/>
                <w:bCs w:val="1"/>
                <w:color w:val="auto"/>
              </w:rPr>
              <w:t>Level 3</w:t>
            </w:r>
          </w:p>
        </w:tc>
      </w:tr>
      <w:tr>
        <w:trPr>
          <w:trHeight w:val="243"/>
        </w:trPr>
        <w:tc>
          <w:tcPr>
            <w:tcW w:w="3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Assets that fund deferred compensation:</w:t>
            </w:r>
          </w:p>
        </w:tc>
        <w:tc>
          <w:tcPr>
            <w:tcW w:w="240" w:type="dxa"/>
            <w:vAlign w:val="bottom"/>
            <w:tcBorders>
              <w:top w:val="single" w:sz="8" w:color="auto"/>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spacing w:after="0"/>
              <w:rPr>
                <w:sz w:val="21"/>
                <w:szCs w:val="21"/>
                <w:color w:val="auto"/>
              </w:rPr>
            </w:pPr>
          </w:p>
        </w:tc>
      </w:tr>
      <w:tr>
        <w:trPr>
          <w:trHeight w:val="233"/>
        </w:trPr>
        <w:tc>
          <w:tcPr>
            <w:tcW w:w="3980" w:type="dxa"/>
            <w:vAlign w:val="bottom"/>
          </w:tcPr>
          <w:p>
            <w:pPr>
              <w:ind w:left="120"/>
              <w:spacing w:after="0"/>
              <w:rPr>
                <w:sz w:val="20"/>
                <w:szCs w:val="20"/>
                <w:color w:val="auto"/>
              </w:rPr>
            </w:pPr>
            <w:r>
              <w:rPr>
                <w:rFonts w:ascii="Arial" w:cs="Arial" w:eastAsia="Arial" w:hAnsi="Arial"/>
                <w:sz w:val="16"/>
                <w:szCs w:val="16"/>
                <w:color w:val="auto"/>
              </w:rPr>
              <w:t>Domestic equity funds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20"/>
                <w:szCs w:val="20"/>
                <w:color w:val="auto"/>
              </w:rPr>
            </w:pPr>
          </w:p>
        </w:tc>
        <w:tc>
          <w:tcPr>
            <w:tcW w:w="1260" w:type="dxa"/>
            <w:vAlign w:val="bottom"/>
          </w:tcPr>
          <w:p>
            <w:pPr>
              <w:jc w:val="right"/>
              <w:ind w:right="1059"/>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80" w:type="dxa"/>
            <w:vAlign w:val="bottom"/>
          </w:tcPr>
          <w:p>
            <w:pPr>
              <w:ind w:left="1140"/>
              <w:spacing w:after="0"/>
              <w:rPr>
                <w:sz w:val="20"/>
                <w:szCs w:val="20"/>
                <w:color w:val="auto"/>
              </w:rPr>
            </w:pPr>
            <w:r>
              <w:rPr>
                <w:rFonts w:ascii="Arial" w:cs="Arial" w:eastAsia="Arial" w:hAnsi="Arial"/>
                <w:sz w:val="16"/>
                <w:szCs w:val="16"/>
                <w:color w:val="auto"/>
              </w:rPr>
              <w:t>—</w:t>
            </w:r>
          </w:p>
        </w:tc>
      </w:tr>
      <w:tr>
        <w:trPr>
          <w:trHeight w:val="253"/>
        </w:trPr>
        <w:tc>
          <w:tcPr>
            <w:tcW w:w="3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8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w:t>
            </w:r>
          </w:p>
        </w:tc>
      </w:tr>
      <w:tr>
        <w:trPr>
          <w:trHeight w:val="233"/>
        </w:trPr>
        <w:tc>
          <w:tcPr>
            <w:tcW w:w="3980" w:type="dxa"/>
            <w:vAlign w:val="bottom"/>
          </w:tcPr>
          <w:p>
            <w:pPr>
              <w:ind w:left="120"/>
              <w:spacing w:after="0"/>
              <w:rPr>
                <w:sz w:val="20"/>
                <w:szCs w:val="20"/>
                <w:color w:val="auto"/>
              </w:rPr>
            </w:pPr>
            <w:r>
              <w:rPr>
                <w:rFonts w:ascii="Arial" w:cs="Arial" w:eastAsia="Arial" w:hAnsi="Arial"/>
                <w:sz w:val="16"/>
                <w:szCs w:val="16"/>
                <w:color w:val="auto"/>
              </w:rPr>
              <w:t>Fixed income funds</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ind w:left="1140"/>
              <w:spacing w:after="0"/>
              <w:rPr>
                <w:sz w:val="20"/>
                <w:szCs w:val="20"/>
                <w:color w:val="auto"/>
              </w:rPr>
            </w:pPr>
            <w:r>
              <w:rPr>
                <w:rFonts w:ascii="Arial" w:cs="Arial" w:eastAsia="Arial" w:hAnsi="Arial"/>
                <w:sz w:val="16"/>
                <w:szCs w:val="16"/>
                <w:color w:val="auto"/>
              </w:rPr>
              <w:t>—</w:t>
            </w:r>
          </w:p>
        </w:tc>
      </w:tr>
      <w:tr>
        <w:trPr>
          <w:trHeight w:val="246"/>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 contract</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8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w:t>
            </w:r>
          </w:p>
        </w:tc>
      </w:tr>
      <w:tr>
        <w:trPr>
          <w:trHeight w:val="243"/>
        </w:trPr>
        <w:tc>
          <w:tcPr>
            <w:tcW w:w="3980" w:type="dxa"/>
            <w:vAlign w:val="bottom"/>
          </w:tcPr>
          <w:p>
            <w:pPr>
              <w:ind w:left="120"/>
              <w:spacing w:after="0"/>
              <w:rPr>
                <w:sz w:val="20"/>
                <w:szCs w:val="20"/>
                <w:color w:val="auto"/>
              </w:rPr>
            </w:pPr>
            <w:r>
              <w:rPr>
                <w:rFonts w:ascii="Arial" w:cs="Arial" w:eastAsia="Arial" w:hAnsi="Arial"/>
                <w:sz w:val="16"/>
                <w:szCs w:val="16"/>
                <w:color w:val="auto"/>
              </w:rPr>
              <w:t>Total assets at fair value</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719</w:t>
            </w:r>
          </w:p>
        </w:tc>
        <w:tc>
          <w:tcPr>
            <w:tcW w:w="1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1059"/>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ind w:left="1140"/>
              <w:spacing w:after="0"/>
              <w:rPr>
                <w:sz w:val="20"/>
                <w:szCs w:val="20"/>
                <w:color w:val="auto"/>
              </w:rPr>
            </w:pPr>
            <w:r>
              <w:rPr>
                <w:rFonts w:ascii="Arial" w:cs="Arial" w:eastAsia="Arial" w:hAnsi="Arial"/>
                <w:sz w:val="16"/>
                <w:szCs w:val="16"/>
                <w:color w:val="auto"/>
              </w:rPr>
              <w:t>—</w:t>
            </w:r>
          </w:p>
        </w:tc>
      </w:tr>
      <w:tr>
        <w:trPr>
          <w:trHeight w:val="21"/>
        </w:trPr>
        <w:tc>
          <w:tcPr>
            <w:tcW w:w="3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to estimate the fair value of each class of financial instrument: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that fund deferred compensation</w:t>
      </w:r>
    </w:p>
    <w:p>
      <w:pPr>
        <w:spacing w:after="0" w:line="268"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 xml:space="preserve">The Company's assets that fund deferred compensation are marketable equity securities measured at fair value using quoted market prices and primarily consist of equity-based mutual funds. These securities are classified as Level 1 as they are traded in an active market for which closing stock prices are readily available. These securities fund the Executive Share Option Plan and the Executive Deferred Compensation Plan. Refer to Note 11, </w:t>
      </w:r>
      <w:r>
        <w:rPr>
          <w:rFonts w:ascii="Arial" w:cs="Arial" w:eastAsia="Arial" w:hAnsi="Arial"/>
          <w:sz w:val="16"/>
          <w:szCs w:val="16"/>
          <w:i w:val="1"/>
          <w:iCs w:val="1"/>
          <w:color w:val="auto"/>
        </w:rPr>
        <w:t>Employee and</w:t>
      </w:r>
      <w:r>
        <w:rPr>
          <w:rFonts w:ascii="Arial" w:cs="Arial" w:eastAsia="Arial" w:hAnsi="Arial"/>
          <w:sz w:val="16"/>
          <w:szCs w:val="16"/>
          <w:color w:val="auto"/>
        </w:rPr>
        <w:t xml:space="preserve"> </w:t>
      </w:r>
      <w:r>
        <w:rPr>
          <w:rFonts w:ascii="Arial" w:cs="Arial" w:eastAsia="Arial" w:hAnsi="Arial"/>
          <w:sz w:val="16"/>
          <w:szCs w:val="16"/>
          <w:i w:val="1"/>
          <w:iCs w:val="1"/>
          <w:color w:val="auto"/>
        </w:rPr>
        <w:t>Retiree Benefits</w:t>
      </w:r>
      <w:r>
        <w:rPr>
          <w:rFonts w:ascii="Arial" w:cs="Arial" w:eastAsia="Arial" w:hAnsi="Arial"/>
          <w:sz w:val="16"/>
          <w:szCs w:val="16"/>
          <w:color w:val="auto"/>
        </w:rPr>
        <w:t>.</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57" w:name="page58"/>
    <w:bookmarkEnd w:id="5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proportion of the assets that will fund options which expire within a year are included in Prepaid expenses and other assets on the Consolidated Balance Sheets. The remaining assets are classified as non-current and are included in Other assets.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Swap Contract</w:t>
      </w:r>
    </w:p>
    <w:p>
      <w:pPr>
        <w:spacing w:after="0" w:line="268"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On March 6, 2020, the Company entered into an interest rate swap agreement for an incremental notional amount of $25 million to exchange floating for fixed rate interest payments for our LIBOR-based borrowings. The interest rate swap had a fair value of zero at inception, was effective March 10, 2020 and had been designated as a cash flow hedge. The interest rate swap agreement, with a maturity date of March 4, 2025, converted the Company's interest rate payments on $25 million of variable-rate, 1-month LIBOR-based debt to a fixed interest rate of 1.265%. In the fourth quarter of Fiscal 2020, the Company exited the swap contract prior to its expiration on March 4, 2025.</w:t>
      </w:r>
    </w:p>
    <w:p>
      <w:pPr>
        <w:spacing w:after="0" w:line="230"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On March 2, 2020, the Company entered into an interest rate swap agreement for an incremental notional amount of $25 million to exchange floating for fixed rate interest payments for our LIBOR-based borrowings. The interest rate swap had a fair value of zero at inception, was effective March 4, 2020 and had been designated as a cash flow hedge. The interest rate swap agreement, with a maturity date of March 4, 2025, converted the Company's interest rate payments on $25 million of variable-rate, 1-month LIBOR-based debt to a fixed interest rate of 1.364%. In the fourth quarter of Fiscal 2020, the Company exited the swap contract prior to its expiration on March 4, 2025.</w:t>
      </w:r>
    </w:p>
    <w:p>
      <w:pPr>
        <w:spacing w:after="0" w:line="23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On January 23, 2017, the Company entered into an interest swap contract, which effectively fixed the interest rate on the $300 million loan agreement ("Term Loan") for a notional amount that reduced each December during the swap contract. As of August 29, 2020, the remaining payments of the Term Loan were paid in full using the proceeds from the Company's senior secured notes offering. In the first quarter of Fiscal 2020, the Company exited the swap contract prior to its expiration on December 8, 2020.</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Nonrecurring Basis</w:t>
      </w:r>
    </w:p>
    <w:p>
      <w:pPr>
        <w:spacing w:after="0" w:line="268"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Company's non-financial assets, which includes goodwill, intangible assets, and property, plant, and equipment, are not required to be measured at fair value on a recurring basis. However, if certain triggering events occur, or if an annual impairment test is required, the Company must evaluate the non-financial asset for impairment. If an impairment occurs, the asset is required to be recorded at the estimated fair value. No impairments were recorded for non-financial assets in Fiscal 2020, 2019, and 2018.</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Financial Instruments</w:t>
      </w:r>
    </w:p>
    <w:p>
      <w:pPr>
        <w:spacing w:after="0" w:line="2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The Company's financial instruments, other than those presented in the disclosures above, include cash, receivables, accounts payable, other payables, and long-term debt. The fair values of cash, receivables, accounts payable, and other payables approximated carrying values because of the short-term nature of these instruments. If these instruments were measured at fair value in the financial statements, they would be classified as Level 1 in the fair value hierarchy. See Note 9, </w:t>
      </w:r>
      <w:r>
        <w:rPr>
          <w:rFonts w:ascii="Arial" w:cs="Arial" w:eastAsia="Arial" w:hAnsi="Arial"/>
          <w:sz w:val="16"/>
          <w:szCs w:val="16"/>
          <w:i w:val="1"/>
          <w:iCs w:val="1"/>
          <w:color w:val="auto"/>
        </w:rPr>
        <w:t>Long-Term Debt</w:t>
      </w:r>
      <w:r>
        <w:rPr>
          <w:rFonts w:ascii="Arial" w:cs="Arial" w:eastAsia="Arial" w:hAnsi="Arial"/>
          <w:sz w:val="16"/>
          <w:szCs w:val="16"/>
          <w:color w:val="auto"/>
        </w:rPr>
        <w:t>, for information about the fair value of the Company's long-term debt.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20"/>
                <w:szCs w:val="20"/>
                <w:color w:val="auto"/>
              </w:rPr>
            </w:pPr>
            <w:r>
              <w:rPr>
                <w:rFonts w:ascii="Arial" w:cs="Arial" w:eastAsia="Arial" w:hAnsi="Arial"/>
                <w:sz w:val="16"/>
                <w:szCs w:val="16"/>
                <w:b w:val="1"/>
                <w:bCs w:val="1"/>
                <w:color w:val="auto"/>
              </w:rPr>
              <w:t>Note 5: Inventories</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600" w:type="dxa"/>
            <w:vAlign w:val="bottom"/>
          </w:tcPr>
          <w:p>
            <w:pPr>
              <w:spacing w:after="0"/>
              <w:rPr>
                <w:sz w:val="20"/>
                <w:szCs w:val="20"/>
                <w:color w:val="auto"/>
              </w:rPr>
            </w:pPr>
            <w:r>
              <w:rPr>
                <w:rFonts w:ascii="Arial" w:cs="Arial" w:eastAsia="Arial" w:hAnsi="Arial"/>
                <w:sz w:val="16"/>
                <w:szCs w:val="16"/>
                <w:color w:val="auto"/>
              </w:rPr>
              <w:t>Inventories consist of the following:</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22"/>
                <w:szCs w:val="22"/>
                <w:color w:val="auto"/>
              </w:rPr>
            </w:pPr>
          </w:p>
        </w:tc>
        <w:tc>
          <w:tcPr>
            <w:tcW w:w="1680" w:type="dxa"/>
            <w:vAlign w:val="bottom"/>
            <w:gridSpan w:val="2"/>
          </w:tcPr>
          <w:p>
            <w:pPr>
              <w:ind w:left="60"/>
              <w:spacing w:after="0"/>
              <w:rPr>
                <w:sz w:val="20"/>
                <w:szCs w:val="20"/>
                <w:color w:val="auto"/>
              </w:rPr>
            </w:pPr>
            <w:r>
              <w:rPr>
                <w:rFonts w:ascii="Arial" w:cs="Arial" w:eastAsia="Arial" w:hAnsi="Arial"/>
                <w:sz w:val="16"/>
                <w:szCs w:val="16"/>
                <w:b w:val="1"/>
                <w:bCs w:val="1"/>
                <w:color w:val="auto"/>
              </w:rPr>
              <w:t>August 29, 2020</w:t>
            </w:r>
          </w:p>
        </w:tc>
        <w:tc>
          <w:tcPr>
            <w:tcW w:w="180" w:type="dxa"/>
            <w:vAlign w:val="bottom"/>
          </w:tcPr>
          <w:p>
            <w:pPr>
              <w:spacing w:after="0"/>
              <w:rPr>
                <w:sz w:val="22"/>
                <w:szCs w:val="22"/>
                <w:color w:val="auto"/>
              </w:rPr>
            </w:pPr>
          </w:p>
        </w:tc>
        <w:tc>
          <w:tcPr>
            <w:tcW w:w="158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31, 2019</w:t>
            </w:r>
          </w:p>
        </w:tc>
        <w:tc>
          <w:tcPr>
            <w:tcW w:w="0" w:type="dxa"/>
            <w:vAlign w:val="bottom"/>
          </w:tcPr>
          <w:p>
            <w:pPr>
              <w:spacing w:after="0"/>
              <w:rPr>
                <w:sz w:val="1"/>
                <w:szCs w:val="1"/>
                <w:color w:val="auto"/>
              </w:rPr>
            </w:pPr>
          </w:p>
        </w:tc>
      </w:tr>
      <w:tr>
        <w:trPr>
          <w:trHeight w:val="243"/>
        </w:trPr>
        <w:tc>
          <w:tcPr>
            <w:tcW w:w="7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17,141</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53,417</w:t>
            </w:r>
          </w:p>
        </w:tc>
        <w:tc>
          <w:tcPr>
            <w:tcW w:w="0" w:type="dxa"/>
            <w:vAlign w:val="bottom"/>
          </w:tcPr>
          <w:p>
            <w:pPr>
              <w:spacing w:after="0"/>
              <w:rPr>
                <w:sz w:val="1"/>
                <w:szCs w:val="1"/>
                <w:color w:val="auto"/>
              </w:rPr>
            </w:pPr>
          </w:p>
        </w:tc>
      </w:tr>
      <w:tr>
        <w:trPr>
          <w:trHeight w:val="233"/>
        </w:trPr>
        <w:tc>
          <w:tcPr>
            <w:tcW w:w="7600" w:type="dxa"/>
            <w:vAlign w:val="bottom"/>
          </w:tcPr>
          <w:p>
            <w:pPr>
              <w:ind w:left="20"/>
              <w:spacing w:after="0"/>
              <w:rPr>
                <w:sz w:val="20"/>
                <w:szCs w:val="20"/>
                <w:color w:val="auto"/>
              </w:rPr>
            </w:pPr>
            <w:r>
              <w:rPr>
                <w:rFonts w:ascii="Arial" w:cs="Arial" w:eastAsia="Arial" w:hAnsi="Arial"/>
                <w:sz w:val="16"/>
                <w:szCs w:val="16"/>
                <w:color w:val="auto"/>
              </w:rPr>
              <w:t>Work-in-process ("WIP")</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86,651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82,926</w:t>
            </w:r>
          </w:p>
        </w:tc>
        <w:tc>
          <w:tcPr>
            <w:tcW w:w="0" w:type="dxa"/>
            <w:vAlign w:val="bottom"/>
          </w:tcPr>
          <w:p>
            <w:pPr>
              <w:spacing w:after="0"/>
              <w:rPr>
                <w:sz w:val="1"/>
                <w:szCs w:val="1"/>
                <w:color w:val="auto"/>
              </w:rPr>
            </w:pPr>
          </w:p>
        </w:tc>
      </w:tr>
      <w:tr>
        <w:trPr>
          <w:trHeight w:val="24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2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114,982</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105,804</w:t>
            </w:r>
          </w:p>
        </w:tc>
        <w:tc>
          <w:tcPr>
            <w:tcW w:w="0" w:type="dxa"/>
            <w:vAlign w:val="bottom"/>
          </w:tcPr>
          <w:p>
            <w:pPr>
              <w:spacing w:after="0"/>
              <w:rPr>
                <w:sz w:val="1"/>
                <w:szCs w:val="1"/>
                <w:color w:val="auto"/>
              </w:rPr>
            </w:pPr>
          </w:p>
        </w:tc>
      </w:tr>
      <w:tr>
        <w:trPr>
          <w:trHeight w:val="233"/>
        </w:trPr>
        <w:tc>
          <w:tcPr>
            <w:tcW w:w="7600" w:type="dxa"/>
            <w:vAlign w:val="bottom"/>
          </w:tcPr>
          <w:p>
            <w:pPr>
              <w:ind w:left="120"/>
              <w:spacing w:after="0"/>
              <w:rPr>
                <w:sz w:val="20"/>
                <w:szCs w:val="20"/>
                <w:color w:val="auto"/>
              </w:rPr>
            </w:pPr>
            <w:r>
              <w:rPr>
                <w:rFonts w:ascii="Arial" w:cs="Arial" w:eastAsia="Arial" w:hAnsi="Arial"/>
                <w:sz w:val="16"/>
                <w:szCs w:val="16"/>
                <w:color w:val="auto"/>
              </w:rPr>
              <w:t>Total</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218,774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242,147</w:t>
            </w:r>
          </w:p>
        </w:tc>
        <w:tc>
          <w:tcPr>
            <w:tcW w:w="0" w:type="dxa"/>
            <w:vAlign w:val="bottom"/>
          </w:tcPr>
          <w:p>
            <w:pPr>
              <w:spacing w:after="0"/>
              <w:rPr>
                <w:sz w:val="1"/>
                <w:szCs w:val="1"/>
                <w:color w:val="auto"/>
              </w:rPr>
            </w:pPr>
          </w:p>
        </w:tc>
      </w:tr>
      <w:tr>
        <w:trPr>
          <w:trHeight w:val="24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LIFO reserve</w:t>
            </w:r>
          </w:p>
        </w:tc>
        <w:tc>
          <w:tcPr>
            <w:tcW w:w="2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35,833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41,021</w:t>
            </w:r>
          </w:p>
        </w:tc>
        <w:tc>
          <w:tcPr>
            <w:tcW w:w="0" w:type="dxa"/>
            <w:vAlign w:val="bottom"/>
          </w:tcPr>
          <w:p>
            <w:pPr>
              <w:spacing w:after="0"/>
              <w:rPr>
                <w:sz w:val="1"/>
                <w:szCs w:val="1"/>
                <w:color w:val="auto"/>
              </w:rPr>
            </w:pPr>
          </w:p>
        </w:tc>
      </w:tr>
      <w:tr>
        <w:trPr>
          <w:trHeight w:val="243"/>
        </w:trPr>
        <w:tc>
          <w:tcPr>
            <w:tcW w:w="760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182,941</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201,126</w:t>
            </w:r>
          </w:p>
        </w:tc>
        <w:tc>
          <w:tcPr>
            <w:tcW w:w="0" w:type="dxa"/>
            <w:vAlign w:val="bottom"/>
          </w:tcPr>
          <w:p>
            <w:pPr>
              <w:spacing w:after="0"/>
              <w:rPr>
                <w:sz w:val="1"/>
                <w:szCs w:val="1"/>
                <w:color w:val="auto"/>
              </w:rPr>
            </w:pPr>
          </w:p>
        </w:tc>
      </w:tr>
      <w:tr>
        <w:trPr>
          <w:trHeight w:val="21"/>
        </w:trPr>
        <w:tc>
          <w:tcPr>
            <w:tcW w:w="7600" w:type="dxa"/>
            <w:vAlign w:val="bottom"/>
            <w:vMerge w:val="restart"/>
          </w:tcPr>
          <w:p>
            <w:pPr>
              <w:spacing w:after="0"/>
              <w:rPr>
                <w:sz w:val="20"/>
                <w:szCs w:val="20"/>
                <w:color w:val="auto"/>
              </w:rPr>
            </w:pPr>
            <w:r>
              <w:rPr>
                <w:rFonts w:ascii="Arial" w:cs="Arial" w:eastAsia="Arial" w:hAnsi="Arial"/>
                <w:sz w:val="16"/>
                <w:szCs w:val="16"/>
                <w:color w:val="auto"/>
              </w:rPr>
              <w:t>Inventory valuation methods consist of the following:</w:t>
            </w: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1"/>
        </w:trPr>
        <w:tc>
          <w:tcPr>
            <w:tcW w:w="76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22"/>
                <w:szCs w:val="22"/>
                <w:color w:val="auto"/>
              </w:rPr>
            </w:pPr>
          </w:p>
        </w:tc>
        <w:tc>
          <w:tcPr>
            <w:tcW w:w="1680" w:type="dxa"/>
            <w:vAlign w:val="bottom"/>
            <w:gridSpan w:val="2"/>
          </w:tcPr>
          <w:p>
            <w:pPr>
              <w:ind w:left="60"/>
              <w:spacing w:after="0"/>
              <w:rPr>
                <w:sz w:val="20"/>
                <w:szCs w:val="20"/>
                <w:color w:val="auto"/>
              </w:rPr>
            </w:pPr>
            <w:r>
              <w:rPr>
                <w:rFonts w:ascii="Arial" w:cs="Arial" w:eastAsia="Arial" w:hAnsi="Arial"/>
                <w:sz w:val="16"/>
                <w:szCs w:val="16"/>
                <w:b w:val="1"/>
                <w:bCs w:val="1"/>
                <w:color w:val="auto"/>
              </w:rPr>
              <w:t>August 29, 2020</w:t>
            </w:r>
          </w:p>
        </w:tc>
        <w:tc>
          <w:tcPr>
            <w:tcW w:w="180" w:type="dxa"/>
            <w:vAlign w:val="bottom"/>
          </w:tcPr>
          <w:p>
            <w:pPr>
              <w:spacing w:after="0"/>
              <w:rPr>
                <w:sz w:val="22"/>
                <w:szCs w:val="22"/>
                <w:color w:val="auto"/>
              </w:rPr>
            </w:pPr>
          </w:p>
        </w:tc>
        <w:tc>
          <w:tcPr>
            <w:tcW w:w="158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31, 2019</w:t>
            </w:r>
          </w:p>
        </w:tc>
        <w:tc>
          <w:tcPr>
            <w:tcW w:w="0" w:type="dxa"/>
            <w:vAlign w:val="bottom"/>
          </w:tcPr>
          <w:p>
            <w:pPr>
              <w:spacing w:after="0"/>
              <w:rPr>
                <w:sz w:val="1"/>
                <w:szCs w:val="1"/>
                <w:color w:val="auto"/>
              </w:rPr>
            </w:pPr>
          </w:p>
        </w:tc>
      </w:tr>
      <w:tr>
        <w:trPr>
          <w:trHeight w:val="243"/>
        </w:trPr>
        <w:tc>
          <w:tcPr>
            <w:tcW w:w="7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LIFO basis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88,675</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184,007</w:t>
            </w:r>
          </w:p>
        </w:tc>
        <w:tc>
          <w:tcPr>
            <w:tcW w:w="0" w:type="dxa"/>
            <w:vAlign w:val="bottom"/>
          </w:tcPr>
          <w:p>
            <w:pPr>
              <w:spacing w:after="0"/>
              <w:rPr>
                <w:sz w:val="1"/>
                <w:szCs w:val="1"/>
                <w:color w:val="auto"/>
              </w:rPr>
            </w:pPr>
          </w:p>
        </w:tc>
      </w:tr>
      <w:tr>
        <w:trPr>
          <w:trHeight w:val="236"/>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FIFO basis</w:t>
            </w: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130,099</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58,140</w:t>
            </w:r>
          </w:p>
        </w:tc>
        <w:tc>
          <w:tcPr>
            <w:tcW w:w="0" w:type="dxa"/>
            <w:vAlign w:val="bottom"/>
          </w:tcPr>
          <w:p>
            <w:pPr>
              <w:spacing w:after="0"/>
              <w:rPr>
                <w:sz w:val="1"/>
                <w:szCs w:val="1"/>
                <w:color w:val="auto"/>
              </w:rPr>
            </w:pPr>
          </w:p>
        </w:tc>
      </w:tr>
      <w:tr>
        <w:trPr>
          <w:trHeight w:val="268"/>
        </w:trPr>
        <w:tc>
          <w:tcPr>
            <w:tcW w:w="7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218,774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242,147</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The above value of inventories, before reduction for the LIFO reserve, approximates replacement cost at the respective dates.</w:t>
      </w:r>
    </w:p>
    <w:p>
      <w:pPr>
        <w:spacing w:after="0" w:line="248" w:lineRule="exact"/>
        <w:rPr>
          <w:sz w:val="20"/>
          <w:szCs w:val="20"/>
          <w:color w:val="auto"/>
        </w:rPr>
      </w:pPr>
    </w:p>
    <w:p>
      <w:pPr>
        <w:jc w:val="both"/>
        <w:ind w:right="60"/>
        <w:spacing w:after="0" w:line="260" w:lineRule="auto"/>
        <w:rPr>
          <w:sz w:val="20"/>
          <w:szCs w:val="20"/>
          <w:color w:val="auto"/>
        </w:rPr>
      </w:pPr>
      <w:r>
        <w:rPr>
          <w:rFonts w:ascii="Arial" w:cs="Arial" w:eastAsia="Arial" w:hAnsi="Arial"/>
          <w:sz w:val="16"/>
          <w:szCs w:val="16"/>
          <w:color w:val="auto"/>
        </w:rPr>
        <w:t>Our inventory quantities were reduced during Fiscal 2020, resulting in a liquidation of LIFO inventory layers (a "LIFO decrement"). A LIFO decrement results in the erosion of layers created in earlier years, and, therefore, a LIFO layer is not created for years that</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58" w:name="page59"/>
    <w:bookmarkEnd w:id="5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have decrements. The Company had a decrement of its LIFO inventory layers of $5.2 million in Fiscal 2020. There was no LIFO decrement recorded in Fiscal 2019.</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Property, Plant, and Equipment</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9"/>
                <w:szCs w:val="19"/>
                <w:color w:val="auto"/>
              </w:rPr>
            </w:pPr>
          </w:p>
        </w:tc>
        <w:tc>
          <w:tcPr>
            <w:tcW w:w="1680" w:type="dxa"/>
            <w:vAlign w:val="bottom"/>
            <w:gridSpan w:val="2"/>
          </w:tcPr>
          <w:p>
            <w:pPr>
              <w:ind w:left="60"/>
              <w:spacing w:after="0"/>
              <w:rPr>
                <w:sz w:val="20"/>
                <w:szCs w:val="20"/>
                <w:color w:val="auto"/>
              </w:rPr>
            </w:pPr>
            <w:r>
              <w:rPr>
                <w:rFonts w:ascii="Arial" w:cs="Arial" w:eastAsia="Arial" w:hAnsi="Arial"/>
                <w:sz w:val="16"/>
                <w:szCs w:val="16"/>
                <w:b w:val="1"/>
                <w:bCs w:val="1"/>
                <w:color w:val="auto"/>
              </w:rPr>
              <w:t>August 29, 2020</w:t>
            </w:r>
          </w:p>
        </w:tc>
        <w:tc>
          <w:tcPr>
            <w:tcW w:w="180" w:type="dxa"/>
            <w:vAlign w:val="bottom"/>
          </w:tcPr>
          <w:p>
            <w:pPr>
              <w:spacing w:after="0"/>
              <w:rPr>
                <w:sz w:val="19"/>
                <w:szCs w:val="19"/>
                <w:color w:val="auto"/>
              </w:rPr>
            </w:pPr>
          </w:p>
        </w:tc>
        <w:tc>
          <w:tcPr>
            <w:tcW w:w="158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31, 2019</w:t>
            </w:r>
          </w:p>
        </w:tc>
      </w:tr>
      <w:tr>
        <w:trPr>
          <w:trHeight w:val="243"/>
        </w:trPr>
        <w:tc>
          <w:tcPr>
            <w:tcW w:w="7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11,101</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6,799</w:t>
            </w:r>
          </w:p>
        </w:tc>
      </w:tr>
      <w:tr>
        <w:trPr>
          <w:trHeight w:val="233"/>
        </w:trPr>
        <w:tc>
          <w:tcPr>
            <w:tcW w:w="7600" w:type="dxa"/>
            <w:vAlign w:val="bottom"/>
          </w:tcPr>
          <w:p>
            <w:pPr>
              <w:ind w:left="20"/>
              <w:spacing w:after="0"/>
              <w:rPr>
                <w:sz w:val="20"/>
                <w:szCs w:val="20"/>
                <w:color w:val="auto"/>
              </w:rPr>
            </w:pPr>
            <w:r>
              <w:rPr>
                <w:rFonts w:ascii="Arial" w:cs="Arial" w:eastAsia="Arial" w:hAnsi="Arial"/>
                <w:sz w:val="16"/>
                <w:szCs w:val="16"/>
                <w:color w:val="auto"/>
              </w:rPr>
              <w:t>Buildings and building improvements</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165,343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119,638</w:t>
            </w:r>
          </w:p>
        </w:tc>
      </w:tr>
      <w:tr>
        <w:trPr>
          <w:trHeight w:val="25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117,370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107,701</w:t>
            </w:r>
          </w:p>
        </w:tc>
      </w:tr>
      <w:tr>
        <w:trPr>
          <w:trHeight w:val="233"/>
        </w:trPr>
        <w:tc>
          <w:tcPr>
            <w:tcW w:w="7600" w:type="dxa"/>
            <w:vAlign w:val="bottom"/>
          </w:tcPr>
          <w:p>
            <w:pPr>
              <w:ind w:left="20"/>
              <w:spacing w:after="0"/>
              <w:rPr>
                <w:sz w:val="20"/>
                <w:szCs w:val="20"/>
                <w:color w:val="auto"/>
              </w:rPr>
            </w:pPr>
            <w:r>
              <w:rPr>
                <w:rFonts w:ascii="Arial" w:cs="Arial" w:eastAsia="Arial" w:hAnsi="Arial"/>
                <w:sz w:val="16"/>
                <w:szCs w:val="16"/>
                <w:color w:val="auto"/>
              </w:rPr>
              <w:t>Software</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28,456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29,169</w:t>
            </w:r>
          </w:p>
        </w:tc>
      </w:tr>
      <w:tr>
        <w:trPr>
          <w:trHeight w:val="24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Transportation</w:t>
            </w:r>
          </w:p>
        </w:tc>
        <w:tc>
          <w:tcPr>
            <w:tcW w:w="2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3,865</w:t>
            </w:r>
          </w:p>
        </w:tc>
      </w:tr>
      <w:tr>
        <w:trPr>
          <w:trHeight w:val="233"/>
        </w:trPr>
        <w:tc>
          <w:tcPr>
            <w:tcW w:w="7600" w:type="dxa"/>
            <w:vAlign w:val="bottom"/>
          </w:tcPr>
          <w:p>
            <w:pPr>
              <w:ind w:left="120"/>
              <w:spacing w:after="0"/>
              <w:rPr>
                <w:sz w:val="20"/>
                <w:szCs w:val="20"/>
                <w:color w:val="auto"/>
              </w:rPr>
            </w:pPr>
            <w:r>
              <w:rPr>
                <w:rFonts w:ascii="Arial" w:cs="Arial" w:eastAsia="Arial" w:hAnsi="Arial"/>
                <w:sz w:val="16"/>
                <w:szCs w:val="16"/>
                <w:color w:val="auto"/>
              </w:rPr>
              <w:t>Property, plant, and equipment, gross</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327,183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267,172</w:t>
            </w:r>
          </w:p>
        </w:tc>
      </w:tr>
      <w:tr>
        <w:trPr>
          <w:trHeight w:val="24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2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152,238</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139,600</w:t>
            </w:r>
          </w:p>
        </w:tc>
      </w:tr>
      <w:tr>
        <w:trPr>
          <w:trHeight w:val="243"/>
        </w:trPr>
        <w:tc>
          <w:tcPr>
            <w:tcW w:w="7600" w:type="dxa"/>
            <w:vAlign w:val="bottom"/>
          </w:tcPr>
          <w:p>
            <w:pPr>
              <w:ind w:left="12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174,945</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127,572</w:t>
            </w:r>
          </w:p>
        </w:tc>
      </w:tr>
      <w:tr>
        <w:trPr>
          <w:trHeight w:val="21"/>
        </w:trPr>
        <w:tc>
          <w:tcPr>
            <w:tcW w:w="7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For Fiscal 2020, 2019, and 2018, depreciation charged to operations was $16.0 million, $13.7 million, and $9.8 million,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Goodwill and Intangible Assets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carrying amount of goodwill by segment were as follows in Fiscal 2020, 2019, and 2018:</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Towable</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Motorhome</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Corporate / All Other</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Total</w:t>
            </w:r>
          </w:p>
        </w:tc>
      </w:tr>
      <w:tr>
        <w:trPr>
          <w:trHeight w:val="243"/>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August 26, 2017</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242,728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242,728</w:t>
            </w:r>
          </w:p>
        </w:tc>
      </w:tr>
      <w:tr>
        <w:trPr>
          <w:trHeight w:val="233"/>
        </w:trPr>
        <w:tc>
          <w:tcPr>
            <w:tcW w:w="3980" w:type="dxa"/>
            <w:vAlign w:val="bottom"/>
          </w:tcPr>
          <w:p>
            <w:pPr>
              <w:ind w:left="120"/>
              <w:spacing w:after="0"/>
              <w:rPr>
                <w:sz w:val="20"/>
                <w:szCs w:val="20"/>
                <w:color w:val="auto"/>
              </w:rPr>
            </w:pPr>
            <w:r>
              <w:rPr>
                <w:rFonts w:ascii="Arial" w:cs="Arial" w:eastAsia="Arial" w:hAnsi="Arial"/>
                <w:sz w:val="16"/>
                <w:szCs w:val="16"/>
                <w:color w:val="auto"/>
              </w:rPr>
              <w:t>Grand Design purchase price adjustment</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1,956</w:t>
            </w:r>
          </w:p>
        </w:tc>
      </w:tr>
      <w:tr>
        <w:trPr>
          <w:trHeight w:val="253"/>
        </w:trPr>
        <w:tc>
          <w:tcPr>
            <w:tcW w:w="3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of Chris-Craft</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29,686</w:t>
            </w:r>
          </w:p>
        </w:tc>
        <w:tc>
          <w:tcPr>
            <w:tcW w:w="8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29,686</w:t>
            </w:r>
          </w:p>
        </w:tc>
      </w:tr>
      <w:tr>
        <w:trPr>
          <w:trHeight w:val="227"/>
        </w:trPr>
        <w:tc>
          <w:tcPr>
            <w:tcW w:w="3980" w:type="dxa"/>
            <w:vAlign w:val="bottom"/>
          </w:tcPr>
          <w:p>
            <w:pPr>
              <w:ind w:left="20"/>
              <w:spacing w:after="0"/>
              <w:rPr>
                <w:sz w:val="20"/>
                <w:szCs w:val="20"/>
                <w:color w:val="auto"/>
              </w:rPr>
            </w:pPr>
            <w:r>
              <w:rPr>
                <w:rFonts w:ascii="Arial" w:cs="Arial" w:eastAsia="Arial" w:hAnsi="Arial"/>
                <w:sz w:val="16"/>
                <w:szCs w:val="16"/>
                <w:color w:val="auto"/>
              </w:rPr>
              <w:t>Balances at August 25, 2018</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244,684</w:t>
            </w:r>
          </w:p>
        </w:tc>
        <w:tc>
          <w:tcPr>
            <w:tcW w:w="100" w:type="dxa"/>
            <w:vAlign w:val="bottom"/>
          </w:tcPr>
          <w:p>
            <w:pPr>
              <w:spacing w:after="0"/>
              <w:rPr>
                <w:sz w:val="19"/>
                <w:szCs w:val="19"/>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29,686</w:t>
            </w:r>
          </w:p>
        </w:tc>
        <w:tc>
          <w:tcPr>
            <w:tcW w:w="80" w:type="dxa"/>
            <w:vAlign w:val="bottom"/>
          </w:tcPr>
          <w:p>
            <w:pPr>
              <w:spacing w:after="0"/>
              <w:rPr>
                <w:sz w:val="19"/>
                <w:szCs w:val="19"/>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274,370</w:t>
            </w:r>
          </w:p>
        </w:tc>
      </w:tr>
      <w:tr>
        <w:trPr>
          <w:trHeight w:val="253"/>
        </w:trPr>
        <w:tc>
          <w:tcPr>
            <w:tcW w:w="3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Chris-Craft purchase price adjustment</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561</w:t>
            </w:r>
          </w:p>
        </w:tc>
        <w:tc>
          <w:tcPr>
            <w:tcW w:w="8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w:t>
            </w:r>
          </w:p>
        </w:tc>
      </w:tr>
      <w:tr>
        <w:trPr>
          <w:trHeight w:val="227"/>
        </w:trPr>
        <w:tc>
          <w:tcPr>
            <w:tcW w:w="3980" w:type="dxa"/>
            <w:vAlign w:val="bottom"/>
          </w:tcPr>
          <w:p>
            <w:pPr>
              <w:ind w:left="20"/>
              <w:spacing w:after="0"/>
              <w:rPr>
                <w:sz w:val="20"/>
                <w:szCs w:val="20"/>
                <w:color w:val="auto"/>
              </w:rPr>
            </w:pPr>
            <w:r>
              <w:rPr>
                <w:rFonts w:ascii="Arial" w:cs="Arial" w:eastAsia="Arial" w:hAnsi="Arial"/>
                <w:sz w:val="16"/>
                <w:szCs w:val="16"/>
                <w:color w:val="auto"/>
              </w:rPr>
              <w:t>Balances at August 31, 2019</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244,684</w:t>
            </w:r>
          </w:p>
        </w:tc>
        <w:tc>
          <w:tcPr>
            <w:tcW w:w="100" w:type="dxa"/>
            <w:vAlign w:val="bottom"/>
          </w:tcPr>
          <w:p>
            <w:pPr>
              <w:spacing w:after="0"/>
              <w:rPr>
                <w:sz w:val="19"/>
                <w:szCs w:val="19"/>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30,247</w:t>
            </w:r>
          </w:p>
        </w:tc>
        <w:tc>
          <w:tcPr>
            <w:tcW w:w="80" w:type="dxa"/>
            <w:vAlign w:val="bottom"/>
          </w:tcPr>
          <w:p>
            <w:pPr>
              <w:spacing w:after="0"/>
              <w:rPr>
                <w:sz w:val="19"/>
                <w:szCs w:val="19"/>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274,931</w:t>
            </w:r>
          </w:p>
        </w:tc>
      </w:tr>
      <w:tr>
        <w:trPr>
          <w:trHeight w:val="253"/>
        </w:trPr>
        <w:tc>
          <w:tcPr>
            <w:tcW w:w="3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of Newmar</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73,127</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73,127</w:t>
            </w:r>
          </w:p>
        </w:tc>
      </w:tr>
      <w:tr>
        <w:trPr>
          <w:trHeight w:val="237"/>
        </w:trPr>
        <w:tc>
          <w:tcPr>
            <w:tcW w:w="3980" w:type="dxa"/>
            <w:vAlign w:val="bottom"/>
          </w:tcPr>
          <w:p>
            <w:pPr>
              <w:ind w:left="20"/>
              <w:spacing w:after="0"/>
              <w:rPr>
                <w:sz w:val="20"/>
                <w:szCs w:val="20"/>
                <w:color w:val="auto"/>
              </w:rPr>
            </w:pPr>
            <w:r>
              <w:rPr>
                <w:rFonts w:ascii="Arial" w:cs="Arial" w:eastAsia="Arial" w:hAnsi="Arial"/>
                <w:sz w:val="16"/>
                <w:szCs w:val="16"/>
                <w:color w:val="auto"/>
              </w:rPr>
              <w:t>Balances at August 29, 2020</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244,684</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73,127</w:t>
            </w:r>
          </w:p>
        </w:tc>
        <w:tc>
          <w:tcPr>
            <w:tcW w:w="100" w:type="dxa"/>
            <w:vAlign w:val="bottom"/>
          </w:tcPr>
          <w:p>
            <w:pPr>
              <w:spacing w:after="0"/>
              <w:rPr>
                <w:sz w:val="20"/>
                <w:szCs w:val="20"/>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30,247</w:t>
            </w:r>
          </w:p>
        </w:tc>
        <w:tc>
          <w:tcPr>
            <w:tcW w:w="8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348,058</w:t>
            </w:r>
          </w:p>
        </w:tc>
      </w:tr>
      <w:tr>
        <w:trPr>
          <w:trHeight w:val="20"/>
        </w:trPr>
        <w:tc>
          <w:tcPr>
            <w:tcW w:w="3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Business Combinations</w:t>
      </w:r>
      <w:r>
        <w:rPr>
          <w:rFonts w:ascii="Arial" w:cs="Arial" w:eastAsia="Arial" w:hAnsi="Arial"/>
          <w:sz w:val="14"/>
          <w:szCs w:val="14"/>
          <w:color w:val="auto"/>
        </w:rPr>
        <w:t>, for additional information on the acquisitions of Chris-Craft and Newmar.</w:t>
      </w:r>
    </w:p>
    <w:p>
      <w:pPr>
        <w:spacing w:after="0" w:line="36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valuation used to test goodwill for impairment is dependent upon a number of significant estimates and assumptions, including macroeconomic conditions, growth rates, competitive activities, cost containment, margin expansion and the Company's business plans. The Company believes these estimates and assumptions are reasonable. However, future changes in the judgments, assumptions and estimates that are used in our impairment testing for goodwill, including discount and tax rates or future cash flow projections, could result in significantly different estimates of the fair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9" w:name="page60"/>
    <w:bookmarkEnd w:id="5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40"/>
        <w:spacing w:after="0" w:line="237" w:lineRule="auto"/>
        <w:rPr>
          <w:sz w:val="20"/>
          <w:szCs w:val="20"/>
          <w:color w:val="auto"/>
        </w:rPr>
      </w:pPr>
      <w:r>
        <w:rPr>
          <w:rFonts w:ascii="Arial" w:cs="Arial" w:eastAsia="Arial" w:hAnsi="Arial"/>
          <w:sz w:val="16"/>
          <w:szCs w:val="16"/>
          <w:color w:val="auto"/>
        </w:rPr>
        <w:t>The Company has no accumulated impairment losses as of August 29, 2020. While the Chris-Craft reporting unit's fair value exceeded its respective carrying value, the fair value cushion was not substantial and could be impacted if projected operating results are not met or other significant assumptions referenced above change.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gridSpan w:val="7"/>
          </w:tcPr>
          <w:p>
            <w:pPr>
              <w:spacing w:after="0"/>
              <w:rPr>
                <w:sz w:val="20"/>
                <w:szCs w:val="20"/>
                <w:color w:val="auto"/>
              </w:rPr>
            </w:pPr>
            <w:r>
              <w:rPr>
                <w:rFonts w:ascii="Arial" w:cs="Arial" w:eastAsia="Arial" w:hAnsi="Arial"/>
                <w:sz w:val="16"/>
                <w:szCs w:val="16"/>
                <w:color w:val="auto"/>
              </w:rPr>
              <w:t>Intangible assets, net of accumulated amortization consists of the following:</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56"/>
        </w:trPr>
        <w:tc>
          <w:tcPr>
            <w:tcW w:w="268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August 29, 2020</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August 31, 2019</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r>
      <w:tr>
        <w:trPr>
          <w:trHeight w:val="198"/>
        </w:trPr>
        <w:tc>
          <w:tcPr>
            <w:tcW w:w="268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Weighted</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89"/>
        </w:trPr>
        <w:tc>
          <w:tcPr>
            <w:tcW w:w="2680" w:type="dxa"/>
            <w:vAlign w:val="bottom"/>
          </w:tcPr>
          <w:p>
            <w:pPr>
              <w:spacing w:after="0"/>
              <w:rPr>
                <w:sz w:val="16"/>
                <w:szCs w:val="16"/>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Average Life-</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 Life-</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b w:val="1"/>
                <w:bCs w:val="1"/>
                <w:color w:val="auto"/>
              </w:rPr>
              <w:t>Accumulated</w:t>
            </w:r>
          </w:p>
        </w:tc>
      </w:tr>
      <w:tr>
        <w:trPr>
          <w:trHeight w:val="228"/>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Years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Cost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Years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6"/>
                <w:szCs w:val="16"/>
                <w:b w:val="1"/>
                <w:bCs w:val="1"/>
                <w:color w:val="auto"/>
              </w:rPr>
              <w:t>Cost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Amortization</w:t>
            </w:r>
          </w:p>
        </w:tc>
      </w:tr>
      <w:tr>
        <w:trPr>
          <w:trHeight w:val="243"/>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11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Indefinite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275,250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Indefinite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177,250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3"/>
        </w:trPr>
        <w:tc>
          <w:tcPr>
            <w:tcW w:w="2680" w:type="dxa"/>
            <w:vAlign w:val="bottom"/>
          </w:tcPr>
          <w:p>
            <w:pPr>
              <w:ind w:left="20"/>
              <w:spacing w:after="0"/>
              <w:rPr>
                <w:sz w:val="20"/>
                <w:szCs w:val="20"/>
                <w:color w:val="auto"/>
              </w:rPr>
            </w:pPr>
            <w:r>
              <w:rPr>
                <w:rFonts w:ascii="Arial" w:cs="Arial" w:eastAsia="Arial" w:hAnsi="Arial"/>
                <w:sz w:val="16"/>
                <w:szCs w:val="16"/>
                <w:color w:val="auto"/>
              </w:rPr>
              <w:t>Dealer networks</w:t>
            </w:r>
          </w:p>
        </w:tc>
        <w:tc>
          <w:tcPr>
            <w:tcW w:w="1080" w:type="dxa"/>
            <w:vAlign w:val="bottom"/>
          </w:tcPr>
          <w:p>
            <w:pPr>
              <w:jc w:val="center"/>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159,581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32,487</w:t>
            </w:r>
          </w:p>
        </w:tc>
        <w:tc>
          <w:tcPr>
            <w:tcW w:w="1180" w:type="dxa"/>
            <w:vAlign w:val="bottom"/>
            <w:gridSpan w:val="2"/>
          </w:tcPr>
          <w:p>
            <w:pPr>
              <w:jc w:val="center"/>
              <w:ind w:left="19"/>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95,581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20,329</w:t>
            </w:r>
          </w:p>
        </w:tc>
      </w:tr>
      <w:tr>
        <w:trPr>
          <w:trHeight w:val="253"/>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Backlog</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28,327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28,327</w:t>
            </w:r>
          </w:p>
        </w:tc>
        <w:tc>
          <w:tcPr>
            <w:tcW w:w="11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0.5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19,527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19,527</w:t>
            </w:r>
          </w:p>
        </w:tc>
      </w:tr>
      <w:tr>
        <w:trPr>
          <w:trHeight w:val="233"/>
        </w:trPr>
        <w:tc>
          <w:tcPr>
            <w:tcW w:w="2680" w:type="dxa"/>
            <w:vAlign w:val="bottom"/>
          </w:tcPr>
          <w:p>
            <w:pPr>
              <w:ind w:left="20"/>
              <w:spacing w:after="0"/>
              <w:rPr>
                <w:sz w:val="20"/>
                <w:szCs w:val="20"/>
                <w:color w:val="auto"/>
              </w:rPr>
            </w:pPr>
            <w:r>
              <w:rPr>
                <w:rFonts w:ascii="Arial" w:cs="Arial" w:eastAsia="Arial" w:hAnsi="Arial"/>
                <w:sz w:val="16"/>
                <w:szCs w:val="16"/>
                <w:color w:val="auto"/>
              </w:rPr>
              <w:t>Non-compete agreements</w:t>
            </w:r>
          </w:p>
        </w:tc>
        <w:tc>
          <w:tcPr>
            <w:tcW w:w="1080" w:type="dxa"/>
            <w:vAlign w:val="bottom"/>
          </w:tcPr>
          <w:p>
            <w:pPr>
              <w:jc w:val="center"/>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6,647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4,223</w:t>
            </w:r>
          </w:p>
        </w:tc>
        <w:tc>
          <w:tcPr>
            <w:tcW w:w="118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5,347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3,077</w:t>
            </w:r>
          </w:p>
        </w:tc>
      </w:tr>
      <w:tr>
        <w:trPr>
          <w:trHeight w:val="246"/>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interest-favorable</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8.1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690</w:t>
            </w:r>
          </w:p>
        </w:tc>
      </w:tr>
      <w:tr>
        <w:trPr>
          <w:trHeight w:val="233"/>
        </w:trPr>
        <w:tc>
          <w:tcPr>
            <w:tcW w:w="2680" w:type="dxa"/>
            <w:vAlign w:val="bottom"/>
          </w:tcPr>
          <w:p>
            <w:pPr>
              <w:ind w:left="120"/>
              <w:spacing w:after="0"/>
              <w:rPr>
                <w:sz w:val="20"/>
                <w:szCs w:val="20"/>
                <w:color w:val="auto"/>
              </w:rPr>
            </w:pPr>
            <w:r>
              <w:rPr>
                <w:rFonts w:ascii="Arial" w:cs="Arial" w:eastAsia="Arial" w:hAnsi="Arial"/>
                <w:sz w:val="16"/>
                <w:szCs w:val="16"/>
                <w:color w:val="auto"/>
              </w:rPr>
              <w:t>Other intangible assets, gross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469,805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65,037</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299,705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43,623</w:t>
            </w:r>
          </w:p>
        </w:tc>
      </w:tr>
      <w:tr>
        <w:trPr>
          <w:trHeight w:val="246"/>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amortization</w:t>
            </w: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65,037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43,623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43"/>
        </w:trPr>
        <w:tc>
          <w:tcPr>
            <w:tcW w:w="2680" w:type="dxa"/>
            <w:vAlign w:val="bottom"/>
          </w:tcPr>
          <w:p>
            <w:pPr>
              <w:ind w:left="120"/>
              <w:spacing w:after="0"/>
              <w:rPr>
                <w:sz w:val="20"/>
                <w:szCs w:val="20"/>
                <w:color w:val="auto"/>
              </w:rPr>
            </w:pPr>
            <w:r>
              <w:rPr>
                <w:rFonts w:ascii="Arial" w:cs="Arial" w:eastAsia="Arial" w:hAnsi="Arial"/>
                <w:sz w:val="16"/>
                <w:szCs w:val="16"/>
                <w:color w:val="auto"/>
              </w:rPr>
              <w:t>Other intangible assets, net</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404,768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256,082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
        </w:trPr>
        <w:tc>
          <w:tcPr>
            <w:tcW w:w="3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541"/>
        </w:trPr>
        <w:tc>
          <w:tcPr>
            <w:tcW w:w="9560" w:type="dxa"/>
            <w:vAlign w:val="bottom"/>
            <w:gridSpan w:val="15"/>
          </w:tcPr>
          <w:p>
            <w:pPr>
              <w:spacing w:after="0"/>
              <w:rPr>
                <w:sz w:val="20"/>
                <w:szCs w:val="20"/>
                <w:color w:val="auto"/>
              </w:rPr>
            </w:pPr>
            <w:r>
              <w:rPr>
                <w:rFonts w:ascii="Arial" w:cs="Arial" w:eastAsia="Arial" w:hAnsi="Arial"/>
                <w:sz w:val="16"/>
                <w:szCs w:val="16"/>
                <w:color w:val="auto"/>
              </w:rPr>
              <w:t>The weighted average remaining amortization period for intangible assets as of August 29, 2020 was approximately ten years.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6760" w:type="dxa"/>
            <w:vAlign w:val="bottom"/>
            <w:gridSpan w:val="8"/>
          </w:tcPr>
          <w:p>
            <w:pPr>
              <w:spacing w:after="0"/>
              <w:rPr>
                <w:sz w:val="20"/>
                <w:szCs w:val="20"/>
                <w:color w:val="auto"/>
              </w:rPr>
            </w:pPr>
            <w:r>
              <w:rPr>
                <w:rFonts w:ascii="Arial" w:cs="Arial" w:eastAsia="Arial" w:hAnsi="Arial"/>
                <w:sz w:val="16"/>
                <w:szCs w:val="16"/>
                <w:color w:val="auto"/>
              </w:rPr>
              <w:t>Remaining estimated aggregate annual amortization expense by fiscal year is as follows: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Amount</w:t>
            </w:r>
          </w:p>
        </w:tc>
      </w:tr>
      <w:tr>
        <w:trPr>
          <w:trHeight w:val="243"/>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2021</w:t>
            </w: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14,361</w:t>
            </w:r>
          </w:p>
        </w:tc>
      </w:tr>
      <w:tr>
        <w:trPr>
          <w:trHeight w:val="233"/>
        </w:trPr>
        <w:tc>
          <w:tcPr>
            <w:tcW w:w="2680" w:type="dxa"/>
            <w:vAlign w:val="bottom"/>
          </w:tcPr>
          <w:p>
            <w:pPr>
              <w:ind w:left="20"/>
              <w:spacing w:after="0"/>
              <w:rPr>
                <w:sz w:val="20"/>
                <w:szCs w:val="20"/>
                <w:color w:val="auto"/>
              </w:rPr>
            </w:pPr>
            <w:r>
              <w:rPr>
                <w:rFonts w:ascii="Arial" w:cs="Arial" w:eastAsia="Arial" w:hAnsi="Arial"/>
                <w:sz w:val="16"/>
                <w:szCs w:val="16"/>
                <w:color w:val="auto"/>
              </w:rPr>
              <w:t>Fiscal 2022</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13,719</w:t>
            </w:r>
          </w:p>
        </w:tc>
      </w:tr>
      <w:tr>
        <w:trPr>
          <w:trHeight w:val="253"/>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2023</w:t>
            </w: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13,526</w:t>
            </w:r>
          </w:p>
        </w:tc>
      </w:tr>
      <w:tr>
        <w:trPr>
          <w:trHeight w:val="233"/>
        </w:trPr>
        <w:tc>
          <w:tcPr>
            <w:tcW w:w="2680" w:type="dxa"/>
            <w:vAlign w:val="bottom"/>
          </w:tcPr>
          <w:p>
            <w:pPr>
              <w:ind w:left="20"/>
              <w:spacing w:after="0"/>
              <w:rPr>
                <w:sz w:val="20"/>
                <w:szCs w:val="20"/>
                <w:color w:val="auto"/>
              </w:rPr>
            </w:pPr>
            <w:r>
              <w:rPr>
                <w:rFonts w:ascii="Arial" w:cs="Arial" w:eastAsia="Arial" w:hAnsi="Arial"/>
                <w:sz w:val="16"/>
                <w:szCs w:val="16"/>
                <w:color w:val="auto"/>
              </w:rPr>
              <w:t>Fiscal 2024</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13,424</w:t>
            </w:r>
          </w:p>
        </w:tc>
      </w:tr>
      <w:tr>
        <w:trPr>
          <w:trHeight w:val="253"/>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2025</w:t>
            </w: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13,219</w:t>
            </w:r>
          </w:p>
        </w:tc>
      </w:tr>
      <w:tr>
        <w:trPr>
          <w:trHeight w:val="237"/>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0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61,269</w:t>
            </w:r>
          </w:p>
        </w:tc>
      </w:tr>
      <w:tr>
        <w:trPr>
          <w:trHeight w:val="263"/>
        </w:trPr>
        <w:tc>
          <w:tcPr>
            <w:tcW w:w="386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Total amortization expense remaining</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129,518</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Product Warranties</w:t>
      </w:r>
    </w:p>
    <w:p>
      <w:pPr>
        <w:spacing w:after="0" w:line="26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Company provides certain service and warranty on products sold. From time to time, the Company also voluntarily incurs costs for certain warranty-type expenses occurring after the normal warranty period to help protect the reputation of the Company's products and the goodwill of the customers. Estimated costs related to product warranty are accrued at the time of sale and are based upon historical warranty and service claims experience. Adjustments are made to accruals as claim data and cost experience becomes available.</w:t>
      </w:r>
    </w:p>
    <w:p>
      <w:pPr>
        <w:spacing w:after="0" w:line="22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 addition to the costs associated with the contractual warranty coverage provided on the Company's products, costs are incurred occasionally as a result of additional service actions not covered by warranties, including product recalls and customer satisfaction actions. Although the Company estimates and reserves for the cost of these service actions, there can be no assurance that expense levels will remain at current levels or such reserves will continue to be adequate.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40" w:type="dxa"/>
            <w:vAlign w:val="bottom"/>
          </w:tcPr>
          <w:p>
            <w:pPr>
              <w:spacing w:after="0"/>
              <w:rPr>
                <w:sz w:val="20"/>
                <w:szCs w:val="20"/>
                <w:color w:val="auto"/>
              </w:rPr>
            </w:pPr>
            <w:r>
              <w:rPr>
                <w:rFonts w:ascii="Arial" w:cs="Arial" w:eastAsia="Arial" w:hAnsi="Arial"/>
                <w:sz w:val="16"/>
                <w:szCs w:val="16"/>
                <w:color w:val="auto"/>
              </w:rPr>
              <w:t>Changes in the Company's product warranty liability are as follows:</w:t>
            </w: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10"/>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2018</w:t>
            </w:r>
          </w:p>
        </w:tc>
      </w:tr>
      <w:tr>
        <w:trPr>
          <w:trHeight w:val="243"/>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year</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44,436</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40,498</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30,805</w:t>
            </w:r>
          </w:p>
        </w:tc>
      </w:tr>
      <w:tr>
        <w:trPr>
          <w:trHeight w:val="243"/>
        </w:trPr>
        <w:tc>
          <w:tcPr>
            <w:tcW w:w="5740" w:type="dxa"/>
            <w:vAlign w:val="bottom"/>
          </w:tcPr>
          <w:p>
            <w:pPr>
              <w:ind w:left="140"/>
              <w:spacing w:after="0"/>
              <w:rPr>
                <w:sz w:val="20"/>
                <w:szCs w:val="20"/>
                <w:color w:val="auto"/>
              </w:rPr>
            </w:pPr>
            <w:r>
              <w:rPr>
                <w:rFonts w:ascii="Arial" w:cs="Arial" w:eastAsia="Arial" w:hAnsi="Arial"/>
                <w:sz w:val="16"/>
                <w:szCs w:val="16"/>
                <w:color w:val="auto"/>
              </w:rPr>
              <w:t>Business acquisitions</w:t>
            </w:r>
            <w:r>
              <w:rPr>
                <w:rFonts w:ascii="Arial" w:cs="Arial" w:eastAsia="Arial" w:hAnsi="Arial"/>
                <w:sz w:val="21"/>
                <w:szCs w:val="21"/>
                <w:color w:val="auto"/>
                <w:vertAlign w:val="superscript"/>
              </w:rPr>
              <w:t>(1)</w:t>
            </w:r>
          </w:p>
        </w:tc>
        <w:tc>
          <w:tcPr>
            <w:tcW w:w="108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rPr>
              <w:t>15,147</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611</w:t>
            </w:r>
          </w:p>
        </w:tc>
      </w:tr>
      <w:tr>
        <w:trPr>
          <w:trHeight w:val="243"/>
        </w:trPr>
        <w:tc>
          <w:tcPr>
            <w:tcW w:w="5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Provision</w:t>
            </w:r>
          </w:p>
        </w:tc>
        <w:tc>
          <w:tcPr>
            <w:tcW w:w="1080" w:type="dxa"/>
            <w:vAlign w:val="bottom"/>
            <w:shd w:val="clear" w:color="auto" w:fill="CCEEFF"/>
          </w:tcPr>
          <w:p>
            <w:pPr>
              <w:spacing w:after="0"/>
              <w:rPr>
                <w:sz w:val="21"/>
                <w:szCs w:val="21"/>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61,898</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45,902</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42,377</w:t>
            </w:r>
          </w:p>
        </w:tc>
      </w:tr>
      <w:tr>
        <w:trPr>
          <w:trHeight w:val="236"/>
        </w:trPr>
        <w:tc>
          <w:tcPr>
            <w:tcW w:w="57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Claims paid</w:t>
            </w:r>
          </w:p>
        </w:tc>
        <w:tc>
          <w:tcPr>
            <w:tcW w:w="10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(57,450)</w:t>
            </w:r>
          </w:p>
        </w:tc>
        <w:tc>
          <w:tcPr>
            <w:tcW w:w="1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(41,964)</w:t>
            </w:r>
          </w:p>
        </w:tc>
        <w:tc>
          <w:tcPr>
            <w:tcW w:w="1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(33,295)</w:t>
            </w:r>
          </w:p>
        </w:tc>
      </w:tr>
      <w:tr>
        <w:trPr>
          <w:trHeight w:val="26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year</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64,031</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44,436</w:t>
            </w:r>
          </w:p>
        </w:tc>
        <w:tc>
          <w:tcPr>
            <w:tcW w:w="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40,498</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Business Combinations</w:t>
      </w:r>
      <w:r>
        <w:rPr>
          <w:rFonts w:ascii="Arial" w:cs="Arial" w:eastAsia="Arial" w:hAnsi="Arial"/>
          <w:sz w:val="14"/>
          <w:szCs w:val="14"/>
          <w:color w:val="auto"/>
        </w:rPr>
        <w:t>, for additional information on the acquisitions of Chris-Craft and Newmar.</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60" w:name="page61"/>
    <w:bookmarkEnd w:id="6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Long-Term Debt</w:t>
      </w:r>
    </w:p>
    <w:p>
      <w:pPr>
        <w:spacing w:after="0" w:line="268"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On July 8, 2020, the Company closed its private offering (the “Senior Secured Notes Offering”) of $300 million aggregate principal amount of 6.25% Senior Secured Notes due 2028 (the “Senior Secured Notes”). The Senior Secured Notes were issued in accordance with an Indenture dated as of July 8, 2020 (the “Indenture”). The Senior Secured Notes will mature on July 15, 2028 unless earlier redeemed or repurchased. Interest on the Senior Secured Notes accrues starting July 8, 2020 and is payable semi-annually in arrears on January 15 and July 15 of each year, beginning January 15, 2021. The Senior Secured Notes and the related guarantees are secured by (i) a first-priority lien on substantially all of the Company’s and the subsidiary guarantor parties existing and future assets (other than certain collateral under the Company’s ABL facility) and (ii) a second-priority lien on the Company’s present and future accounts and receivables, inventory and other related assets and proceeds that secure the ABL facility on a first-priority basis.</w:t>
      </w:r>
    </w:p>
    <w:p>
      <w:pPr>
        <w:spacing w:after="0" w:line="23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Indenture limits certain abilities of the Company and its subsidiaries (subject to certain exceptions and qualifications) to incur additional debt and provide additional guarantees; make restricted payments; create or permit certain liens; make certain asset sales; use the proceeds from the sale of assets and subsidiary stock; create or permit restrictions on the ability of the Company’s restricted subsidiaries to pay dividends or make other inter-company distributions; engage in certain transactions with affiliates; designate subsidiaries as unrestricted subsidiaries; and consolidate, merge or transfer all or substantially all of the Company’s assets and the assets of its restricted subsidiaries.</w:t>
      </w:r>
    </w:p>
    <w:p>
      <w:pPr>
        <w:spacing w:after="0" w:line="230"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The Company amortizes debt issuance costs on a straight-line basis over the term of the associated debt agreement. If early principal payments are made on the Senior Secured Notes, a proportional amount of the unamortized issuance costs is expensed. As part of the Senior Secured Notes Offering, the Company capitalized $7.3 million in debt issuance costs that will be amortized over the eight-year term of the agreement.</w:t>
      </w:r>
    </w:p>
    <w:p>
      <w:pPr>
        <w:spacing w:after="0" w:line="228"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On November 8, 2016, the Company entered into an asset-based revolving credit agreement ("ABL") and a loan agreement ("Term Loan") with JPMorgan Chase Bank, N.A. ("JPMorgan Chase"), as administrative agent and certain lenders from time to time party thereto. The remaining principal balance of the Term Loan as of July 8, 2020 was $249.8 million, which was repaid with the proceeds from the Senior Secured Notes, and debt issuance costs of $4.7 million were written off upon repayment. In addition, the interest rate swaps with a liability position of $0.6 million hedging the Term Loan interest rates were settled early in July 2020.</w:t>
      </w:r>
    </w:p>
    <w:p>
      <w:pPr>
        <w:spacing w:after="0" w:line="230"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Under the ABL, the Company has a $192.5 million credit facility that matures on October 22, 2024 (subject to certain factors which may accelerate the maturity date) on a revolving basis, subject to availability under a borrowing base consisting of eligible accounts receivable and eligible inventory. The ABL is available for issuance of letters of credit to a specified limit of $19.3 million. The Company pays a commitment fee of 0.25% on the average daily amount of the facility available, but unused. The Company can elect to base the interest rate on various rates plus specific spreads depending on the amount of borrowings outstanding. If drawn, the Company would pay interest on ABL borrowings at a floating rate based upon LIBOR plus a spread of between 1.25% and 1.75%, depending on the usage of the facility during the most recent quarter. Based on current usage, the Company would pay LIBOR plus 1.25%.</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Convertible Notes</w:t>
      </w:r>
    </w:p>
    <w:p>
      <w:pPr>
        <w:spacing w:after="0" w:line="26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On November 1, 2019, the Company issued $300.0 million in aggregate principal amount of 1.5% unsecured convertible senior notes due 2025 (the “Convertible Notes”). The net proceeds from the issuance of the Convertible Notes, after deducting the initial purchasers' transaction fees and offering expense payable by the Company, were approximately $290.2 million. The Convertible Notes bear interest at the annual rate of 1.5%, payable on April 1 and October 1 of each year, beginning on April 1, 2020, and will mature on April 1, 2025, unless earlier converted or repurchased by the Company.</w:t>
      </w:r>
    </w:p>
    <w:p>
      <w:pPr>
        <w:spacing w:after="0" w:line="22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Convertible Notes are convertible into cash, shares of the Company's common stock or a combination thereof, at the election of the Company, at an initial conversion rate of 15.6906 shares of common stock per $1,000 principal amount of Convertible Notes, which is equivalent to an initial conversion price of approximately $63.73 per share, as may be adjusted pursuant to the terms of the indenture governing the Convertible Notes (the "Convertible Notes Indenture"). The Convertible Notes may be converted at any time on or after October 1, 2024, until the close of business on the second scheduled trading day immediately preceding the maturity date.</w:t>
      </w:r>
    </w:p>
    <w:p>
      <w:pPr>
        <w:spacing w:after="0" w:line="230"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The conversion rate of the Convertible Notes may be adjusted in certain circumstances, including in connection with a conversion of the Convertible Notes made following certain fundamental changes and under other circumstances set forth in the Convertible Notes Indenture. It is the Company's current intent to settle all conversions of the Convertible Notes through settlement of cash.</w:t>
      </w:r>
    </w:p>
    <w:p>
      <w:pPr>
        <w:spacing w:after="0" w:line="228"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Prior to the close of business on the business day immediately preceding October 1, 2024, the Convertible Notes will be convertible only under the following circumstances:</w:t>
      </w:r>
    </w:p>
    <w:p>
      <w:pPr>
        <w:spacing w:after="0" w:line="222" w:lineRule="exact"/>
        <w:rPr>
          <w:sz w:val="20"/>
          <w:szCs w:val="20"/>
          <w:color w:val="auto"/>
        </w:rPr>
      </w:pPr>
    </w:p>
    <w:p>
      <w:pPr>
        <w:ind w:left="660" w:right="500" w:hanging="4"/>
        <w:spacing w:after="0" w:line="253" w:lineRule="auto"/>
        <w:tabs>
          <w:tab w:leader="none" w:pos="903" w:val="left"/>
        </w:tabs>
        <w:numPr>
          <w:ilvl w:val="0"/>
          <w:numId w:val="33"/>
        </w:numPr>
        <w:rPr>
          <w:rFonts w:ascii="Arial" w:cs="Arial" w:eastAsia="Arial" w:hAnsi="Arial"/>
          <w:sz w:val="16"/>
          <w:szCs w:val="16"/>
          <w:color w:val="auto"/>
        </w:rPr>
      </w:pPr>
      <w:r>
        <w:rPr>
          <w:rFonts w:ascii="Arial" w:cs="Arial" w:eastAsia="Arial" w:hAnsi="Arial"/>
          <w:sz w:val="16"/>
          <w:szCs w:val="16"/>
          <w:color w:val="auto"/>
        </w:rPr>
        <w:t>during any calendar quarter commencing after December 31, 2019 if the closing sale price of the common stock is more than 130% of the applicable conversion price on each applicable trading day for at least 20 trading days (whether or not consecutive) during a period of 30 consecutive trading days ending on, and including, the last trading day of the immediately preceding calendar quarter;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1" w:name="page62"/>
    <w:bookmarkEnd w:id="6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60" w:right="40" w:hanging="4"/>
        <w:spacing w:after="0" w:line="246" w:lineRule="auto"/>
        <w:tabs>
          <w:tab w:leader="none" w:pos="903" w:val="left"/>
        </w:tabs>
        <w:numPr>
          <w:ilvl w:val="0"/>
          <w:numId w:val="34"/>
        </w:numPr>
        <w:rPr>
          <w:rFonts w:ascii="Arial" w:cs="Arial" w:eastAsia="Arial" w:hAnsi="Arial"/>
          <w:sz w:val="16"/>
          <w:szCs w:val="16"/>
          <w:color w:val="auto"/>
        </w:rPr>
      </w:pPr>
      <w:r>
        <w:rPr>
          <w:rFonts w:ascii="Arial" w:cs="Arial" w:eastAsia="Arial" w:hAnsi="Arial"/>
          <w:sz w:val="16"/>
          <w:szCs w:val="16"/>
          <w:color w:val="auto"/>
        </w:rPr>
        <w:t>during the five consecutive business day period after any five consecutive trading day period (the "measurement period") in which the trading price per $1,000 principal amount of Convertible Notes for each trading day of the measurement period was less than 98% of the product of the last reported sale price of the Company's common stock and the conversion rate for the Convertible Notes on each such trading day; or</w:t>
      </w:r>
    </w:p>
    <w:p>
      <w:pPr>
        <w:spacing w:after="0" w:line="1" w:lineRule="exact"/>
        <w:rPr>
          <w:rFonts w:ascii="Arial" w:cs="Arial" w:eastAsia="Arial" w:hAnsi="Arial"/>
          <w:sz w:val="16"/>
          <w:szCs w:val="16"/>
          <w:color w:val="auto"/>
        </w:rPr>
      </w:pPr>
    </w:p>
    <w:p>
      <w:pPr>
        <w:ind w:left="900" w:hanging="244"/>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upon the occurrence of certain specified corporate events set forth in the Convertible Notes Indenture.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Company may not redeem the Convertible Notes at our option prior to the maturity date, and no sinking fund is provided for the Convertible Notes.</w:t>
      </w:r>
    </w:p>
    <w:p>
      <w:pPr>
        <w:spacing w:after="0" w:line="248"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On October 29, 2019 and October 30, 2019, in connection with the offering of the Convertible Notes, the Company entered into privately negotiated convertible note hedge transactions (collectively, the “Hedge Transactions”) that cover, subject to customary anti-dilution adjustments, the number of shares of the Company's common stock that initially underlie the Convertible Notes, and are expected generally to reduce the potential dilution and/or offset any cash payments the Company is required to make in excess of the principal amount due, as the case may be, upon conversion of the Convertible Notes in the event that the market price of the Company's common stock is greater than the strike price of the Hedge Transactions, which was initially $63.73 per share (subject to adjustment under the terms of the Hedge Transactions), corresponding to the initial conversion price of the Convertible Notes.</w:t>
      </w:r>
    </w:p>
    <w:p>
      <w:pPr>
        <w:spacing w:after="0" w:line="232"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On October 29, 2019 and October 30, 2019, the Company also entered into privately negotiated warrant transactions (collectively, the “Warrant Transactions” and, together with the Hedge Transactions, the “Call Spread Transactions”), whereby the Company sold warrants at a higher strike price relating to the same number of shares of the Company's common stock that initially underlie the Convertible Notes, subject to customary anti-dilution adjustments. The initial strike price of the warrants is $96.20 per share (subject to adjustment under the terms of the Warrant Transactions), which is 100% above the last reported sale price of the Company's common stock on October 29, 2019. The Warrant Transactions could have a dilutive effect to the Company's stockholders to the extent that the market price per share of the Company's common stock, as measured under the terms of the Warrant Transactions, exceeds the applicable strike price of the warrants.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Company used $28.6 million of the net proceeds from the issuance of the Convertible Notes to pay the cost of the Call Spread Transactions.</w:t>
      </w:r>
    </w:p>
    <w:p>
      <w:pPr>
        <w:spacing w:after="0" w:line="194"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The Hedge Transactions and the Warrant Transactions are separate transactions, in each case, and are not part of the terms of the Convertible Notes and will not affect any holder’s rights under the Convertible Notes. Holders of the Convertible Notes will not have any rights with respect to the Call Spread Transactions.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Treatment of the Convertible Notes and Related Hedge Transactions and Warrant Transactions</w:t>
      </w:r>
    </w:p>
    <w:p>
      <w:pPr>
        <w:spacing w:after="0" w:line="264"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The Call Spread Transactions were classified as equity. The Company bifurcated the proceeds from the offering of the Convertible Notes between liability and equity components. On the date of issuance, the liability and equity components were calculated to be approximately $215.0 million and $85.0 million, respectively. The initial $215.0 million liability component was determined based on the fair value of similar debt instruments excluding the conversion feature assuming a hypothetical interest rate of 8.0%. The initial $85.0 million ($64.1 million net of tax) equity component represents the difference between the fair value of the initial $215.0 million in debt and the $300.0 million of gross proceeds. The related initial debt discount of $85.0 million is being amortized over the life of the Convertible Notes as non-cash interest expense using the effective interest method.</w:t>
      </w:r>
    </w:p>
    <w:p>
      <w:pPr>
        <w:spacing w:after="0" w:line="232"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In connection with the above-noted transactions, the Company incurred approximately $9.8 million of offering-related costs. These offering fees were allocated to the liability and equity components in proportion to the allocation of proceeds and accounted for as debt and equity issuance costs, respectively. The Company allocated $7.0 million of debt issuance costs to the liability component, which were capitalized as deferred financing costs within Long-term debt. These costs are being amortized as interest expense over the term of the debt using the effective interest method. The remaining $2.8 million of transaction costs allocated to the equity component were recorded as a reduction of the equity component.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00" w:type="dxa"/>
            <w:vAlign w:val="bottom"/>
          </w:tcPr>
          <w:p>
            <w:pPr>
              <w:spacing w:after="0"/>
              <w:rPr>
                <w:sz w:val="20"/>
                <w:szCs w:val="20"/>
                <w:color w:val="auto"/>
              </w:rPr>
            </w:pPr>
            <w:r>
              <w:rPr>
                <w:rFonts w:ascii="Arial" w:cs="Arial" w:eastAsia="Arial" w:hAnsi="Arial"/>
                <w:sz w:val="16"/>
                <w:szCs w:val="16"/>
                <w:color w:val="auto"/>
              </w:rPr>
              <w:t>The components of long-term debt are as follows:</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56"/>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August 29, 2020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August 31, 2019</w:t>
            </w:r>
          </w:p>
        </w:tc>
      </w:tr>
      <w:tr>
        <w:trPr>
          <w:trHeight w:val="24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7600" w:type="dxa"/>
            <w:vAlign w:val="bottom"/>
          </w:tcPr>
          <w:p>
            <w:pPr>
              <w:ind w:left="20"/>
              <w:spacing w:after="0"/>
              <w:rPr>
                <w:sz w:val="20"/>
                <w:szCs w:val="20"/>
                <w:color w:val="auto"/>
              </w:rPr>
            </w:pPr>
            <w:r>
              <w:rPr>
                <w:rFonts w:ascii="Arial" w:cs="Arial" w:eastAsia="Arial" w:hAnsi="Arial"/>
                <w:sz w:val="16"/>
                <w:szCs w:val="16"/>
                <w:color w:val="auto"/>
              </w:rPr>
              <w:t>Term Loan</w:t>
            </w:r>
          </w:p>
        </w:tc>
        <w:tc>
          <w:tcPr>
            <w:tcW w:w="20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260,000</w:t>
            </w:r>
          </w:p>
        </w:tc>
      </w:tr>
      <w:tr>
        <w:trPr>
          <w:trHeight w:val="25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Notes</w:t>
            </w: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Convertible Notes</w:t>
            </w: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300,000</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7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Long-term debt, excluding debt issuance costs</w:t>
            </w: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260,000</w:t>
            </w:r>
          </w:p>
        </w:tc>
      </w:tr>
      <w:tr>
        <w:trPr>
          <w:trHeight w:val="233"/>
        </w:trPr>
        <w:tc>
          <w:tcPr>
            <w:tcW w:w="7600" w:type="dxa"/>
            <w:vAlign w:val="bottom"/>
          </w:tcPr>
          <w:p>
            <w:pPr>
              <w:ind w:left="20"/>
              <w:spacing w:after="0"/>
              <w:rPr>
                <w:sz w:val="20"/>
                <w:szCs w:val="20"/>
                <w:color w:val="auto"/>
              </w:rPr>
            </w:pPr>
            <w:r>
              <w:rPr>
                <w:rFonts w:ascii="Arial" w:cs="Arial" w:eastAsia="Arial" w:hAnsi="Arial"/>
                <w:sz w:val="16"/>
                <w:szCs w:val="16"/>
                <w:color w:val="auto"/>
              </w:rPr>
              <w:t>Convertible Notes unamortized interest discount</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(74,294)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issuance cost, net</w:t>
            </w:r>
          </w:p>
        </w:tc>
        <w:tc>
          <w:tcPr>
            <w:tcW w:w="2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(13,076)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(5,706)</w:t>
            </w:r>
          </w:p>
        </w:tc>
      </w:tr>
      <w:tr>
        <w:trPr>
          <w:trHeight w:val="233"/>
        </w:trPr>
        <w:tc>
          <w:tcPr>
            <w:tcW w:w="7600" w:type="dxa"/>
            <w:vAlign w:val="bottom"/>
          </w:tcPr>
          <w:p>
            <w:pPr>
              <w:ind w:left="120"/>
              <w:spacing w:after="0"/>
              <w:rPr>
                <w:sz w:val="20"/>
                <w:szCs w:val="20"/>
                <w:color w:val="auto"/>
              </w:rPr>
            </w:pPr>
            <w:r>
              <w:rPr>
                <w:rFonts w:ascii="Arial" w:cs="Arial" w:eastAsia="Arial" w:hAnsi="Arial"/>
                <w:sz w:val="16"/>
                <w:szCs w:val="16"/>
                <w:color w:val="auto"/>
              </w:rPr>
              <w:t>Long-term debt</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512,630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254,294</w:t>
            </w:r>
          </w:p>
        </w:tc>
      </w:tr>
      <w:tr>
        <w:trPr>
          <w:trHeight w:val="24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current maturities</w:t>
            </w:r>
          </w:p>
        </w:tc>
        <w:tc>
          <w:tcPr>
            <w:tcW w:w="2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8,892</w:t>
            </w:r>
          </w:p>
        </w:tc>
      </w:tr>
      <w:tr>
        <w:trPr>
          <w:trHeight w:val="243"/>
        </w:trPr>
        <w:tc>
          <w:tcPr>
            <w:tcW w:w="7600" w:type="dxa"/>
            <w:vAlign w:val="bottom"/>
          </w:tcPr>
          <w:p>
            <w:pPr>
              <w:ind w:left="120"/>
              <w:spacing w:after="0"/>
              <w:rPr>
                <w:sz w:val="20"/>
                <w:szCs w:val="20"/>
                <w:color w:val="auto"/>
              </w:rPr>
            </w:pPr>
            <w:r>
              <w:rPr>
                <w:rFonts w:ascii="Arial" w:cs="Arial" w:eastAsia="Arial" w:hAnsi="Arial"/>
                <w:sz w:val="16"/>
                <w:szCs w:val="16"/>
                <w:color w:val="auto"/>
              </w:rPr>
              <w:t>Long-term debt, less current maturities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512,630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245,402</w:t>
            </w:r>
          </w:p>
        </w:tc>
      </w:tr>
      <w:tr>
        <w:trPr>
          <w:trHeight w:val="21"/>
        </w:trPr>
        <w:tc>
          <w:tcPr>
            <w:tcW w:w="7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2" w:name="page63"/>
    <w:bookmarkEnd w:id="6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As of August 29, 2020, the fair value of long-term debt, excluding debt issuance costs, was $674.7 million. As of August 31, 2019, the fair value of long-term debt, excluding debt issuance costs, was $255.8 million.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80" w:type="dxa"/>
            <w:vAlign w:val="bottom"/>
          </w:tcPr>
          <w:p>
            <w:pPr>
              <w:spacing w:after="0"/>
              <w:rPr>
                <w:sz w:val="20"/>
                <w:szCs w:val="20"/>
                <w:color w:val="auto"/>
              </w:rPr>
            </w:pPr>
            <w:r>
              <w:rPr>
                <w:rFonts w:ascii="Arial" w:cs="Arial" w:eastAsia="Arial" w:hAnsi="Arial"/>
                <w:sz w:val="16"/>
                <w:szCs w:val="16"/>
                <w:color w:val="auto"/>
              </w:rPr>
              <w:t>Aggregate contractual maturities of debt in future fiscal years, are as follows:</w:t>
            </w: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56"/>
        </w:trPr>
        <w:tc>
          <w:tcPr>
            <w:tcW w:w="9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Amount</w:t>
            </w:r>
          </w:p>
        </w:tc>
      </w:tr>
      <w:tr>
        <w:trPr>
          <w:trHeight w:val="243"/>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2021</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9480" w:type="dxa"/>
            <w:vAlign w:val="bottom"/>
          </w:tcPr>
          <w:p>
            <w:pPr>
              <w:ind w:left="20"/>
              <w:spacing w:after="0"/>
              <w:rPr>
                <w:sz w:val="20"/>
                <w:szCs w:val="20"/>
                <w:color w:val="auto"/>
              </w:rPr>
            </w:pPr>
            <w:r>
              <w:rPr>
                <w:rFonts w:ascii="Arial" w:cs="Arial" w:eastAsia="Arial" w:hAnsi="Arial"/>
                <w:sz w:val="16"/>
                <w:szCs w:val="16"/>
                <w:color w:val="auto"/>
              </w:rPr>
              <w:t>Fiscal 2022</w:t>
            </w:r>
          </w:p>
        </w:tc>
        <w:tc>
          <w:tcPr>
            <w:tcW w:w="3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2023</w:t>
            </w:r>
          </w:p>
        </w:tc>
        <w:tc>
          <w:tcPr>
            <w:tcW w:w="3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9480" w:type="dxa"/>
            <w:vAlign w:val="bottom"/>
          </w:tcPr>
          <w:p>
            <w:pPr>
              <w:ind w:left="20"/>
              <w:spacing w:after="0"/>
              <w:rPr>
                <w:sz w:val="20"/>
                <w:szCs w:val="20"/>
                <w:color w:val="auto"/>
              </w:rPr>
            </w:pPr>
            <w:r>
              <w:rPr>
                <w:rFonts w:ascii="Arial" w:cs="Arial" w:eastAsia="Arial" w:hAnsi="Arial"/>
                <w:sz w:val="16"/>
                <w:szCs w:val="16"/>
                <w:color w:val="auto"/>
              </w:rPr>
              <w:t>Fiscal 2024</w:t>
            </w:r>
          </w:p>
        </w:tc>
        <w:tc>
          <w:tcPr>
            <w:tcW w:w="3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2025</w:t>
            </w:r>
          </w:p>
        </w:tc>
        <w:tc>
          <w:tcPr>
            <w:tcW w:w="3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r>
      <w:tr>
        <w:trPr>
          <w:trHeight w:val="237"/>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300,000</w:t>
            </w:r>
          </w:p>
        </w:tc>
      </w:tr>
      <w:tr>
        <w:trPr>
          <w:trHeight w:val="237"/>
        </w:trPr>
        <w:tc>
          <w:tcPr>
            <w:tcW w:w="9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Long-term debt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600,000</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Leases</w:t>
      </w:r>
    </w:p>
    <w:p>
      <w:pPr>
        <w:spacing w:after="0" w:line="268"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The Company's leases primarily include operating leases for office and manufacturing space and equipment. The Company's finance leases are primarily for real estate. For any lease with an initial term in excess of 12 months, the related lease assets and liabilities are recognized on the Condensed Consolidated Balance Sheets as either operating or finance leases at the inception of an agreement where it is determined that a lease exists. The Company has lease agreements that contain both lease and non-lease components, and has elected to combine lease and non-lease components for all classes of assets. Leases with an initial term of 12 months or less are not recorded on the Consolidated Balance Sheets; the Company recognizes lease expense for these leases on a straight-line basis over the lease term. When the terms of multiple lease agreements are materially consistent, the Company has elected the portfolio approach for our asset and liability calculations.</w:t>
      </w:r>
    </w:p>
    <w:p>
      <w:pPr>
        <w:spacing w:after="0" w:line="227"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Lease assets represent the right to use an underlying asset for the lease term, and lease liabilities represent the obligation to make lease payments arising from the lease. These assets and liabilities are recognized based on the present value of future payments over the lease term at commencement date. The Company generally uses a collateralized incremental borrowing rate based on the information available at commencement date, including lease term, in determining the present value of future payments. The assumed lease terms of the Company generally do not include options to extend or terminate the lease unless it is reasonably certain that the option will be exercised.</w:t>
      </w:r>
    </w:p>
    <w:p>
      <w:pPr>
        <w:spacing w:after="0" w:line="230"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Some of the Company's real estate operating leases require payment of real estate taxes, common area maintenance, and insurance. In addition, certain of the leases are subject to annual changes in the consumer price index. These components comprise the majority of the Company's variable lease cost and are excluded from the present value of the lease obligations. Fixed payments may contain predetermined fixed rent escalations. For operating leases, the Company recognizes the related rent expense on a straight-line basis from the commencement date to the end of the lease term.</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the supplemental balance sheet information related to the Company's leases:</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5860" w:type="dxa"/>
            <w:vAlign w:val="bottom"/>
            <w:tcBorders>
              <w:bottom w:val="single" w:sz="8" w:color="auto"/>
            </w:tcBorders>
          </w:tcPr>
          <w:p>
            <w:pPr>
              <w:ind w:left="1300"/>
              <w:spacing w:after="0"/>
              <w:rPr>
                <w:sz w:val="20"/>
                <w:szCs w:val="20"/>
                <w:color w:val="auto"/>
              </w:rPr>
            </w:pPr>
            <w:r>
              <w:rPr>
                <w:rFonts w:ascii="Arial" w:cs="Arial" w:eastAsia="Arial" w:hAnsi="Arial"/>
                <w:sz w:val="16"/>
                <w:szCs w:val="16"/>
                <w:b w:val="1"/>
                <w:bCs w:val="1"/>
                <w:color w:val="auto"/>
              </w:rPr>
              <w:t>Classification</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August 29, 2020</w:t>
            </w:r>
          </w:p>
        </w:tc>
      </w:tr>
      <w:tr>
        <w:trPr>
          <w:trHeight w:val="243"/>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58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33"/>
        </w:trPr>
        <w:tc>
          <w:tcPr>
            <w:tcW w:w="3540" w:type="dxa"/>
            <w:vAlign w:val="bottom"/>
          </w:tcPr>
          <w:p>
            <w:pPr>
              <w:ind w:left="20"/>
              <w:spacing w:after="0"/>
              <w:rPr>
                <w:sz w:val="20"/>
                <w:szCs w:val="20"/>
                <w:color w:val="auto"/>
              </w:rPr>
            </w:pPr>
            <w:r>
              <w:rPr>
                <w:rFonts w:ascii="Arial" w:cs="Arial" w:eastAsia="Arial" w:hAnsi="Arial"/>
                <w:sz w:val="16"/>
                <w:szCs w:val="16"/>
                <w:color w:val="auto"/>
              </w:rPr>
              <w:t>Operating leases</w:t>
            </w:r>
          </w:p>
        </w:tc>
        <w:tc>
          <w:tcPr>
            <w:tcW w:w="5860" w:type="dxa"/>
            <w:vAlign w:val="bottom"/>
          </w:tcPr>
          <w:p>
            <w:pPr>
              <w:ind w:left="1300"/>
              <w:spacing w:after="0"/>
              <w:rPr>
                <w:sz w:val="20"/>
                <w:szCs w:val="20"/>
                <w:color w:val="auto"/>
              </w:rPr>
            </w:pPr>
            <w:r>
              <w:rPr>
                <w:rFonts w:ascii="Arial" w:cs="Arial" w:eastAsia="Arial" w:hAnsi="Arial"/>
                <w:sz w:val="16"/>
                <w:szCs w:val="16"/>
                <w:color w:val="auto"/>
              </w:rPr>
              <w:t>Operating lease assets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29,463</w:t>
            </w:r>
          </w:p>
        </w:tc>
      </w:tr>
      <w:tr>
        <w:trPr>
          <w:trHeight w:val="246"/>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leases</w:t>
            </w:r>
          </w:p>
        </w:tc>
        <w:tc>
          <w:tcPr>
            <w:tcW w:w="5860" w:type="dxa"/>
            <w:vAlign w:val="bottom"/>
            <w:shd w:val="clear" w:color="auto" w:fill="CCEEFF"/>
          </w:tcPr>
          <w:p>
            <w:pPr>
              <w:ind w:left="130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4,398</w:t>
            </w:r>
          </w:p>
        </w:tc>
      </w:tr>
      <w:tr>
        <w:trPr>
          <w:trHeight w:val="243"/>
        </w:trPr>
        <w:tc>
          <w:tcPr>
            <w:tcW w:w="3540" w:type="dxa"/>
            <w:vAlign w:val="bottom"/>
          </w:tcPr>
          <w:p>
            <w:pPr>
              <w:ind w:left="120"/>
              <w:spacing w:after="0"/>
              <w:rPr>
                <w:sz w:val="20"/>
                <w:szCs w:val="20"/>
                <w:color w:val="auto"/>
              </w:rPr>
            </w:pPr>
            <w:r>
              <w:rPr>
                <w:rFonts w:ascii="Arial" w:cs="Arial" w:eastAsia="Arial" w:hAnsi="Arial"/>
                <w:sz w:val="16"/>
                <w:szCs w:val="16"/>
                <w:color w:val="auto"/>
              </w:rPr>
              <w:t>Total lease assets</w:t>
            </w:r>
          </w:p>
        </w:tc>
        <w:tc>
          <w:tcPr>
            <w:tcW w:w="586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33,861</w:t>
            </w: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5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37"/>
        </w:trPr>
        <w:tc>
          <w:tcPr>
            <w:tcW w:w="3540" w:type="dxa"/>
            <w:vAlign w:val="bottom"/>
            <w:shd w:val="clear" w:color="auto" w:fill="CCEEFF"/>
          </w:tcPr>
          <w:p>
            <w:pPr>
              <w:spacing w:after="0"/>
              <w:rPr>
                <w:sz w:val="20"/>
                <w:szCs w:val="20"/>
                <w:color w:val="auto"/>
              </w:rPr>
            </w:pPr>
          </w:p>
        </w:tc>
        <w:tc>
          <w:tcPr>
            <w:tcW w:w="5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33"/>
        </w:trPr>
        <w:tc>
          <w:tcPr>
            <w:tcW w:w="354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5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53"/>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Operating leases</w:t>
            </w:r>
          </w:p>
        </w:tc>
        <w:tc>
          <w:tcPr>
            <w:tcW w:w="5860" w:type="dxa"/>
            <w:vAlign w:val="bottom"/>
            <w:shd w:val="clear" w:color="auto" w:fill="CCEEFF"/>
          </w:tcPr>
          <w:p>
            <w:pPr>
              <w:ind w:left="1300"/>
              <w:spacing w:after="0"/>
              <w:rPr>
                <w:sz w:val="20"/>
                <w:szCs w:val="20"/>
                <w:color w:val="auto"/>
              </w:rPr>
            </w:pPr>
            <w:r>
              <w:rPr>
                <w:rFonts w:ascii="Arial" w:cs="Arial" w:eastAsia="Arial" w:hAnsi="Arial"/>
                <w:sz w:val="16"/>
                <w:szCs w:val="16"/>
                <w:color w:val="auto"/>
              </w:rPr>
              <w:t>Accrued expenses: Other</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2,660</w:t>
            </w:r>
          </w:p>
        </w:tc>
      </w:tr>
      <w:tr>
        <w:trPr>
          <w:trHeight w:val="233"/>
        </w:trPr>
        <w:tc>
          <w:tcPr>
            <w:tcW w:w="3540" w:type="dxa"/>
            <w:vAlign w:val="bottom"/>
          </w:tcPr>
          <w:p>
            <w:pPr>
              <w:ind w:left="20"/>
              <w:spacing w:after="0"/>
              <w:rPr>
                <w:sz w:val="20"/>
                <w:szCs w:val="20"/>
                <w:color w:val="auto"/>
              </w:rPr>
            </w:pPr>
            <w:r>
              <w:rPr>
                <w:rFonts w:ascii="Arial" w:cs="Arial" w:eastAsia="Arial" w:hAnsi="Arial"/>
                <w:sz w:val="16"/>
                <w:szCs w:val="16"/>
                <w:color w:val="auto"/>
              </w:rPr>
              <w:t>Current: Finance leases</w:t>
            </w:r>
          </w:p>
        </w:tc>
        <w:tc>
          <w:tcPr>
            <w:tcW w:w="5860" w:type="dxa"/>
            <w:vAlign w:val="bottom"/>
          </w:tcPr>
          <w:p>
            <w:pPr>
              <w:ind w:left="1300"/>
              <w:spacing w:after="0"/>
              <w:rPr>
                <w:sz w:val="20"/>
                <w:szCs w:val="20"/>
                <w:color w:val="auto"/>
              </w:rPr>
            </w:pPr>
            <w:r>
              <w:rPr>
                <w:rFonts w:ascii="Arial" w:cs="Arial" w:eastAsia="Arial" w:hAnsi="Arial"/>
                <w:sz w:val="16"/>
                <w:szCs w:val="16"/>
                <w:color w:val="auto"/>
              </w:rPr>
              <w:t>Accrued expenses: Other</w:t>
            </w: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539</w:t>
            </w:r>
          </w:p>
        </w:tc>
      </w:tr>
      <w:tr>
        <w:trPr>
          <w:trHeight w:val="253"/>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Operating leases</w:t>
            </w:r>
          </w:p>
        </w:tc>
        <w:tc>
          <w:tcPr>
            <w:tcW w:w="5860" w:type="dxa"/>
            <w:vAlign w:val="bottom"/>
            <w:shd w:val="clear" w:color="auto" w:fill="CCEEFF"/>
          </w:tcPr>
          <w:p>
            <w:pPr>
              <w:ind w:left="1300"/>
              <w:spacing w:after="0"/>
              <w:rPr>
                <w:sz w:val="20"/>
                <w:szCs w:val="20"/>
                <w:color w:val="auto"/>
              </w:rPr>
            </w:pPr>
            <w:r>
              <w:rPr>
                <w:rFonts w:ascii="Arial" w:cs="Arial" w:eastAsia="Arial" w:hAnsi="Arial"/>
                <w:sz w:val="16"/>
                <w:szCs w:val="16"/>
                <w:color w:val="auto"/>
              </w:rPr>
              <w:t>Operating lease liabilities</w:t>
            </w:r>
          </w:p>
        </w:tc>
        <w:tc>
          <w:tcPr>
            <w:tcW w:w="2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27,048</w:t>
            </w:r>
          </w:p>
        </w:tc>
      </w:tr>
      <w:tr>
        <w:trPr>
          <w:trHeight w:val="236"/>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Non-Current: Finance leases</w:t>
            </w:r>
          </w:p>
        </w:tc>
        <w:tc>
          <w:tcPr>
            <w:tcW w:w="5860" w:type="dxa"/>
            <w:vAlign w:val="bottom"/>
            <w:tcBorders>
              <w:bottom w:val="single" w:sz="8" w:color="CCEEFF"/>
            </w:tcBorders>
          </w:tcPr>
          <w:p>
            <w:pPr>
              <w:ind w:left="1300"/>
              <w:spacing w:after="0"/>
              <w:rPr>
                <w:sz w:val="20"/>
                <w:szCs w:val="20"/>
                <w:color w:val="auto"/>
              </w:rPr>
            </w:pPr>
            <w:r>
              <w:rPr>
                <w:rFonts w:ascii="Arial" w:cs="Arial" w:eastAsia="Arial" w:hAnsi="Arial"/>
                <w:sz w:val="16"/>
                <w:szCs w:val="16"/>
                <w:color w:val="auto"/>
              </w:rPr>
              <w:t>Non-current liabilities: Other</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4,868</w:t>
            </w:r>
          </w:p>
        </w:tc>
      </w:tr>
      <w:tr>
        <w:trPr>
          <w:trHeight w:val="268"/>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lease liabilities</w:t>
            </w:r>
          </w:p>
        </w:tc>
        <w:tc>
          <w:tcPr>
            <w:tcW w:w="58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35,115</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5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the operating lease cost incurred:</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184"/>
        </w:trPr>
        <w:tc>
          <w:tcPr>
            <w:tcW w:w="3460" w:type="dxa"/>
            <w:vAlign w:val="bottom"/>
            <w:gridSpan w:val="2"/>
          </w:tcPr>
          <w:p>
            <w:pPr>
              <w:spacing w:after="0"/>
              <w:rPr>
                <w:rFonts w:ascii="Arial" w:cs="Arial" w:eastAsia="Arial" w:hAnsi="Arial"/>
                <w:sz w:val="16"/>
                <w:szCs w:val="16"/>
                <w:color w:val="0000FF"/>
              </w:rPr>
            </w:pPr>
            <w:r>
              <w:rPr>
                <w:rFonts w:ascii="Arial" w:cs="Arial" w:eastAsia="Arial" w:hAnsi="Arial"/>
                <w:sz w:val="16"/>
                <w:szCs w:val="16"/>
                <w:color w:val="0000FF"/>
              </w:rPr>
              <w:t xml:space="preserve">Table </w:t>
            </w:r>
            <w:hyperlink w:anchor="page1">
              <w:r>
                <w:rPr>
                  <w:rFonts w:ascii="Arial" w:cs="Arial" w:eastAsia="Arial" w:hAnsi="Arial"/>
                  <w:sz w:val="16"/>
                  <w:szCs w:val="16"/>
                  <w:color w:val="0000FF"/>
                </w:rPr>
                <w:t xml:space="preserve">of </w:t>
              </w:r>
            </w:hyperlink>
            <w:r>
              <w:rPr>
                <w:rFonts w:ascii="Arial" w:cs="Arial" w:eastAsia="Arial" w:hAnsi="Arial"/>
                <w:sz w:val="16"/>
                <w:szCs w:val="16"/>
                <w:color w:val="0000FF"/>
              </w:rPr>
              <w:t>Contents</w:t>
            </w:r>
          </w:p>
        </w:tc>
        <w:tc>
          <w:tcPr>
            <w:tcW w:w="5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892"/>
        </w:trPr>
        <w:tc>
          <w:tcPr>
            <w:tcW w:w="1280" w:type="dxa"/>
            <w:vAlign w:val="bottom"/>
            <w:tcBorders>
              <w:top w:val="single" w:sz="8" w:color="0000FF"/>
            </w:tcBorders>
          </w:tcPr>
          <w:p>
            <w:pPr>
              <w:spacing w:after="0"/>
              <w:rPr>
                <w:sz w:val="24"/>
                <w:szCs w:val="24"/>
                <w:color w:val="auto"/>
              </w:rPr>
            </w:pPr>
          </w:p>
        </w:tc>
        <w:tc>
          <w:tcPr>
            <w:tcW w:w="21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Year Ended</w:t>
            </w:r>
          </w:p>
        </w:tc>
      </w:tr>
      <w:tr>
        <w:trPr>
          <w:trHeight w:val="237"/>
        </w:trPr>
        <w:tc>
          <w:tcPr>
            <w:tcW w:w="34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5800" w:type="dxa"/>
            <w:vAlign w:val="bottom"/>
            <w:tcBorders>
              <w:bottom w:val="single" w:sz="8" w:color="auto"/>
            </w:tcBorders>
          </w:tcPr>
          <w:p>
            <w:pPr>
              <w:ind w:left="1300"/>
              <w:spacing w:after="0"/>
              <w:rPr>
                <w:sz w:val="20"/>
                <w:szCs w:val="20"/>
                <w:color w:val="auto"/>
              </w:rPr>
            </w:pPr>
            <w:r>
              <w:rPr>
                <w:rFonts w:ascii="Arial" w:cs="Arial" w:eastAsia="Arial" w:hAnsi="Arial"/>
                <w:sz w:val="16"/>
                <w:szCs w:val="16"/>
                <w:b w:val="1"/>
                <w:bCs w:val="1"/>
                <w:color w:val="auto"/>
              </w:rPr>
              <w:t>Classification</w:t>
            </w: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August 29, 2020</w:t>
            </w:r>
          </w:p>
        </w:tc>
      </w:tr>
      <w:tr>
        <w:trPr>
          <w:trHeight w:val="243"/>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expense</w:t>
            </w:r>
            <w:r>
              <w:rPr>
                <w:rFonts w:ascii="Arial" w:cs="Arial" w:eastAsia="Arial" w:hAnsi="Arial"/>
                <w:sz w:val="21"/>
                <w:szCs w:val="21"/>
                <w:color w:val="auto"/>
                <w:vertAlign w:val="superscript"/>
              </w:rPr>
              <w:t>(1)</w:t>
            </w:r>
          </w:p>
        </w:tc>
        <w:tc>
          <w:tcPr>
            <w:tcW w:w="5800" w:type="dxa"/>
            <w:vAlign w:val="bottom"/>
            <w:shd w:val="clear" w:color="auto" w:fill="CCEEFF"/>
          </w:tcPr>
          <w:p>
            <w:pPr>
              <w:ind w:left="1300"/>
              <w:spacing w:after="0"/>
              <w:rPr>
                <w:sz w:val="20"/>
                <w:szCs w:val="20"/>
                <w:color w:val="auto"/>
              </w:rPr>
            </w:pPr>
            <w:r>
              <w:rPr>
                <w:rFonts w:ascii="Arial" w:cs="Arial" w:eastAsia="Arial" w:hAnsi="Arial"/>
                <w:sz w:val="16"/>
                <w:szCs w:val="16"/>
                <w:color w:val="auto"/>
              </w:rPr>
              <w:t>Costs of goods sold and SG&amp;A</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6,962</w:t>
            </w:r>
          </w:p>
        </w:tc>
      </w:tr>
      <w:tr>
        <w:trPr>
          <w:trHeight w:val="233"/>
        </w:trPr>
        <w:tc>
          <w:tcPr>
            <w:tcW w:w="3460" w:type="dxa"/>
            <w:vAlign w:val="bottom"/>
            <w:gridSpan w:val="2"/>
          </w:tcPr>
          <w:p>
            <w:pPr>
              <w:ind w:left="20"/>
              <w:spacing w:after="0"/>
              <w:rPr>
                <w:sz w:val="20"/>
                <w:szCs w:val="20"/>
                <w:color w:val="auto"/>
              </w:rPr>
            </w:pPr>
            <w:r>
              <w:rPr>
                <w:rFonts w:ascii="Arial" w:cs="Arial" w:eastAsia="Arial" w:hAnsi="Arial"/>
                <w:sz w:val="16"/>
                <w:szCs w:val="16"/>
                <w:color w:val="auto"/>
              </w:rPr>
              <w:t>Finance lease cost:</w:t>
            </w:r>
          </w:p>
        </w:tc>
        <w:tc>
          <w:tcPr>
            <w:tcW w:w="5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53"/>
        </w:trPr>
        <w:tc>
          <w:tcPr>
            <w:tcW w:w="3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Depreciation of lease assets</w:t>
            </w:r>
          </w:p>
        </w:tc>
        <w:tc>
          <w:tcPr>
            <w:tcW w:w="5800" w:type="dxa"/>
            <w:vAlign w:val="bottom"/>
            <w:shd w:val="clear" w:color="auto" w:fill="CCEEFF"/>
          </w:tcPr>
          <w:p>
            <w:pPr>
              <w:ind w:left="1300"/>
              <w:spacing w:after="0"/>
              <w:rPr>
                <w:sz w:val="20"/>
                <w:szCs w:val="20"/>
                <w:color w:val="auto"/>
              </w:rPr>
            </w:pPr>
            <w:r>
              <w:rPr>
                <w:rFonts w:ascii="Arial" w:cs="Arial" w:eastAsia="Arial" w:hAnsi="Arial"/>
                <w:sz w:val="16"/>
                <w:szCs w:val="16"/>
                <w:color w:val="auto"/>
              </w:rPr>
              <w:t>Costs of goods sold and SG&amp;A</w:t>
            </w:r>
          </w:p>
        </w:tc>
        <w:tc>
          <w:tcPr>
            <w:tcW w:w="24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r>
      <w:tr>
        <w:trPr>
          <w:trHeight w:val="236"/>
        </w:trPr>
        <w:tc>
          <w:tcPr>
            <w:tcW w:w="34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Interest on lease liabilities</w:t>
            </w:r>
          </w:p>
        </w:tc>
        <w:tc>
          <w:tcPr>
            <w:tcW w:w="5800" w:type="dxa"/>
            <w:vAlign w:val="bottom"/>
            <w:tcBorders>
              <w:bottom w:val="single" w:sz="8" w:color="CCEEFF"/>
            </w:tcBorders>
          </w:tcPr>
          <w:p>
            <w:pPr>
              <w:ind w:left="130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r>
      <w:tr>
        <w:trPr>
          <w:trHeight w:val="268"/>
        </w:trPr>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lease cost</w:t>
            </w:r>
          </w:p>
        </w:tc>
        <w:tc>
          <w:tcPr>
            <w:tcW w:w="58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7,725</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(1) Operating lease expense includes short-term leases and variable lease payments, which are immaterial.</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Company's future lease commitments for future fiscal years as of August 29, 2020 included the following related party and non-related party leases: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Operating Leases as of August 29, 2020</w:t>
            </w:r>
          </w:p>
        </w:tc>
        <w:tc>
          <w:tcPr>
            <w:tcW w:w="14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Financing Leases</w:t>
            </w:r>
          </w:p>
        </w:tc>
        <w:tc>
          <w:tcPr>
            <w:tcW w:w="0" w:type="dxa"/>
            <w:vAlign w:val="bottom"/>
          </w:tcPr>
          <w:p>
            <w:pPr>
              <w:spacing w:after="0"/>
              <w:rPr>
                <w:sz w:val="1"/>
                <w:szCs w:val="1"/>
                <w:color w:val="auto"/>
              </w:rPr>
            </w:pPr>
          </w:p>
        </w:tc>
      </w:tr>
      <w:tr>
        <w:trPr>
          <w:trHeight w:val="198"/>
        </w:trPr>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w w:val="99"/>
              </w:rPr>
              <w:t>Related Party</w:t>
            </w:r>
          </w:p>
        </w:tc>
        <w:tc>
          <w:tcPr>
            <w:tcW w:w="160" w:type="dxa"/>
            <w:vAlign w:val="bottom"/>
          </w:tcPr>
          <w:p>
            <w:pPr>
              <w:spacing w:after="0"/>
              <w:rPr>
                <w:sz w:val="17"/>
                <w:szCs w:val="17"/>
                <w:color w:val="auto"/>
              </w:rPr>
            </w:pPr>
          </w:p>
        </w:tc>
        <w:tc>
          <w:tcPr>
            <w:tcW w:w="1100" w:type="dxa"/>
            <w:vAlign w:val="bottom"/>
          </w:tcPr>
          <w:p>
            <w:pPr>
              <w:jc w:val="center"/>
              <w:ind w:right="19"/>
              <w:spacing w:after="0"/>
              <w:rPr>
                <w:sz w:val="20"/>
                <w:szCs w:val="20"/>
                <w:color w:val="auto"/>
              </w:rPr>
            </w:pPr>
            <w:r>
              <w:rPr>
                <w:rFonts w:ascii="Arial" w:cs="Arial" w:eastAsia="Arial" w:hAnsi="Arial"/>
                <w:sz w:val="16"/>
                <w:szCs w:val="16"/>
                <w:b w:val="1"/>
                <w:bCs w:val="1"/>
                <w:color w:val="auto"/>
              </w:rPr>
              <w:t>Non-Related</w:t>
            </w: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Non-Related</w:t>
            </w:r>
          </w:p>
        </w:tc>
        <w:tc>
          <w:tcPr>
            <w:tcW w:w="0" w:type="dxa"/>
            <w:vAlign w:val="bottom"/>
          </w:tcPr>
          <w:p>
            <w:pPr>
              <w:spacing w:after="0"/>
              <w:rPr>
                <w:sz w:val="1"/>
                <w:szCs w:val="1"/>
                <w:color w:val="auto"/>
              </w:rPr>
            </w:pPr>
          </w:p>
        </w:tc>
      </w:tr>
      <w:tr>
        <w:trPr>
          <w:trHeight w:val="224"/>
        </w:trPr>
        <w:tc>
          <w:tcPr>
            <w:tcW w:w="19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9"/>
                <w:szCs w:val="19"/>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rPr>
              <w:t>Party Amount</w:t>
            </w:r>
          </w:p>
        </w:tc>
        <w:tc>
          <w:tcPr>
            <w:tcW w:w="320" w:type="dxa"/>
            <w:vAlign w:val="bottom"/>
          </w:tcPr>
          <w:p>
            <w:pPr>
              <w:spacing w:after="0"/>
              <w:rPr>
                <w:sz w:val="19"/>
                <w:szCs w:val="19"/>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b w:val="1"/>
                <w:bCs w:val="1"/>
                <w:color w:val="auto"/>
              </w:rPr>
              <w:t>Party Amount</w:t>
            </w:r>
          </w:p>
        </w:tc>
        <w:tc>
          <w:tcPr>
            <w:tcW w:w="0" w:type="dxa"/>
            <w:vAlign w:val="bottom"/>
          </w:tcPr>
          <w:p>
            <w:pPr>
              <w:spacing w:after="0"/>
              <w:rPr>
                <w:sz w:val="1"/>
                <w:szCs w:val="1"/>
                <w:color w:val="auto"/>
              </w:rPr>
            </w:pPr>
          </w:p>
        </w:tc>
      </w:tr>
      <w:tr>
        <w:trPr>
          <w:trHeight w:val="253"/>
        </w:trPr>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3,503</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4,403</w:t>
            </w:r>
          </w:p>
        </w:tc>
        <w:tc>
          <w:tcPr>
            <w:tcW w:w="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w:t>
            </w:r>
          </w:p>
        </w:tc>
        <w:tc>
          <w:tcPr>
            <w:tcW w:w="0" w:type="dxa"/>
            <w:vAlign w:val="bottom"/>
          </w:tcPr>
          <w:p>
            <w:pPr>
              <w:spacing w:after="0"/>
              <w:rPr>
                <w:sz w:val="1"/>
                <w:szCs w:val="1"/>
                <w:color w:val="auto"/>
              </w:rPr>
            </w:pPr>
          </w:p>
        </w:tc>
      </w:tr>
      <w:tr>
        <w:trPr>
          <w:trHeight w:val="233"/>
        </w:trPr>
        <w:tc>
          <w:tcPr>
            <w:tcW w:w="1940" w:type="dxa"/>
            <w:vAlign w:val="bottom"/>
          </w:tcPr>
          <w:p>
            <w:pPr>
              <w:ind w:left="20"/>
              <w:spacing w:after="0"/>
              <w:rPr>
                <w:sz w:val="20"/>
                <w:szCs w:val="20"/>
                <w:color w:val="auto"/>
              </w:rPr>
            </w:pPr>
            <w:r>
              <w:rPr>
                <w:rFonts w:ascii="Arial" w:cs="Arial" w:eastAsia="Arial" w:hAnsi="Arial"/>
                <w:sz w:val="16"/>
                <w:szCs w:val="16"/>
                <w:color w:val="auto"/>
              </w:rPr>
              <w:t>Fiscal 2022</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900</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3,188</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4,088</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851</w:t>
            </w:r>
          </w:p>
        </w:tc>
        <w:tc>
          <w:tcPr>
            <w:tcW w:w="0" w:type="dxa"/>
            <w:vAlign w:val="bottom"/>
          </w:tcPr>
          <w:p>
            <w:pPr>
              <w:spacing w:after="0"/>
              <w:rPr>
                <w:sz w:val="1"/>
                <w:szCs w:val="1"/>
                <w:color w:val="auto"/>
              </w:rPr>
            </w:pPr>
          </w:p>
        </w:tc>
      </w:tr>
      <w:tr>
        <w:trPr>
          <w:trHeight w:val="253"/>
        </w:trPr>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2023</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2,897</w:t>
            </w: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4,397</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w:t>
            </w:r>
          </w:p>
        </w:tc>
        <w:tc>
          <w:tcPr>
            <w:tcW w:w="0" w:type="dxa"/>
            <w:vAlign w:val="bottom"/>
          </w:tcPr>
          <w:p>
            <w:pPr>
              <w:spacing w:after="0"/>
              <w:rPr>
                <w:sz w:val="1"/>
                <w:szCs w:val="1"/>
                <w:color w:val="auto"/>
              </w:rPr>
            </w:pPr>
          </w:p>
        </w:tc>
      </w:tr>
      <w:tr>
        <w:trPr>
          <w:trHeight w:val="233"/>
        </w:trPr>
        <w:tc>
          <w:tcPr>
            <w:tcW w:w="1940" w:type="dxa"/>
            <w:vAlign w:val="bottom"/>
          </w:tcPr>
          <w:p>
            <w:pPr>
              <w:ind w:left="20"/>
              <w:spacing w:after="0"/>
              <w:rPr>
                <w:sz w:val="20"/>
                <w:szCs w:val="20"/>
                <w:color w:val="auto"/>
              </w:rPr>
            </w:pPr>
            <w:r>
              <w:rPr>
                <w:rFonts w:ascii="Arial" w:cs="Arial" w:eastAsia="Arial" w:hAnsi="Arial"/>
                <w:sz w:val="16"/>
                <w:szCs w:val="16"/>
                <w:color w:val="auto"/>
              </w:rPr>
              <w:t>Fiscal 2024</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1,800</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2,587</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4,387</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846</w:t>
            </w:r>
          </w:p>
        </w:tc>
        <w:tc>
          <w:tcPr>
            <w:tcW w:w="0" w:type="dxa"/>
            <w:vAlign w:val="bottom"/>
          </w:tcPr>
          <w:p>
            <w:pPr>
              <w:spacing w:after="0"/>
              <w:rPr>
                <w:sz w:val="1"/>
                <w:szCs w:val="1"/>
                <w:color w:val="auto"/>
              </w:rPr>
            </w:pPr>
          </w:p>
        </w:tc>
      </w:tr>
      <w:tr>
        <w:trPr>
          <w:trHeight w:val="253"/>
        </w:trPr>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2025</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2,393</w:t>
            </w: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4,193</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0" w:type="dxa"/>
            <w:vAlign w:val="bottom"/>
          </w:tcPr>
          <w:p>
            <w:pPr>
              <w:spacing w:after="0"/>
              <w:rPr>
                <w:sz w:val="1"/>
                <w:szCs w:val="1"/>
                <w:color w:val="auto"/>
              </w:rPr>
            </w:pPr>
          </w:p>
        </w:tc>
      </w:tr>
      <w:tr>
        <w:trPr>
          <w:trHeight w:val="237"/>
        </w:trPr>
        <w:tc>
          <w:tcPr>
            <w:tcW w:w="1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7,800</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9,518</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17,318</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2,575</w:t>
            </w:r>
          </w:p>
        </w:tc>
        <w:tc>
          <w:tcPr>
            <w:tcW w:w="0" w:type="dxa"/>
            <w:vAlign w:val="bottom"/>
          </w:tcPr>
          <w:p>
            <w:pPr>
              <w:spacing w:after="0"/>
              <w:rPr>
                <w:sz w:val="1"/>
                <w:szCs w:val="1"/>
                <w:color w:val="auto"/>
              </w:rPr>
            </w:pPr>
          </w:p>
        </w:tc>
      </w:tr>
      <w:tr>
        <w:trPr>
          <w:trHeight w:val="204"/>
        </w:trPr>
        <w:tc>
          <w:tcPr>
            <w:tcW w:w="1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future</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undiscounted lease</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24,086</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38,786</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6,836</w:t>
            </w:r>
          </w:p>
        </w:tc>
        <w:tc>
          <w:tcPr>
            <w:tcW w:w="0" w:type="dxa"/>
            <w:vAlign w:val="bottom"/>
          </w:tcPr>
          <w:p>
            <w:pPr>
              <w:spacing w:after="0"/>
              <w:rPr>
                <w:sz w:val="1"/>
                <w:szCs w:val="1"/>
                <w:color w:val="auto"/>
              </w:rPr>
            </w:pPr>
          </w:p>
        </w:tc>
      </w:tr>
      <w:tr>
        <w:trPr>
          <w:trHeight w:val="236"/>
        </w:trPr>
        <w:tc>
          <w:tcPr>
            <w:tcW w:w="1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Interest</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3,874</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5,204</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9,078</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1,429</w:t>
            </w:r>
          </w:p>
        </w:tc>
        <w:tc>
          <w:tcPr>
            <w:tcW w:w="0" w:type="dxa"/>
            <w:vAlign w:val="bottom"/>
          </w:tcPr>
          <w:p>
            <w:pPr>
              <w:spacing w:after="0"/>
              <w:rPr>
                <w:sz w:val="1"/>
                <w:szCs w:val="1"/>
                <w:color w:val="auto"/>
              </w:rPr>
            </w:pPr>
          </w:p>
        </w:tc>
      </w:tr>
      <w:tr>
        <w:trPr>
          <w:trHeight w:val="204"/>
        </w:trPr>
        <w:tc>
          <w:tcPr>
            <w:tcW w:w="1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reported lease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10,826</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18,882</w:t>
            </w:r>
          </w:p>
        </w:tc>
        <w:tc>
          <w:tcPr>
            <w:tcW w:w="32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29,708</w:t>
            </w: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5,407</w:t>
            </w:r>
          </w:p>
        </w:tc>
        <w:tc>
          <w:tcPr>
            <w:tcW w:w="0" w:type="dxa"/>
            <w:vAlign w:val="bottom"/>
          </w:tcPr>
          <w:p>
            <w:pPr>
              <w:spacing w:after="0"/>
              <w:rPr>
                <w:sz w:val="1"/>
                <w:szCs w:val="1"/>
                <w:color w:val="auto"/>
              </w:rPr>
            </w:pPr>
          </w:p>
        </w:tc>
      </w:tr>
      <w:tr>
        <w:trPr>
          <w:trHeight w:val="207"/>
        </w:trPr>
        <w:tc>
          <w:tcPr>
            <w:tcW w:w="1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liabilities</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Company's future minimum lease payments for future fiscal years as determined prior to the adoption of ASC 842, </w:t>
      </w:r>
      <w:r>
        <w:rPr>
          <w:rFonts w:ascii="Arial" w:cs="Arial" w:eastAsia="Arial" w:hAnsi="Arial"/>
          <w:sz w:val="16"/>
          <w:szCs w:val="16"/>
          <w:i w:val="1"/>
          <w:iCs w:val="1"/>
          <w:color w:val="auto"/>
        </w:rPr>
        <w:t>Leases</w:t>
      </w:r>
      <w:r>
        <w:rPr>
          <w:rFonts w:ascii="Arial" w:cs="Arial" w:eastAsia="Arial" w:hAnsi="Arial"/>
          <w:sz w:val="16"/>
          <w:szCs w:val="16"/>
          <w:color w:val="auto"/>
        </w:rPr>
        <w:t>, and as disclosed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Company's Annual Report on Form 10-K for the fiscal year ended August 31, 2019, included the following related party and non-related party leases: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60" w:type="dxa"/>
            <w:vAlign w:val="bottom"/>
            <w:tcBorders>
              <w:bottom w:val="single" w:sz="8" w:color="auto"/>
            </w:tcBorders>
            <w:gridSpan w:val="4"/>
          </w:tcPr>
          <w:p>
            <w:pPr>
              <w:jc w:val="center"/>
              <w:ind w:left="1079"/>
              <w:spacing w:after="0"/>
              <w:rPr>
                <w:sz w:val="20"/>
                <w:szCs w:val="20"/>
                <w:color w:val="auto"/>
              </w:rPr>
            </w:pPr>
            <w:r>
              <w:rPr>
                <w:rFonts w:ascii="Arial" w:cs="Arial" w:eastAsia="Arial" w:hAnsi="Arial"/>
                <w:sz w:val="16"/>
                <w:szCs w:val="16"/>
                <w:b w:val="1"/>
                <w:bCs w:val="1"/>
                <w:color w:val="auto"/>
              </w:rPr>
              <w:t>Operating Leases as of August 31, 2019</w:t>
            </w:r>
          </w:p>
        </w:tc>
        <w:tc>
          <w:tcPr>
            <w:tcW w:w="1300" w:type="dxa"/>
            <w:vAlign w:val="bottom"/>
            <w:tcBorders>
              <w:bottom w:val="single" w:sz="8" w:color="auto"/>
            </w:tcBorders>
          </w:tcPr>
          <w:p>
            <w:pPr>
              <w:spacing w:after="0"/>
              <w:rPr>
                <w:sz w:val="19"/>
                <w:szCs w:val="19"/>
                <w:color w:val="auto"/>
              </w:rPr>
            </w:pPr>
          </w:p>
        </w:tc>
      </w:tr>
      <w:tr>
        <w:trPr>
          <w:trHeight w:val="198"/>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center"/>
              <w:ind w:right="99"/>
              <w:spacing w:after="0"/>
              <w:rPr>
                <w:sz w:val="20"/>
                <w:szCs w:val="20"/>
                <w:color w:val="auto"/>
              </w:rPr>
            </w:pPr>
            <w:r>
              <w:rPr>
                <w:rFonts w:ascii="Arial" w:cs="Arial" w:eastAsia="Arial" w:hAnsi="Arial"/>
                <w:sz w:val="16"/>
                <w:szCs w:val="16"/>
                <w:b w:val="1"/>
                <w:bCs w:val="1"/>
                <w:color w:val="auto"/>
              </w:rPr>
              <w:t>Non-Related Party</w:t>
            </w: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28"/>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Related Party Amount</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Amount</w:t>
            </w:r>
          </w:p>
        </w:tc>
        <w:tc>
          <w:tcPr>
            <w:tcW w:w="7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Total</w:t>
            </w:r>
          </w:p>
        </w:tc>
      </w:tr>
      <w:tr>
        <w:trPr>
          <w:trHeight w:val="243"/>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w:t>
            </w:r>
          </w:p>
        </w:tc>
        <w:tc>
          <w:tcPr>
            <w:tcW w:w="70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4,100</w:t>
            </w:r>
          </w:p>
        </w:tc>
      </w:tr>
      <w:tr>
        <w:trPr>
          <w:trHeight w:val="233"/>
        </w:trPr>
        <w:tc>
          <w:tcPr>
            <w:tcW w:w="5160" w:type="dxa"/>
            <w:vAlign w:val="bottom"/>
          </w:tcPr>
          <w:p>
            <w:pPr>
              <w:ind w:left="20"/>
              <w:spacing w:after="0"/>
              <w:rPr>
                <w:sz w:val="20"/>
                <w:szCs w:val="20"/>
                <w:color w:val="auto"/>
              </w:rPr>
            </w:pPr>
            <w:r>
              <w:rPr>
                <w:rFonts w:ascii="Arial" w:cs="Arial" w:eastAsia="Arial" w:hAnsi="Arial"/>
                <w:sz w:val="16"/>
                <w:szCs w:val="16"/>
                <w:color w:val="auto"/>
              </w:rPr>
              <w:t>Fiscal 2021</w:t>
            </w:r>
          </w:p>
        </w:tc>
        <w:tc>
          <w:tcPr>
            <w:tcW w:w="1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2,863</w:t>
            </w:r>
          </w:p>
        </w:tc>
        <w:tc>
          <w:tcPr>
            <w:tcW w:w="2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1,068</w:t>
            </w:r>
          </w:p>
        </w:tc>
        <w:tc>
          <w:tcPr>
            <w:tcW w:w="7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3,931</w:t>
            </w:r>
          </w:p>
        </w:tc>
      </w:tr>
      <w:tr>
        <w:trPr>
          <w:trHeight w:val="253"/>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2022</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2,863</w:t>
            </w:r>
          </w:p>
        </w:tc>
        <w:tc>
          <w:tcPr>
            <w:tcW w:w="22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7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3,622</w:t>
            </w:r>
          </w:p>
        </w:tc>
      </w:tr>
      <w:tr>
        <w:trPr>
          <w:trHeight w:val="233"/>
        </w:trPr>
        <w:tc>
          <w:tcPr>
            <w:tcW w:w="5160" w:type="dxa"/>
            <w:vAlign w:val="bottom"/>
          </w:tcPr>
          <w:p>
            <w:pPr>
              <w:ind w:left="20"/>
              <w:spacing w:after="0"/>
              <w:rPr>
                <w:sz w:val="20"/>
                <w:szCs w:val="20"/>
                <w:color w:val="auto"/>
              </w:rPr>
            </w:pPr>
            <w:r>
              <w:rPr>
                <w:rFonts w:ascii="Arial" w:cs="Arial" w:eastAsia="Arial" w:hAnsi="Arial"/>
                <w:sz w:val="16"/>
                <w:szCs w:val="16"/>
                <w:color w:val="auto"/>
              </w:rPr>
              <w:t>Fiscal 2023</w:t>
            </w:r>
          </w:p>
        </w:tc>
        <w:tc>
          <w:tcPr>
            <w:tcW w:w="1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3,597</w:t>
            </w:r>
          </w:p>
        </w:tc>
        <w:tc>
          <w:tcPr>
            <w:tcW w:w="2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530</w:t>
            </w:r>
          </w:p>
        </w:tc>
        <w:tc>
          <w:tcPr>
            <w:tcW w:w="7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4,127</w:t>
            </w:r>
          </w:p>
        </w:tc>
      </w:tr>
      <w:tr>
        <w:trPr>
          <w:trHeight w:val="253"/>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2024</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3,963</w:t>
            </w:r>
          </w:p>
        </w:tc>
        <w:tc>
          <w:tcPr>
            <w:tcW w:w="22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7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4,324</w:t>
            </w:r>
          </w:p>
        </w:tc>
      </w:tr>
      <w:tr>
        <w:trPr>
          <w:trHeight w:val="237"/>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25,064</w:t>
            </w: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1,359</w:t>
            </w:r>
          </w:p>
        </w:tc>
        <w:tc>
          <w:tcPr>
            <w:tcW w:w="7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26,423</w:t>
            </w:r>
          </w:p>
        </w:tc>
      </w:tr>
      <w:tr>
        <w:trPr>
          <w:trHeight w:val="268"/>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future lease commitments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41,214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5,313</w:t>
            </w:r>
          </w:p>
        </w:tc>
        <w:tc>
          <w:tcPr>
            <w:tcW w:w="70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46,527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additional information related to the Company's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84"/>
        </w:trPr>
        <w:tc>
          <w:tcPr>
            <w:tcW w:w="7140" w:type="dxa"/>
            <w:vAlign w:val="bottom"/>
            <w:gridSpan w:val="3"/>
          </w:tcPr>
          <w:p>
            <w:pPr>
              <w:spacing w:after="0"/>
              <w:rPr>
                <w:rFonts w:ascii="Arial" w:cs="Arial" w:eastAsia="Arial" w:hAnsi="Arial"/>
                <w:sz w:val="16"/>
                <w:szCs w:val="16"/>
                <w:color w:val="0000FF"/>
              </w:rPr>
            </w:pPr>
            <w:r>
              <w:rPr>
                <w:rFonts w:ascii="Arial" w:cs="Arial" w:eastAsia="Arial" w:hAnsi="Arial"/>
                <w:sz w:val="16"/>
                <w:szCs w:val="16"/>
                <w:color w:val="0000FF"/>
              </w:rPr>
              <w:t xml:space="preserve">Table </w:t>
            </w:r>
            <w:hyperlink w:anchor="page1">
              <w:r>
                <w:rPr>
                  <w:rFonts w:ascii="Arial" w:cs="Arial" w:eastAsia="Arial" w:hAnsi="Arial"/>
                  <w:sz w:val="16"/>
                  <w:szCs w:val="16"/>
                  <w:color w:val="0000FF"/>
                </w:rPr>
                <w:t xml:space="preserve">of </w:t>
              </w:r>
            </w:hyperlink>
            <w:r>
              <w:rPr>
                <w:rFonts w:ascii="Arial" w:cs="Arial" w:eastAsia="Arial" w:hAnsi="Arial"/>
                <w:sz w:val="16"/>
                <w:szCs w:val="16"/>
                <w:color w:val="0000FF"/>
              </w:rPr>
              <w:t>Contents</w:t>
            </w:r>
          </w:p>
        </w:tc>
        <w:tc>
          <w:tcPr>
            <w:tcW w:w="210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946"/>
        </w:trPr>
        <w:tc>
          <w:tcPr>
            <w:tcW w:w="260" w:type="dxa"/>
            <w:vAlign w:val="bottom"/>
          </w:tcPr>
          <w:p>
            <w:pPr>
              <w:spacing w:after="0"/>
              <w:rPr>
                <w:sz w:val="24"/>
                <w:szCs w:val="24"/>
                <w:color w:val="auto"/>
              </w:rPr>
            </w:pPr>
          </w:p>
        </w:tc>
        <w:tc>
          <w:tcPr>
            <w:tcW w:w="68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(in thousands)</w:t>
            </w:r>
          </w:p>
        </w:tc>
        <w:tc>
          <w:tcPr>
            <w:tcW w:w="2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August 29, 2020</w:t>
            </w:r>
          </w:p>
        </w:tc>
      </w:tr>
      <w:tr>
        <w:trPr>
          <w:trHeight w:val="243"/>
        </w:trPr>
        <w:tc>
          <w:tcPr>
            <w:tcW w:w="260" w:type="dxa"/>
            <w:vAlign w:val="bottom"/>
          </w:tcPr>
          <w:p>
            <w:pPr>
              <w:spacing w:after="0"/>
              <w:rPr>
                <w:sz w:val="21"/>
                <w:szCs w:val="21"/>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210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r>
      <w:tr>
        <w:trPr>
          <w:trHeight w:val="233"/>
        </w:trPr>
        <w:tc>
          <w:tcPr>
            <w:tcW w:w="260" w:type="dxa"/>
            <w:vAlign w:val="bottom"/>
          </w:tcPr>
          <w:p>
            <w:pPr>
              <w:spacing w:after="0"/>
              <w:rPr>
                <w:sz w:val="20"/>
                <w:szCs w:val="20"/>
                <w:color w:val="auto"/>
              </w:rPr>
            </w:pPr>
          </w:p>
        </w:tc>
        <w:tc>
          <w:tcPr>
            <w:tcW w:w="6880" w:type="dxa"/>
            <w:vAlign w:val="bottom"/>
            <w:gridSpan w:val="2"/>
          </w:tcPr>
          <w:p>
            <w:pPr>
              <w:ind w:left="120"/>
              <w:spacing w:after="0"/>
              <w:rPr>
                <w:sz w:val="20"/>
                <w:szCs w:val="20"/>
                <w:color w:val="auto"/>
              </w:rPr>
            </w:pPr>
            <w:r>
              <w:rPr>
                <w:rFonts w:ascii="Arial" w:cs="Arial" w:eastAsia="Arial" w:hAnsi="Arial"/>
                <w:sz w:val="16"/>
                <w:szCs w:val="16"/>
                <w:color w:val="auto"/>
              </w:rPr>
              <w:t>Operating cash flows from operating leases</w:t>
            </w:r>
          </w:p>
        </w:tc>
        <w:tc>
          <w:tcPr>
            <w:tcW w:w="2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2,463</w:t>
            </w:r>
          </w:p>
        </w:tc>
      </w:tr>
      <w:tr>
        <w:trPr>
          <w:trHeight w:val="253"/>
        </w:trPr>
        <w:tc>
          <w:tcPr>
            <w:tcW w:w="260" w:type="dxa"/>
            <w:vAlign w:val="bottom"/>
          </w:tcPr>
          <w:p>
            <w:pPr>
              <w:spacing w:after="0"/>
              <w:rPr>
                <w:sz w:val="21"/>
                <w:szCs w:val="21"/>
                <w:color w:val="auto"/>
              </w:rPr>
            </w:pPr>
          </w:p>
        </w:tc>
        <w:tc>
          <w:tcPr>
            <w:tcW w:w="68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Operating cash flows from financing leases</w:t>
            </w:r>
          </w:p>
        </w:tc>
        <w:tc>
          <w:tcPr>
            <w:tcW w:w="210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289</w:t>
            </w:r>
          </w:p>
        </w:tc>
      </w:tr>
      <w:tr>
        <w:trPr>
          <w:trHeight w:val="233"/>
        </w:trPr>
        <w:tc>
          <w:tcPr>
            <w:tcW w:w="260" w:type="dxa"/>
            <w:vAlign w:val="bottom"/>
          </w:tcPr>
          <w:p>
            <w:pPr>
              <w:spacing w:after="0"/>
              <w:rPr>
                <w:sz w:val="20"/>
                <w:szCs w:val="20"/>
                <w:color w:val="auto"/>
              </w:rPr>
            </w:pPr>
          </w:p>
        </w:tc>
        <w:tc>
          <w:tcPr>
            <w:tcW w:w="6880" w:type="dxa"/>
            <w:vAlign w:val="bottom"/>
            <w:gridSpan w:val="2"/>
          </w:tcPr>
          <w:p>
            <w:pPr>
              <w:ind w:left="120"/>
              <w:spacing w:after="0"/>
              <w:rPr>
                <w:sz w:val="20"/>
                <w:szCs w:val="20"/>
                <w:color w:val="auto"/>
              </w:rPr>
            </w:pPr>
            <w:r>
              <w:rPr>
                <w:rFonts w:ascii="Arial" w:cs="Arial" w:eastAsia="Arial" w:hAnsi="Arial"/>
                <w:sz w:val="16"/>
                <w:szCs w:val="16"/>
                <w:color w:val="auto"/>
              </w:rPr>
              <w:t>Financing cash flows from financing leases</w:t>
            </w:r>
          </w:p>
        </w:tc>
        <w:tc>
          <w:tcPr>
            <w:tcW w:w="2100" w:type="dxa"/>
            <w:vAlign w:val="bottom"/>
          </w:tcPr>
          <w:p>
            <w:pPr>
              <w:spacing w:after="0"/>
              <w:rPr>
                <w:sz w:val="20"/>
                <w:szCs w:val="20"/>
                <w:color w:val="auto"/>
              </w:rPr>
            </w:pP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362</w:t>
            </w:r>
          </w:p>
        </w:tc>
      </w:tr>
      <w:tr>
        <w:trPr>
          <w:trHeight w:val="253"/>
        </w:trPr>
        <w:tc>
          <w:tcPr>
            <w:tcW w:w="260" w:type="dxa"/>
            <w:vAlign w:val="bottom"/>
          </w:tcPr>
          <w:p>
            <w:pPr>
              <w:spacing w:after="0"/>
              <w:rPr>
                <w:sz w:val="21"/>
                <w:szCs w:val="21"/>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Lease assets obtained in exchange for new lease liabilities:</w:t>
            </w:r>
          </w:p>
        </w:tc>
        <w:tc>
          <w:tcPr>
            <w:tcW w:w="210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r>
      <w:tr>
        <w:trPr>
          <w:trHeight w:val="233"/>
        </w:trPr>
        <w:tc>
          <w:tcPr>
            <w:tcW w:w="260" w:type="dxa"/>
            <w:vAlign w:val="bottom"/>
          </w:tcPr>
          <w:p>
            <w:pPr>
              <w:spacing w:after="0"/>
              <w:rPr>
                <w:sz w:val="20"/>
                <w:szCs w:val="20"/>
                <w:color w:val="auto"/>
              </w:rPr>
            </w:pPr>
          </w:p>
        </w:tc>
        <w:tc>
          <w:tcPr>
            <w:tcW w:w="6880" w:type="dxa"/>
            <w:vAlign w:val="bottom"/>
            <w:gridSpan w:val="2"/>
          </w:tcPr>
          <w:p>
            <w:pPr>
              <w:ind w:left="120"/>
              <w:spacing w:after="0"/>
              <w:rPr>
                <w:sz w:val="20"/>
                <w:szCs w:val="20"/>
                <w:color w:val="auto"/>
              </w:rPr>
            </w:pPr>
            <w:r>
              <w:rPr>
                <w:rFonts w:ascii="Arial" w:cs="Arial" w:eastAsia="Arial" w:hAnsi="Arial"/>
                <w:sz w:val="16"/>
                <w:szCs w:val="16"/>
                <w:color w:val="auto"/>
              </w:rPr>
              <w:t>Operating leases</w:t>
            </w:r>
          </w:p>
        </w:tc>
        <w:tc>
          <w:tcPr>
            <w:tcW w:w="2100" w:type="dxa"/>
            <w:vAlign w:val="bottom"/>
          </w:tcPr>
          <w:p>
            <w:pPr>
              <w:spacing w:after="0"/>
              <w:rPr>
                <w:sz w:val="20"/>
                <w:szCs w:val="20"/>
                <w:color w:val="auto"/>
              </w:rPr>
            </w:pP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1,179</w:t>
            </w:r>
          </w:p>
        </w:tc>
      </w:tr>
      <w:tr>
        <w:trPr>
          <w:trHeight w:val="253"/>
        </w:trPr>
        <w:tc>
          <w:tcPr>
            <w:tcW w:w="260" w:type="dxa"/>
            <w:vAlign w:val="bottom"/>
          </w:tcPr>
          <w:p>
            <w:pPr>
              <w:spacing w:after="0"/>
              <w:rPr>
                <w:sz w:val="21"/>
                <w:szCs w:val="21"/>
                <w:color w:val="auto"/>
              </w:rPr>
            </w:pPr>
          </w:p>
        </w:tc>
        <w:tc>
          <w:tcPr>
            <w:tcW w:w="68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 xml:space="preserve">Finance leases </w:t>
            </w:r>
            <w:r>
              <w:rPr>
                <w:rFonts w:ascii="Arial" w:cs="Arial" w:eastAsia="Arial" w:hAnsi="Arial"/>
                <w:sz w:val="21"/>
                <w:szCs w:val="21"/>
                <w:color w:val="auto"/>
                <w:vertAlign w:val="superscript"/>
              </w:rPr>
              <w:t>(1)</w:t>
            </w:r>
          </w:p>
        </w:tc>
        <w:tc>
          <w:tcPr>
            <w:tcW w:w="210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5,664</w:t>
            </w:r>
          </w:p>
        </w:tc>
      </w:tr>
    </w:tbl>
    <w:p>
      <w:pPr>
        <w:spacing w:after="0" w:line="279" w:lineRule="exact"/>
        <w:rPr>
          <w:sz w:val="20"/>
          <w:szCs w:val="20"/>
          <w:color w:val="auto"/>
        </w:rPr>
      </w:pPr>
    </w:p>
    <w:tbl>
      <w:tblPr>
        <w:tblLayout w:type="fixed"/>
        <w:tblInd w:w="260" w:type="dxa"/>
        <w:tblCellMar>
          <w:top w:w="0" w:type="dxa"/>
          <w:left w:w="0" w:type="dxa"/>
          <w:bottom w:w="0" w:type="dxa"/>
          <w:right w:w="0" w:type="dxa"/>
        </w:tblCellMar>
      </w:tblPr>
      <w:tr>
        <w:trPr>
          <w:trHeight w:val="228"/>
        </w:trPr>
        <w:tc>
          <w:tcPr>
            <w:tcW w:w="6020" w:type="dxa"/>
            <w:vAlign w:val="bottom"/>
            <w:tcBorders>
              <w:bottom w:val="single" w:sz="8" w:color="auto"/>
            </w:tcBorders>
          </w:tcPr>
          <w:p>
            <w:pPr>
              <w:spacing w:after="0"/>
              <w:rPr>
                <w:sz w:val="19"/>
                <w:szCs w:val="19"/>
                <w:color w:val="auto"/>
              </w:rPr>
            </w:pPr>
          </w:p>
        </w:tc>
        <w:tc>
          <w:tcPr>
            <w:tcW w:w="4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August 29, 2020</w:t>
            </w:r>
          </w:p>
        </w:tc>
      </w:tr>
      <w:tr>
        <w:trPr>
          <w:trHeight w:val="243"/>
        </w:trPr>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remaining lease term:</w:t>
            </w:r>
          </w:p>
        </w:tc>
        <w:tc>
          <w:tcPr>
            <w:tcW w:w="4760" w:type="dxa"/>
            <w:vAlign w:val="bottom"/>
            <w:shd w:val="clear" w:color="auto" w:fill="CCEEFF"/>
          </w:tcPr>
          <w:p>
            <w:pPr>
              <w:spacing w:after="0"/>
              <w:rPr>
                <w:sz w:val="21"/>
                <w:szCs w:val="21"/>
                <w:color w:val="auto"/>
              </w:rPr>
            </w:pPr>
          </w:p>
        </w:tc>
      </w:tr>
      <w:tr>
        <w:trPr>
          <w:trHeight w:val="233"/>
        </w:trPr>
        <w:tc>
          <w:tcPr>
            <w:tcW w:w="6020" w:type="dxa"/>
            <w:vAlign w:val="bottom"/>
          </w:tcPr>
          <w:p>
            <w:pPr>
              <w:ind w:left="120"/>
              <w:spacing w:after="0"/>
              <w:rPr>
                <w:sz w:val="20"/>
                <w:szCs w:val="20"/>
                <w:color w:val="auto"/>
              </w:rPr>
            </w:pPr>
            <w:r>
              <w:rPr>
                <w:rFonts w:ascii="Arial" w:cs="Arial" w:eastAsia="Arial" w:hAnsi="Arial"/>
                <w:sz w:val="16"/>
                <w:szCs w:val="16"/>
                <w:color w:val="auto"/>
              </w:rPr>
              <w:t>Operating leases</w:t>
            </w:r>
          </w:p>
        </w:tc>
        <w:tc>
          <w:tcPr>
            <w:tcW w:w="47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53"/>
        </w:trPr>
        <w:tc>
          <w:tcPr>
            <w:tcW w:w="6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Finance leases</w:t>
            </w:r>
          </w:p>
        </w:tc>
        <w:tc>
          <w:tcPr>
            <w:tcW w:w="4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33"/>
        </w:trPr>
        <w:tc>
          <w:tcPr>
            <w:tcW w:w="6020" w:type="dxa"/>
            <w:vAlign w:val="bottom"/>
          </w:tcPr>
          <w:p>
            <w:pPr>
              <w:spacing w:after="0"/>
              <w:rPr>
                <w:sz w:val="20"/>
                <w:szCs w:val="20"/>
                <w:color w:val="auto"/>
              </w:rPr>
            </w:pPr>
            <w:r>
              <w:rPr>
                <w:rFonts w:ascii="Arial" w:cs="Arial" w:eastAsia="Arial" w:hAnsi="Arial"/>
                <w:sz w:val="16"/>
                <w:szCs w:val="16"/>
                <w:color w:val="auto"/>
              </w:rPr>
              <w:t>Weighted average discount rate:</w:t>
            </w:r>
          </w:p>
        </w:tc>
        <w:tc>
          <w:tcPr>
            <w:tcW w:w="4760" w:type="dxa"/>
            <w:vAlign w:val="bottom"/>
          </w:tcPr>
          <w:p>
            <w:pPr>
              <w:spacing w:after="0"/>
              <w:rPr>
                <w:sz w:val="20"/>
                <w:szCs w:val="20"/>
                <w:color w:val="auto"/>
              </w:rPr>
            </w:pPr>
          </w:p>
        </w:tc>
      </w:tr>
      <w:tr>
        <w:trPr>
          <w:trHeight w:val="253"/>
        </w:trPr>
        <w:tc>
          <w:tcPr>
            <w:tcW w:w="6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leases</w:t>
            </w:r>
          </w:p>
        </w:tc>
        <w:tc>
          <w:tcPr>
            <w:tcW w:w="4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6.2 %</w:t>
            </w:r>
          </w:p>
        </w:tc>
      </w:tr>
      <w:tr>
        <w:trPr>
          <w:trHeight w:val="223"/>
        </w:trPr>
        <w:tc>
          <w:tcPr>
            <w:tcW w:w="6020" w:type="dxa"/>
            <w:vAlign w:val="bottom"/>
          </w:tcPr>
          <w:p>
            <w:pPr>
              <w:ind w:left="120"/>
              <w:spacing w:after="0"/>
              <w:rPr>
                <w:sz w:val="20"/>
                <w:szCs w:val="20"/>
                <w:color w:val="auto"/>
              </w:rPr>
            </w:pPr>
            <w:r>
              <w:rPr>
                <w:rFonts w:ascii="Arial" w:cs="Arial" w:eastAsia="Arial" w:hAnsi="Arial"/>
                <w:sz w:val="16"/>
                <w:szCs w:val="16"/>
                <w:color w:val="auto"/>
              </w:rPr>
              <w:t>Finance leases</w:t>
            </w:r>
          </w:p>
        </w:tc>
        <w:tc>
          <w:tcPr>
            <w:tcW w:w="4760" w:type="dxa"/>
            <w:vAlign w:val="bottom"/>
          </w:tcPr>
          <w:p>
            <w:pPr>
              <w:jc w:val="right"/>
              <w:spacing w:after="0"/>
              <w:rPr>
                <w:sz w:val="20"/>
                <w:szCs w:val="20"/>
                <w:color w:val="auto"/>
              </w:rPr>
            </w:pPr>
            <w:r>
              <w:rPr>
                <w:rFonts w:ascii="Arial" w:cs="Arial" w:eastAsia="Arial" w:hAnsi="Arial"/>
                <w:sz w:val="16"/>
                <w:szCs w:val="16"/>
                <w:color w:val="auto"/>
              </w:rPr>
              <w:t>6.2 %</w:t>
            </w:r>
          </w:p>
        </w:tc>
      </w:tr>
    </w:tbl>
    <w:p>
      <w:pPr>
        <w:spacing w:after="0" w:line="132"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the lease liability added. Lease assets are offset by a $1.0 million unfavorable lease liability created by the acquisition of Newmar.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20" w:type="dxa"/>
            <w:vAlign w:val="bottom"/>
          </w:tcPr>
          <w:p>
            <w:pPr>
              <w:spacing w:after="0"/>
              <w:rPr>
                <w:sz w:val="20"/>
                <w:szCs w:val="20"/>
                <w:color w:val="auto"/>
              </w:rPr>
            </w:pPr>
            <w:r>
              <w:rPr>
                <w:rFonts w:ascii="Arial" w:cs="Arial" w:eastAsia="Arial" w:hAnsi="Arial"/>
                <w:sz w:val="16"/>
                <w:szCs w:val="16"/>
                <w:b w:val="1"/>
                <w:bCs w:val="1"/>
                <w:color w:val="auto"/>
              </w:rPr>
              <w:t>Note 11: Employee and Retiree Benefits</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432"/>
        </w:trPr>
        <w:tc>
          <w:tcPr>
            <w:tcW w:w="7620" w:type="dxa"/>
            <w:vAlign w:val="bottom"/>
          </w:tcPr>
          <w:p>
            <w:pPr>
              <w:spacing w:after="0"/>
              <w:rPr>
                <w:sz w:val="20"/>
                <w:szCs w:val="20"/>
                <w:color w:val="auto"/>
              </w:rPr>
            </w:pPr>
            <w:r>
              <w:rPr>
                <w:rFonts w:ascii="Arial" w:cs="Arial" w:eastAsia="Arial" w:hAnsi="Arial"/>
                <w:sz w:val="16"/>
                <w:szCs w:val="16"/>
                <w:color w:val="auto"/>
              </w:rPr>
              <w:t>Deferred compensation benefits are as follows:</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6"/>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22"/>
                <w:szCs w:val="22"/>
                <w:color w:val="auto"/>
              </w:rPr>
            </w:pPr>
          </w:p>
        </w:tc>
        <w:tc>
          <w:tcPr>
            <w:tcW w:w="168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29, 2020</w:t>
            </w:r>
          </w:p>
        </w:tc>
        <w:tc>
          <w:tcPr>
            <w:tcW w:w="180" w:type="dxa"/>
            <w:vAlign w:val="bottom"/>
          </w:tcPr>
          <w:p>
            <w:pPr>
              <w:spacing w:after="0"/>
              <w:rPr>
                <w:sz w:val="22"/>
                <w:szCs w:val="22"/>
                <w:color w:val="auto"/>
              </w:rPr>
            </w:pPr>
          </w:p>
        </w:tc>
        <w:tc>
          <w:tcPr>
            <w:tcW w:w="158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31, 2019</w:t>
            </w:r>
          </w:p>
        </w:tc>
      </w:tr>
      <w:tr>
        <w:trPr>
          <w:trHeight w:val="243"/>
        </w:trPr>
        <w:tc>
          <w:tcPr>
            <w:tcW w:w="7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Non-qualified deferred compensation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11,460</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13,093</w:t>
            </w:r>
          </w:p>
        </w:tc>
      </w:tr>
      <w:tr>
        <w:trPr>
          <w:trHeight w:val="233"/>
        </w:trPr>
        <w:tc>
          <w:tcPr>
            <w:tcW w:w="7620" w:type="dxa"/>
            <w:vAlign w:val="bottom"/>
          </w:tcPr>
          <w:p>
            <w:pPr>
              <w:ind w:left="20"/>
              <w:spacing w:after="0"/>
              <w:rPr>
                <w:sz w:val="20"/>
                <w:szCs w:val="20"/>
                <w:color w:val="auto"/>
              </w:rPr>
            </w:pPr>
            <w:r>
              <w:rPr>
                <w:rFonts w:ascii="Arial" w:cs="Arial" w:eastAsia="Arial" w:hAnsi="Arial"/>
                <w:sz w:val="16"/>
                <w:szCs w:val="16"/>
                <w:color w:val="auto"/>
              </w:rPr>
              <w:t>Supplemental executive retirement plan</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1,838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2,072</w:t>
            </w:r>
          </w:p>
        </w:tc>
      </w:tr>
      <w:tr>
        <w:trPr>
          <w:trHeight w:val="253"/>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share option plan</w:t>
            </w:r>
          </w:p>
        </w:tc>
        <w:tc>
          <w:tcPr>
            <w:tcW w:w="18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37"/>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Executive deferred compensation plan</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w:t>
            </w:r>
          </w:p>
        </w:tc>
      </w:tr>
      <w:tr>
        <w:trPr>
          <w:trHeight w:val="243"/>
        </w:trPr>
        <w:tc>
          <w:tcPr>
            <w:tcW w:w="7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deferred compensation benefits</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15,798</w:t>
            </w:r>
          </w:p>
        </w:tc>
      </w:tr>
      <w:tr>
        <w:trPr>
          <w:trHeight w:val="243"/>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current portion</w:t>
            </w:r>
            <w:r>
              <w:rPr>
                <w:rFonts w:ascii="Arial" w:cs="Arial" w:eastAsia="Arial" w:hAnsi="Arial"/>
                <w:sz w:val="21"/>
                <w:szCs w:val="21"/>
                <w:color w:val="auto"/>
                <w:vertAlign w:val="superscript"/>
              </w:rPr>
              <w:t>(1)</w:t>
            </w:r>
          </w:p>
        </w:tc>
        <w:tc>
          <w:tcPr>
            <w:tcW w:w="1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2,920</w:t>
            </w:r>
          </w:p>
        </w:tc>
      </w:tr>
      <w:tr>
        <w:trPr>
          <w:trHeight w:val="262"/>
        </w:trPr>
        <w:tc>
          <w:tcPr>
            <w:tcW w:w="7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Deferred compensation benefits, net of current portion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12,878</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Included in accrued compensation in the consolidated balance sheets.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Compensation Benefits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Non-Qualified Deferred Compensation</w:t>
      </w:r>
    </w:p>
    <w:p>
      <w:pPr>
        <w:spacing w:after="0" w:line="264"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Company has a Non-Qualified Deferred Compensation Program which permitted key employees to annually elect to defer a portion of their compensation until their retirement. The plan has been closed to any additional deferrals since January 2001. The retirement benefit to be provided is based upon the amount of compensation deferred and the age of the individual at the time of the contracted deferral. An individual generally vests at age 55 and 5 years of participation under the plan. For deferrals prior to December 1992, vesting occurs at the later of age 55 and 5 years of service from first deferral or 20 years of service. Deferred compensation expense was $0.9 million, $0.9 million, and $1.1 million in Fiscal 2020, 2019, and 2018,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Supplemental Executive Retirement Plan ("SERP")</w:t>
      </w:r>
    </w:p>
    <w:p>
      <w:pPr>
        <w:spacing w:after="0" w:line="26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primary purpose of this plan was to provide the Company's officers and managers with supplemental retirement income for a period of 15 years after retirement. The Company has not offered this plan on a continuing basis to members of management since 1998. The plan was funded with individual whole life insurance policies (split dollar program) owned by the named insured officer or manager. The Company initially paid the life insurance premiums on the life of the individual, and the individual would receive life insurance and supplemental cash payments during the 15 years following retirement. In October 2008, the plan was amended as a result of changes in the tax and accounting regulations and rising administrative costs. Under the redesigned SERP, the underlying life insurance policies previously owned by the insured individual became company-owned life insurance ("COLI") by a release of all interests by the participant and assignment to Winnebago Industries as a prerequisite to participate in the SERP and transition from the Split Dollar Program. This program remains closed to new employee participation.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5" w:name="page66"/>
    <w:bookmarkEnd w:id="6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To assist in funding the deferred compensation and SERP liabilities, the Company has invested in COLI policies. The cash surrender value of these policies is presented in investment in life insurance in the accompanying balance sheets and consists of the following:</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9"/>
                <w:szCs w:val="19"/>
                <w:color w:val="auto"/>
              </w:rPr>
            </w:pPr>
          </w:p>
        </w:tc>
        <w:tc>
          <w:tcPr>
            <w:tcW w:w="168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29, 2020</w:t>
            </w:r>
          </w:p>
        </w:tc>
        <w:tc>
          <w:tcPr>
            <w:tcW w:w="180" w:type="dxa"/>
            <w:vAlign w:val="bottom"/>
          </w:tcPr>
          <w:p>
            <w:pPr>
              <w:spacing w:after="0"/>
              <w:rPr>
                <w:sz w:val="19"/>
                <w:szCs w:val="19"/>
                <w:color w:val="auto"/>
              </w:rPr>
            </w:pPr>
          </w:p>
        </w:tc>
        <w:tc>
          <w:tcPr>
            <w:tcW w:w="1580" w:type="dxa"/>
            <w:vAlign w:val="bottom"/>
          </w:tcPr>
          <w:p>
            <w:pPr>
              <w:ind w:left="80"/>
              <w:spacing w:after="0"/>
              <w:rPr>
                <w:sz w:val="20"/>
                <w:szCs w:val="20"/>
                <w:color w:val="auto"/>
              </w:rPr>
            </w:pPr>
            <w:r>
              <w:rPr>
                <w:rFonts w:ascii="Arial" w:cs="Arial" w:eastAsia="Arial" w:hAnsi="Arial"/>
                <w:sz w:val="16"/>
                <w:szCs w:val="16"/>
                <w:b w:val="1"/>
                <w:bCs w:val="1"/>
                <w:color w:val="auto"/>
              </w:rPr>
              <w:t>August 31, 2019</w:t>
            </w:r>
          </w:p>
        </w:tc>
      </w:tr>
      <w:tr>
        <w:trPr>
          <w:trHeight w:val="243"/>
        </w:trPr>
        <w:tc>
          <w:tcPr>
            <w:tcW w:w="7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value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CEEFF"/>
          </w:tcPr>
          <w:p>
            <w:pPr>
              <w:jc w:val="center"/>
              <w:ind w:left="839"/>
              <w:spacing w:after="0"/>
              <w:rPr>
                <w:sz w:val="20"/>
                <w:szCs w:val="20"/>
                <w:color w:val="auto"/>
              </w:rPr>
            </w:pPr>
            <w:r>
              <w:rPr>
                <w:rFonts w:ascii="Arial" w:cs="Arial" w:eastAsia="Arial" w:hAnsi="Arial"/>
                <w:sz w:val="16"/>
                <w:szCs w:val="16"/>
                <w:color w:val="auto"/>
              </w:rPr>
              <w:t>64,214</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CEEFF"/>
          </w:tcPr>
          <w:p>
            <w:pPr>
              <w:jc w:val="center"/>
              <w:ind w:left="839"/>
              <w:spacing w:after="0"/>
              <w:rPr>
                <w:sz w:val="20"/>
                <w:szCs w:val="20"/>
                <w:color w:val="auto"/>
              </w:rPr>
            </w:pPr>
            <w:r>
              <w:rPr>
                <w:rFonts w:ascii="Arial" w:cs="Arial" w:eastAsia="Arial" w:hAnsi="Arial"/>
                <w:sz w:val="16"/>
                <w:szCs w:val="16"/>
                <w:color w:val="auto"/>
              </w:rPr>
              <w:t>61,836</w:t>
            </w:r>
          </w:p>
        </w:tc>
      </w:tr>
      <w:tr>
        <w:trPr>
          <w:trHeight w:val="237"/>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Borrowings</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left="819"/>
              <w:spacing w:after="0"/>
              <w:rPr>
                <w:sz w:val="20"/>
                <w:szCs w:val="20"/>
                <w:color w:val="auto"/>
              </w:rPr>
            </w:pPr>
            <w:r>
              <w:rPr>
                <w:rFonts w:ascii="Arial" w:cs="Arial" w:eastAsia="Arial" w:hAnsi="Arial"/>
                <w:sz w:val="16"/>
                <w:szCs w:val="16"/>
                <w:color w:val="auto"/>
              </w:rPr>
              <w:t>(36,376)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left="819"/>
              <w:spacing w:after="0"/>
              <w:rPr>
                <w:sz w:val="20"/>
                <w:szCs w:val="20"/>
                <w:color w:val="auto"/>
              </w:rPr>
            </w:pPr>
            <w:r>
              <w:rPr>
                <w:rFonts w:ascii="Arial" w:cs="Arial" w:eastAsia="Arial" w:hAnsi="Arial"/>
                <w:sz w:val="16"/>
                <w:szCs w:val="16"/>
                <w:color w:val="auto"/>
              </w:rPr>
              <w:t>(34,990)</w:t>
            </w:r>
          </w:p>
        </w:tc>
      </w:tr>
      <w:tr>
        <w:trPr>
          <w:trHeight w:val="268"/>
        </w:trPr>
        <w:tc>
          <w:tcPr>
            <w:tcW w:w="7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Investment in life insurance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center"/>
              <w:ind w:left="839"/>
              <w:spacing w:after="0"/>
              <w:rPr>
                <w:sz w:val="20"/>
                <w:szCs w:val="20"/>
                <w:color w:val="auto"/>
              </w:rPr>
            </w:pPr>
            <w:r>
              <w:rPr>
                <w:rFonts w:ascii="Arial" w:cs="Arial" w:eastAsia="Arial" w:hAnsi="Arial"/>
                <w:sz w:val="16"/>
                <w:szCs w:val="16"/>
                <w:color w:val="auto"/>
              </w:rPr>
              <w:t>27,838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center"/>
              <w:ind w:left="839"/>
              <w:spacing w:after="0"/>
              <w:rPr>
                <w:sz w:val="20"/>
                <w:szCs w:val="20"/>
                <w:color w:val="auto"/>
              </w:rPr>
            </w:pPr>
            <w:r>
              <w:rPr>
                <w:rFonts w:ascii="Arial" w:cs="Arial" w:eastAsia="Arial" w:hAnsi="Arial"/>
                <w:sz w:val="16"/>
                <w:szCs w:val="16"/>
                <w:color w:val="auto"/>
              </w:rPr>
              <w:t>26,846</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Deferred Compensation Plan</w:t>
      </w:r>
    </w:p>
    <w:p>
      <w:pPr>
        <w:spacing w:after="0" w:line="264"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In December 2006, the Company adopted the Winnebago Industries, Inc. Executive Deferred Compensation Plan (the "Executive Deferred Compensation Plan"). Under the Executive Deferred Compensation Plan, corporate officers and certain key employees may annually choose to defer up to 50% of their salary and up to 100% of their cash incentive awards. The assets are presented as other assets in the accompanying balance sheets. Such assets on August 29, 2020 and August 31, 2019 were $0.7 million and $0.6 million,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Profit Sharing Plan</w:t>
      </w:r>
    </w:p>
    <w:p>
      <w:pPr>
        <w:spacing w:after="0" w:line="268"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The Company has a qualified profit sharing and contributory 401(k) plan for eligible employees. The plan provides matching contributions made by Winnebago Industries and discretionary contributions as approved by the Board of Directors. Matching contributions to the plan for Fiscal 2020, 2019, and 2018 were $3.4 million, $2.9 million, and $2.3 million, respectively. No discretionary contributions were approved for the years presented.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Contingent Liabilities and Commitments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68"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Generally, manufacturers in the RV, motorhome, and boat industries enter into repurchase agreements with lending institutions which have provided wholesale floorplan financing to dealers. Most dealers are financed on a "floorplan" basis under which a bank or finance company lends the dealer all, or substantially all, of the purchase price, collateralized by a security interest in the units purchased.</w:t>
      </w:r>
    </w:p>
    <w:p>
      <w:pPr>
        <w:spacing w:after="0" w:line="228"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The Company's repurchase agreements generally provide that, in the event of default by the dealer on the agreement to pay the lending institution, Winnebago Industries will repurchase the financed merchandise. The terms of these agreements, which generally can last up to 24 months, provide that the Company's liability will be the lesser of remaining principal owed by the dealer to the lending institution, or dealer invoice less periodic reductions based on the time since the date of the original invoice. The Company's liability cannot exceed 100% of the dealer invoice. In certain instances, the Company also repurchases inventory from dealers due to state law or regulatory requirements that govern voluntary or involuntary relationship terminations. Although laws vary from state to state, some states have laws in place that require manufacturers of RVs or boats to repurchase current inventory if a dealership exits the business. The Company's total contingent liability on all repurchase agreements was approximately $798.9 million and $874.9 million at August 29, 2020 and August 31, 2019, respectively.</w:t>
      </w:r>
    </w:p>
    <w:p>
      <w:pPr>
        <w:spacing w:after="0" w:line="23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Repurchased sales are not recorded as a revenue transaction, but the net difference between the original repurchase price and the resale price are recorded against the loss reserve, which is a deduction from gross revenue. The Company's loss reserve for repurchase commitments contains uncertainties because the calculation requires management to make assumptions and apply judgment regarding a number of factors. The Company's risk of loss related to these repurchase commitments is significantly reduced by the potential resale value of any products that are subject to repurchase and is spread over numerous dealers and lenders. The aggregate contingent liability related to the Company's repurchase agreements represents all financed dealer inventory at the period reporting date subject to a repurchase agreement, net of the greater of periodic reductions per the agreement or dealer principal payments. Based on these repurchase agreements and the Company's historical loss experience, an associated loss reserve is established which is included in accrued expenses-other on the consolidated balance sheets. The Company's repurchase accrual was $1.0 million and $0.9 million as of August 29, 2020 and August 31, 2019, respectively. Repurchase risk is affected by the credit worthiness of the Company's dealer network and it is not believed that there is a reasonable likelihood there will be a material change in the estimates or assumptions used to establish the loss reserve for repurchase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6" w:name="page67"/>
    <w:bookmarkEnd w:id="6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activity for the fiscal years stated for repurchased units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 in thousands)</w:t>
            </w:r>
          </w:p>
        </w:tc>
        <w:tc>
          <w:tcPr>
            <w:tcW w:w="2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2018</w:t>
            </w:r>
          </w:p>
        </w:tc>
      </w:tr>
      <w:tr>
        <w:trPr>
          <w:trHeight w:val="243"/>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Inventory repurchased:</w:t>
            </w:r>
          </w:p>
        </w:tc>
        <w:tc>
          <w:tcPr>
            <w:tcW w:w="23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33"/>
        </w:trPr>
        <w:tc>
          <w:tcPr>
            <w:tcW w:w="3880" w:type="dxa"/>
            <w:vAlign w:val="bottom"/>
          </w:tcPr>
          <w:p>
            <w:pPr>
              <w:ind w:left="220"/>
              <w:spacing w:after="0"/>
              <w:rPr>
                <w:sz w:val="20"/>
                <w:szCs w:val="20"/>
                <w:color w:val="auto"/>
              </w:rPr>
            </w:pPr>
            <w:r>
              <w:rPr>
                <w:rFonts w:ascii="Arial" w:cs="Arial" w:eastAsia="Arial" w:hAnsi="Arial"/>
                <w:sz w:val="16"/>
                <w:szCs w:val="16"/>
                <w:color w:val="auto"/>
              </w:rPr>
              <w:t>Units</w:t>
            </w:r>
          </w:p>
        </w:tc>
        <w:tc>
          <w:tcPr>
            <w:tcW w:w="2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53"/>
        </w:trPr>
        <w:tc>
          <w:tcPr>
            <w:tcW w:w="3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Dollars</w:t>
            </w:r>
          </w:p>
        </w:tc>
        <w:tc>
          <w:tcPr>
            <w:tcW w:w="2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1,716</w:t>
            </w:r>
          </w:p>
        </w:tc>
      </w:tr>
      <w:tr>
        <w:trPr>
          <w:trHeight w:val="233"/>
        </w:trPr>
        <w:tc>
          <w:tcPr>
            <w:tcW w:w="3880" w:type="dxa"/>
            <w:vAlign w:val="bottom"/>
          </w:tcPr>
          <w:p>
            <w:pPr>
              <w:ind w:left="20"/>
              <w:spacing w:after="0"/>
              <w:rPr>
                <w:sz w:val="20"/>
                <w:szCs w:val="20"/>
                <w:color w:val="auto"/>
              </w:rPr>
            </w:pPr>
            <w:r>
              <w:rPr>
                <w:rFonts w:ascii="Arial" w:cs="Arial" w:eastAsia="Arial" w:hAnsi="Arial"/>
                <w:sz w:val="16"/>
                <w:szCs w:val="16"/>
                <w:b w:val="1"/>
                <w:bCs w:val="1"/>
                <w:color w:val="auto"/>
              </w:rPr>
              <w:t>Inventory resold:</w:t>
            </w:r>
          </w:p>
        </w:tc>
        <w:tc>
          <w:tcPr>
            <w:tcW w:w="2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3"/>
        </w:trPr>
        <w:tc>
          <w:tcPr>
            <w:tcW w:w="3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Units</w:t>
            </w:r>
          </w:p>
        </w:tc>
        <w:tc>
          <w:tcPr>
            <w:tcW w:w="2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33"/>
        </w:trPr>
        <w:tc>
          <w:tcPr>
            <w:tcW w:w="3880" w:type="dxa"/>
            <w:vAlign w:val="bottom"/>
          </w:tcPr>
          <w:p>
            <w:pPr>
              <w:ind w:left="220"/>
              <w:spacing w:after="0"/>
              <w:rPr>
                <w:sz w:val="20"/>
                <w:szCs w:val="20"/>
                <w:color w:val="auto"/>
              </w:rPr>
            </w:pPr>
            <w:r>
              <w:rPr>
                <w:rFonts w:ascii="Arial" w:cs="Arial" w:eastAsia="Arial" w:hAnsi="Arial"/>
                <w:sz w:val="16"/>
                <w:szCs w:val="16"/>
                <w:color w:val="auto"/>
              </w:rPr>
              <w:t>Cash collected</w:t>
            </w:r>
          </w:p>
        </w:tc>
        <w:tc>
          <w:tcPr>
            <w:tcW w:w="23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2,540</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4,634</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1,585</w:t>
            </w:r>
          </w:p>
        </w:tc>
      </w:tr>
      <w:tr>
        <w:trPr>
          <w:trHeight w:val="253"/>
        </w:trPr>
        <w:tc>
          <w:tcPr>
            <w:tcW w:w="3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recognized</w:t>
            </w:r>
          </w:p>
        </w:tc>
        <w:tc>
          <w:tcPr>
            <w:tcW w:w="2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24"/>
        </w:trPr>
        <w:tc>
          <w:tcPr>
            <w:tcW w:w="3880" w:type="dxa"/>
            <w:vAlign w:val="bottom"/>
          </w:tcPr>
          <w:p>
            <w:pPr>
              <w:ind w:left="20"/>
              <w:spacing w:after="0"/>
              <w:rPr>
                <w:sz w:val="20"/>
                <w:szCs w:val="20"/>
                <w:color w:val="auto"/>
              </w:rPr>
            </w:pPr>
            <w:r>
              <w:rPr>
                <w:rFonts w:ascii="Arial" w:cs="Arial" w:eastAsia="Arial" w:hAnsi="Arial"/>
                <w:sz w:val="16"/>
                <w:szCs w:val="16"/>
                <w:b w:val="1"/>
                <w:bCs w:val="1"/>
                <w:color w:val="auto"/>
              </w:rPr>
              <w:t>Units in ending inventory</w:t>
            </w:r>
          </w:p>
        </w:tc>
        <w:tc>
          <w:tcPr>
            <w:tcW w:w="2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268"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 Company is involved in various legal proceedings which are ordinary and routine litigation incidental to the business, some of which are covered in whole or in part by insurance. While the Company believes the ultimate disposition of litigation will not have a material adverse effect on the Company's financial position, results of operations or liquidity, there exists the possibility that such litigation may have an impact on results for a particular reporting period in which litigation effects become probable and reasonably estimable. Though the Company does not believe there is a reasonable likelihood that there will be a material change related to these matters, litigation is subject to inherent uncertainties and management’s view of these matters may change in the future.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80" w:type="dxa"/>
            <w:vAlign w:val="bottom"/>
          </w:tcPr>
          <w:p>
            <w:pPr>
              <w:spacing w:after="0"/>
              <w:rPr>
                <w:sz w:val="20"/>
                <w:szCs w:val="20"/>
                <w:color w:val="auto"/>
              </w:rPr>
            </w:pPr>
            <w:r>
              <w:rPr>
                <w:rFonts w:ascii="Arial" w:cs="Arial" w:eastAsia="Arial" w:hAnsi="Arial"/>
                <w:sz w:val="16"/>
                <w:szCs w:val="16"/>
                <w:b w:val="1"/>
                <w:bCs w:val="1"/>
                <w:color w:val="auto"/>
              </w:rPr>
              <w:t>Note 13: Revenue Recognition</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432"/>
        </w:trPr>
        <w:tc>
          <w:tcPr>
            <w:tcW w:w="7580" w:type="dxa"/>
            <w:vAlign w:val="bottom"/>
          </w:tcPr>
          <w:p>
            <w:pPr>
              <w:spacing w:after="0"/>
              <w:rPr>
                <w:sz w:val="20"/>
                <w:szCs w:val="20"/>
                <w:color w:val="auto"/>
              </w:rPr>
            </w:pPr>
            <w:r>
              <w:rPr>
                <w:rFonts w:ascii="Arial" w:cs="Arial" w:eastAsia="Arial" w:hAnsi="Arial"/>
                <w:sz w:val="16"/>
                <w:szCs w:val="16"/>
                <w:color w:val="auto"/>
              </w:rPr>
              <w:t>The following table disaggregates revenue by reportable segment and product category:</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243"/>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3"/>
        </w:trPr>
        <w:tc>
          <w:tcPr>
            <w:tcW w:w="7580" w:type="dxa"/>
            <w:vAlign w:val="bottom"/>
          </w:tcPr>
          <w:p>
            <w:pPr>
              <w:ind w:left="20"/>
              <w:spacing w:after="0"/>
              <w:rPr>
                <w:sz w:val="20"/>
                <w:szCs w:val="20"/>
                <w:color w:val="auto"/>
              </w:rPr>
            </w:pPr>
            <w:r>
              <w:rPr>
                <w:rFonts w:ascii="Arial" w:cs="Arial" w:eastAsia="Arial" w:hAnsi="Arial"/>
                <w:sz w:val="16"/>
                <w:szCs w:val="16"/>
                <w:color w:val="auto"/>
              </w:rPr>
              <w:t>Towable:</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3"/>
        </w:trPr>
        <w:tc>
          <w:tcPr>
            <w:tcW w:w="7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Fifth Wheel</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690,452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688,932</w:t>
            </w:r>
          </w:p>
        </w:tc>
      </w:tr>
      <w:tr>
        <w:trPr>
          <w:trHeight w:val="233"/>
        </w:trPr>
        <w:tc>
          <w:tcPr>
            <w:tcW w:w="7580" w:type="dxa"/>
            <w:vAlign w:val="bottom"/>
          </w:tcPr>
          <w:p>
            <w:pPr>
              <w:ind w:left="120"/>
              <w:spacing w:after="0"/>
              <w:rPr>
                <w:sz w:val="20"/>
                <w:szCs w:val="20"/>
                <w:color w:val="auto"/>
              </w:rPr>
            </w:pPr>
            <w:r>
              <w:rPr>
                <w:rFonts w:ascii="Arial" w:cs="Arial" w:eastAsia="Arial" w:hAnsi="Arial"/>
                <w:sz w:val="16"/>
                <w:szCs w:val="16"/>
                <w:color w:val="auto"/>
              </w:rPr>
              <w:t>Travel Trailer</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519,282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489,956</w:t>
            </w:r>
          </w:p>
        </w:tc>
      </w:tr>
      <w:tr>
        <w:trPr>
          <w:trHeight w:val="253"/>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17,833</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18,439</w:t>
            </w:r>
          </w:p>
        </w:tc>
      </w:tr>
      <w:tr>
        <w:trPr>
          <w:trHeight w:val="227"/>
        </w:trPr>
        <w:tc>
          <w:tcPr>
            <w:tcW w:w="7580" w:type="dxa"/>
            <w:vAlign w:val="bottom"/>
          </w:tcPr>
          <w:p>
            <w:pPr>
              <w:ind w:left="220"/>
              <w:spacing w:after="0"/>
              <w:rPr>
                <w:sz w:val="20"/>
                <w:szCs w:val="20"/>
                <w:color w:val="auto"/>
              </w:rPr>
            </w:pPr>
            <w:r>
              <w:rPr>
                <w:rFonts w:ascii="Arial" w:cs="Arial" w:eastAsia="Arial" w:hAnsi="Arial"/>
                <w:sz w:val="16"/>
                <w:szCs w:val="16"/>
                <w:color w:val="auto"/>
              </w:rPr>
              <w:t>Total Towable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1,227,567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1,197,327</w:t>
            </w:r>
          </w:p>
        </w:tc>
      </w:tr>
      <w:tr>
        <w:trPr>
          <w:trHeight w:val="253"/>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3"/>
        </w:trPr>
        <w:tc>
          <w:tcPr>
            <w:tcW w:w="7580" w:type="dxa"/>
            <w:vAlign w:val="bottom"/>
          </w:tcPr>
          <w:p>
            <w:pPr>
              <w:ind w:left="120"/>
              <w:spacing w:after="0"/>
              <w:rPr>
                <w:sz w:val="20"/>
                <w:szCs w:val="20"/>
                <w:color w:val="auto"/>
              </w:rPr>
            </w:pPr>
            <w:r>
              <w:rPr>
                <w:rFonts w:ascii="Arial" w:cs="Arial" w:eastAsia="Arial" w:hAnsi="Arial"/>
                <w:sz w:val="16"/>
                <w:szCs w:val="16"/>
                <w:color w:val="auto"/>
              </w:rPr>
              <w:t>Class A</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479,120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178,750</w:t>
            </w:r>
          </w:p>
        </w:tc>
      </w:tr>
      <w:tr>
        <w:trPr>
          <w:trHeight w:val="253"/>
        </w:trPr>
        <w:tc>
          <w:tcPr>
            <w:tcW w:w="7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Class B</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332,961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255,000</w:t>
            </w:r>
          </w:p>
        </w:tc>
      </w:tr>
      <w:tr>
        <w:trPr>
          <w:trHeight w:val="233"/>
        </w:trPr>
        <w:tc>
          <w:tcPr>
            <w:tcW w:w="7580" w:type="dxa"/>
            <w:vAlign w:val="bottom"/>
          </w:tcPr>
          <w:p>
            <w:pPr>
              <w:ind w:left="120"/>
              <w:spacing w:after="0"/>
              <w:rPr>
                <w:sz w:val="20"/>
                <w:szCs w:val="20"/>
                <w:color w:val="auto"/>
              </w:rPr>
            </w:pPr>
            <w:r>
              <w:rPr>
                <w:rFonts w:ascii="Arial" w:cs="Arial" w:eastAsia="Arial" w:hAnsi="Arial"/>
                <w:sz w:val="16"/>
                <w:szCs w:val="16"/>
                <w:color w:val="auto"/>
              </w:rPr>
              <w:t>Class C</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211,468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246,417</w:t>
            </w:r>
          </w:p>
        </w:tc>
      </w:tr>
      <w:tr>
        <w:trPr>
          <w:trHeight w:val="253"/>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33,245</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26,760</w:t>
            </w:r>
          </w:p>
        </w:tc>
      </w:tr>
      <w:tr>
        <w:trPr>
          <w:trHeight w:val="227"/>
        </w:trPr>
        <w:tc>
          <w:tcPr>
            <w:tcW w:w="7580" w:type="dxa"/>
            <w:vAlign w:val="bottom"/>
          </w:tcPr>
          <w:p>
            <w:pPr>
              <w:ind w:left="220"/>
              <w:spacing w:after="0"/>
              <w:rPr>
                <w:sz w:val="20"/>
                <w:szCs w:val="20"/>
                <w:color w:val="auto"/>
              </w:rPr>
            </w:pPr>
            <w:r>
              <w:rPr>
                <w:rFonts w:ascii="Arial" w:cs="Arial" w:eastAsia="Arial" w:hAnsi="Arial"/>
                <w:sz w:val="16"/>
                <w:szCs w:val="16"/>
                <w:color w:val="auto"/>
              </w:rPr>
              <w:t>Total Motorhome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1,056,794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706,927</w:t>
            </w:r>
          </w:p>
        </w:tc>
      </w:tr>
      <w:tr>
        <w:trPr>
          <w:trHeight w:val="253"/>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 All Other:</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43"/>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71,172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81,420</w:t>
            </w:r>
          </w:p>
        </w:tc>
      </w:tr>
      <w:tr>
        <w:trPr>
          <w:trHeight w:val="230"/>
        </w:trPr>
        <w:tc>
          <w:tcPr>
            <w:tcW w:w="7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Corporate / All Other</w:t>
            </w:r>
          </w:p>
        </w:tc>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71,172</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81,420</w:t>
            </w:r>
          </w:p>
        </w:tc>
      </w:tr>
      <w:tr>
        <w:trPr>
          <w:trHeight w:val="243"/>
        </w:trPr>
        <w:tc>
          <w:tcPr>
            <w:tcW w:w="7580" w:type="dxa"/>
            <w:vAlign w:val="bottom"/>
          </w:tcPr>
          <w:p>
            <w:pPr>
              <w:ind w:left="340"/>
              <w:spacing w:after="0"/>
              <w:rPr>
                <w:sz w:val="20"/>
                <w:szCs w:val="20"/>
                <w:color w:val="auto"/>
              </w:rPr>
            </w:pPr>
            <w:r>
              <w:rPr>
                <w:rFonts w:ascii="Arial" w:cs="Arial" w:eastAsia="Arial" w:hAnsi="Arial"/>
                <w:sz w:val="16"/>
                <w:szCs w:val="16"/>
                <w:color w:val="auto"/>
              </w:rPr>
              <w:t>Consolidated</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2,355,533</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1,985,674</w:t>
            </w:r>
          </w:p>
        </w:tc>
      </w:tr>
      <w:tr>
        <w:trPr>
          <w:trHeight w:val="20"/>
        </w:trPr>
        <w:tc>
          <w:tcPr>
            <w:tcW w:w="7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Relates to parts, accessories, and services.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Relates to marine and specialty vehicle units, parts, accessories, and services.</w:t>
      </w:r>
    </w:p>
    <w:p>
      <w:pPr>
        <w:spacing w:after="0" w:line="24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Company generates all operating revenue from contracts with customers. The Company's primary source of revenue is generated through the sale of manufactured motorized units, non-motorized towable units, and marine units to the Company's independent dealer network (customers). The Company also generates income through the sale of certain parts and services, acting as the principal in these arrangements. The revenue standard requirements are applied to a portfolio of contracts (or performance obligations) with similar characteristics for transactions where it is expected that the effects on the financial statements of applying the revenue recognition guidance to the portfolio would not differ materially from applying this guidance to the individual contracts (or performance obligations) within that portfolio. Revenue is recognized when control of the promised goods or services is transferred to the customer, in an amount that reflects the transaction price consideration that the Company expects to receive in exchange for those goods or services. Control refers to the ability of the customer to direct the use of, and obtain substantially all of, the remaining benefits from the goods or services. The Company's transaction price consideration is fixed, unless otherwise disclosed below as variable consideration. The Company made an accounting policy election to exclude from revenue sales and usage-based taxes collected.</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67" w:name="page68"/>
    <w:bookmarkEnd w:id="6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Unit revenue</w:t>
      </w:r>
    </w:p>
    <w:p>
      <w:pPr>
        <w:spacing w:after="0" w:line="26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Unit revenue is recognized at a point-in-time when control passes, which generally occurs when the unit is shipped to or picked-up from the Company's manufacturing facilities by the customer. The Company's payment terms are typically before or on delivery, and do not include a significant financing component. The amount of consideration received and recorded to revenue varies with changes in marketing incentives and offers to customers. These marketing incentives and offers to customers are considered variable consideration. The Company adjusts the estimate of revenue at the earlier of when the most likely amount of consideration expected to be received changes or when the consideration becomes fixed.</w:t>
      </w:r>
    </w:p>
    <w:p>
      <w:pPr>
        <w:spacing w:after="0" w:line="230"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The Company's contracts include some incidental items that are immaterial in the context of the contract. The Company has made an accounting policy election to not assess whether promised goods or services are performance obligations if they are immaterial in the context of the contract with the customer. The Company has made an accounting policy election to account for any shipping and handling costs that occur after the transfer of control as a fulfillment cost that is accrued when control is transferred. Warranty obligations associated with the sale of a unit are assurance-type warranties that are a guarantee of the unit’s intended functionality and, therefore, do not represent a distinct performance obligation within the context of the contract. Contract costs incurred related to the sale of manufactured units are expensed at the point-in-time when the related revenue is recognized.</w:t>
      </w:r>
    </w:p>
    <w:p>
      <w:pPr>
        <w:spacing w:after="0" w:line="232"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The Company does not have material contract assets or liabilities. The Company establishes allowances for uncollectible receivables based on historical collection trends and write-off history.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Risk</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None of the Company's dealer organizations accounted for more than 10% of Net revenues for Fiscal 2020, 2019, and 2018.</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Stock-Based Compensation Plans</w:t>
      </w:r>
    </w:p>
    <w:p>
      <w:pPr>
        <w:spacing w:after="0" w:line="26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On December 11, 2018, our shareholders approved the Winnebago Industries, Inc. 2019 Omnibus Incentive Plan ("2019 Plan") as detailed in the Proxy Statement for the 2018 Annual Meeting of Shareholders. The 2019 Plan allows the Company to grant or issue non-qualified stock options, incentive stock options, share awards, and other equity compensation to key employees and to non-employee directors. The 2019 Plan replaces the 2014 Omnibus Equity, Performance Award, and Incentive Compensation Plan (as amended, the "2014 Plan"). The number of shares of the Company's Common Stock that may be the subject of awards and issued under the 2019 Plan is 4.1 million, plus the shares subject to any awards outstanding under the 2014 Plan and the predecessor plan, the 2004 Incentive Compensation Plan (the “2004 Plan”), on December 11, 2018 that subsequently expire, are forfeited or canceled, or are settled for cash. Until such time, however, awards under the 2014 Plan and the 2004 Plan, respectively, that were outstanding on December 11, 2018 will continue to be subject to the terms of the 2014 Plan or 2004 Plan, as applicable. Shares remaining available for future awards under the 2014 Plan were not carried over into the 2019 Plan.</w:t>
      </w:r>
    </w:p>
    <w:p>
      <w:pPr>
        <w:spacing w:after="0" w:line="233"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The Company's outstanding options have a 10-year term. Options issued to employees generally vest over a three-year period in equal annual installments on the annual anniversary dates following the grant date. Share awards generally vest based either upon continued employment ("time-based") or upon attainment of specified goals. Outstanding share awards that are not time-based vest at the end of a three-year incentive period based upon the achievement of company performance goals ("performance-based"). Generally, time-based share awards vest over a three-year period in equal annual installments on the annual anniversary dates following the grant date. Time-based share awards to directors vest one year from the grant date.</w:t>
      </w:r>
    </w:p>
    <w:p>
      <w:pPr>
        <w:spacing w:after="0" w:line="230"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Beginning with the Company's annual grant of restricted stock units in October 2018, dividend equivalents are attached to restricted stock units equal to dividends payable on the same number of shares of the Company's common stock during the applicable period. Dividend equivalents, settled in cash, accrue on restricted stock unit awards during the vesting period. No dividend equivalents are paid on any restricted stock units that are forfeited prior to the vesting date.</w:t>
      </w:r>
    </w:p>
    <w:p>
      <w:pPr>
        <w:spacing w:after="0" w:line="22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Company's Employee Stock Purchase Plan ("ESPP") permits employees to purchase Winnebago Industries common stock at a 15% discount from the market price at the end of semi-annual purchase periods and is compensatory. Employees are required to hold the common stock purchased for one-year. In Fiscal 2020 and 2019, 21,094 shares and 30,956 shares, respectively, were purchased through the ESPP. Plan participants had accumulated $0.3 million and $0.2 million as of August 29, 2020 and August 31, 2019, respectively, to purchase the Company's common stock pursuant to this plan.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68" w:name="page69"/>
    <w:bookmarkEnd w:id="6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Compensation expense associated with share-based awards is recognized on a straight-line basis over the required service period and forfeitures are recorded when they occur. Total stock-based compensation expense for the past three fiscal years consisted of the following components: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2018</w:t>
            </w:r>
          </w:p>
        </w:tc>
      </w:tr>
      <w:tr>
        <w:trPr>
          <w:trHeight w:val="243"/>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awards:</w:t>
            </w:r>
          </w:p>
        </w:tc>
        <w:tc>
          <w:tcPr>
            <w:tcW w:w="1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33"/>
        </w:trPr>
        <w:tc>
          <w:tcPr>
            <w:tcW w:w="5780" w:type="dxa"/>
            <w:vAlign w:val="bottom"/>
          </w:tcPr>
          <w:p>
            <w:pPr>
              <w:ind w:left="120"/>
              <w:spacing w:after="0"/>
              <w:rPr>
                <w:sz w:val="20"/>
                <w:szCs w:val="20"/>
                <w:color w:val="auto"/>
              </w:rPr>
            </w:pPr>
            <w:r>
              <w:rPr>
                <w:rFonts w:ascii="Arial" w:cs="Arial" w:eastAsia="Arial" w:hAnsi="Arial"/>
                <w:sz w:val="16"/>
                <w:szCs w:val="16"/>
                <w:color w:val="auto"/>
              </w:rPr>
              <w:t>Time-based</w:t>
            </w:r>
          </w:p>
        </w:tc>
        <w:tc>
          <w:tcPr>
            <w:tcW w:w="116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4,287</w:t>
            </w:r>
          </w:p>
        </w:tc>
        <w:tc>
          <w:tcPr>
            <w:tcW w:w="120" w:type="dxa"/>
            <w:vAlign w:val="bottom"/>
          </w:tcPr>
          <w:p>
            <w:pPr>
              <w:spacing w:after="0"/>
              <w:rPr>
                <w:sz w:val="20"/>
                <w:szCs w:val="20"/>
                <w:color w:val="auto"/>
              </w:rPr>
            </w:pP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4,986</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4,152</w:t>
            </w:r>
          </w:p>
        </w:tc>
      </w:tr>
      <w:tr>
        <w:trPr>
          <w:trHeight w:val="253"/>
        </w:trPr>
        <w:tc>
          <w:tcPr>
            <w:tcW w:w="5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Performance-based</w:t>
            </w:r>
          </w:p>
        </w:tc>
        <w:tc>
          <w:tcPr>
            <w:tcW w:w="1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2,525</w:t>
            </w:r>
          </w:p>
        </w:tc>
      </w:tr>
      <w:tr>
        <w:trPr>
          <w:trHeight w:val="233"/>
        </w:trPr>
        <w:tc>
          <w:tcPr>
            <w:tcW w:w="5780" w:type="dxa"/>
            <w:vAlign w:val="bottom"/>
          </w:tcPr>
          <w:p>
            <w:pPr>
              <w:ind w:left="20"/>
              <w:spacing w:after="0"/>
              <w:rPr>
                <w:sz w:val="20"/>
                <w:szCs w:val="20"/>
                <w:color w:val="auto"/>
              </w:rPr>
            </w:pPr>
            <w:r>
              <w:rPr>
                <w:rFonts w:ascii="Arial" w:cs="Arial" w:eastAsia="Arial" w:hAnsi="Arial"/>
                <w:sz w:val="16"/>
                <w:szCs w:val="16"/>
                <w:color w:val="auto"/>
              </w:rPr>
              <w:t>Stock options</w:t>
            </w:r>
          </w:p>
        </w:tc>
        <w:tc>
          <w:tcPr>
            <w:tcW w:w="1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990</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925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502</w:t>
            </w:r>
          </w:p>
        </w:tc>
      </w:tr>
      <w:tr>
        <w:trPr>
          <w:trHeight w:val="253"/>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11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2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r>
      <w:tr>
        <w:trPr>
          <w:trHeight w:val="237"/>
        </w:trPr>
        <w:tc>
          <w:tcPr>
            <w:tcW w:w="5780" w:type="dxa"/>
            <w:vAlign w:val="bottom"/>
          </w:tcPr>
          <w:p>
            <w:pPr>
              <w:ind w:left="120"/>
              <w:spacing w:after="0"/>
              <w:rPr>
                <w:sz w:val="20"/>
                <w:szCs w:val="20"/>
                <w:color w:val="auto"/>
              </w:rPr>
            </w:pPr>
            <w:r>
              <w:rPr>
                <w:rFonts w:ascii="Arial" w:cs="Arial" w:eastAsia="Arial" w:hAnsi="Arial"/>
                <w:sz w:val="16"/>
                <w:szCs w:val="16"/>
                <w:color w:val="auto"/>
              </w:rPr>
              <w:t>Total stock-based compensation expense</w:t>
            </w: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6,475</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7,058</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7,434</w:t>
            </w:r>
          </w:p>
        </w:tc>
      </w:tr>
      <w:tr>
        <w:trPr>
          <w:trHeight w:val="21"/>
        </w:trPr>
        <w:tc>
          <w:tcPr>
            <w:tcW w:w="5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260" w:right="80" w:hanging="252"/>
        <w:spacing w:after="0" w:line="258" w:lineRule="auto"/>
        <w:tabs>
          <w:tab w:leader="none" w:pos="353"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stock-based compensation expense related to Board of Directors stock award expense and ESPP expense. Directors may elect to defer all or part of their annual retainer into a deferred compensation plan. The plan allows them to defer into either money units or stock units.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Awards - Time-Based</w:t>
      </w:r>
    </w:p>
    <w:p>
      <w:pPr>
        <w:spacing w:after="0" w:line="268"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The fair value of time-based share awards is determined based on the closing market price of the Company's stock on the date of grant. A summary of the status of nonvested time-based share awards at August 29, 2020, and changes during Fiscal 2020, is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jc w:val="right"/>
              <w:spacing w:after="0"/>
              <w:rPr>
                <w:sz w:val="20"/>
                <w:szCs w:val="20"/>
                <w:color w:val="auto"/>
              </w:rPr>
            </w:pPr>
            <w:r>
              <w:rPr>
                <w:rFonts w:ascii="Arial" w:cs="Arial" w:eastAsia="Arial" w:hAnsi="Arial"/>
                <w:sz w:val="16"/>
                <w:szCs w:val="16"/>
                <w:b w:val="1"/>
                <w:bCs w:val="1"/>
                <w:color w:val="auto"/>
              </w:rPr>
              <w:t>Weighted Average Fair</w:t>
            </w:r>
          </w:p>
        </w:tc>
      </w:tr>
      <w:tr>
        <w:trPr>
          <w:trHeight w:val="228"/>
        </w:trPr>
        <w:tc>
          <w:tcPr>
            <w:tcW w:w="74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Value</w:t>
            </w:r>
          </w:p>
        </w:tc>
      </w:tr>
      <w:tr>
        <w:trPr>
          <w:trHeight w:val="243"/>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August 31, 2019</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215,506</w:t>
            </w:r>
          </w:p>
        </w:tc>
        <w:tc>
          <w:tcPr>
            <w:tcW w:w="52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33.40</w:t>
            </w:r>
          </w:p>
        </w:tc>
      </w:tr>
      <w:tr>
        <w:trPr>
          <w:trHeight w:val="233"/>
        </w:trPr>
        <w:tc>
          <w:tcPr>
            <w:tcW w:w="7400" w:type="dxa"/>
            <w:vAlign w:val="bottom"/>
          </w:tcPr>
          <w:p>
            <w:pPr>
              <w:ind w:left="120"/>
              <w:spacing w:after="0"/>
              <w:rPr>
                <w:sz w:val="20"/>
                <w:szCs w:val="20"/>
                <w:color w:val="auto"/>
              </w:rPr>
            </w:pPr>
            <w:r>
              <w:rPr>
                <w:rFonts w:ascii="Arial" w:cs="Arial" w:eastAsia="Arial" w:hAnsi="Arial"/>
                <w:sz w:val="16"/>
                <w:szCs w:val="16"/>
                <w:color w:val="auto"/>
              </w:rPr>
              <w:t>Granted</w:t>
            </w:r>
          </w:p>
        </w:tc>
        <w:tc>
          <w:tcPr>
            <w:tcW w:w="1840" w:type="dxa"/>
            <w:vAlign w:val="bottom"/>
          </w:tcPr>
          <w:p>
            <w:pPr>
              <w:jc w:val="right"/>
              <w:spacing w:after="0"/>
              <w:rPr>
                <w:sz w:val="20"/>
                <w:szCs w:val="20"/>
                <w:color w:val="auto"/>
              </w:rPr>
            </w:pPr>
            <w:r>
              <w:rPr>
                <w:rFonts w:ascii="Arial" w:cs="Arial" w:eastAsia="Arial" w:hAnsi="Arial"/>
                <w:sz w:val="16"/>
                <w:szCs w:val="16"/>
                <w:color w:val="auto"/>
              </w:rPr>
              <w:t>166,440</w:t>
            </w:r>
          </w:p>
        </w:tc>
        <w:tc>
          <w:tcPr>
            <w:tcW w:w="52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42.76</w:t>
            </w:r>
          </w:p>
        </w:tc>
      </w:tr>
      <w:tr>
        <w:trPr>
          <w:trHeight w:val="253"/>
        </w:trPr>
        <w:tc>
          <w:tcPr>
            <w:tcW w:w="7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Vested</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(77,550)</w:t>
            </w:r>
          </w:p>
        </w:tc>
        <w:tc>
          <w:tcPr>
            <w:tcW w:w="52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34.45</w:t>
            </w:r>
          </w:p>
        </w:tc>
      </w:tr>
      <w:tr>
        <w:trPr>
          <w:trHeight w:val="237"/>
        </w:trPr>
        <w:tc>
          <w:tcPr>
            <w:tcW w:w="74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Forfeited/canceled</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(2,132)</w:t>
            </w:r>
          </w:p>
        </w:tc>
        <w:tc>
          <w:tcPr>
            <w:tcW w:w="520" w:type="dxa"/>
            <w:vAlign w:val="bottom"/>
            <w:tcBorders>
              <w:bottom w:val="single" w:sz="8" w:color="CCEEFF"/>
            </w:tcBorders>
            <w:gridSpan w:val="2"/>
          </w:tcPr>
          <w:p>
            <w:pPr>
              <w:jc w:val="right"/>
              <w:ind w:right="2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36.08</w:t>
            </w:r>
          </w:p>
        </w:tc>
      </w:tr>
      <w:tr>
        <w:trPr>
          <w:trHeight w:val="26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August 29, 2020</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302,264</w:t>
            </w:r>
          </w:p>
        </w:tc>
        <w:tc>
          <w:tcPr>
            <w:tcW w:w="52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38.27</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353"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As of August 29, 2020, there was $5.0 million of unrecognized compensation expense related to nonvested time-based share awards that are expected to be recognized over a weighted average period of 0.8 years. The total fair value of awards vested during Fiscal 2020, 2019, and 2018 was $3.3 million, $6.6 million, and $7.1 million, respectively.</w:t>
      </w:r>
    </w:p>
    <w:p>
      <w:pPr>
        <w:spacing w:after="0" w:line="22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On October 13, 2020, the Board of Directors granted 69,538 restricted stock units under the 2019 Plan valued at $3.8 million to the Company's key management group. The value of the restricted stock units, which is based on the closing price of Winnebago Industries common stock on the date of grant, was $54.49. Estimated non-cash stock compensation expense based on this grant is expected to be approximately $1.8 million for Fiscal 2021.</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Awards - Performance-Based</w:t>
      </w:r>
    </w:p>
    <w:p>
      <w:pPr>
        <w:spacing w:after="0" w:line="26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fair value of performance-based share awards is determined based on the closing market price of the Company's stock on the date of grant. A summary of the status of the Company's nonvested performance-based share awards at August 29, 2020, and changes during Fiscal 2020, is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jc w:val="right"/>
              <w:spacing w:after="0"/>
              <w:rPr>
                <w:sz w:val="20"/>
                <w:szCs w:val="20"/>
                <w:color w:val="auto"/>
              </w:rPr>
            </w:pPr>
            <w:r>
              <w:rPr>
                <w:rFonts w:ascii="Arial" w:cs="Arial" w:eastAsia="Arial" w:hAnsi="Arial"/>
                <w:sz w:val="16"/>
                <w:szCs w:val="16"/>
                <w:b w:val="1"/>
                <w:bCs w:val="1"/>
                <w:color w:val="auto"/>
              </w:rPr>
              <w:t>Weighted Average Fair</w:t>
            </w:r>
          </w:p>
        </w:tc>
      </w:tr>
      <w:tr>
        <w:trPr>
          <w:trHeight w:val="228"/>
        </w:trPr>
        <w:tc>
          <w:tcPr>
            <w:tcW w:w="74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Value</w:t>
            </w:r>
          </w:p>
        </w:tc>
      </w:tr>
      <w:tr>
        <w:trPr>
          <w:trHeight w:val="243"/>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August 31, 2019</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207,433</w:t>
            </w:r>
          </w:p>
        </w:tc>
        <w:tc>
          <w:tcPr>
            <w:tcW w:w="52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33.87</w:t>
            </w:r>
          </w:p>
        </w:tc>
      </w:tr>
      <w:tr>
        <w:trPr>
          <w:trHeight w:val="233"/>
        </w:trPr>
        <w:tc>
          <w:tcPr>
            <w:tcW w:w="7400" w:type="dxa"/>
            <w:vAlign w:val="bottom"/>
          </w:tcPr>
          <w:p>
            <w:pPr>
              <w:ind w:left="120"/>
              <w:spacing w:after="0"/>
              <w:rPr>
                <w:sz w:val="20"/>
                <w:szCs w:val="20"/>
                <w:color w:val="auto"/>
              </w:rPr>
            </w:pPr>
            <w:r>
              <w:rPr>
                <w:rFonts w:ascii="Arial" w:cs="Arial" w:eastAsia="Arial" w:hAnsi="Arial"/>
                <w:sz w:val="16"/>
                <w:szCs w:val="16"/>
                <w:color w:val="auto"/>
              </w:rPr>
              <w:t>Granted</w:t>
            </w:r>
          </w:p>
        </w:tc>
        <w:tc>
          <w:tcPr>
            <w:tcW w:w="1840" w:type="dxa"/>
            <w:vAlign w:val="bottom"/>
          </w:tcPr>
          <w:p>
            <w:pPr>
              <w:jc w:val="right"/>
              <w:spacing w:after="0"/>
              <w:rPr>
                <w:sz w:val="20"/>
                <w:szCs w:val="20"/>
                <w:color w:val="auto"/>
              </w:rPr>
            </w:pPr>
            <w:r>
              <w:rPr>
                <w:rFonts w:ascii="Arial" w:cs="Arial" w:eastAsia="Arial" w:hAnsi="Arial"/>
                <w:sz w:val="16"/>
                <w:szCs w:val="16"/>
                <w:color w:val="auto"/>
              </w:rPr>
              <w:t>64,914</w:t>
            </w:r>
          </w:p>
        </w:tc>
        <w:tc>
          <w:tcPr>
            <w:tcW w:w="52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47.93</w:t>
            </w:r>
          </w:p>
        </w:tc>
      </w:tr>
      <w:tr>
        <w:trPr>
          <w:trHeight w:val="253"/>
        </w:trPr>
        <w:tc>
          <w:tcPr>
            <w:tcW w:w="7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Vested</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(65,302)</w:t>
            </w:r>
          </w:p>
        </w:tc>
        <w:tc>
          <w:tcPr>
            <w:tcW w:w="52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28.21</w:t>
            </w:r>
          </w:p>
        </w:tc>
      </w:tr>
      <w:tr>
        <w:trPr>
          <w:trHeight w:val="237"/>
        </w:trPr>
        <w:tc>
          <w:tcPr>
            <w:tcW w:w="74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Forfeited/canceled</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(18,053)</w:t>
            </w:r>
          </w:p>
        </w:tc>
        <w:tc>
          <w:tcPr>
            <w:tcW w:w="520" w:type="dxa"/>
            <w:vAlign w:val="bottom"/>
            <w:tcBorders>
              <w:bottom w:val="single" w:sz="8" w:color="CCEEFF"/>
            </w:tcBorders>
            <w:gridSpan w:val="2"/>
          </w:tcPr>
          <w:p>
            <w:pPr>
              <w:jc w:val="right"/>
              <w:ind w:right="2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32.79</w:t>
            </w:r>
          </w:p>
        </w:tc>
      </w:tr>
      <w:tr>
        <w:trPr>
          <w:trHeight w:val="26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August 29, 2020</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188,992</w:t>
            </w:r>
          </w:p>
        </w:tc>
        <w:tc>
          <w:tcPr>
            <w:tcW w:w="52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40.73</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353"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As of August 29, 2020, there was $2.9 million of unrecognized compensation expense related to nonvested performance-based share awards that are expected to be recognized over a weighted average period of 0.9 years. The total fair value of performance-based share awards vested during Fiscal 2020 was $2.4 million. No performance-based share awards vested during Fiscal 2019 or 2018.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9" w:name="page70"/>
    <w:bookmarkEnd w:id="6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20"/>
                <w:szCs w:val="20"/>
                <w:color w:val="auto"/>
              </w:rPr>
            </w:pPr>
            <w:r>
              <w:rPr>
                <w:rFonts w:ascii="Arial" w:cs="Arial" w:eastAsia="Arial" w:hAnsi="Arial"/>
                <w:sz w:val="16"/>
                <w:szCs w:val="16"/>
                <w:b w:val="1"/>
                <w:bCs w:val="1"/>
                <w:color w:val="auto"/>
              </w:rPr>
              <w:t>Stock Options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432"/>
        </w:trPr>
        <w:tc>
          <w:tcPr>
            <w:tcW w:w="5700" w:type="dxa"/>
            <w:vAlign w:val="bottom"/>
            <w:gridSpan w:val="2"/>
          </w:tcPr>
          <w:p>
            <w:pPr>
              <w:spacing w:after="0"/>
              <w:rPr>
                <w:sz w:val="20"/>
                <w:szCs w:val="20"/>
                <w:color w:val="auto"/>
              </w:rPr>
            </w:pPr>
            <w:r>
              <w:rPr>
                <w:rFonts w:ascii="Arial" w:cs="Arial" w:eastAsia="Arial" w:hAnsi="Arial"/>
                <w:sz w:val="16"/>
                <w:szCs w:val="16"/>
                <w:color w:val="auto"/>
              </w:rPr>
              <w:t>A summary of stock option activity for Fiscal 2020 is as follows: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17"/>
        </w:trPr>
        <w:tc>
          <w:tcPr>
            <w:tcW w:w="4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Weighted Average</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89"/>
        </w:trPr>
        <w:tc>
          <w:tcPr>
            <w:tcW w:w="4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Weighted Average</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20" w:type="dxa"/>
            <w:vAlign w:val="bottom"/>
          </w:tcPr>
          <w:p>
            <w:pPr>
              <w:spacing w:after="0"/>
              <w:rPr>
                <w:sz w:val="16"/>
                <w:szCs w:val="16"/>
                <w:color w:val="auto"/>
              </w:rPr>
            </w:pPr>
          </w:p>
        </w:tc>
        <w:tc>
          <w:tcPr>
            <w:tcW w:w="1640" w:type="dxa"/>
            <w:vAlign w:val="bottom"/>
          </w:tcPr>
          <w:p>
            <w:pPr>
              <w:jc w:val="center"/>
              <w:ind w:right="39"/>
              <w:spacing w:after="0"/>
              <w:rPr>
                <w:sz w:val="20"/>
                <w:szCs w:val="20"/>
                <w:color w:val="auto"/>
              </w:rPr>
            </w:pPr>
            <w:r>
              <w:rPr>
                <w:rFonts w:ascii="Arial" w:cs="Arial" w:eastAsia="Arial" w:hAnsi="Arial"/>
                <w:sz w:val="16"/>
                <w:szCs w:val="16"/>
                <w:b w:val="1"/>
                <w:bCs w:val="1"/>
                <w:color w:val="auto"/>
              </w:rPr>
              <w:t>Aggregate Intrinsic</w:t>
            </w:r>
          </w:p>
        </w:tc>
      </w:tr>
      <w:tr>
        <w:trPr>
          <w:trHeight w:val="189"/>
        </w:trPr>
        <w:tc>
          <w:tcPr>
            <w:tcW w:w="4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Exercise Price Per</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Contractual Term (in</w:t>
            </w:r>
          </w:p>
        </w:tc>
        <w:tc>
          <w:tcPr>
            <w:tcW w:w="120" w:type="dxa"/>
            <w:vAlign w:val="bottom"/>
          </w:tcPr>
          <w:p>
            <w:pPr>
              <w:spacing w:after="0"/>
              <w:rPr>
                <w:sz w:val="16"/>
                <w:szCs w:val="16"/>
                <w:color w:val="auto"/>
              </w:rPr>
            </w:pPr>
          </w:p>
        </w:tc>
        <w:tc>
          <w:tcPr>
            <w:tcW w:w="1640" w:type="dxa"/>
            <w:vAlign w:val="bottom"/>
          </w:tcPr>
          <w:p>
            <w:pPr>
              <w:jc w:val="center"/>
              <w:ind w:right="19"/>
              <w:spacing w:after="0"/>
              <w:rPr>
                <w:sz w:val="20"/>
                <w:szCs w:val="20"/>
                <w:color w:val="auto"/>
              </w:rPr>
            </w:pPr>
            <w:r>
              <w:rPr>
                <w:rFonts w:ascii="Arial" w:cs="Arial" w:eastAsia="Arial" w:hAnsi="Arial"/>
                <w:sz w:val="16"/>
                <w:szCs w:val="16"/>
                <w:b w:val="1"/>
                <w:bCs w:val="1"/>
                <w:color w:val="auto"/>
                <w:w w:val="98"/>
              </w:rPr>
              <w:t>Value</w:t>
            </w:r>
          </w:p>
        </w:tc>
      </w:tr>
      <w:tr>
        <w:trPr>
          <w:trHeight w:val="228"/>
        </w:trPr>
        <w:tc>
          <w:tcPr>
            <w:tcW w:w="4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Stock Options</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8"/>
              </w:rPr>
              <w:t>Share</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years)</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(in thousands)</w:t>
            </w:r>
          </w:p>
        </w:tc>
      </w:tr>
      <w:tr>
        <w:trPr>
          <w:trHeight w:val="243"/>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August 31, 2019</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253,145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34.43</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33"/>
        </w:trPr>
        <w:tc>
          <w:tcPr>
            <w:tcW w:w="4200" w:type="dxa"/>
            <w:vAlign w:val="bottom"/>
          </w:tcPr>
          <w:p>
            <w:pPr>
              <w:ind w:left="12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spacing w:after="0"/>
              <w:rPr>
                <w:sz w:val="20"/>
                <w:szCs w:val="20"/>
                <w:color w:val="auto"/>
              </w:rPr>
            </w:pPr>
            <w:r>
              <w:rPr>
                <w:rFonts w:ascii="Arial" w:cs="Arial" w:eastAsia="Arial" w:hAnsi="Arial"/>
                <w:sz w:val="16"/>
                <w:szCs w:val="16"/>
                <w:color w:val="auto"/>
              </w:rPr>
              <w:t>55,036</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47.93</w:t>
            </w: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53"/>
        </w:trPr>
        <w:tc>
          <w:tcPr>
            <w:tcW w:w="4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34.21</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37"/>
        </w:trPr>
        <w:tc>
          <w:tcPr>
            <w:tcW w:w="42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Forfeited/canceled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(6,019)</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35.09</w:t>
            </w:r>
          </w:p>
        </w:tc>
        <w:tc>
          <w:tcPr>
            <w:tcW w:w="100" w:type="dxa"/>
            <w:vAlign w:val="bottom"/>
            <w:tcBorders>
              <w:bottom w:val="single" w:sz="8" w:color="CCEEFF"/>
            </w:tcBorders>
          </w:tcPr>
          <w:p>
            <w:pPr>
              <w:spacing w:after="0"/>
              <w:rPr>
                <w:sz w:val="20"/>
                <w:szCs w:val="20"/>
                <w:color w:val="auto"/>
              </w:rPr>
            </w:pPr>
          </w:p>
        </w:tc>
        <w:tc>
          <w:tcPr>
            <w:tcW w:w="17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40" w:type="dxa"/>
            <w:vAlign w:val="bottom"/>
            <w:tcBorders>
              <w:bottom w:val="single" w:sz="8" w:color="CCEEFF"/>
            </w:tcBorders>
          </w:tcPr>
          <w:p>
            <w:pPr>
              <w:spacing w:after="0"/>
              <w:rPr>
                <w:sz w:val="20"/>
                <w:szCs w:val="20"/>
                <w:color w:val="auto"/>
              </w:rPr>
            </w:pPr>
          </w:p>
        </w:tc>
      </w:tr>
      <w:tr>
        <w:trPr>
          <w:trHeight w:val="26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August 29, 2020</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292,444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36.96</w:t>
            </w:r>
          </w:p>
        </w:tc>
        <w:tc>
          <w:tcPr>
            <w:tcW w:w="1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6,273</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r>
        <w:trPr>
          <w:trHeight w:val="207"/>
        </w:trPr>
        <w:tc>
          <w:tcPr>
            <w:tcW w:w="4200" w:type="dxa"/>
            <w:vAlign w:val="bottom"/>
          </w:tcPr>
          <w:p>
            <w:pPr>
              <w:ind w:left="20"/>
              <w:spacing w:after="0"/>
              <w:rPr>
                <w:sz w:val="20"/>
                <w:szCs w:val="20"/>
                <w:color w:val="auto"/>
              </w:rPr>
            </w:pPr>
            <w:r>
              <w:rPr>
                <w:rFonts w:ascii="Arial" w:cs="Arial" w:eastAsia="Arial" w:hAnsi="Arial"/>
                <w:sz w:val="16"/>
                <w:szCs w:val="16"/>
                <w:color w:val="auto"/>
              </w:rPr>
              <w:t>Vested and expected to vest at August 29, 2020</w:t>
            </w:r>
          </w:p>
        </w:tc>
        <w:tc>
          <w:tcPr>
            <w:tcW w:w="1500" w:type="dxa"/>
            <w:vAlign w:val="bottom"/>
          </w:tcPr>
          <w:p>
            <w:pPr>
              <w:jc w:val="right"/>
              <w:spacing w:after="0"/>
              <w:rPr>
                <w:sz w:val="20"/>
                <w:szCs w:val="20"/>
                <w:color w:val="auto"/>
              </w:rPr>
            </w:pPr>
            <w:r>
              <w:rPr>
                <w:rFonts w:ascii="Arial" w:cs="Arial" w:eastAsia="Arial" w:hAnsi="Arial"/>
                <w:sz w:val="16"/>
                <w:szCs w:val="16"/>
                <w:color w:val="auto"/>
              </w:rPr>
              <w:t>292,444</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36.96</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6,273</w:t>
            </w:r>
          </w:p>
        </w:tc>
      </w:tr>
      <w:tr>
        <w:trPr>
          <w:trHeight w:val="253"/>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Exercisable at August 29, 2020</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142,754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34.20</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3,455</w:t>
            </w:r>
          </w:p>
        </w:tc>
      </w:tr>
    </w:tbl>
    <w:p>
      <w:pPr>
        <w:spacing w:after="0" w:line="353"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As of August 29, 2020, there was $1.3 million of unrecognized compensation expense related to option awards that is expected to be recognized over a weighted average period of 0.8 years.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each stock option is estimated on the date of grant using the Black-Scholes option-pricing model with the following assumptions: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Valuation Assumptions</w:t>
            </w:r>
            <w:r>
              <w:rPr>
                <w:rFonts w:ascii="Arial" w:cs="Arial" w:eastAsia="Arial" w:hAnsi="Arial"/>
                <w:sz w:val="21"/>
                <w:szCs w:val="21"/>
                <w:color w:val="auto"/>
                <w:vertAlign w:val="superscript"/>
              </w:rPr>
              <w:t>(1)</w:t>
            </w:r>
          </w:p>
        </w:tc>
        <w:tc>
          <w:tcPr>
            <w:tcW w:w="1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auto"/>
            </w:tcBorders>
          </w:tcPr>
          <w:p>
            <w:pPr>
              <w:spacing w:after="0"/>
              <w:rPr>
                <w:sz w:val="21"/>
                <w:szCs w:val="21"/>
                <w:color w:val="auto"/>
              </w:rPr>
            </w:pPr>
          </w:p>
        </w:tc>
      </w:tr>
      <w:tr>
        <w:trPr>
          <w:trHeight w:val="23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dividend yield</w:t>
            </w:r>
          </w:p>
        </w:tc>
        <w:tc>
          <w:tcPr>
            <w:tcW w:w="13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0.9 %</w:t>
            </w:r>
          </w:p>
        </w:tc>
      </w:tr>
      <w:tr>
        <w:trPr>
          <w:trHeight w:val="243"/>
        </w:trPr>
        <w:tc>
          <w:tcPr>
            <w:tcW w:w="4320" w:type="dxa"/>
            <w:vAlign w:val="bottom"/>
          </w:tcPr>
          <w:p>
            <w:pPr>
              <w:ind w:left="20"/>
              <w:spacing w:after="0"/>
              <w:rPr>
                <w:sz w:val="20"/>
                <w:szCs w:val="20"/>
                <w:color w:val="auto"/>
              </w:rPr>
            </w:pPr>
            <w:r>
              <w:rPr>
                <w:rFonts w:ascii="Arial" w:cs="Arial" w:eastAsia="Arial" w:hAnsi="Arial"/>
                <w:sz w:val="16"/>
                <w:szCs w:val="16"/>
                <w:color w:val="auto"/>
              </w:rPr>
              <w:t>Risk-free interest rate</w:t>
            </w:r>
            <w:r>
              <w:rPr>
                <w:rFonts w:ascii="Arial" w:cs="Arial" w:eastAsia="Arial" w:hAnsi="Arial"/>
                <w:sz w:val="21"/>
                <w:szCs w:val="21"/>
                <w:color w:val="auto"/>
                <w:vertAlign w:val="superscript"/>
              </w:rPr>
              <w:t>(2)</w:t>
            </w:r>
          </w:p>
        </w:tc>
        <w:tc>
          <w:tcPr>
            <w:tcW w:w="1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life of stock options (in years)</w:t>
            </w:r>
            <w:r>
              <w:rPr>
                <w:rFonts w:ascii="Arial" w:cs="Arial" w:eastAsia="Arial" w:hAnsi="Arial"/>
                <w:sz w:val="21"/>
                <w:szCs w:val="21"/>
                <w:color w:val="auto"/>
                <w:vertAlign w:val="superscript"/>
              </w:rPr>
              <w:t>(3)</w:t>
            </w:r>
          </w:p>
        </w:tc>
        <w:tc>
          <w:tcPr>
            <w:tcW w:w="1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43"/>
        </w:trPr>
        <w:tc>
          <w:tcPr>
            <w:tcW w:w="4320" w:type="dxa"/>
            <w:vAlign w:val="bottom"/>
          </w:tcPr>
          <w:p>
            <w:pPr>
              <w:ind w:left="20"/>
              <w:spacing w:after="0"/>
              <w:rPr>
                <w:sz w:val="20"/>
                <w:szCs w:val="20"/>
                <w:color w:val="auto"/>
              </w:rPr>
            </w:pPr>
            <w:r>
              <w:rPr>
                <w:rFonts w:ascii="Arial" w:cs="Arial" w:eastAsia="Arial" w:hAnsi="Arial"/>
                <w:sz w:val="16"/>
                <w:szCs w:val="16"/>
                <w:color w:val="auto"/>
              </w:rPr>
              <w:t>Expected stock price volatility</w:t>
            </w:r>
            <w:r>
              <w:rPr>
                <w:rFonts w:ascii="Arial" w:cs="Arial" w:eastAsia="Arial" w:hAnsi="Arial"/>
                <w:sz w:val="21"/>
                <w:szCs w:val="21"/>
                <w:color w:val="auto"/>
                <w:vertAlign w:val="superscript"/>
              </w:rPr>
              <w:t>(4)</w:t>
            </w:r>
          </w:p>
        </w:tc>
        <w:tc>
          <w:tcPr>
            <w:tcW w:w="1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fair value of options granted</w:t>
            </w:r>
          </w:p>
        </w:tc>
        <w:tc>
          <w:tcPr>
            <w:tcW w:w="13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17.18</w:t>
            </w:r>
          </w:p>
        </w:tc>
        <w:tc>
          <w:tcPr>
            <w:tcW w:w="74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w:t>
            </w:r>
          </w:p>
        </w:tc>
        <w:tc>
          <w:tcPr>
            <w:tcW w:w="7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14.78</w:t>
            </w:r>
          </w:p>
        </w:tc>
        <w:tc>
          <w:tcPr>
            <w:tcW w:w="200" w:type="dxa"/>
            <w:vAlign w:val="bottom"/>
            <w:shd w:val="clear" w:color="auto" w:fill="CCEEFF"/>
          </w:tcPr>
          <w:p>
            <w:pPr>
              <w:spacing w:after="0"/>
              <w:rPr>
                <w:sz w:val="21"/>
                <w:szCs w:val="21"/>
                <w:color w:val="auto"/>
              </w:rPr>
            </w:pPr>
          </w:p>
        </w:tc>
      </w:tr>
    </w:tbl>
    <w:p>
      <w:pPr>
        <w:spacing w:after="0" w:line="113"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Forfeitures are recorded when they occur.</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Based on U.S. Treasury constant maturity interest rate whose term is consistent with the expected life of the stock options.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Estimated based on historical experience.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Based on historical experience over a term consistent with the expected life of the stock options.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Restructuring</w:t>
      </w:r>
    </w:p>
    <w:p>
      <w:pPr>
        <w:spacing w:after="0" w:line="268" w:lineRule="exact"/>
        <w:rPr>
          <w:sz w:val="20"/>
          <w:szCs w:val="20"/>
          <w:color w:val="auto"/>
        </w:rPr>
      </w:pPr>
    </w:p>
    <w:p>
      <w:pPr>
        <w:ind w:right="420"/>
        <w:spacing w:after="0" w:line="253" w:lineRule="auto"/>
        <w:rPr>
          <w:sz w:val="20"/>
          <w:szCs w:val="20"/>
          <w:color w:val="auto"/>
        </w:rPr>
      </w:pPr>
      <w:r>
        <w:rPr>
          <w:rFonts w:ascii="Arial" w:cs="Arial" w:eastAsia="Arial" w:hAnsi="Arial"/>
          <w:sz w:val="16"/>
          <w:szCs w:val="16"/>
          <w:color w:val="auto"/>
        </w:rPr>
        <w:t>During the third quarter of Fiscal 2020, the Company completed a reduction in force intended to improve operational efficiencies and to align with the Company's long-term strategic plan, which has resulted in headcount reductions in the Motorhome segment. As a result, the Company recognized $1.5 million of restructuring charges during the latter half of Fiscal 2020. These charges include termination benefits.</w:t>
      </w:r>
    </w:p>
    <w:p>
      <w:pPr>
        <w:spacing w:after="0" w:line="22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On February 4, 2019, the Company announced the intent to move the Motorhome diesel production from Junction City, OR to Forest City, IA to enable more effective product development and improve cost structure. The associated charges include termination benefits, asset-related expenses, facility closure costs, headcount reductions, and other related costs. Employee-related costs were primarily paid in Fiscal 2019.</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20" w:type="dxa"/>
            <w:vAlign w:val="bottom"/>
          </w:tcPr>
          <w:p>
            <w:pPr>
              <w:spacing w:after="0"/>
              <w:rPr>
                <w:sz w:val="20"/>
                <w:szCs w:val="20"/>
                <w:color w:val="auto"/>
              </w:rPr>
            </w:pPr>
            <w:r>
              <w:rPr>
                <w:rFonts w:ascii="Arial" w:cs="Arial" w:eastAsia="Arial" w:hAnsi="Arial"/>
                <w:sz w:val="16"/>
                <w:szCs w:val="16"/>
                <w:color w:val="auto"/>
              </w:rPr>
              <w:t>The following table details the aggregate restructuring charges incurred:</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6"/>
        </w:trPr>
        <w:tc>
          <w:tcPr>
            <w:tcW w:w="78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Motorhome</w:t>
            </w:r>
          </w:p>
        </w:tc>
        <w:tc>
          <w:tcPr>
            <w:tcW w:w="1140" w:type="dxa"/>
            <w:vAlign w:val="bottom"/>
            <w:tcBorders>
              <w:bottom w:val="single" w:sz="8" w:color="auto"/>
            </w:tcBorders>
          </w:tcPr>
          <w:p>
            <w:pPr>
              <w:spacing w:after="0"/>
              <w:rPr>
                <w:sz w:val="22"/>
                <w:szCs w:val="22"/>
                <w:color w:val="auto"/>
              </w:rPr>
            </w:pPr>
          </w:p>
        </w:tc>
      </w:tr>
      <w:tr>
        <w:trPr>
          <w:trHeight w:val="236"/>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243"/>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goods sold</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5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1,724</w:t>
            </w:r>
          </w:p>
        </w:tc>
      </w:tr>
      <w:tr>
        <w:trPr>
          <w:trHeight w:val="237"/>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5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r>
      <w:tr>
        <w:trPr>
          <w:trHeight w:val="268"/>
        </w:trPr>
        <w:tc>
          <w:tcPr>
            <w:tcW w:w="7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Restructuring expense</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1,697</w:t>
            </w:r>
          </w:p>
        </w:tc>
        <w:tc>
          <w:tcPr>
            <w:tcW w:w="5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1,943</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Expenses in the current Fiscal year mainly include headcount reductions and adjustments for facility closure costs. The Company expects approximately $0.4 million of additional restructuring costs related to the facility closure. These costs could be higher or lower in the event the Company makes additional decisions in future periods that impact reorganization efforts.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184"/>
        </w:trPr>
        <w:tc>
          <w:tcPr>
            <w:tcW w:w="5440" w:type="dxa"/>
            <w:vAlign w:val="bottom"/>
            <w:gridSpan w:val="3"/>
          </w:tcPr>
          <w:p>
            <w:pPr>
              <w:spacing w:after="0"/>
              <w:rPr>
                <w:rFonts w:ascii="Arial" w:cs="Arial" w:eastAsia="Arial" w:hAnsi="Arial"/>
                <w:sz w:val="16"/>
                <w:szCs w:val="16"/>
                <w:color w:val="0000FF"/>
              </w:rPr>
            </w:pPr>
            <w:r>
              <w:rPr>
                <w:rFonts w:ascii="Arial" w:cs="Arial" w:eastAsia="Arial" w:hAnsi="Arial"/>
                <w:sz w:val="16"/>
                <w:szCs w:val="16"/>
                <w:color w:val="0000FF"/>
              </w:rPr>
              <w:t xml:space="preserve">Table </w:t>
            </w:r>
            <w:hyperlink w:anchor="page1">
              <w:r>
                <w:rPr>
                  <w:rFonts w:ascii="Arial" w:cs="Arial" w:eastAsia="Arial" w:hAnsi="Arial"/>
                  <w:sz w:val="16"/>
                  <w:szCs w:val="16"/>
                  <w:color w:val="0000FF"/>
                </w:rPr>
                <w:t xml:space="preserve">of </w:t>
              </w:r>
            </w:hyperlink>
            <w:r>
              <w:rPr>
                <w:rFonts w:ascii="Arial" w:cs="Arial" w:eastAsia="Arial" w:hAnsi="Arial"/>
                <w:sz w:val="16"/>
                <w:szCs w:val="16"/>
                <w:color w:val="0000FF"/>
              </w:rPr>
              <w:t>Contents</w:t>
            </w:r>
          </w:p>
        </w:tc>
        <w:tc>
          <w:tcPr>
            <w:tcW w:w="1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824"/>
        </w:trPr>
        <w:tc>
          <w:tcPr>
            <w:tcW w:w="5440" w:type="dxa"/>
            <w:vAlign w:val="bottom"/>
            <w:gridSpan w:val="3"/>
          </w:tcPr>
          <w:p>
            <w:pPr>
              <w:spacing w:after="0"/>
              <w:rPr>
                <w:sz w:val="20"/>
                <w:szCs w:val="20"/>
                <w:color w:val="auto"/>
              </w:rPr>
            </w:pPr>
            <w:r>
              <w:rPr>
                <w:rFonts w:ascii="Arial" w:cs="Arial" w:eastAsia="Arial" w:hAnsi="Arial"/>
                <w:sz w:val="16"/>
                <w:szCs w:val="16"/>
                <w:b w:val="1"/>
                <w:bCs w:val="1"/>
                <w:color w:val="auto"/>
              </w:rPr>
              <w:t>Note 16: Income Taxes</w:t>
            </w: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32"/>
        </w:trPr>
        <w:tc>
          <w:tcPr>
            <w:tcW w:w="5440" w:type="dxa"/>
            <w:vAlign w:val="bottom"/>
            <w:gridSpan w:val="3"/>
          </w:tcPr>
          <w:p>
            <w:pPr>
              <w:spacing w:after="0"/>
              <w:rPr>
                <w:sz w:val="20"/>
                <w:szCs w:val="20"/>
                <w:color w:val="auto"/>
              </w:rPr>
            </w:pPr>
            <w:r>
              <w:rPr>
                <w:rFonts w:ascii="Arial" w:cs="Arial" w:eastAsia="Arial" w:hAnsi="Arial"/>
                <w:sz w:val="16"/>
                <w:szCs w:val="16"/>
                <w:color w:val="auto"/>
              </w:rPr>
              <w:t>Income tax expense consisted of the following:</w:t>
            </w: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6"/>
        </w:trPr>
        <w:tc>
          <w:tcPr>
            <w:tcW w:w="54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2018</w:t>
            </w:r>
          </w:p>
        </w:tc>
      </w:tr>
      <w:tr>
        <w:trPr>
          <w:trHeight w:val="243"/>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1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33"/>
        </w:trPr>
        <w:tc>
          <w:tcPr>
            <w:tcW w:w="5440" w:type="dxa"/>
            <w:vAlign w:val="bottom"/>
            <w:gridSpan w:val="3"/>
          </w:tcPr>
          <w:p>
            <w:pPr>
              <w:ind w:left="120"/>
              <w:spacing w:after="0"/>
              <w:rPr>
                <w:sz w:val="20"/>
                <w:szCs w:val="20"/>
                <w:color w:val="auto"/>
              </w:rPr>
            </w:pPr>
            <w:r>
              <w:rPr>
                <w:rFonts w:ascii="Arial" w:cs="Arial" w:eastAsia="Arial" w:hAnsi="Arial"/>
                <w:sz w:val="16"/>
                <w:szCs w:val="16"/>
                <w:color w:val="auto"/>
              </w:rPr>
              <w:t>Federal</w:t>
            </w:r>
          </w:p>
        </w:tc>
        <w:tc>
          <w:tcPr>
            <w:tcW w:w="116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14,318</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16,433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28,874</w:t>
            </w:r>
          </w:p>
        </w:tc>
      </w:tr>
      <w:tr>
        <w:trPr>
          <w:trHeight w:val="246"/>
        </w:trPr>
        <w:tc>
          <w:tcPr>
            <w:tcW w:w="54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State</w:t>
            </w:r>
          </w:p>
        </w:tc>
        <w:tc>
          <w:tcPr>
            <w:tcW w:w="11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2,806</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3,138</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5,215</w:t>
            </w:r>
          </w:p>
        </w:tc>
      </w:tr>
      <w:tr>
        <w:trPr>
          <w:trHeight w:val="237"/>
        </w:trPr>
        <w:tc>
          <w:tcPr>
            <w:tcW w:w="5440" w:type="dxa"/>
            <w:vAlign w:val="bottom"/>
            <w:tcBorders>
              <w:bottom w:val="single" w:sz="8" w:color="CCEEFF"/>
            </w:tcBorders>
            <w:gridSpan w:val="3"/>
          </w:tcPr>
          <w:p>
            <w:pPr>
              <w:ind w:left="22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17,124</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19,571</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34,089</w:t>
            </w:r>
          </w:p>
        </w:tc>
      </w:tr>
      <w:tr>
        <w:trPr>
          <w:trHeight w:val="230"/>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Deferred</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3"/>
        </w:trPr>
        <w:tc>
          <w:tcPr>
            <w:tcW w:w="5440" w:type="dxa"/>
            <w:vAlign w:val="bottom"/>
            <w:gridSpan w:val="3"/>
          </w:tcPr>
          <w:p>
            <w:pPr>
              <w:ind w:left="120"/>
              <w:spacing w:after="0"/>
              <w:rPr>
                <w:sz w:val="20"/>
                <w:szCs w:val="20"/>
                <w:color w:val="auto"/>
              </w:rPr>
            </w:pPr>
            <w:r>
              <w:rPr>
                <w:rFonts w:ascii="Arial" w:cs="Arial" w:eastAsia="Arial" w:hAnsi="Arial"/>
                <w:sz w:val="16"/>
                <w:szCs w:val="16"/>
                <w:color w:val="auto"/>
              </w:rPr>
              <w:t>Federal</w:t>
            </w:r>
          </w:p>
        </w:tc>
        <w:tc>
          <w:tcPr>
            <w:tcW w:w="116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(790)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6,395</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5,123</w:t>
            </w:r>
          </w:p>
        </w:tc>
      </w:tr>
      <w:tr>
        <w:trPr>
          <w:trHeight w:val="246"/>
        </w:trPr>
        <w:tc>
          <w:tcPr>
            <w:tcW w:w="54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State</w:t>
            </w:r>
          </w:p>
        </w:tc>
        <w:tc>
          <w:tcPr>
            <w:tcW w:w="11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(500)</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1,145</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1,071</w:t>
            </w:r>
          </w:p>
        </w:tc>
      </w:tr>
      <w:tr>
        <w:trPr>
          <w:trHeight w:val="237"/>
        </w:trPr>
        <w:tc>
          <w:tcPr>
            <w:tcW w:w="5440" w:type="dxa"/>
            <w:vAlign w:val="bottom"/>
            <w:tcBorders>
              <w:bottom w:val="single" w:sz="8" w:color="CCEEFF"/>
            </w:tcBorders>
            <w:gridSpan w:val="3"/>
          </w:tcPr>
          <w:p>
            <w:pPr>
              <w:ind w:left="22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(1,290)</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7,540</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6,194</w:t>
            </w:r>
          </w:p>
        </w:tc>
      </w:tr>
      <w:tr>
        <w:trPr>
          <w:trHeight w:val="268"/>
        </w:trPr>
        <w:tc>
          <w:tcPr>
            <w:tcW w:w="5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15,834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27,111</w:t>
            </w:r>
          </w:p>
        </w:tc>
        <w:tc>
          <w:tcPr>
            <w:tcW w:w="6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40,283</w:t>
            </w:r>
          </w:p>
        </w:tc>
      </w:tr>
      <w:tr>
        <w:trPr>
          <w:trHeight w:val="20"/>
        </w:trPr>
        <w:tc>
          <w:tcPr>
            <w:tcW w:w="52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522"/>
        </w:trPr>
        <w:tc>
          <w:tcPr>
            <w:tcW w:w="9340" w:type="dxa"/>
            <w:vAlign w:val="bottom"/>
            <w:gridSpan w:val="12"/>
          </w:tcPr>
          <w:p>
            <w:pPr>
              <w:spacing w:after="0"/>
              <w:rPr>
                <w:sz w:val="20"/>
                <w:szCs w:val="20"/>
                <w:color w:val="auto"/>
              </w:rPr>
            </w:pPr>
            <w:r>
              <w:rPr>
                <w:rFonts w:ascii="Arial" w:cs="Arial" w:eastAsia="Arial" w:hAnsi="Arial"/>
                <w:sz w:val="16"/>
                <w:szCs w:val="16"/>
                <w:color w:val="auto"/>
              </w:rPr>
              <w:t>The following table provides a reconciliation of the U.S. statutory income tax rate to the Company's effective income tax rate:</w:t>
            </w: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6"/>
        </w:trPr>
        <w:tc>
          <w:tcPr>
            <w:tcW w:w="1280" w:type="dxa"/>
            <w:vAlign w:val="bottom"/>
            <w:tcBorders>
              <w:bottom w:val="single" w:sz="8" w:color="auto"/>
            </w:tcBorders>
          </w:tcPr>
          <w:p>
            <w:pPr>
              <w:spacing w:after="0"/>
              <w:rPr>
                <w:sz w:val="22"/>
                <w:szCs w:val="22"/>
                <w:color w:val="auto"/>
              </w:rPr>
            </w:pPr>
          </w:p>
        </w:tc>
        <w:tc>
          <w:tcPr>
            <w:tcW w:w="40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2019</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2018</w:t>
            </w:r>
          </w:p>
        </w:tc>
      </w:tr>
      <w:tr>
        <w:trPr>
          <w:trHeight w:val="243"/>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U.S. federal statutory rate</w:t>
            </w:r>
            <w:r>
              <w:rPr>
                <w:rFonts w:ascii="Arial" w:cs="Arial" w:eastAsia="Arial" w:hAnsi="Arial"/>
                <w:sz w:val="21"/>
                <w:szCs w:val="21"/>
                <w:color w:val="auto"/>
                <w:vertAlign w:val="superscript"/>
              </w:rPr>
              <w:t>(1)</w:t>
            </w:r>
          </w:p>
        </w:tc>
        <w:tc>
          <w:tcPr>
            <w:tcW w:w="1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25.9 %</w:t>
            </w:r>
          </w:p>
        </w:tc>
      </w:tr>
      <w:tr>
        <w:trPr>
          <w:trHeight w:val="233"/>
        </w:trPr>
        <w:tc>
          <w:tcPr>
            <w:tcW w:w="5440" w:type="dxa"/>
            <w:vAlign w:val="bottom"/>
            <w:gridSpan w:val="3"/>
          </w:tcPr>
          <w:p>
            <w:pPr>
              <w:ind w:left="20"/>
              <w:spacing w:after="0"/>
              <w:rPr>
                <w:sz w:val="20"/>
                <w:szCs w:val="20"/>
                <w:color w:val="auto"/>
              </w:rPr>
            </w:pPr>
            <w:r>
              <w:rPr>
                <w:rFonts w:ascii="Arial" w:cs="Arial" w:eastAsia="Arial" w:hAnsi="Arial"/>
                <w:sz w:val="16"/>
                <w:szCs w:val="16"/>
                <w:color w:val="auto"/>
              </w:rPr>
              <w:t>State taxes, net of federal benefit</w:t>
            </w:r>
          </w:p>
        </w:tc>
        <w:tc>
          <w:tcPr>
            <w:tcW w:w="1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2.9 %</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253"/>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Impact from Tax Act</w:t>
            </w:r>
          </w:p>
        </w:tc>
        <w:tc>
          <w:tcPr>
            <w:tcW w:w="116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 %</w:t>
            </w:r>
          </w:p>
        </w:tc>
        <w:tc>
          <w:tcPr>
            <w:tcW w:w="38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r>
      <w:tr>
        <w:trPr>
          <w:trHeight w:val="233"/>
        </w:trPr>
        <w:tc>
          <w:tcPr>
            <w:tcW w:w="5440" w:type="dxa"/>
            <w:vAlign w:val="bottom"/>
            <w:gridSpan w:val="3"/>
          </w:tcPr>
          <w:p>
            <w:pPr>
              <w:ind w:left="20"/>
              <w:spacing w:after="0"/>
              <w:rPr>
                <w:sz w:val="20"/>
                <w:szCs w:val="20"/>
                <w:color w:val="auto"/>
              </w:rPr>
            </w:pPr>
            <w:r>
              <w:rPr>
                <w:rFonts w:ascii="Arial" w:cs="Arial" w:eastAsia="Arial" w:hAnsi="Arial"/>
                <w:sz w:val="16"/>
                <w:szCs w:val="16"/>
                <w:color w:val="auto"/>
              </w:rPr>
              <w:t>Domestic production activities deduction</w:t>
            </w:r>
          </w:p>
        </w:tc>
        <w:tc>
          <w:tcPr>
            <w:tcW w:w="1160" w:type="dxa"/>
            <w:vAlign w:val="bottom"/>
          </w:tcPr>
          <w:p>
            <w:pPr>
              <w:spacing w:after="0"/>
              <w:rPr>
                <w:sz w:val="20"/>
                <w:szCs w:val="20"/>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6"/>
                <w:szCs w:val="16"/>
                <w:color w:val="auto"/>
              </w:rPr>
              <w:t>— %</w:t>
            </w:r>
          </w:p>
        </w:tc>
        <w:tc>
          <w:tcPr>
            <w:tcW w:w="380" w:type="dxa"/>
            <w:vAlign w:val="bottom"/>
          </w:tcPr>
          <w:p>
            <w:pPr>
              <w:spacing w:after="0"/>
              <w:rPr>
                <w:sz w:val="20"/>
                <w:szCs w:val="20"/>
                <w:color w:val="auto"/>
              </w:rPr>
            </w:pPr>
          </w:p>
        </w:tc>
        <w:tc>
          <w:tcPr>
            <w:tcW w:w="1560" w:type="dxa"/>
            <w:vAlign w:val="bottom"/>
            <w:gridSpan w:val="4"/>
          </w:tcPr>
          <w:p>
            <w:pPr>
              <w:jc w:val="right"/>
              <w:ind w:right="160"/>
              <w:spacing w:after="0"/>
              <w:rPr>
                <w:sz w:val="20"/>
                <w:szCs w:val="20"/>
                <w:color w:val="auto"/>
              </w:rPr>
            </w:pPr>
            <w:r>
              <w:rPr>
                <w:rFonts w:ascii="Arial" w:cs="Arial" w:eastAsia="Arial" w:hAnsi="Arial"/>
                <w:sz w:val="16"/>
                <w:szCs w:val="16"/>
                <w:color w:val="auto"/>
              </w:rPr>
              <w:t>— %</w:t>
            </w: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53"/>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Income tax credits</w:t>
            </w:r>
          </w:p>
        </w:tc>
        <w:tc>
          <w:tcPr>
            <w:tcW w:w="1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33"/>
        </w:trPr>
        <w:tc>
          <w:tcPr>
            <w:tcW w:w="5440" w:type="dxa"/>
            <w:vAlign w:val="bottom"/>
            <w:gridSpan w:val="3"/>
          </w:tcPr>
          <w:p>
            <w:pPr>
              <w:ind w:left="20"/>
              <w:spacing w:after="0"/>
              <w:rPr>
                <w:sz w:val="20"/>
                <w:szCs w:val="20"/>
                <w:color w:val="auto"/>
              </w:rPr>
            </w:pPr>
            <w:r>
              <w:rPr>
                <w:rFonts w:ascii="Arial" w:cs="Arial" w:eastAsia="Arial" w:hAnsi="Arial"/>
                <w:sz w:val="16"/>
                <w:szCs w:val="16"/>
                <w:color w:val="auto"/>
              </w:rPr>
              <w:t>Nondeductible compensation</w:t>
            </w:r>
          </w:p>
        </w:tc>
        <w:tc>
          <w:tcPr>
            <w:tcW w:w="1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gridSpan w:val="4"/>
          </w:tcPr>
          <w:p>
            <w:pPr>
              <w:jc w:val="right"/>
              <w:ind w:right="160"/>
              <w:spacing w:after="0"/>
              <w:rPr>
                <w:sz w:val="20"/>
                <w:szCs w:val="20"/>
                <w:color w:val="auto"/>
              </w:rPr>
            </w:pPr>
            <w:r>
              <w:rPr>
                <w:rFonts w:ascii="Arial" w:cs="Arial" w:eastAsia="Arial" w:hAnsi="Arial"/>
                <w:sz w:val="16"/>
                <w:szCs w:val="16"/>
                <w:color w:val="auto"/>
              </w:rPr>
              <w:t>— %</w:t>
            </w: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53"/>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Tax-free and dividend income</w:t>
            </w:r>
          </w:p>
        </w:tc>
        <w:tc>
          <w:tcPr>
            <w:tcW w:w="1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33"/>
        </w:trPr>
        <w:tc>
          <w:tcPr>
            <w:tcW w:w="5440" w:type="dxa"/>
            <w:vAlign w:val="bottom"/>
            <w:gridSpan w:val="3"/>
          </w:tcPr>
          <w:p>
            <w:pPr>
              <w:ind w:left="20"/>
              <w:spacing w:after="0"/>
              <w:rPr>
                <w:sz w:val="20"/>
                <w:szCs w:val="20"/>
                <w:color w:val="auto"/>
              </w:rPr>
            </w:pPr>
            <w:r>
              <w:rPr>
                <w:rFonts w:ascii="Arial" w:cs="Arial" w:eastAsia="Arial" w:hAnsi="Arial"/>
                <w:sz w:val="16"/>
                <w:szCs w:val="16"/>
                <w:color w:val="auto"/>
              </w:rPr>
              <w:t>Uncertain tax position settlements and adjustments</w:t>
            </w:r>
          </w:p>
        </w:tc>
        <w:tc>
          <w:tcPr>
            <w:tcW w:w="1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0.9 %</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0.1 %</w:t>
            </w:r>
          </w:p>
        </w:tc>
      </w:tr>
      <w:tr>
        <w:trPr>
          <w:trHeight w:val="246"/>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items</w:t>
            </w: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43"/>
        </w:trPr>
        <w:tc>
          <w:tcPr>
            <w:tcW w:w="5440" w:type="dxa"/>
            <w:vAlign w:val="bottom"/>
            <w:gridSpan w:val="3"/>
          </w:tcPr>
          <w:p>
            <w:pPr>
              <w:ind w:left="120"/>
              <w:spacing w:after="0"/>
              <w:rPr>
                <w:sz w:val="20"/>
                <w:szCs w:val="20"/>
                <w:color w:val="auto"/>
              </w:rPr>
            </w:pPr>
            <w:r>
              <w:rPr>
                <w:rFonts w:ascii="Arial" w:cs="Arial" w:eastAsia="Arial" w:hAnsi="Arial"/>
                <w:sz w:val="16"/>
                <w:szCs w:val="16"/>
                <w:color w:val="auto"/>
              </w:rPr>
              <w:t>Effective tax provision rate</w:t>
            </w:r>
          </w:p>
        </w:tc>
        <w:tc>
          <w:tcPr>
            <w:tcW w:w="1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20.5 %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19.5 %</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28.2 %</w:t>
            </w:r>
          </w:p>
        </w:tc>
      </w:tr>
      <w:tr>
        <w:trPr>
          <w:trHeight w:val="20"/>
        </w:trPr>
        <w:tc>
          <w:tcPr>
            <w:tcW w:w="12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U.S. federal statutory rate for Fiscal 2018 is a blended rate, which includes the impact of the Tax Cuts and Jobs Act (the "Tax Act") enactment.</w:t>
      </w:r>
    </w:p>
    <w:p>
      <w:pPr>
        <w:spacing w:after="0" w:line="241"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The Company's effective tax rate increased to 20.5% for Fiscal 2020 from 19.5% for Fiscal 2019 due primarily to the favorable impact in the prior year of research and development credits partially offset by the reduction in annual pre-tax income in Fiscal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84"/>
        </w:trPr>
        <w:tc>
          <w:tcPr>
            <w:tcW w:w="7400" w:type="dxa"/>
            <w:vAlign w:val="bottom"/>
            <w:gridSpan w:val="2"/>
          </w:tcPr>
          <w:p>
            <w:pPr>
              <w:spacing w:after="0"/>
              <w:rPr>
                <w:rFonts w:ascii="Arial" w:cs="Arial" w:eastAsia="Arial" w:hAnsi="Arial"/>
                <w:sz w:val="16"/>
                <w:szCs w:val="16"/>
                <w:color w:val="0000FF"/>
              </w:rPr>
            </w:pPr>
            <w:r>
              <w:rPr>
                <w:rFonts w:ascii="Arial" w:cs="Arial" w:eastAsia="Arial" w:hAnsi="Arial"/>
                <w:sz w:val="16"/>
                <w:szCs w:val="16"/>
                <w:color w:val="0000FF"/>
              </w:rPr>
              <w:t xml:space="preserve">Table </w:t>
            </w:r>
            <w:hyperlink w:anchor="page1">
              <w:r>
                <w:rPr>
                  <w:rFonts w:ascii="Arial" w:cs="Arial" w:eastAsia="Arial" w:hAnsi="Arial"/>
                  <w:sz w:val="16"/>
                  <w:szCs w:val="16"/>
                  <w:color w:val="0000FF"/>
                </w:rPr>
                <w:t xml:space="preserve">of </w:t>
              </w:r>
            </w:hyperlink>
            <w:r>
              <w:rPr>
                <w:rFonts w:ascii="Arial" w:cs="Arial" w:eastAsia="Arial" w:hAnsi="Arial"/>
                <w:sz w:val="16"/>
                <w:szCs w:val="16"/>
                <w:color w:val="0000FF"/>
              </w:rPr>
              <w:t>Contents</w:t>
            </w: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824"/>
        </w:trPr>
        <w:tc>
          <w:tcPr>
            <w:tcW w:w="7400" w:type="dxa"/>
            <w:vAlign w:val="bottom"/>
            <w:gridSpan w:val="2"/>
          </w:tcPr>
          <w:p>
            <w:pPr>
              <w:spacing w:after="0"/>
              <w:rPr>
                <w:sz w:val="20"/>
                <w:szCs w:val="20"/>
                <w:color w:val="auto"/>
              </w:rPr>
            </w:pPr>
            <w:r>
              <w:rPr>
                <w:rFonts w:ascii="Arial" w:cs="Arial" w:eastAsia="Arial" w:hAnsi="Arial"/>
                <w:sz w:val="16"/>
                <w:szCs w:val="16"/>
                <w:color w:val="auto"/>
              </w:rPr>
              <w:t>The tax effects of temporary differences that give rise to deferred income taxes were as follows:</w:t>
            </w: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6"/>
        </w:trPr>
        <w:tc>
          <w:tcPr>
            <w:tcW w:w="740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22"/>
                <w:szCs w:val="22"/>
                <w:color w:val="auto"/>
              </w:rPr>
            </w:pPr>
          </w:p>
        </w:tc>
        <w:tc>
          <w:tcPr>
            <w:tcW w:w="1740" w:type="dxa"/>
            <w:vAlign w:val="bottom"/>
            <w:gridSpan w:val="2"/>
          </w:tcPr>
          <w:p>
            <w:pPr>
              <w:ind w:left="100"/>
              <w:spacing w:after="0"/>
              <w:rPr>
                <w:sz w:val="20"/>
                <w:szCs w:val="20"/>
                <w:color w:val="auto"/>
              </w:rPr>
            </w:pPr>
            <w:r>
              <w:rPr>
                <w:rFonts w:ascii="Arial" w:cs="Arial" w:eastAsia="Arial" w:hAnsi="Arial"/>
                <w:sz w:val="16"/>
                <w:szCs w:val="16"/>
                <w:b w:val="1"/>
                <w:bCs w:val="1"/>
                <w:color w:val="auto"/>
              </w:rPr>
              <w:t>August 29, 2020</w:t>
            </w:r>
          </w:p>
        </w:tc>
        <w:tc>
          <w:tcPr>
            <w:tcW w:w="220" w:type="dxa"/>
            <w:vAlign w:val="bottom"/>
          </w:tcPr>
          <w:p>
            <w:pPr>
              <w:spacing w:after="0"/>
              <w:rPr>
                <w:sz w:val="22"/>
                <w:szCs w:val="22"/>
                <w:color w:val="auto"/>
              </w:rPr>
            </w:pPr>
          </w:p>
        </w:tc>
        <w:tc>
          <w:tcPr>
            <w:tcW w:w="1640" w:type="dxa"/>
            <w:vAlign w:val="bottom"/>
          </w:tcPr>
          <w:p>
            <w:pPr>
              <w:jc w:val="right"/>
              <w:ind w:right="239"/>
              <w:spacing w:after="0"/>
              <w:rPr>
                <w:sz w:val="20"/>
                <w:szCs w:val="20"/>
                <w:color w:val="auto"/>
              </w:rPr>
            </w:pPr>
            <w:r>
              <w:rPr>
                <w:rFonts w:ascii="Arial" w:cs="Arial" w:eastAsia="Arial" w:hAnsi="Arial"/>
                <w:sz w:val="16"/>
                <w:szCs w:val="16"/>
                <w:b w:val="1"/>
                <w:bCs w:val="1"/>
                <w:color w:val="auto"/>
              </w:rPr>
              <w:t>August 31, 2019</w:t>
            </w:r>
          </w:p>
        </w:tc>
      </w:tr>
      <w:tr>
        <w:trPr>
          <w:trHeight w:val="243"/>
        </w:trPr>
        <w:tc>
          <w:tcPr>
            <w:tcW w:w="74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Warranty reserves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13,969</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10,949</w:t>
            </w:r>
          </w:p>
        </w:tc>
      </w:tr>
      <w:tr>
        <w:trPr>
          <w:trHeight w:val="233"/>
        </w:trPr>
        <w:tc>
          <w:tcPr>
            <w:tcW w:w="7400" w:type="dxa"/>
            <w:vAlign w:val="bottom"/>
            <w:gridSpan w:val="2"/>
          </w:tcPr>
          <w:p>
            <w:pPr>
              <w:ind w:left="20"/>
              <w:spacing w:after="0"/>
              <w:rPr>
                <w:sz w:val="20"/>
                <w:szCs w:val="20"/>
                <w:color w:val="auto"/>
              </w:rPr>
            </w:pPr>
            <w:r>
              <w:rPr>
                <w:rFonts w:ascii="Arial" w:cs="Arial" w:eastAsia="Arial" w:hAnsi="Arial"/>
                <w:sz w:val="16"/>
                <w:szCs w:val="16"/>
                <w:color w:val="auto"/>
              </w:rPr>
              <w:t>Deferred compensation</w:t>
            </w: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5,406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3,989</w:t>
            </w:r>
          </w:p>
        </w:tc>
      </w:tr>
      <w:tr>
        <w:trPr>
          <w:trHeight w:val="253"/>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Self-insurance reserve</w:t>
            </w:r>
          </w:p>
        </w:tc>
        <w:tc>
          <w:tcPr>
            <w:tcW w:w="2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2,617</w:t>
            </w:r>
          </w:p>
        </w:tc>
      </w:tr>
      <w:tr>
        <w:trPr>
          <w:trHeight w:val="233"/>
        </w:trPr>
        <w:tc>
          <w:tcPr>
            <w:tcW w:w="7400" w:type="dxa"/>
            <w:vAlign w:val="bottom"/>
            <w:gridSpan w:val="2"/>
          </w:tcPr>
          <w:p>
            <w:pPr>
              <w:ind w:left="20"/>
              <w:spacing w:after="0"/>
              <w:rPr>
                <w:sz w:val="20"/>
                <w:szCs w:val="20"/>
                <w:color w:val="auto"/>
              </w:rPr>
            </w:pPr>
            <w:r>
              <w:rPr>
                <w:rFonts w:ascii="Arial" w:cs="Arial" w:eastAsia="Arial" w:hAnsi="Arial"/>
                <w:sz w:val="16"/>
                <w:szCs w:val="16"/>
                <w:color w:val="auto"/>
              </w:rPr>
              <w:t>Stock-based compensation</w:t>
            </w: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2,865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2,558</w:t>
            </w:r>
          </w:p>
        </w:tc>
      </w:tr>
      <w:tr>
        <w:trPr>
          <w:trHeight w:val="253"/>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Accrued vacation</w:t>
            </w:r>
          </w:p>
        </w:tc>
        <w:tc>
          <w:tcPr>
            <w:tcW w:w="2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1,227</w:t>
            </w:r>
          </w:p>
        </w:tc>
      </w:tr>
      <w:tr>
        <w:trPr>
          <w:trHeight w:val="233"/>
        </w:trPr>
        <w:tc>
          <w:tcPr>
            <w:tcW w:w="7400" w:type="dxa"/>
            <w:vAlign w:val="bottom"/>
            <w:gridSpan w:val="2"/>
          </w:tcPr>
          <w:p>
            <w:pPr>
              <w:ind w:left="20"/>
              <w:spacing w:after="0"/>
              <w:rPr>
                <w:sz w:val="20"/>
                <w:szCs w:val="20"/>
                <w:color w:val="auto"/>
              </w:rPr>
            </w:pPr>
            <w:r>
              <w:rPr>
                <w:rFonts w:ascii="Arial" w:cs="Arial" w:eastAsia="Arial" w:hAnsi="Arial"/>
                <w:sz w:val="16"/>
                <w:szCs w:val="16"/>
                <w:color w:val="auto"/>
              </w:rPr>
              <w:t>Unrecognized tax benefit</w:t>
            </w: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444</w:t>
            </w:r>
          </w:p>
        </w:tc>
      </w:tr>
      <w:tr>
        <w:trPr>
          <w:trHeight w:val="253"/>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Inventory</w:t>
            </w:r>
          </w:p>
        </w:tc>
        <w:tc>
          <w:tcPr>
            <w:tcW w:w="2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7400" w:type="dxa"/>
            <w:vAlign w:val="bottom"/>
            <w:gridSpan w:val="2"/>
          </w:tcPr>
          <w:p>
            <w:pPr>
              <w:ind w:left="20"/>
              <w:spacing w:after="0"/>
              <w:rPr>
                <w:sz w:val="20"/>
                <w:szCs w:val="20"/>
                <w:color w:val="auto"/>
              </w:rPr>
            </w:pPr>
            <w:r>
              <w:rPr>
                <w:rFonts w:ascii="Arial" w:cs="Arial" w:eastAsia="Arial" w:hAnsi="Arial"/>
                <w:sz w:val="16"/>
                <w:szCs w:val="16"/>
                <w:color w:val="auto"/>
              </w:rPr>
              <w:t>Leases</w:t>
            </w: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8,638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3,337</w:t>
            </w:r>
          </w:p>
        </w:tc>
      </w:tr>
      <w:tr>
        <w:trPr>
          <w:trHeight w:val="227"/>
        </w:trPr>
        <w:tc>
          <w:tcPr>
            <w:tcW w:w="7400" w:type="dxa"/>
            <w:vAlign w:val="bottom"/>
            <w:gridSpan w:val="2"/>
          </w:tcPr>
          <w:p>
            <w:pPr>
              <w:ind w:left="120"/>
              <w:spacing w:after="0"/>
              <w:rPr>
                <w:sz w:val="20"/>
                <w:szCs w:val="20"/>
                <w:color w:val="auto"/>
              </w:rPr>
            </w:pPr>
            <w:r>
              <w:rPr>
                <w:rFonts w:ascii="Arial" w:cs="Arial" w:eastAsia="Arial" w:hAnsi="Arial"/>
                <w:sz w:val="16"/>
                <w:szCs w:val="16"/>
                <w:color w:val="auto"/>
              </w:rPr>
              <w:t>Total deferred tax assets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40,495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25,121</w:t>
            </w:r>
          </w:p>
        </w:tc>
      </w:tr>
      <w:tr>
        <w:trPr>
          <w:trHeight w:val="253"/>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Convertible notes</w:t>
            </w:r>
          </w:p>
        </w:tc>
        <w:tc>
          <w:tcPr>
            <w:tcW w:w="2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7400" w:type="dxa"/>
            <w:vAlign w:val="bottom"/>
            <w:gridSpan w:val="2"/>
          </w:tcPr>
          <w:p>
            <w:pPr>
              <w:ind w:left="20"/>
              <w:spacing w:after="0"/>
              <w:rPr>
                <w:sz w:val="20"/>
                <w:szCs w:val="20"/>
                <w:color w:val="auto"/>
              </w:rPr>
            </w:pPr>
            <w:r>
              <w:rPr>
                <w:rFonts w:ascii="Arial" w:cs="Arial" w:eastAsia="Arial" w:hAnsi="Arial"/>
                <w:sz w:val="16"/>
                <w:szCs w:val="16"/>
                <w:color w:val="auto"/>
              </w:rPr>
              <w:t>Intangibles</w:t>
            </w: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32,933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28,055</w:t>
            </w:r>
          </w:p>
        </w:tc>
      </w:tr>
      <w:tr>
        <w:trPr>
          <w:trHeight w:val="253"/>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2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8,192</w:t>
            </w:r>
          </w:p>
        </w:tc>
      </w:tr>
      <w:tr>
        <w:trPr>
          <w:trHeight w:val="233"/>
        </w:trPr>
        <w:tc>
          <w:tcPr>
            <w:tcW w:w="7400" w:type="dxa"/>
            <w:vAlign w:val="bottom"/>
            <w:gridSpan w:val="2"/>
          </w:tcPr>
          <w:p>
            <w:pPr>
              <w:ind w:left="20"/>
              <w:spacing w:after="0"/>
              <w:rPr>
                <w:sz w:val="20"/>
                <w:szCs w:val="20"/>
                <w:color w:val="auto"/>
              </w:rPr>
            </w:pPr>
            <w:r>
              <w:rPr>
                <w:rFonts w:ascii="Arial" w:cs="Arial" w:eastAsia="Arial" w:hAnsi="Arial"/>
                <w:sz w:val="16"/>
                <w:szCs w:val="16"/>
                <w:color w:val="auto"/>
              </w:rPr>
              <w:t>Inventory</w:t>
            </w:r>
          </w:p>
        </w:tc>
        <w:tc>
          <w:tcPr>
            <w:tcW w:w="220" w:type="dxa"/>
            <w:vAlign w:val="bottom"/>
          </w:tcPr>
          <w:p>
            <w:pPr>
              <w:spacing w:after="0"/>
              <w:rPr>
                <w:sz w:val="20"/>
                <w:szCs w:val="20"/>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906</w:t>
            </w:r>
          </w:p>
        </w:tc>
      </w:tr>
      <w:tr>
        <w:trPr>
          <w:trHeight w:val="246"/>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Leases</w:t>
            </w:r>
          </w:p>
        </w:tc>
        <w:tc>
          <w:tcPr>
            <w:tcW w:w="2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7400" w:type="dxa"/>
            <w:vAlign w:val="bottom"/>
            <w:gridSpan w:val="2"/>
          </w:tcPr>
          <w:p>
            <w:pPr>
              <w:ind w:left="120"/>
              <w:spacing w:after="0"/>
              <w:rPr>
                <w:sz w:val="20"/>
                <w:szCs w:val="20"/>
                <w:color w:val="auto"/>
              </w:rPr>
            </w:pPr>
            <w:r>
              <w:rPr>
                <w:rFonts w:ascii="Arial" w:cs="Arial" w:eastAsia="Arial" w:hAnsi="Arial"/>
                <w:sz w:val="16"/>
                <w:szCs w:val="16"/>
                <w:color w:val="auto"/>
              </w:rPr>
              <w:t>Total deferred tax liabilities</w:t>
            </w: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56,103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37,153</w:t>
            </w:r>
          </w:p>
        </w:tc>
      </w:tr>
      <w:tr>
        <w:trPr>
          <w:trHeight w:val="278"/>
        </w:trPr>
        <w:tc>
          <w:tcPr>
            <w:tcW w:w="74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deferred income tax liabilities, net</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12,032</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260" w:hanging="252"/>
        <w:spacing w:after="0" w:line="249" w:lineRule="auto"/>
        <w:tabs>
          <w:tab w:leader="none" w:pos="345" w:val="left"/>
        </w:tabs>
        <w:numPr>
          <w:ilvl w:val="0"/>
          <w:numId w:val="41"/>
        </w:numPr>
        <w:rPr>
          <w:rFonts w:ascii="Arial" w:cs="Arial" w:eastAsia="Arial" w:hAnsi="Arial"/>
          <w:sz w:val="14"/>
          <w:szCs w:val="14"/>
          <w:color w:val="auto"/>
        </w:rPr>
      </w:pPr>
      <w:r>
        <w:rPr>
          <w:rFonts w:ascii="Arial" w:cs="Arial" w:eastAsia="Arial" w:hAnsi="Arial"/>
          <w:sz w:val="14"/>
          <w:szCs w:val="14"/>
          <w:color w:val="auto"/>
        </w:rPr>
        <w:t>At August 29, 2020, other includes $0.5 million related to state net operating losses. At August 31, 2019, other includes $0.6 million and $0.4 million related to federal and state net operating losses, respectively. These net operating losses are subject to various expiration periods from 5 years to no expiration. We have evaluated all the positive and negative evidence and consider it more likely than not that these carryforwards can be realized before expiration.</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unrecognized tax benefits are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2018</w:t>
            </w:r>
          </w:p>
        </w:tc>
      </w:tr>
      <w:tr>
        <w:trPr>
          <w:trHeight w:val="243"/>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year</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w:t>
            </w:r>
          </w:p>
        </w:tc>
      </w:tr>
      <w:tr>
        <w:trPr>
          <w:trHeight w:val="233"/>
        </w:trPr>
        <w:tc>
          <w:tcPr>
            <w:tcW w:w="5460" w:type="dxa"/>
            <w:vAlign w:val="bottom"/>
          </w:tcPr>
          <w:p>
            <w:pPr>
              <w:ind w:left="120"/>
              <w:spacing w:after="0"/>
              <w:rPr>
                <w:sz w:val="20"/>
                <w:szCs w:val="20"/>
                <w:color w:val="auto"/>
              </w:rPr>
            </w:pPr>
            <w:r>
              <w:rPr>
                <w:rFonts w:ascii="Arial" w:cs="Arial" w:eastAsia="Arial" w:hAnsi="Arial"/>
                <w:sz w:val="16"/>
                <w:szCs w:val="16"/>
                <w:color w:val="auto"/>
              </w:rPr>
              <w:t>Gross increases-tax positions in a prior year</w:t>
            </w:r>
          </w:p>
        </w:tc>
        <w:tc>
          <w:tcPr>
            <w:tcW w:w="4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2,486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1,173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46"/>
        </w:trPr>
        <w:tc>
          <w:tcPr>
            <w:tcW w:w="5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Gross increases-current year tax positions</w:t>
            </w:r>
          </w:p>
        </w:tc>
        <w:tc>
          <w:tcPr>
            <w:tcW w:w="4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5460" w:type="dxa"/>
            <w:vAlign w:val="bottom"/>
          </w:tcPr>
          <w:p>
            <w:pPr>
              <w:ind w:left="20"/>
              <w:spacing w:after="0"/>
              <w:rPr>
                <w:sz w:val="20"/>
                <w:szCs w:val="20"/>
                <w:color w:val="auto"/>
              </w:rPr>
            </w:pPr>
            <w:r>
              <w:rPr>
                <w:rFonts w:ascii="Arial" w:cs="Arial" w:eastAsia="Arial" w:hAnsi="Arial"/>
                <w:sz w:val="16"/>
                <w:szCs w:val="16"/>
                <w:color w:val="auto"/>
              </w:rPr>
              <w:t>Balance at end of year</w:t>
            </w:r>
          </w:p>
        </w:tc>
        <w:tc>
          <w:tcPr>
            <w:tcW w:w="4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5,830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2,822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1,220</w:t>
            </w:r>
          </w:p>
        </w:tc>
      </w:tr>
      <w:tr>
        <w:trPr>
          <w:trHeight w:val="246"/>
        </w:trPr>
        <w:tc>
          <w:tcPr>
            <w:tcW w:w="5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interest and penalties</w:t>
            </w:r>
          </w:p>
        </w:tc>
        <w:tc>
          <w:tcPr>
            <w:tcW w:w="4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r>
      <w:tr>
        <w:trPr>
          <w:trHeight w:val="243"/>
        </w:trPr>
        <w:tc>
          <w:tcPr>
            <w:tcW w:w="5460" w:type="dxa"/>
            <w:vAlign w:val="bottom"/>
          </w:tcPr>
          <w:p>
            <w:pPr>
              <w:ind w:left="220"/>
              <w:spacing w:after="0"/>
              <w:rPr>
                <w:sz w:val="20"/>
                <w:szCs w:val="20"/>
                <w:color w:val="auto"/>
              </w:rPr>
            </w:pPr>
            <w:r>
              <w:rPr>
                <w:rFonts w:ascii="Arial" w:cs="Arial" w:eastAsia="Arial" w:hAnsi="Arial"/>
                <w:sz w:val="16"/>
                <w:szCs w:val="16"/>
                <w:color w:val="auto"/>
              </w:rPr>
              <w:t>Total unrecognized tax benefits</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6,511</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3,591</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1,745</w:t>
            </w:r>
          </w:p>
        </w:tc>
      </w:tr>
      <w:tr>
        <w:trPr>
          <w:trHeight w:val="20"/>
        </w:trPr>
        <w:tc>
          <w:tcPr>
            <w:tcW w:w="5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ind w:right="640"/>
        <w:spacing w:after="0" w:line="253" w:lineRule="auto"/>
        <w:rPr>
          <w:sz w:val="20"/>
          <w:szCs w:val="20"/>
          <w:color w:val="auto"/>
        </w:rPr>
      </w:pPr>
      <w:r>
        <w:rPr>
          <w:rFonts w:ascii="Arial" w:cs="Arial" w:eastAsia="Arial" w:hAnsi="Arial"/>
          <w:sz w:val="16"/>
          <w:szCs w:val="16"/>
          <w:color w:val="auto"/>
        </w:rPr>
        <w:t>The amount of unrecognized tax benefits is not expected to change materially within the next 12 months. If the remaining uncertain tax positions are ultimately resolved favorably, $2.9 million of unrecognized tax benefits would have a favorable impact on the Company's effective tax rate. It is the Company's policy to recognize interest and penalties accrued relative to unrecognized tax benefits in income tax expense.</w:t>
      </w:r>
    </w:p>
    <w:p>
      <w:pPr>
        <w:spacing w:after="0" w:line="22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Company files a U.S. Federal tax return, as well as returns in various international and state jurisdictions. Although certain years are no longer subject to examination by the Internal Revenue Service ("IRS") and various state taxing authorities, net operating loss carryforwards generated in those years may still be adjusted upon examination by the IRS or state taxing authorities. As of August 29, 2020, the Company's federal returns from Fiscal 2017 to present are subject to review by the IRS. With limited exception, state returns from Fiscal 2016 to present continue to be subject to review by state taxing jurisdictions. Several years may lapse before an uncertain tax position is audited and finally resolved and it is difficult to predict the outcome of such audits.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84"/>
        </w:trPr>
        <w:tc>
          <w:tcPr>
            <w:tcW w:w="5780" w:type="dxa"/>
            <w:vAlign w:val="bottom"/>
            <w:gridSpan w:val="2"/>
          </w:tcPr>
          <w:p>
            <w:pPr>
              <w:spacing w:after="0"/>
              <w:rPr>
                <w:rFonts w:ascii="Arial" w:cs="Arial" w:eastAsia="Arial" w:hAnsi="Arial"/>
                <w:sz w:val="16"/>
                <w:szCs w:val="16"/>
                <w:color w:val="0000FF"/>
              </w:rPr>
            </w:pPr>
            <w:r>
              <w:rPr>
                <w:rFonts w:ascii="Arial" w:cs="Arial" w:eastAsia="Arial" w:hAnsi="Arial"/>
                <w:sz w:val="16"/>
                <w:szCs w:val="16"/>
                <w:color w:val="0000FF"/>
              </w:rPr>
              <w:t xml:space="preserve">Table </w:t>
            </w:r>
            <w:hyperlink w:anchor="page1">
              <w:r>
                <w:rPr>
                  <w:rFonts w:ascii="Arial" w:cs="Arial" w:eastAsia="Arial" w:hAnsi="Arial"/>
                  <w:sz w:val="16"/>
                  <w:szCs w:val="16"/>
                  <w:color w:val="0000FF"/>
                </w:rPr>
                <w:t xml:space="preserve">of </w:t>
              </w:r>
            </w:hyperlink>
            <w:r>
              <w:rPr>
                <w:rFonts w:ascii="Arial" w:cs="Arial" w:eastAsia="Arial" w:hAnsi="Arial"/>
                <w:sz w:val="16"/>
                <w:szCs w:val="16"/>
                <w:color w:val="0000FF"/>
              </w:rPr>
              <w:t>Contents</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824"/>
        </w:trPr>
        <w:tc>
          <w:tcPr>
            <w:tcW w:w="5780" w:type="dxa"/>
            <w:vAlign w:val="bottom"/>
            <w:gridSpan w:val="2"/>
          </w:tcPr>
          <w:p>
            <w:pPr>
              <w:spacing w:after="0"/>
              <w:rPr>
                <w:sz w:val="20"/>
                <w:szCs w:val="20"/>
                <w:color w:val="auto"/>
              </w:rPr>
            </w:pPr>
            <w:r>
              <w:rPr>
                <w:rFonts w:ascii="Arial" w:cs="Arial" w:eastAsia="Arial" w:hAnsi="Arial"/>
                <w:sz w:val="16"/>
                <w:szCs w:val="16"/>
                <w:b w:val="1"/>
                <w:bCs w:val="1"/>
                <w:color w:val="auto"/>
              </w:rPr>
              <w:t>Note 17: Income per Share</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2"/>
        </w:trPr>
        <w:tc>
          <w:tcPr>
            <w:tcW w:w="5780" w:type="dxa"/>
            <w:vAlign w:val="bottom"/>
            <w:gridSpan w:val="2"/>
          </w:tcPr>
          <w:p>
            <w:pPr>
              <w:spacing w:after="0"/>
              <w:rPr>
                <w:sz w:val="20"/>
                <w:szCs w:val="20"/>
                <w:color w:val="auto"/>
              </w:rPr>
            </w:pPr>
            <w:r>
              <w:rPr>
                <w:rFonts w:ascii="Arial" w:cs="Arial" w:eastAsia="Arial" w:hAnsi="Arial"/>
                <w:sz w:val="16"/>
                <w:szCs w:val="16"/>
                <w:color w:val="auto"/>
              </w:rPr>
              <w:t>The following table reflects the calculation of basic and diluted income per share:</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6"/>
        </w:trPr>
        <w:tc>
          <w:tcPr>
            <w:tcW w:w="57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2018</w:t>
            </w:r>
          </w:p>
        </w:tc>
      </w:tr>
      <w:tr>
        <w:trPr>
          <w:trHeight w:val="243"/>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43"/>
        </w:trPr>
        <w:tc>
          <w:tcPr>
            <w:tcW w:w="578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61,442</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111,798</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102,357</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3"/>
        </w:trPr>
        <w:tc>
          <w:tcPr>
            <w:tcW w:w="1280" w:type="dxa"/>
            <w:vAlign w:val="bottom"/>
            <w:shd w:val="clear" w:color="auto" w:fill="CCEEFF"/>
          </w:tcPr>
          <w:p>
            <w:pPr>
              <w:spacing w:after="0"/>
              <w:rPr>
                <w:sz w:val="15"/>
                <w:szCs w:val="15"/>
                <w:color w:val="auto"/>
              </w:rPr>
            </w:pPr>
          </w:p>
        </w:tc>
        <w:tc>
          <w:tcPr>
            <w:tcW w:w="45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33"/>
        </w:trPr>
        <w:tc>
          <w:tcPr>
            <w:tcW w:w="5780" w:type="dxa"/>
            <w:vAlign w:val="bottom"/>
            <w:gridSpan w:val="2"/>
          </w:tcPr>
          <w:p>
            <w:pPr>
              <w:ind w:left="20"/>
              <w:spacing w:after="0"/>
              <w:rPr>
                <w:sz w:val="20"/>
                <w:szCs w:val="20"/>
                <w:color w:val="auto"/>
              </w:rPr>
            </w:pPr>
            <w:r>
              <w:rPr>
                <w:rFonts w:ascii="Arial" w:cs="Arial" w:eastAsia="Arial" w:hAnsi="Arial"/>
                <w:sz w:val="16"/>
                <w:szCs w:val="16"/>
                <w:b w:val="1"/>
                <w:bCs w:val="1"/>
                <w:color w:val="auto"/>
              </w:rPr>
              <w:t>Denominator</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3"/>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33,236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31,536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31,596</w:t>
            </w:r>
          </w:p>
        </w:tc>
      </w:tr>
      <w:tr>
        <w:trPr>
          <w:trHeight w:val="237"/>
        </w:trPr>
        <w:tc>
          <w:tcPr>
            <w:tcW w:w="57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Dilutive impact of stock compensation awards</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w:t>
            </w:r>
          </w:p>
        </w:tc>
      </w:tr>
      <w:tr>
        <w:trPr>
          <w:trHeight w:val="268"/>
        </w:trPr>
        <w:tc>
          <w:tcPr>
            <w:tcW w:w="5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assuming dilution</w:t>
            </w:r>
          </w:p>
        </w:tc>
        <w:tc>
          <w:tcPr>
            <w:tcW w:w="4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33,454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31,721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31,814</w:t>
            </w:r>
          </w:p>
        </w:tc>
      </w:tr>
      <w:tr>
        <w:trPr>
          <w:trHeight w:val="20"/>
        </w:trPr>
        <w:tc>
          <w:tcPr>
            <w:tcW w:w="578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12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18"/>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Anti-dilutive securities excluded from Weighted average common shares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4"/>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assuming dilution</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70"/>
        </w:trPr>
        <w:tc>
          <w:tcPr>
            <w:tcW w:w="5780" w:type="dxa"/>
            <w:vAlign w:val="bottom"/>
            <w:gridSpan w:val="2"/>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3"/>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Basic income per common share</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r>
      <w:tr>
        <w:trPr>
          <w:trHeight w:val="224"/>
        </w:trPr>
        <w:tc>
          <w:tcPr>
            <w:tcW w:w="5780" w:type="dxa"/>
            <w:vAlign w:val="bottom"/>
            <w:gridSpan w:val="2"/>
          </w:tcPr>
          <w:p>
            <w:pPr>
              <w:ind w:left="20"/>
              <w:spacing w:after="0"/>
              <w:rPr>
                <w:sz w:val="20"/>
                <w:szCs w:val="20"/>
                <w:color w:val="auto"/>
              </w:rPr>
            </w:pPr>
            <w:r>
              <w:rPr>
                <w:rFonts w:ascii="Arial" w:cs="Arial" w:eastAsia="Arial" w:hAnsi="Arial"/>
                <w:sz w:val="16"/>
                <w:szCs w:val="16"/>
                <w:color w:val="auto"/>
              </w:rPr>
              <w:t>Diluted income per common share</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9"/>
                <w:szCs w:val="19"/>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9"/>
                <w:szCs w:val="19"/>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3.22</w:t>
            </w:r>
          </w:p>
        </w:tc>
      </w:tr>
    </w:tbl>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Anti-dilutive securities were not included in the computation of diluted income per share as they are considered anti-dilutive under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84"/>
        </w:trPr>
        <w:tc>
          <w:tcPr>
            <w:tcW w:w="2760" w:type="dxa"/>
            <w:vAlign w:val="bottom"/>
            <w:gridSpan w:val="2"/>
          </w:tcPr>
          <w:p>
            <w:pPr>
              <w:spacing w:after="0"/>
              <w:rPr>
                <w:rFonts w:ascii="Arial" w:cs="Arial" w:eastAsia="Arial" w:hAnsi="Arial"/>
                <w:sz w:val="16"/>
                <w:szCs w:val="16"/>
                <w:color w:val="0000FF"/>
              </w:rPr>
            </w:pPr>
            <w:r>
              <w:rPr>
                <w:rFonts w:ascii="Arial" w:cs="Arial" w:eastAsia="Arial" w:hAnsi="Arial"/>
                <w:sz w:val="16"/>
                <w:szCs w:val="16"/>
                <w:color w:val="0000FF"/>
              </w:rPr>
              <w:t xml:space="preserve">Table </w:t>
            </w:r>
            <w:hyperlink w:anchor="page1">
              <w:r>
                <w:rPr>
                  <w:rFonts w:ascii="Arial" w:cs="Arial" w:eastAsia="Arial" w:hAnsi="Arial"/>
                  <w:sz w:val="16"/>
                  <w:szCs w:val="16"/>
                  <w:color w:val="0000FF"/>
                </w:rPr>
                <w:t xml:space="preserve">of </w:t>
              </w:r>
            </w:hyperlink>
            <w:r>
              <w:rPr>
                <w:rFonts w:ascii="Arial" w:cs="Arial" w:eastAsia="Arial" w:hAnsi="Arial"/>
                <w:sz w:val="16"/>
                <w:szCs w:val="16"/>
                <w:color w:val="0000FF"/>
              </w:rPr>
              <w:t>Contents</w:t>
            </w: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824"/>
        </w:trPr>
        <w:tc>
          <w:tcPr>
            <w:tcW w:w="4660" w:type="dxa"/>
            <w:vAlign w:val="bottom"/>
            <w:gridSpan w:val="7"/>
          </w:tcPr>
          <w:p>
            <w:pPr>
              <w:spacing w:after="0"/>
              <w:rPr>
                <w:sz w:val="20"/>
                <w:szCs w:val="20"/>
                <w:color w:val="auto"/>
              </w:rPr>
            </w:pPr>
            <w:r>
              <w:rPr>
                <w:rFonts w:ascii="Arial" w:cs="Arial" w:eastAsia="Arial" w:hAnsi="Arial"/>
                <w:sz w:val="16"/>
                <w:szCs w:val="16"/>
                <w:b w:val="1"/>
                <w:bCs w:val="1"/>
                <w:color w:val="auto"/>
              </w:rPr>
              <w:t>Note 18: Accumulated Other Comprehensive Income (Loss)</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32"/>
        </w:trPr>
        <w:tc>
          <w:tcPr>
            <w:tcW w:w="7240" w:type="dxa"/>
            <w:vAlign w:val="bottom"/>
            <w:gridSpan w:val="12"/>
          </w:tcPr>
          <w:p>
            <w:pPr>
              <w:spacing w:after="0"/>
              <w:rPr>
                <w:sz w:val="20"/>
                <w:szCs w:val="20"/>
                <w:color w:val="auto"/>
              </w:rPr>
            </w:pPr>
            <w:r>
              <w:rPr>
                <w:rFonts w:ascii="Arial" w:cs="Arial" w:eastAsia="Arial" w:hAnsi="Arial"/>
                <w:sz w:val="16"/>
                <w:szCs w:val="16"/>
                <w:color w:val="auto"/>
              </w:rPr>
              <w:t>Changes in Accumulated Other Comprehensive Income ("AOCI") by component, net of tax, were:</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6"/>
        </w:trPr>
        <w:tc>
          <w:tcPr>
            <w:tcW w:w="1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r>
      <w:tr>
        <w:trPr>
          <w:trHeight w:val="198"/>
        </w:trPr>
        <w:tc>
          <w:tcPr>
            <w:tcW w:w="1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gridSpan w:val="3"/>
          </w:tcPr>
          <w:p>
            <w:pPr>
              <w:ind w:left="20"/>
              <w:spacing w:after="0"/>
              <w:rPr>
                <w:sz w:val="20"/>
                <w:szCs w:val="20"/>
                <w:color w:val="auto"/>
              </w:rPr>
            </w:pPr>
            <w:r>
              <w:rPr>
                <w:rFonts w:ascii="Arial" w:cs="Arial" w:eastAsia="Arial" w:hAnsi="Arial"/>
                <w:sz w:val="16"/>
                <w:szCs w:val="16"/>
                <w:b w:val="1"/>
                <w:bCs w:val="1"/>
                <w:color w:val="auto"/>
              </w:rPr>
              <w:t>Defined Benefit</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Interest Rate</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rPr>
              <w:t>Defined Benefit</w:t>
            </w: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Interest Rate</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8"/>
        </w:trPr>
        <w:tc>
          <w:tcPr>
            <w:tcW w:w="276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440" w:type="dxa"/>
            <w:vAlign w:val="bottom"/>
          </w:tcPr>
          <w:p>
            <w:pPr>
              <w:spacing w:after="0"/>
              <w:rPr>
                <w:sz w:val="19"/>
                <w:szCs w:val="19"/>
                <w:color w:val="auto"/>
              </w:rPr>
            </w:pPr>
          </w:p>
        </w:tc>
        <w:tc>
          <w:tcPr>
            <w:tcW w:w="1340" w:type="dxa"/>
            <w:vAlign w:val="bottom"/>
            <w:gridSpan w:val="3"/>
          </w:tcPr>
          <w:p>
            <w:pPr>
              <w:ind w:left="60"/>
              <w:spacing w:after="0"/>
              <w:rPr>
                <w:sz w:val="20"/>
                <w:szCs w:val="20"/>
                <w:color w:val="auto"/>
              </w:rPr>
            </w:pPr>
            <w:r>
              <w:rPr>
                <w:rFonts w:ascii="Arial" w:cs="Arial" w:eastAsia="Arial" w:hAnsi="Arial"/>
                <w:sz w:val="16"/>
                <w:szCs w:val="16"/>
                <w:b w:val="1"/>
                <w:bCs w:val="1"/>
                <w:color w:val="auto"/>
              </w:rPr>
              <w:t>Pension Items</w:t>
            </w:r>
          </w:p>
        </w:tc>
        <w:tc>
          <w:tcPr>
            <w:tcW w:w="12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Swap</w:t>
            </w:r>
          </w:p>
        </w:tc>
        <w:tc>
          <w:tcPr>
            <w:tcW w:w="280" w:type="dxa"/>
            <w:vAlign w:val="bottom"/>
          </w:tcPr>
          <w:p>
            <w:pPr>
              <w:spacing w:after="0"/>
              <w:rPr>
                <w:sz w:val="19"/>
                <w:szCs w:val="19"/>
                <w:color w:val="auto"/>
              </w:rPr>
            </w:pPr>
          </w:p>
        </w:tc>
        <w:tc>
          <w:tcPr>
            <w:tcW w:w="106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1360" w:type="dxa"/>
            <w:vAlign w:val="bottom"/>
            <w:gridSpan w:val="3"/>
          </w:tcPr>
          <w:p>
            <w:pPr>
              <w:ind w:left="80"/>
              <w:spacing w:after="0"/>
              <w:rPr>
                <w:sz w:val="20"/>
                <w:szCs w:val="20"/>
                <w:color w:val="auto"/>
              </w:rPr>
            </w:pPr>
            <w:r>
              <w:rPr>
                <w:rFonts w:ascii="Arial" w:cs="Arial" w:eastAsia="Arial" w:hAnsi="Arial"/>
                <w:sz w:val="16"/>
                <w:szCs w:val="16"/>
                <w:b w:val="1"/>
                <w:bCs w:val="1"/>
                <w:color w:val="auto"/>
              </w:rPr>
              <w:t>Pension Items</w:t>
            </w:r>
          </w:p>
        </w:tc>
        <w:tc>
          <w:tcPr>
            <w:tcW w:w="12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Swap</w:t>
            </w:r>
          </w:p>
        </w:tc>
        <w:tc>
          <w:tcPr>
            <w:tcW w:w="280" w:type="dxa"/>
            <w:vAlign w:val="bottom"/>
          </w:tcPr>
          <w:p>
            <w:pPr>
              <w:spacing w:after="0"/>
              <w:rPr>
                <w:sz w:val="19"/>
                <w:szCs w:val="19"/>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b w:val="1"/>
                <w:bCs w:val="1"/>
                <w:color w:val="auto"/>
              </w:rPr>
              <w:t>Total</w:t>
            </w:r>
          </w:p>
        </w:tc>
      </w:tr>
      <w:tr>
        <w:trPr>
          <w:trHeight w:val="243"/>
        </w:trPr>
        <w:tc>
          <w:tcPr>
            <w:tcW w:w="27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 at beginning of year</w:t>
            </w:r>
          </w:p>
        </w:tc>
        <w:tc>
          <w:tcPr>
            <w:tcW w:w="920" w:type="dxa"/>
            <w:vAlign w:val="bottom"/>
            <w:tcBorders>
              <w:top w:val="single" w:sz="8" w:color="auto"/>
            </w:tcBorders>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1,483</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w:t>
            </w:r>
          </w:p>
        </w:tc>
      </w:tr>
      <w:tr>
        <w:trPr>
          <w:trHeight w:val="233"/>
        </w:trPr>
        <w:tc>
          <w:tcPr>
            <w:tcW w:w="2760" w:type="dxa"/>
            <w:vAlign w:val="bottom"/>
            <w:gridSpan w:val="2"/>
          </w:tcPr>
          <w:p>
            <w:pPr>
              <w:ind w:left="120"/>
              <w:spacing w:after="0"/>
              <w:rPr>
                <w:sz w:val="20"/>
                <w:szCs w:val="20"/>
                <w:color w:val="auto"/>
              </w:rPr>
            </w:pPr>
            <w:r>
              <w:rPr>
                <w:rFonts w:ascii="Arial" w:cs="Arial" w:eastAsia="Arial" w:hAnsi="Arial"/>
                <w:sz w:val="16"/>
                <w:szCs w:val="16"/>
                <w:color w:val="auto"/>
              </w:rPr>
              <w:t>OCI before reclassifications</w:t>
            </w: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(1,415)</w:t>
            </w:r>
          </w:p>
        </w:tc>
      </w:tr>
      <w:tr>
        <w:trPr>
          <w:trHeight w:val="246"/>
        </w:trPr>
        <w:tc>
          <w:tcPr>
            <w:tcW w:w="2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Amounts reclassified from AOCI</w:t>
            </w:r>
          </w:p>
        </w:tc>
        <w:tc>
          <w:tcPr>
            <w:tcW w:w="4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33"/>
        </w:trPr>
        <w:tc>
          <w:tcPr>
            <w:tcW w:w="2760" w:type="dxa"/>
            <w:vAlign w:val="bottom"/>
            <w:gridSpan w:val="2"/>
          </w:tcPr>
          <w:p>
            <w:pPr>
              <w:ind w:left="220"/>
              <w:spacing w:after="0"/>
              <w:rPr>
                <w:sz w:val="20"/>
                <w:szCs w:val="20"/>
                <w:color w:val="auto"/>
              </w:rPr>
            </w:pPr>
            <w:r>
              <w:rPr>
                <w:rFonts w:ascii="Arial" w:cs="Arial" w:eastAsia="Arial" w:hAnsi="Arial"/>
                <w:sz w:val="16"/>
                <w:szCs w:val="16"/>
                <w:color w:val="auto"/>
              </w:rPr>
              <w:t>Net current-year OCI</w:t>
            </w:r>
          </w:p>
        </w:tc>
        <w:tc>
          <w:tcPr>
            <w:tcW w:w="4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(1,383)</w:t>
            </w:r>
          </w:p>
        </w:tc>
      </w:tr>
      <w:tr>
        <w:trPr>
          <w:trHeight w:val="273"/>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end of year</w:t>
            </w: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w:t>
            </w:r>
          </w:p>
        </w:tc>
      </w:tr>
      <w:tr>
        <w:trPr>
          <w:trHeight w:val="20"/>
        </w:trPr>
        <w:tc>
          <w:tcPr>
            <w:tcW w:w="3200" w:type="dxa"/>
            <w:vAlign w:val="bottom"/>
            <w:tcBorders>
              <w:top w:val="single" w:sz="8" w:color="CCEEFF"/>
            </w:tcBorders>
            <w:gridSpan w:val="3"/>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522"/>
        </w:trPr>
        <w:tc>
          <w:tcPr>
            <w:tcW w:w="3680" w:type="dxa"/>
            <w:vAlign w:val="bottom"/>
            <w:gridSpan w:val="4"/>
          </w:tcPr>
          <w:p>
            <w:pPr>
              <w:spacing w:after="0"/>
              <w:rPr>
                <w:sz w:val="20"/>
                <w:szCs w:val="20"/>
                <w:color w:val="auto"/>
              </w:rPr>
            </w:pPr>
            <w:r>
              <w:rPr>
                <w:rFonts w:ascii="Arial" w:cs="Arial" w:eastAsia="Arial" w:hAnsi="Arial"/>
                <w:sz w:val="16"/>
                <w:szCs w:val="16"/>
                <w:color w:val="auto"/>
              </w:rPr>
              <w:t>Reclassifications out of AOCI, net of tax, were:</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7"/>
        </w:trPr>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80" w:type="dxa"/>
            <w:vAlign w:val="bottom"/>
            <w:gridSpan w:val="10"/>
          </w:tcPr>
          <w:p>
            <w:pPr>
              <w:ind w:left="320"/>
              <w:spacing w:after="0"/>
              <w:rPr>
                <w:sz w:val="20"/>
                <w:szCs w:val="20"/>
                <w:color w:val="auto"/>
              </w:rPr>
            </w:pPr>
            <w:r>
              <w:rPr>
                <w:rFonts w:ascii="Arial" w:cs="Arial" w:eastAsia="Arial" w:hAnsi="Arial"/>
                <w:sz w:val="16"/>
                <w:szCs w:val="16"/>
                <w:b w:val="1"/>
                <w:bCs w:val="1"/>
                <w:color w:val="auto"/>
              </w:rPr>
              <w:t>Location on Consolidated Statements of Income and</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276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500" w:type="dxa"/>
            <w:vAlign w:val="bottom"/>
            <w:gridSpan w:val="6"/>
          </w:tcPr>
          <w:p>
            <w:pPr>
              <w:jc w:val="right"/>
              <w:ind w:right="79"/>
              <w:spacing w:after="0"/>
              <w:rPr>
                <w:sz w:val="20"/>
                <w:szCs w:val="20"/>
                <w:color w:val="auto"/>
              </w:rPr>
            </w:pPr>
            <w:r>
              <w:rPr>
                <w:rFonts w:ascii="Arial" w:cs="Arial" w:eastAsia="Arial" w:hAnsi="Arial"/>
                <w:sz w:val="16"/>
                <w:szCs w:val="16"/>
                <w:b w:val="1"/>
                <w:bCs w:val="1"/>
                <w:color w:val="auto"/>
              </w:rPr>
              <w:t>Comprehensive Income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15175" cy="162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62" w:lineRule="exact"/>
        <w:rPr>
          <w:sz w:val="20"/>
          <w:szCs w:val="20"/>
          <w:color w:val="auto"/>
        </w:rPr>
      </w:pPr>
    </w:p>
    <w:p>
      <w:pPr>
        <w:ind w:left="20"/>
        <w:spacing w:after="0"/>
        <w:tabs>
          <w:tab w:leader="none" w:pos="3040" w:val="left"/>
        </w:tabs>
        <w:rPr>
          <w:sz w:val="20"/>
          <w:szCs w:val="20"/>
          <w:color w:val="auto"/>
        </w:rPr>
      </w:pPr>
      <w:r>
        <w:rPr>
          <w:rFonts w:ascii="Arial" w:cs="Arial" w:eastAsia="Arial" w:hAnsi="Arial"/>
          <w:sz w:val="16"/>
          <w:szCs w:val="16"/>
          <w:color w:val="auto"/>
        </w:rPr>
        <w:t>Amortization of net actuarial loss</w:t>
      </w:r>
      <w:r>
        <w:rPr>
          <w:sz w:val="20"/>
          <w:szCs w:val="20"/>
          <w:color w:val="auto"/>
        </w:rPr>
        <w:tab/>
      </w:r>
      <w:r>
        <w:rPr>
          <w:rFonts w:ascii="Arial" w:cs="Arial" w:eastAsia="Arial" w:hAnsi="Arial"/>
          <w:sz w:val="15"/>
          <w:szCs w:val="15"/>
          <w:color w:val="auto"/>
        </w:rPr>
        <w:t>SG&amp;A</w:t>
      </w:r>
    </w:p>
    <w:p>
      <w:pPr>
        <w:spacing w:after="0" w:line="59" w:lineRule="exact"/>
        <w:rPr>
          <w:sz w:val="20"/>
          <w:szCs w:val="20"/>
          <w:color w:val="auto"/>
        </w:rPr>
      </w:pPr>
    </w:p>
    <w:p>
      <w:pPr>
        <w:ind w:left="20"/>
        <w:spacing w:after="0"/>
        <w:tabs>
          <w:tab w:leader="none" w:pos="3040" w:val="left"/>
        </w:tabs>
        <w:rPr>
          <w:sz w:val="20"/>
          <w:szCs w:val="20"/>
          <w:color w:val="auto"/>
        </w:rPr>
      </w:pPr>
      <w:r>
        <w:rPr>
          <w:rFonts w:ascii="Arial" w:cs="Arial" w:eastAsia="Arial" w:hAnsi="Arial"/>
          <w:sz w:val="16"/>
          <w:szCs w:val="16"/>
          <w:color w:val="auto"/>
        </w:rPr>
        <w:t>Interest rate contract</w:t>
      </w:r>
      <w:r>
        <w:rPr>
          <w:sz w:val="20"/>
          <w:szCs w:val="20"/>
          <w:color w:val="auto"/>
        </w:rPr>
        <w:tab/>
      </w:r>
      <w:r>
        <w:rPr>
          <w:rFonts w:ascii="Arial" w:cs="Arial" w:eastAsia="Arial" w:hAnsi="Arial"/>
          <w:sz w:val="15"/>
          <w:szCs w:val="15"/>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15175" cy="1797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Total reclassifications</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6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6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256"/>
        </w:trPr>
        <w:tc>
          <w:tcPr>
            <w:tcW w:w="5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432</w:t>
            </w:r>
          </w:p>
        </w:tc>
        <w:tc>
          <w:tcPr>
            <w:tcW w:w="6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465</w:t>
            </w:r>
          </w:p>
        </w:tc>
        <w:tc>
          <w:tcPr>
            <w:tcW w:w="6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w:t>
            </w:r>
          </w:p>
        </w:tc>
        <w:tc>
          <w:tcPr>
            <w:tcW w:w="6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w:t>
            </w:r>
          </w:p>
        </w:tc>
      </w:tr>
      <w:tr>
        <w:trPr>
          <w:trHeight w:val="27"/>
        </w:trPr>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460" w:space="720"/>
            <w:col w:w="4060"/>
          </w:cols>
          <w:pgMar w:left="320" w:top="118" w:right="339" w:bottom="1440" w:gutter="0" w:footer="0" w:header="0"/>
          <w:type w:val="continuous"/>
        </w:sectPr>
      </w:pP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spacing w:after="0"/>
              <w:rPr>
                <w:sz w:val="20"/>
                <w:szCs w:val="20"/>
                <w:color w:val="auto"/>
              </w:rPr>
            </w:pPr>
            <w:r>
              <w:rPr>
                <w:rFonts w:ascii="Arial" w:cs="Arial" w:eastAsia="Arial" w:hAnsi="Arial"/>
                <w:sz w:val="16"/>
                <w:szCs w:val="16"/>
                <w:b w:val="1"/>
                <w:bCs w:val="1"/>
                <w:color w:val="auto"/>
              </w:rPr>
              <w:t>Note 19: Interim Financial Information (Unaudited)</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432"/>
        </w:trPr>
        <w:tc>
          <w:tcPr>
            <w:tcW w:w="9500" w:type="dxa"/>
            <w:vAlign w:val="bottom"/>
            <w:gridSpan w:val="10"/>
          </w:tcPr>
          <w:p>
            <w:pPr>
              <w:spacing w:after="0"/>
              <w:rPr>
                <w:sz w:val="20"/>
                <w:szCs w:val="20"/>
                <w:color w:val="auto"/>
              </w:rPr>
            </w:pPr>
            <w:r>
              <w:rPr>
                <w:rFonts w:ascii="Arial" w:cs="Arial" w:eastAsia="Arial" w:hAnsi="Arial"/>
                <w:sz w:val="16"/>
                <w:szCs w:val="16"/>
                <w:color w:val="auto"/>
              </w:rPr>
              <w:t>The following tables show selected operating results for each 3-month quarter of Fiscal 2020 and 2019 (unaudited):</w:t>
            </w: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10"/>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Fiscal 2020</w:t>
            </w: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Quarter Ended</w:t>
            </w: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198"/>
        </w:trPr>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November 30,</w:t>
            </w:r>
          </w:p>
        </w:tc>
        <w:tc>
          <w:tcPr>
            <w:tcW w:w="240" w:type="dxa"/>
            <w:vAlign w:val="bottom"/>
          </w:tcPr>
          <w:p>
            <w:pPr>
              <w:spacing w:after="0"/>
              <w:rPr>
                <w:sz w:val="17"/>
                <w:szCs w:val="17"/>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February 29,</w:t>
            </w:r>
          </w:p>
        </w:tc>
        <w:tc>
          <w:tcPr>
            <w:tcW w:w="560" w:type="dxa"/>
            <w:vAlign w:val="bottom"/>
          </w:tcPr>
          <w:p>
            <w:pPr>
              <w:spacing w:after="0"/>
              <w:rPr>
                <w:sz w:val="17"/>
                <w:szCs w:val="17"/>
                <w:color w:val="auto"/>
              </w:rPr>
            </w:pPr>
          </w:p>
        </w:tc>
        <w:tc>
          <w:tcPr>
            <w:tcW w:w="1300" w:type="dxa"/>
            <w:vAlign w:val="bottom"/>
            <w:gridSpan w:val="2"/>
          </w:tcPr>
          <w:p>
            <w:pPr>
              <w:jc w:val="center"/>
              <w:ind w:right="660"/>
              <w:spacing w:after="0"/>
              <w:rPr>
                <w:sz w:val="20"/>
                <w:szCs w:val="20"/>
                <w:color w:val="auto"/>
              </w:rPr>
            </w:pPr>
            <w:r>
              <w:rPr>
                <w:rFonts w:ascii="Arial" w:cs="Arial" w:eastAsia="Arial" w:hAnsi="Arial"/>
                <w:sz w:val="16"/>
                <w:szCs w:val="16"/>
                <w:b w:val="1"/>
                <w:bCs w:val="1"/>
                <w:color w:val="auto"/>
              </w:rPr>
              <w:t>May 30,</w:t>
            </w:r>
          </w:p>
        </w:tc>
        <w:tc>
          <w:tcPr>
            <w:tcW w:w="140" w:type="dxa"/>
            <w:vAlign w:val="bottom"/>
          </w:tcPr>
          <w:p>
            <w:pPr>
              <w:spacing w:after="0"/>
              <w:rPr>
                <w:sz w:val="17"/>
                <w:szCs w:val="17"/>
                <w:color w:val="auto"/>
              </w:rPr>
            </w:pPr>
          </w:p>
        </w:tc>
        <w:tc>
          <w:tcPr>
            <w:tcW w:w="1600" w:type="dxa"/>
            <w:vAlign w:val="bottom"/>
          </w:tcPr>
          <w:p>
            <w:pPr>
              <w:jc w:val="center"/>
              <w:ind w:right="59"/>
              <w:spacing w:after="0"/>
              <w:rPr>
                <w:sz w:val="20"/>
                <w:szCs w:val="20"/>
                <w:color w:val="auto"/>
              </w:rPr>
            </w:pPr>
            <w:r>
              <w:rPr>
                <w:rFonts w:ascii="Arial" w:cs="Arial" w:eastAsia="Arial" w:hAnsi="Arial"/>
                <w:sz w:val="16"/>
                <w:szCs w:val="16"/>
                <w:b w:val="1"/>
                <w:bCs w:val="1"/>
                <w:color w:val="auto"/>
              </w:rPr>
              <w:t>August 29,</w:t>
            </w:r>
          </w:p>
        </w:tc>
      </w:tr>
      <w:tr>
        <w:trPr>
          <w:trHeight w:val="228"/>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2020</w:t>
            </w:r>
          </w:p>
        </w:tc>
      </w:tr>
      <w:tr>
        <w:trPr>
          <w:trHeight w:val="243"/>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588,458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626,810</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402,458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737,807</w:t>
            </w:r>
          </w:p>
        </w:tc>
      </w:tr>
      <w:tr>
        <w:trPr>
          <w:trHeight w:val="233"/>
        </w:trPr>
        <w:tc>
          <w:tcPr>
            <w:tcW w:w="39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78,613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79,782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32,024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122,509</w:t>
            </w:r>
          </w:p>
        </w:tc>
      </w:tr>
      <w:tr>
        <w:trPr>
          <w:trHeight w:val="253"/>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23,894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29,644</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68,398</w:t>
            </w:r>
          </w:p>
        </w:tc>
      </w:tr>
      <w:tr>
        <w:trPr>
          <w:trHeight w:val="233"/>
        </w:trPr>
        <w:tc>
          <w:tcPr>
            <w:tcW w:w="39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14,068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17,268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(12,353)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42,459</w:t>
            </w:r>
          </w:p>
        </w:tc>
      </w:tr>
      <w:tr>
        <w:trPr>
          <w:trHeight w:val="253"/>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share (basic)</w:t>
            </w:r>
          </w:p>
        </w:tc>
        <w:tc>
          <w:tcPr>
            <w:tcW w:w="24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23"/>
        </w:trPr>
        <w:tc>
          <w:tcPr>
            <w:tcW w:w="3940" w:type="dxa"/>
            <w:vAlign w:val="bottom"/>
          </w:tcPr>
          <w:p>
            <w:pPr>
              <w:ind w:left="20"/>
              <w:spacing w:after="0"/>
              <w:rPr>
                <w:sz w:val="20"/>
                <w:szCs w:val="20"/>
                <w:color w:val="auto"/>
              </w:rPr>
            </w:pPr>
            <w:r>
              <w:rPr>
                <w:rFonts w:ascii="Arial" w:cs="Arial" w:eastAsia="Arial" w:hAnsi="Arial"/>
                <w:sz w:val="16"/>
                <w:szCs w:val="16"/>
                <w:color w:val="auto"/>
              </w:rPr>
              <w:t>Net income per share (diluted)</w:t>
            </w:r>
          </w:p>
        </w:tc>
        <w:tc>
          <w:tcPr>
            <w:tcW w:w="24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0.44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0.51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472"/>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Fiscal 2019</w:t>
            </w: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Quarter Ended</w:t>
            </w: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198"/>
        </w:trPr>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November 24,</w:t>
            </w:r>
          </w:p>
        </w:tc>
        <w:tc>
          <w:tcPr>
            <w:tcW w:w="240" w:type="dxa"/>
            <w:vAlign w:val="bottom"/>
          </w:tcPr>
          <w:p>
            <w:pPr>
              <w:spacing w:after="0"/>
              <w:rPr>
                <w:sz w:val="17"/>
                <w:szCs w:val="17"/>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February 23,</w:t>
            </w:r>
          </w:p>
        </w:tc>
        <w:tc>
          <w:tcPr>
            <w:tcW w:w="560" w:type="dxa"/>
            <w:vAlign w:val="bottom"/>
          </w:tcPr>
          <w:p>
            <w:pPr>
              <w:spacing w:after="0"/>
              <w:rPr>
                <w:sz w:val="17"/>
                <w:szCs w:val="17"/>
                <w:color w:val="auto"/>
              </w:rPr>
            </w:pPr>
          </w:p>
        </w:tc>
        <w:tc>
          <w:tcPr>
            <w:tcW w:w="1300" w:type="dxa"/>
            <w:vAlign w:val="bottom"/>
            <w:gridSpan w:val="2"/>
          </w:tcPr>
          <w:p>
            <w:pPr>
              <w:jc w:val="center"/>
              <w:ind w:right="660"/>
              <w:spacing w:after="0"/>
              <w:rPr>
                <w:sz w:val="20"/>
                <w:szCs w:val="20"/>
                <w:color w:val="auto"/>
              </w:rPr>
            </w:pPr>
            <w:r>
              <w:rPr>
                <w:rFonts w:ascii="Arial" w:cs="Arial" w:eastAsia="Arial" w:hAnsi="Arial"/>
                <w:sz w:val="16"/>
                <w:szCs w:val="16"/>
                <w:b w:val="1"/>
                <w:bCs w:val="1"/>
                <w:color w:val="auto"/>
              </w:rPr>
              <w:t>May 25,</w:t>
            </w: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34"/>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59"/>
              <w:spacing w:after="0" w:line="234" w:lineRule="exact"/>
              <w:rPr>
                <w:sz w:val="20"/>
                <w:szCs w:val="20"/>
                <w:color w:val="auto"/>
              </w:rPr>
            </w:pPr>
            <w:r>
              <w:rPr>
                <w:rFonts w:ascii="Arial" w:cs="Arial" w:eastAsia="Arial" w:hAnsi="Arial"/>
                <w:sz w:val="16"/>
                <w:szCs w:val="16"/>
                <w:b w:val="1"/>
                <w:bCs w:val="1"/>
                <w:color w:val="auto"/>
                <w:w w:val="99"/>
              </w:rPr>
              <w:t>August 31, 2019</w:t>
            </w:r>
            <w:r>
              <w:rPr>
                <w:rFonts w:ascii="Arial" w:cs="Arial" w:eastAsia="Arial" w:hAnsi="Arial"/>
                <w:sz w:val="21"/>
                <w:szCs w:val="21"/>
                <w:b w:val="1"/>
                <w:bCs w:val="1"/>
                <w:color w:val="auto"/>
                <w:w w:val="99"/>
                <w:vertAlign w:val="superscript"/>
              </w:rPr>
              <w:t>(1)</w:t>
            </w:r>
          </w:p>
        </w:tc>
      </w:tr>
      <w:tr>
        <w:trPr>
          <w:trHeight w:val="237"/>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493,648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432,690</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528,940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530,396</w:t>
            </w:r>
          </w:p>
        </w:tc>
      </w:tr>
      <w:tr>
        <w:trPr>
          <w:trHeight w:val="233"/>
        </w:trPr>
        <w:tc>
          <w:tcPr>
            <w:tcW w:w="39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70,996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66,429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86,584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83,188</w:t>
            </w:r>
          </w:p>
        </w:tc>
      </w:tr>
      <w:tr>
        <w:trPr>
          <w:trHeight w:val="253"/>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32,625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28,903</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48,974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44,765</w:t>
            </w:r>
          </w:p>
        </w:tc>
      </w:tr>
      <w:tr>
        <w:trPr>
          <w:trHeight w:val="233"/>
        </w:trPr>
        <w:tc>
          <w:tcPr>
            <w:tcW w:w="39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22,161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21,598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36,171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31,868</w:t>
            </w:r>
          </w:p>
        </w:tc>
      </w:tr>
      <w:tr>
        <w:trPr>
          <w:trHeight w:val="253"/>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share (basic)</w:t>
            </w:r>
          </w:p>
        </w:tc>
        <w:tc>
          <w:tcPr>
            <w:tcW w:w="24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0.70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0.68</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r>
      <w:tr>
        <w:trPr>
          <w:trHeight w:val="223"/>
        </w:trPr>
        <w:tc>
          <w:tcPr>
            <w:tcW w:w="3940" w:type="dxa"/>
            <w:vAlign w:val="bottom"/>
          </w:tcPr>
          <w:p>
            <w:pPr>
              <w:ind w:left="20"/>
              <w:spacing w:after="0"/>
              <w:rPr>
                <w:sz w:val="20"/>
                <w:szCs w:val="20"/>
                <w:color w:val="auto"/>
              </w:rPr>
            </w:pPr>
            <w:r>
              <w:rPr>
                <w:rFonts w:ascii="Arial" w:cs="Arial" w:eastAsia="Arial" w:hAnsi="Arial"/>
                <w:sz w:val="16"/>
                <w:szCs w:val="16"/>
                <w:color w:val="auto"/>
              </w:rPr>
              <w:t>Net income per share (diluted)</w:t>
            </w:r>
          </w:p>
        </w:tc>
        <w:tc>
          <w:tcPr>
            <w:tcW w:w="24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0.70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0.68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1.01</w:t>
            </w:r>
          </w:p>
        </w:tc>
      </w:tr>
    </w:tbl>
    <w:p>
      <w:pPr>
        <w:spacing w:after="0" w:line="132" w:lineRule="exact"/>
        <w:rPr>
          <w:sz w:val="20"/>
          <w:szCs w:val="20"/>
          <w:color w:val="auto"/>
        </w:rPr>
      </w:pPr>
    </w:p>
    <w:p>
      <w:pPr>
        <w:ind w:left="260" w:right="540" w:hanging="252"/>
        <w:spacing w:after="0" w:line="258" w:lineRule="auto"/>
        <w:tabs>
          <w:tab w:leader="none" w:pos="353" w:val="left"/>
        </w:tabs>
        <w:numPr>
          <w:ilvl w:val="0"/>
          <w:numId w:val="42"/>
        </w:numPr>
        <w:rPr>
          <w:rFonts w:ascii="Arial" w:cs="Arial" w:eastAsia="Arial" w:hAnsi="Arial"/>
          <w:sz w:val="14"/>
          <w:szCs w:val="14"/>
          <w:color w:val="auto"/>
        </w:rPr>
      </w:pPr>
      <w:r>
        <w:rPr>
          <w:rFonts w:ascii="Arial" w:cs="Arial" w:eastAsia="Arial" w:hAnsi="Arial"/>
          <w:sz w:val="14"/>
          <w:szCs w:val="14"/>
          <w:color w:val="auto"/>
        </w:rPr>
        <w:t>During the quarter ended August 31, 2019, the Company recorded a $10.8 million reduction of WIP inventory and increase to Cost of goods sold for the cumulative correction of an immaterial error related to prior periods. The error was not material to the Consolidated Financial Statements for any quarterly or annual period.</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4" w:name="page75"/>
    <w:bookmarkEnd w:id="7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26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Management necessarily applied its judgment in assessing the costs and benefits of such controls and procedures and believes that such controls and procedures are effective at the reasonable assurance level.</w:t>
      </w:r>
    </w:p>
    <w:p>
      <w:pPr>
        <w:spacing w:after="0" w:line="23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Chief Financial Officer, has evaluated the effectiveness of the design and operation of our disclosure controls and procedures (as defined in the Exchange Act Rule 13a-15(d)), as of the end of the period covered by this Annual Report (the "Evaluation Date"). Based on this evaluation, the Chief Executive Officer and Chief Financial Officer have concluded that our disclosure controls and procedures were effective as of the Evaluation Date.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Internal Control Over Financial Reporting</w:t>
      </w:r>
    </w:p>
    <w:p>
      <w:pPr>
        <w:spacing w:after="0" w:line="252" w:lineRule="exact"/>
        <w:rPr>
          <w:sz w:val="20"/>
          <w:szCs w:val="20"/>
          <w:color w:val="auto"/>
        </w:rPr>
      </w:pPr>
    </w:p>
    <w:p>
      <w:pPr>
        <w:ind w:right="220"/>
        <w:spacing w:after="0" w:line="258" w:lineRule="auto"/>
        <w:rPr>
          <w:sz w:val="20"/>
          <w:szCs w:val="20"/>
          <w:color w:val="auto"/>
        </w:rPr>
      </w:pPr>
      <w:r>
        <w:rPr>
          <w:rFonts w:ascii="Arial" w:cs="Arial" w:eastAsia="Arial" w:hAnsi="Arial"/>
          <w:sz w:val="16"/>
          <w:szCs w:val="16"/>
          <w:color w:val="auto"/>
        </w:rPr>
        <w:t xml:space="preserve">Management's report on internal control over financial reporting as of August 29, 2020 is included within Item 8, </w:t>
      </w:r>
      <w:r>
        <w:rPr>
          <w:rFonts w:ascii="Arial" w:cs="Arial" w:eastAsia="Arial" w:hAnsi="Arial"/>
          <w:sz w:val="16"/>
          <w:szCs w:val="16"/>
          <w:i w:val="1"/>
          <w:iCs w:val="1"/>
          <w:color w:val="auto"/>
        </w:rPr>
        <w:t>Financial Statements and Supplementary</w:t>
      </w:r>
      <w:r>
        <w:rPr>
          <w:rFonts w:ascii="Arial" w:cs="Arial" w:eastAsia="Arial" w:hAnsi="Arial"/>
          <w:sz w:val="16"/>
          <w:szCs w:val="16"/>
          <w:color w:val="auto"/>
        </w:rPr>
        <w:t xml:space="preserve"> </w:t>
      </w:r>
      <w:r>
        <w:rPr>
          <w:rFonts w:ascii="Arial" w:cs="Arial" w:eastAsia="Arial" w:hAnsi="Arial"/>
          <w:sz w:val="16"/>
          <w:szCs w:val="16"/>
          <w:i w:val="1"/>
          <w:iCs w:val="1"/>
          <w:color w:val="auto"/>
        </w:rPr>
        <w:t>Data</w:t>
      </w:r>
      <w:r>
        <w:rPr>
          <w:rFonts w:ascii="Arial" w:cs="Arial" w:eastAsia="Arial" w:hAnsi="Arial"/>
          <w:sz w:val="16"/>
          <w:szCs w:val="16"/>
          <w:color w:val="auto"/>
        </w:rPr>
        <w:t>, of this Annual Report on Form 10-K and is incorporated herein by reference. The report of Deloitte &amp; Touche LLP on the effectiveness of internal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control over financial reporting is included within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of this Annual Report on Form 10-K and is incorporated herein by reference.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6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There were no changes in internal control over financial reporting during the fourth fiscal quarter ended August 29, 2020 that have materially affected, or are reasonably likely to materially affect, our internal control over financial reporting.</w:t>
      </w:r>
    </w:p>
    <w:p>
      <w:pPr>
        <w:spacing w:after="0" w:line="222"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We are implementing an Enterprise Resource Planning ("ERP") system which is expected to improve the efficiency of certain financial and related transaction processes. The implementation of an ERP system will likely affect the processes that constitute our internal control over financial reporting and will require testing for effectiveness. As part of the ERP implementation, internal controls over financial reporting are being tested for effectiveness with respect to the scope of the phase completed. We concluded that the implementation of ERP in these circumstances will not materially affected our internal control over financial reporting. The implementation will continue to be evaluated for effect on our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75" w:name="page76"/>
    <w:bookmarkEnd w:id="7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III</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268"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 xml:space="preserve">Reference is made to the table entitled "Information about our Executive Officers" in Part I of this report and to the information included under the captions </w:t>
      </w:r>
      <w:r>
        <w:rPr>
          <w:rFonts w:ascii="Arial" w:cs="Arial" w:eastAsia="Arial" w:hAnsi="Arial"/>
          <w:sz w:val="16"/>
          <w:szCs w:val="16"/>
          <w:i w:val="1"/>
          <w:iCs w:val="1"/>
          <w:color w:val="auto"/>
        </w:rPr>
        <w:t>Corporate Governance</w:t>
      </w:r>
      <w:r>
        <w:rPr>
          <w:rFonts w:ascii="Arial" w:cs="Arial" w:eastAsia="Arial" w:hAnsi="Arial"/>
          <w:sz w:val="16"/>
          <w:szCs w:val="16"/>
          <w:color w:val="auto"/>
        </w:rPr>
        <w:t>,</w:t>
      </w:r>
      <w:r>
        <w:rPr>
          <w:rFonts w:ascii="Arial" w:cs="Arial" w:eastAsia="Arial" w:hAnsi="Arial"/>
          <w:sz w:val="16"/>
          <w:szCs w:val="16"/>
          <w:i w:val="1"/>
          <w:iCs w:val="1"/>
          <w:color w:val="auto"/>
        </w:rPr>
        <w:t xml:space="preserve"> Election of Directors</w:t>
      </w:r>
      <w:r>
        <w:rPr>
          <w:rFonts w:ascii="Arial" w:cs="Arial" w:eastAsia="Arial" w:hAnsi="Arial"/>
          <w:sz w:val="16"/>
          <w:szCs w:val="16"/>
          <w:color w:val="auto"/>
        </w:rPr>
        <w:t>, and</w:t>
      </w:r>
      <w:r>
        <w:rPr>
          <w:rFonts w:ascii="Arial" w:cs="Arial" w:eastAsia="Arial" w:hAnsi="Arial"/>
          <w:sz w:val="16"/>
          <w:szCs w:val="16"/>
          <w:i w:val="1"/>
          <w:iCs w:val="1"/>
          <w:color w:val="auto"/>
        </w:rPr>
        <w:t xml:space="preserve"> Fiscal 2021 Shareholder Proposals </w:t>
      </w:r>
      <w:r>
        <w:rPr>
          <w:rFonts w:ascii="Arial" w:cs="Arial" w:eastAsia="Arial" w:hAnsi="Arial"/>
          <w:sz w:val="16"/>
          <w:szCs w:val="16"/>
          <w:color w:val="auto"/>
        </w:rPr>
        <w:t>in our Proxy Statement for the Annual Meeting of Shareholders</w:t>
      </w:r>
      <w:r>
        <w:rPr>
          <w:rFonts w:ascii="Arial" w:cs="Arial" w:eastAsia="Arial" w:hAnsi="Arial"/>
          <w:sz w:val="16"/>
          <w:szCs w:val="16"/>
          <w:i w:val="1"/>
          <w:iCs w:val="1"/>
          <w:color w:val="auto"/>
        </w:rPr>
        <w:t xml:space="preserve"> </w:t>
      </w:r>
      <w:r>
        <w:rPr>
          <w:rFonts w:ascii="Arial" w:cs="Arial" w:eastAsia="Arial" w:hAnsi="Arial"/>
          <w:sz w:val="16"/>
          <w:szCs w:val="16"/>
          <w:color w:val="auto"/>
        </w:rPr>
        <w:t>scheduled to be held December 15, 2020, which information is incorporated by reference herein.</w:t>
      </w:r>
    </w:p>
    <w:p>
      <w:pPr>
        <w:spacing w:after="0" w:line="22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We have adopted a written code of ethics, the "Code of Conduct" (the "Code"), which is applicable to each of our employees, including our Chief Executive Officer, Chief Financial Officer, and Treasurer (such three officers, collectively, the "Senior Officers"). In accordance with the rules and regulations of the SEC, a copy of the Code is posted on our website at www.winnebagoind.com in the "Company" section under "Investor Relations - Corporate Governance."</w:t>
      </w:r>
    </w:p>
    <w:p>
      <w:pPr>
        <w:spacing w:after="0" w:line="22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intend to disclose any changes in or waivers from the Code applicable to any Senior Officer on our website at www.winnebagoind.com or by filing a Form 8-K.</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252" w:lineRule="exact"/>
        <w:rPr>
          <w:sz w:val="20"/>
          <w:szCs w:val="20"/>
          <w:color w:val="auto"/>
        </w:rPr>
      </w:pPr>
    </w:p>
    <w:p>
      <w:pPr>
        <w:ind w:right="500"/>
        <w:spacing w:after="0" w:line="281" w:lineRule="auto"/>
        <w:rPr>
          <w:sz w:val="20"/>
          <w:szCs w:val="20"/>
          <w:color w:val="auto"/>
        </w:rPr>
      </w:pPr>
      <w:r>
        <w:rPr>
          <w:rFonts w:ascii="Arial" w:cs="Arial" w:eastAsia="Arial" w:hAnsi="Arial"/>
          <w:sz w:val="16"/>
          <w:szCs w:val="16"/>
          <w:color w:val="auto"/>
        </w:rPr>
        <w:t xml:space="preserve">Reference is made to the information included under the captions </w:t>
      </w:r>
      <w:r>
        <w:rPr>
          <w:rFonts w:ascii="Arial" w:cs="Arial" w:eastAsia="Arial" w:hAnsi="Arial"/>
          <w:sz w:val="16"/>
          <w:szCs w:val="16"/>
          <w:i w:val="1"/>
          <w:iCs w:val="1"/>
          <w:color w:val="auto"/>
        </w:rPr>
        <w:t>Director Compensation</w:t>
      </w:r>
      <w:r>
        <w:rPr>
          <w:rFonts w:ascii="Arial" w:cs="Arial" w:eastAsia="Arial" w:hAnsi="Arial"/>
          <w:sz w:val="16"/>
          <w:szCs w:val="16"/>
          <w:color w:val="auto"/>
        </w:rPr>
        <w:t xml:space="preserve"> and </w:t>
      </w:r>
      <w:r>
        <w:rPr>
          <w:rFonts w:ascii="Arial" w:cs="Arial" w:eastAsia="Arial" w:hAnsi="Arial"/>
          <w:sz w:val="16"/>
          <w:szCs w:val="16"/>
          <w:i w:val="1"/>
          <w:iCs w:val="1"/>
          <w:color w:val="auto"/>
        </w:rPr>
        <w:t>Executive Compensation</w:t>
      </w:r>
      <w:r>
        <w:rPr>
          <w:rFonts w:ascii="Arial" w:cs="Arial" w:eastAsia="Arial" w:hAnsi="Arial"/>
          <w:sz w:val="16"/>
          <w:szCs w:val="16"/>
          <w:color w:val="auto"/>
        </w:rPr>
        <w:t xml:space="preserve"> in our Proxy Statement for the Annual Meeting of Shareholders scheduled to be held December 15, 2020, which information is incorporated by reference herein.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252"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 xml:space="preserve">Reference is made to the table entitled </w:t>
      </w:r>
      <w:r>
        <w:rPr>
          <w:rFonts w:ascii="Arial" w:cs="Arial" w:eastAsia="Arial" w:hAnsi="Arial"/>
          <w:sz w:val="16"/>
          <w:szCs w:val="16"/>
          <w:i w:val="1"/>
          <w:iCs w:val="1"/>
          <w:color w:val="auto"/>
        </w:rPr>
        <w:t>Equity Compensation Plan Information</w:t>
      </w:r>
      <w:r>
        <w:rPr>
          <w:rFonts w:ascii="Arial" w:cs="Arial" w:eastAsia="Arial" w:hAnsi="Arial"/>
          <w:sz w:val="16"/>
          <w:szCs w:val="16"/>
          <w:color w:val="auto"/>
        </w:rPr>
        <w:t xml:space="preserve"> included in Item 5, </w:t>
      </w:r>
      <w:r>
        <w:rPr>
          <w:rFonts w:ascii="Arial" w:cs="Arial" w:eastAsia="Arial" w:hAnsi="Arial"/>
          <w:sz w:val="16"/>
          <w:szCs w:val="16"/>
          <w:i w:val="1"/>
          <w:iCs w:val="1"/>
          <w:color w:val="auto"/>
        </w:rPr>
        <w:t>Market for the Registrant's Common Equity, Related</w:t>
      </w:r>
      <w:r>
        <w:rPr>
          <w:rFonts w:ascii="Arial" w:cs="Arial" w:eastAsia="Arial" w:hAnsi="Arial"/>
          <w:sz w:val="16"/>
          <w:szCs w:val="16"/>
          <w:color w:val="auto"/>
        </w:rPr>
        <w:t xml:space="preserve"> </w:t>
      </w:r>
      <w:r>
        <w:rPr>
          <w:rFonts w:ascii="Arial" w:cs="Arial" w:eastAsia="Arial" w:hAnsi="Arial"/>
          <w:sz w:val="16"/>
          <w:szCs w:val="16"/>
          <w:i w:val="1"/>
          <w:iCs w:val="1"/>
          <w:color w:val="auto"/>
        </w:rPr>
        <w:t>Stockholder Matters, and Issuer Purchases of Equity Securities</w:t>
      </w:r>
      <w:r>
        <w:rPr>
          <w:rFonts w:ascii="Arial" w:cs="Arial" w:eastAsia="Arial" w:hAnsi="Arial"/>
          <w:sz w:val="16"/>
          <w:szCs w:val="16"/>
          <w:color w:val="auto"/>
        </w:rPr>
        <w:t>, of this Annual Report on Form 10-K and to the share ownership information included under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caption </w:t>
      </w:r>
      <w:r>
        <w:rPr>
          <w:rFonts w:ascii="Arial" w:cs="Arial" w:eastAsia="Arial" w:hAnsi="Arial"/>
          <w:sz w:val="16"/>
          <w:szCs w:val="16"/>
          <w:i w:val="1"/>
          <w:iCs w:val="1"/>
          <w:color w:val="auto"/>
        </w:rPr>
        <w:t>Voting Securities and Principal Holders Thereof</w:t>
      </w:r>
      <w:r>
        <w:rPr>
          <w:rFonts w:ascii="Arial" w:cs="Arial" w:eastAsia="Arial" w:hAnsi="Arial"/>
          <w:sz w:val="16"/>
          <w:szCs w:val="16"/>
          <w:color w:val="auto"/>
        </w:rPr>
        <w:t xml:space="preserve"> in our Proxy Statement for the Annual Meeting of Shareholders scheduled to be held December 15, 2020, which information is incorporated by reference herein.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252" w:lineRule="exact"/>
        <w:rPr>
          <w:sz w:val="20"/>
          <w:szCs w:val="20"/>
          <w:color w:val="auto"/>
        </w:rPr>
      </w:pPr>
    </w:p>
    <w:p>
      <w:pPr>
        <w:ind w:right="380"/>
        <w:spacing w:after="0" w:line="281" w:lineRule="auto"/>
        <w:rPr>
          <w:sz w:val="20"/>
          <w:szCs w:val="20"/>
          <w:color w:val="auto"/>
        </w:rPr>
      </w:pPr>
      <w:r>
        <w:rPr>
          <w:rFonts w:ascii="Arial" w:cs="Arial" w:eastAsia="Arial" w:hAnsi="Arial"/>
          <w:sz w:val="16"/>
          <w:szCs w:val="16"/>
          <w:color w:val="auto"/>
        </w:rPr>
        <w:t xml:space="preserve">Reference is made to the information included under the caption </w:t>
      </w:r>
      <w:r>
        <w:rPr>
          <w:rFonts w:ascii="Arial" w:cs="Arial" w:eastAsia="Arial" w:hAnsi="Arial"/>
          <w:sz w:val="16"/>
          <w:szCs w:val="16"/>
          <w:i w:val="1"/>
          <w:iCs w:val="1"/>
          <w:color w:val="auto"/>
        </w:rPr>
        <w:t>Corporate Governance</w:t>
      </w:r>
      <w:r>
        <w:rPr>
          <w:rFonts w:ascii="Arial" w:cs="Arial" w:eastAsia="Arial" w:hAnsi="Arial"/>
          <w:sz w:val="16"/>
          <w:szCs w:val="16"/>
          <w:color w:val="auto"/>
        </w:rPr>
        <w:t xml:space="preserve"> in our Proxy Statement for the Annual Meeting of Shareholders scheduled to be held December 15, 2020, which information is incorporated by reference herein.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Accounting Fees and Services.</w:t>
      </w:r>
    </w:p>
    <w:p>
      <w:pPr>
        <w:spacing w:after="0" w:line="252"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 xml:space="preserve">Reference is made to the information included under the caption </w:t>
      </w:r>
      <w:r>
        <w:rPr>
          <w:rFonts w:ascii="Arial" w:cs="Arial" w:eastAsia="Arial" w:hAnsi="Arial"/>
          <w:sz w:val="16"/>
          <w:szCs w:val="16"/>
          <w:i w:val="1"/>
          <w:iCs w:val="1"/>
          <w:color w:val="auto"/>
        </w:rPr>
        <w:t>Independent Registered Public Accountant's Fees and Services</w:t>
      </w:r>
      <w:r>
        <w:rPr>
          <w:rFonts w:ascii="Arial" w:cs="Arial" w:eastAsia="Arial" w:hAnsi="Arial"/>
          <w:sz w:val="16"/>
          <w:szCs w:val="16"/>
          <w:color w:val="auto"/>
        </w:rPr>
        <w:t xml:space="preserve"> in our Proxy Statement for the Annual Meeting of Shareholders scheduled to be held December 15, 2020 which information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6" w:name="page77"/>
    <w:bookmarkEnd w:id="7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IV</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Exhibits, Financial Statement Schedules.</w:t>
      </w:r>
    </w:p>
    <w:p>
      <w:pPr>
        <w:spacing w:after="0" w:line="268"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consolidated financial statements are set forth under Item 8 of this report.</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Financial Statement Schedules: Winnebago Industries, Inc. and Subsidiaries</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All schedules are omitted because of the absence of the conditions under which they are required or because the information required is shown in the</w:t>
      </w:r>
    </w:p>
    <w:p>
      <w:pPr>
        <w:sectPr>
          <w:pgSz w:w="11900" w:h="16838" w:orient="portrait"/>
          <w:cols w:equalWidth="0" w:num="1">
            <w:col w:w="11220"/>
          </w:cols>
          <w:pgMar w:left="320" w:top="141" w:right="359" w:bottom="1440" w:gutter="0" w:footer="0" w:header="0"/>
        </w:sectPr>
      </w:pP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consolidated financial statements or the notes thereto.</w:t>
      </w:r>
    </w:p>
    <w:p>
      <w:pPr>
        <w:spacing w:after="0" w:line="248"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Exhibit Index</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6"/>
          <w:szCs w:val="16"/>
          <w:b w:val="1"/>
          <w:bCs w:val="1"/>
          <w:color w:val="auto"/>
        </w:rPr>
        <w:t>No.</w:t>
      </w:r>
      <w:r>
        <w:rPr>
          <w:sz w:val="20"/>
          <w:szCs w:val="20"/>
          <w:color w:val="auto"/>
        </w:rPr>
        <w:tab/>
      </w:r>
      <w:r>
        <w:rPr>
          <w:rFonts w:ascii="Arial" w:cs="Arial" w:eastAsia="Arial" w:hAnsi="Arial"/>
          <w:sz w:val="16"/>
          <w:szCs w:val="16"/>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7632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15175" cy="763270"/>
                    </a:xfrm>
                    <a:prstGeom prst="rect">
                      <a:avLst/>
                    </a:prstGeom>
                    <a:noFill/>
                  </pic:spPr>
                </pic:pic>
              </a:graphicData>
            </a:graphic>
          </wp:anchor>
        </w:drawing>
      </w:r>
    </w:p>
    <w:p>
      <w:pPr>
        <w:spacing w:after="0" w:line="39" w:lineRule="exact"/>
        <w:rPr>
          <w:sz w:val="20"/>
          <w:szCs w:val="20"/>
          <w:color w:val="auto"/>
        </w:rPr>
      </w:pPr>
    </w:p>
    <w:p>
      <w:pPr>
        <w:ind w:left="960" w:right="60"/>
        <w:spacing w:after="0" w:line="211" w:lineRule="auto"/>
        <w:rPr>
          <w:rFonts w:ascii="Arial" w:cs="Arial" w:eastAsia="Arial" w:hAnsi="Arial"/>
          <w:sz w:val="16"/>
          <w:szCs w:val="16"/>
          <w:u w:val="single" w:color="auto"/>
          <w:color w:val="0000FF"/>
        </w:rPr>
      </w:pPr>
      <w:hyperlink r:id="rId105">
        <w:r>
          <w:rPr>
            <w:rFonts w:ascii="Arial" w:cs="Arial" w:eastAsia="Arial" w:hAnsi="Arial"/>
            <w:sz w:val="16"/>
            <w:szCs w:val="16"/>
            <w:u w:val="single" w:color="auto"/>
            <w:color w:val="0000FF"/>
          </w:rPr>
          <w:t>Securities Purchase Agreement by and among, Grand Design RV, LLC, Octavius</w:t>
        </w:r>
      </w:hyperlink>
      <w:r>
        <w:rPr>
          <w:rFonts w:ascii="Arial" w:cs="Arial" w:eastAsia="Arial" w:hAnsi="Arial"/>
          <w:sz w:val="16"/>
          <w:szCs w:val="16"/>
          <w:u w:val="single" w:color="auto"/>
          <w:color w:val="0000FF"/>
        </w:rPr>
        <w:t xml:space="preserve"> </w:t>
      </w:r>
      <w:hyperlink r:id="rId105">
        <w:r>
          <w:rPr>
            <w:rFonts w:ascii="Arial" w:cs="Arial" w:eastAsia="Arial" w:hAnsi="Arial"/>
            <w:sz w:val="16"/>
            <w:szCs w:val="16"/>
            <w:u w:val="single" w:color="auto"/>
            <w:color w:val="0000FF"/>
          </w:rPr>
          <w:t>Corporation, Winnebago Industries, Inc., Summit Partners Growth Equity Fund</w:t>
        </w:r>
      </w:hyperlink>
      <w:r>
        <w:rPr>
          <w:rFonts w:ascii="Arial" w:cs="Arial" w:eastAsia="Arial" w:hAnsi="Arial"/>
          <w:sz w:val="16"/>
          <w:szCs w:val="16"/>
          <w:u w:val="single" w:color="auto"/>
          <w:color w:val="0000FF"/>
        </w:rPr>
        <w:t xml:space="preserve"> </w:t>
      </w:r>
      <w:hyperlink r:id="rId105">
        <w:r>
          <w:rPr>
            <w:rFonts w:ascii="Arial" w:cs="Arial" w:eastAsia="Arial" w:hAnsi="Arial"/>
            <w:sz w:val="16"/>
            <w:szCs w:val="16"/>
            <w:u w:val="single" w:color="auto"/>
            <w:color w:val="0000FF"/>
          </w:rPr>
          <w:t>VIII-B, L.P., Summit Partners Growth Equity Fund VIII-A, L.P., Summit Partners</w:t>
        </w:r>
      </w:hyperlink>
    </w:p>
    <w:p>
      <w:pPr>
        <w:spacing w:after="0" w:line="1" w:lineRule="exact"/>
        <w:rPr>
          <w:rFonts w:ascii="Arial" w:cs="Arial" w:eastAsia="Arial" w:hAnsi="Arial"/>
          <w:sz w:val="16"/>
          <w:szCs w:val="16"/>
          <w:u w:val="single" w:color="auto"/>
          <w:color w:val="0000FF"/>
        </w:rPr>
      </w:pPr>
    </w:p>
    <w:p>
      <w:pPr>
        <w:ind w:left="960" w:right="140" w:hanging="379"/>
        <w:spacing w:after="0" w:line="225"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2a.</w:t>
      </w:r>
      <w:r>
        <w:rPr>
          <w:sz w:val="20"/>
          <w:szCs w:val="20"/>
          <w:color w:val="auto"/>
        </w:rPr>
        <w:tab/>
      </w:r>
      <w:hyperlink r:id="rId105">
        <w:r>
          <w:rPr>
            <w:rFonts w:ascii="Arial" w:cs="Arial" w:eastAsia="Arial" w:hAnsi="Arial"/>
            <w:sz w:val="16"/>
            <w:szCs w:val="16"/>
            <w:u w:val="single" w:color="auto"/>
            <w:color w:val="0000FF"/>
          </w:rPr>
          <w:t>Entrepreneur Advisors Fund I, L.P., Summit Investors I, LLC, Summit Investors I</w:t>
        </w:r>
      </w:hyperlink>
      <w:r>
        <w:rPr>
          <w:rFonts w:ascii="Arial" w:cs="Arial" w:eastAsia="Arial" w:hAnsi="Arial"/>
          <w:sz w:val="16"/>
          <w:szCs w:val="16"/>
          <w:u w:val="single" w:color="auto"/>
          <w:color w:val="0000FF"/>
        </w:rPr>
        <w:t xml:space="preserve"> </w:t>
      </w:r>
      <w:hyperlink r:id="rId105">
        <w:r>
          <w:rPr>
            <w:rFonts w:ascii="Arial" w:cs="Arial" w:eastAsia="Arial" w:hAnsi="Arial"/>
            <w:sz w:val="16"/>
            <w:szCs w:val="16"/>
            <w:u w:val="single" w:color="auto"/>
            <w:color w:val="0000FF"/>
          </w:rPr>
          <w:t>(UK), L.P., SP GE VIII-B GD RV Holdings, L.P., RDB III, Inc., and each of the</w:t>
        </w:r>
      </w:hyperlink>
      <w:r>
        <w:rPr>
          <w:rFonts w:ascii="Arial" w:cs="Arial" w:eastAsia="Arial" w:hAnsi="Arial"/>
          <w:sz w:val="16"/>
          <w:szCs w:val="16"/>
          <w:u w:val="single" w:color="auto"/>
          <w:color w:val="0000FF"/>
        </w:rPr>
        <w:t xml:space="preserve"> </w:t>
      </w:r>
      <w:hyperlink r:id="rId105">
        <w:r>
          <w:rPr>
            <w:rFonts w:ascii="Arial" w:cs="Arial" w:eastAsia="Arial" w:hAnsi="Arial"/>
            <w:sz w:val="16"/>
            <w:szCs w:val="16"/>
            <w:u w:val="single" w:color="auto"/>
            <w:color w:val="0000FF"/>
          </w:rPr>
          <w:t>shareholders of RDB III, Inc.</w:t>
        </w:r>
      </w:hyperlink>
    </w:p>
    <w:p>
      <w:pPr>
        <w:spacing w:after="0" w:line="185" w:lineRule="exact"/>
        <w:rPr>
          <w:rFonts w:ascii="Arial" w:cs="Arial" w:eastAsia="Arial" w:hAnsi="Arial"/>
          <w:sz w:val="16"/>
          <w:szCs w:val="16"/>
          <w:u w:val="single" w:color="auto"/>
          <w:color w:val="0000FF"/>
        </w:rPr>
      </w:pPr>
    </w:p>
    <w:p>
      <w:pPr>
        <w:ind w:left="960" w:right="240"/>
        <w:spacing w:after="0" w:line="211" w:lineRule="auto"/>
        <w:rPr>
          <w:rFonts w:ascii="Arial" w:cs="Arial" w:eastAsia="Arial" w:hAnsi="Arial"/>
          <w:sz w:val="16"/>
          <w:szCs w:val="16"/>
          <w:u w:val="single" w:color="auto"/>
          <w:color w:val="0000FF"/>
        </w:rPr>
      </w:pPr>
      <w:hyperlink r:id="rId106">
        <w:r>
          <w:rPr>
            <w:rFonts w:ascii="Arial" w:cs="Arial" w:eastAsia="Arial" w:hAnsi="Arial"/>
            <w:sz w:val="16"/>
            <w:szCs w:val="16"/>
            <w:u w:val="single" w:color="auto"/>
            <w:color w:val="0000FF"/>
          </w:rPr>
          <w:t>Stock Purchase Agreement dated as of September 15, 2019, by and among</w:t>
        </w:r>
      </w:hyperlink>
      <w:r>
        <w:rPr>
          <w:rFonts w:ascii="Arial" w:cs="Arial" w:eastAsia="Arial" w:hAnsi="Arial"/>
          <w:sz w:val="16"/>
          <w:szCs w:val="16"/>
          <w:u w:val="single" w:color="auto"/>
          <w:color w:val="0000FF"/>
        </w:rPr>
        <w:t xml:space="preserve"> </w:t>
      </w:r>
      <w:hyperlink r:id="rId106">
        <w:r>
          <w:rPr>
            <w:rFonts w:ascii="Arial" w:cs="Arial" w:eastAsia="Arial" w:hAnsi="Arial"/>
            <w:sz w:val="16"/>
            <w:szCs w:val="16"/>
            <w:u w:val="single" w:color="auto"/>
            <w:color w:val="0000FF"/>
          </w:rPr>
          <w:t>Winnebago Industries, Inc., Octavius Corporation, Newmar Corporation, Dutch</w:t>
        </w:r>
      </w:hyperlink>
    </w:p>
    <w:p>
      <w:pPr>
        <w:ind w:left="960" w:hanging="379"/>
        <w:spacing w:after="0" w:line="225"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2b.</w:t>
      </w:r>
      <w:r>
        <w:rPr>
          <w:sz w:val="20"/>
          <w:szCs w:val="20"/>
          <w:color w:val="auto"/>
        </w:rPr>
        <w:tab/>
      </w:r>
      <w:hyperlink r:id="rId106">
        <w:r>
          <w:rPr>
            <w:rFonts w:ascii="Arial" w:cs="Arial" w:eastAsia="Arial" w:hAnsi="Arial"/>
            <w:sz w:val="16"/>
            <w:szCs w:val="16"/>
            <w:u w:val="single" w:color="auto"/>
            <w:color w:val="0000FF"/>
          </w:rPr>
          <w:t>Real Estate Corp., New-Way Transport Corp., New-Serv, Inc., the shareholders of</w:t>
        </w:r>
      </w:hyperlink>
      <w:r>
        <w:rPr>
          <w:rFonts w:ascii="Arial" w:cs="Arial" w:eastAsia="Arial" w:hAnsi="Arial"/>
          <w:sz w:val="16"/>
          <w:szCs w:val="16"/>
          <w:u w:val="single" w:color="auto"/>
          <w:color w:val="0000FF"/>
        </w:rPr>
        <w:t xml:space="preserve"> </w:t>
      </w:r>
      <w:hyperlink r:id="rId106">
        <w:r>
          <w:rPr>
            <w:rFonts w:ascii="Arial" w:cs="Arial" w:eastAsia="Arial" w:hAnsi="Arial"/>
            <w:sz w:val="16"/>
            <w:szCs w:val="16"/>
            <w:u w:val="single" w:color="auto"/>
            <w:color w:val="0000FF"/>
          </w:rPr>
          <w:t>Newmar Corporation, Dutch Real Estate Corp., New-Way Transport Corp. and</w:t>
        </w:r>
      </w:hyperlink>
      <w:r>
        <w:rPr>
          <w:rFonts w:ascii="Arial" w:cs="Arial" w:eastAsia="Arial" w:hAnsi="Arial"/>
          <w:sz w:val="16"/>
          <w:szCs w:val="16"/>
          <w:u w:val="single" w:color="auto"/>
          <w:color w:val="0000FF"/>
        </w:rPr>
        <w:t xml:space="preserve"> </w:t>
      </w:r>
      <w:hyperlink r:id="rId106">
        <w:r>
          <w:rPr>
            <w:rFonts w:ascii="Arial" w:cs="Arial" w:eastAsia="Arial" w:hAnsi="Arial"/>
            <w:sz w:val="16"/>
            <w:szCs w:val="16"/>
            <w:u w:val="single" w:color="auto"/>
            <w:color w:val="0000FF"/>
          </w:rPr>
          <w:t>New-Serv, Inc. and Matthew Miller, as Sellers Agent.</w:t>
        </w:r>
      </w:hyperlink>
    </w:p>
    <w:p>
      <w:pPr>
        <w:spacing w:after="0" w:line="46" w:lineRule="exact"/>
        <w:rPr>
          <w:rFonts w:ascii="Arial" w:cs="Arial" w:eastAsia="Arial" w:hAnsi="Arial"/>
          <w:sz w:val="16"/>
          <w:szCs w:val="16"/>
          <w:u w:val="single" w:color="auto"/>
          <w:color w:val="0000FF"/>
        </w:rPr>
      </w:pPr>
    </w:p>
    <w:p>
      <w:pPr>
        <w:ind w:left="580"/>
        <w:spacing w:after="0"/>
        <w:tabs>
          <w:tab w:leader="none" w:pos="940" w:val="left"/>
        </w:tabs>
        <w:rPr>
          <w:rFonts w:ascii="Arial" w:cs="Arial" w:eastAsia="Arial" w:hAnsi="Arial"/>
          <w:sz w:val="16"/>
          <w:szCs w:val="16"/>
          <w:u w:val="single" w:color="auto"/>
          <w:color w:val="0000FF"/>
        </w:rPr>
      </w:pPr>
      <w:hyperlink r:id="rId107"/>
      <w:r>
        <w:rPr>
          <w:rFonts w:ascii="Arial" w:cs="Arial" w:eastAsia="Arial" w:hAnsi="Arial"/>
          <w:sz w:val="32"/>
          <w:szCs w:val="32"/>
          <w:color w:val="000000"/>
          <w:vertAlign w:val="subscript"/>
        </w:rPr>
        <w:t>3a.</w:t>
      </w:r>
      <w:r>
        <w:rPr>
          <w:rFonts w:ascii="Arial" w:cs="Arial" w:eastAsia="Arial" w:hAnsi="Arial"/>
          <w:sz w:val="16"/>
          <w:szCs w:val="16"/>
          <w:color w:val="0000FF"/>
        </w:rPr>
        <w:tab/>
      </w:r>
      <w:hyperlink r:id="rId107">
        <w:r>
          <w:rPr>
            <w:rFonts w:ascii="Arial" w:cs="Arial" w:eastAsia="Arial" w:hAnsi="Arial"/>
            <w:sz w:val="16"/>
            <w:szCs w:val="16"/>
            <w:u w:val="single" w:color="auto"/>
            <w:color w:val="0000FF"/>
          </w:rPr>
          <w:t>Articles of Incorporation.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-154305</wp:posOffset>
            </wp:positionV>
            <wp:extent cx="7115175" cy="2400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spacing w:after="0" w:line="27" w:lineRule="exact"/>
        <w:rPr>
          <w:sz w:val="20"/>
          <w:szCs w:val="20"/>
          <w:color w:val="auto"/>
        </w:rPr>
      </w:pPr>
    </w:p>
    <w:p>
      <w:pPr>
        <w:ind w:left="580"/>
        <w:spacing w:after="0"/>
        <w:tabs>
          <w:tab w:leader="none" w:pos="940" w:val="left"/>
        </w:tabs>
        <w:rPr>
          <w:rFonts w:ascii="Arial" w:cs="Arial" w:eastAsia="Arial" w:hAnsi="Arial"/>
          <w:sz w:val="16"/>
          <w:szCs w:val="16"/>
          <w:u w:val="single" w:color="auto"/>
          <w:color w:val="0000FF"/>
        </w:rPr>
      </w:pPr>
      <w:hyperlink r:id="rId109"/>
      <w:r>
        <w:rPr>
          <w:rFonts w:ascii="Arial" w:cs="Arial" w:eastAsia="Arial" w:hAnsi="Arial"/>
          <w:sz w:val="32"/>
          <w:szCs w:val="32"/>
          <w:color w:val="000000"/>
          <w:vertAlign w:val="subscript"/>
        </w:rPr>
        <w:t>3b.</w:t>
      </w:r>
      <w:r>
        <w:rPr>
          <w:rFonts w:ascii="Arial" w:cs="Arial" w:eastAsia="Arial" w:hAnsi="Arial"/>
          <w:sz w:val="16"/>
          <w:szCs w:val="16"/>
          <w:color w:val="0000FF"/>
        </w:rPr>
        <w:tab/>
      </w:r>
      <w:hyperlink r:id="rId109">
        <w:r>
          <w:rPr>
            <w:rFonts w:ascii="Arial" w:cs="Arial" w:eastAsia="Arial" w:hAnsi="Arial"/>
            <w:sz w:val="16"/>
            <w:szCs w:val="16"/>
            <w:u w:val="single" w:color="auto"/>
            <w:color w:val="0000FF"/>
          </w:rPr>
          <w:t>Amended By-Laws of the Registrant.</w:t>
        </w:r>
      </w:hyperlink>
    </w:p>
    <w:p>
      <w:pPr>
        <w:spacing w:after="0" w:line="10" w:lineRule="exact"/>
        <w:rPr>
          <w:sz w:val="20"/>
          <w:szCs w:val="20"/>
          <w:color w:val="auto"/>
        </w:rPr>
      </w:pPr>
    </w:p>
    <w:p>
      <w:pPr>
        <w:ind w:left="580"/>
        <w:spacing w:after="0"/>
        <w:tabs>
          <w:tab w:leader="none" w:pos="940" w:val="left"/>
        </w:tabs>
        <w:rPr>
          <w:rFonts w:ascii="Arial" w:cs="Arial" w:eastAsia="Arial" w:hAnsi="Arial"/>
          <w:sz w:val="16"/>
          <w:szCs w:val="16"/>
          <w:u w:val="single" w:color="auto"/>
          <w:color w:val="0000FF"/>
        </w:rPr>
      </w:pPr>
      <w:hyperlink r:id="rId110"/>
      <w:r>
        <w:rPr>
          <w:rFonts w:ascii="Arial" w:cs="Arial" w:eastAsia="Arial" w:hAnsi="Arial"/>
          <w:sz w:val="32"/>
          <w:szCs w:val="32"/>
          <w:color w:val="000000"/>
          <w:vertAlign w:val="subscript"/>
        </w:rPr>
        <w:t>4a.</w:t>
      </w:r>
      <w:r>
        <w:rPr>
          <w:rFonts w:ascii="Arial" w:cs="Arial" w:eastAsia="Arial" w:hAnsi="Arial"/>
          <w:sz w:val="16"/>
          <w:szCs w:val="16"/>
          <w:color w:val="0000FF"/>
        </w:rPr>
        <w:tab/>
      </w:r>
      <w:hyperlink r:id="rId110">
        <w:r>
          <w:rPr>
            <w:rFonts w:ascii="Arial" w:cs="Arial" w:eastAsia="Arial" w:hAnsi="Arial"/>
            <w:sz w:val="16"/>
            <w:szCs w:val="16"/>
            <w:u w:val="single" w:color="auto"/>
            <w:color w:val="0000FF"/>
          </w:rPr>
          <w:t>Description of Securities.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-177800</wp:posOffset>
            </wp:positionV>
            <wp:extent cx="7115175" cy="2400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ind w:left="580"/>
        <w:spacing w:after="0"/>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4b.</w:t>
      </w:r>
      <w:r>
        <w:rPr>
          <w:sz w:val="20"/>
          <w:szCs w:val="20"/>
          <w:color w:val="auto"/>
        </w:rPr>
        <w:tab/>
      </w:r>
      <w:hyperlink r:id="rId112">
        <w:r>
          <w:rPr>
            <w:rFonts w:ascii="Arial" w:cs="Arial" w:eastAsia="Arial" w:hAnsi="Arial"/>
            <w:sz w:val="16"/>
            <w:szCs w:val="16"/>
            <w:u w:val="single" w:color="auto"/>
            <w:color w:val="0000FF"/>
          </w:rPr>
          <w:t>Indenture, dated November 1, 2019, by and between Winnebago Industries, Inc.</w:t>
        </w:r>
      </w:hyperlink>
    </w:p>
    <w:p>
      <w:pPr>
        <w:ind w:left="960"/>
        <w:spacing w:after="0"/>
        <w:rPr>
          <w:rFonts w:ascii="Arial" w:cs="Arial" w:eastAsia="Arial" w:hAnsi="Arial"/>
          <w:sz w:val="16"/>
          <w:szCs w:val="16"/>
          <w:u w:val="single" w:color="auto"/>
          <w:color w:val="0000FF"/>
        </w:rPr>
      </w:pPr>
      <w:hyperlink r:id="rId112">
        <w:r>
          <w:rPr>
            <w:rFonts w:ascii="Arial" w:cs="Arial" w:eastAsia="Arial" w:hAnsi="Arial"/>
            <w:sz w:val="16"/>
            <w:szCs w:val="16"/>
            <w:u w:val="single" w:color="auto"/>
            <w:color w:val="0000FF"/>
          </w:rPr>
          <w:t>and U.S. Bank National Association.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10795</wp:posOffset>
            </wp:positionV>
            <wp:extent cx="7115175"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6" w:lineRule="exact"/>
        <w:rPr>
          <w:sz w:val="20"/>
          <w:szCs w:val="20"/>
          <w:color w:val="auto"/>
        </w:rPr>
      </w:pPr>
    </w:p>
    <w:p>
      <w:pPr>
        <w:ind w:left="600"/>
        <w:spacing w:after="0"/>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4c.</w:t>
      </w:r>
      <w:r>
        <w:rPr>
          <w:sz w:val="20"/>
          <w:szCs w:val="20"/>
          <w:color w:val="auto"/>
        </w:rPr>
        <w:tab/>
      </w:r>
      <w:hyperlink r:id="rId112">
        <w:r>
          <w:rPr>
            <w:rFonts w:ascii="Arial" w:cs="Arial" w:eastAsia="Arial" w:hAnsi="Arial"/>
            <w:sz w:val="16"/>
            <w:szCs w:val="16"/>
            <w:u w:val="single" w:color="auto"/>
            <w:color w:val="0000FF"/>
          </w:rPr>
          <w:t>Form of 1.50% Convertible Senior Note due 2025 (included in Exhibit 4b)</w:t>
        </w:r>
      </w:hyperlink>
    </w:p>
    <w:p>
      <w:pPr>
        <w:spacing w:after="0" w:line="46" w:lineRule="exact"/>
        <w:rPr>
          <w:sz w:val="20"/>
          <w:szCs w:val="20"/>
          <w:color w:val="auto"/>
        </w:rPr>
      </w:pPr>
    </w:p>
    <w:p>
      <w:pPr>
        <w:jc w:val="both"/>
        <w:ind w:left="960" w:right="240" w:hanging="379"/>
        <w:spacing w:after="0" w:line="232"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4d.</w:t>
      </w:r>
      <w:r>
        <w:rPr>
          <w:sz w:val="20"/>
          <w:szCs w:val="20"/>
          <w:color w:val="auto"/>
        </w:rPr>
        <w:tab/>
      </w:r>
      <w:hyperlink r:id="rId114">
        <w:r>
          <w:rPr>
            <w:rFonts w:ascii="Arial" w:cs="Arial" w:eastAsia="Arial" w:hAnsi="Arial"/>
            <w:sz w:val="16"/>
            <w:szCs w:val="16"/>
            <w:u w:val="single" w:color="auto"/>
            <w:color w:val="0000FF"/>
          </w:rPr>
          <w:t>Indenture, dated as of July 8, 2020, by and among Winnebago Industries, Inc.,</w:t>
        </w:r>
      </w:hyperlink>
      <w:r>
        <w:rPr>
          <w:rFonts w:ascii="Arial" w:cs="Arial" w:eastAsia="Arial" w:hAnsi="Arial"/>
          <w:sz w:val="16"/>
          <w:szCs w:val="16"/>
          <w:u w:val="single" w:color="auto"/>
          <w:color w:val="0000FF"/>
        </w:rPr>
        <w:t xml:space="preserve"> </w:t>
      </w:r>
      <w:hyperlink r:id="rId114">
        <w:r>
          <w:rPr>
            <w:rFonts w:ascii="Arial" w:cs="Arial" w:eastAsia="Arial" w:hAnsi="Arial"/>
            <w:sz w:val="16"/>
            <w:szCs w:val="16"/>
            <w:u w:val="single" w:color="auto"/>
            <w:color w:val="0000FF"/>
          </w:rPr>
          <w:t>the guarantors named therein and U.S. Bank National Association, as trustee.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4445</wp:posOffset>
            </wp:positionV>
            <wp:extent cx="7115175"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16" w:lineRule="exact"/>
        <w:rPr>
          <w:sz w:val="20"/>
          <w:szCs w:val="20"/>
          <w:color w:val="auto"/>
        </w:rPr>
      </w:pPr>
    </w:p>
    <w:p>
      <w:pPr>
        <w:ind w:left="580"/>
        <w:spacing w:after="0"/>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4e.</w:t>
      </w:r>
      <w:r>
        <w:rPr>
          <w:sz w:val="20"/>
          <w:szCs w:val="20"/>
          <w:color w:val="auto"/>
        </w:rPr>
        <w:tab/>
      </w:r>
      <w:hyperlink r:id="rId114">
        <w:r>
          <w:rPr>
            <w:rFonts w:ascii="Arial" w:cs="Arial" w:eastAsia="Arial" w:hAnsi="Arial"/>
            <w:sz w:val="16"/>
            <w:szCs w:val="16"/>
            <w:u w:val="single" w:color="auto"/>
            <w:color w:val="0000FF"/>
          </w:rPr>
          <w:t>Form of 6.250% Senior Secured Note due 2028 (included in Exhibit 4d)</w:t>
        </w:r>
      </w:hyperlink>
    </w:p>
    <w:p>
      <w:pPr>
        <w:spacing w:after="0" w:line="24" w:lineRule="exact"/>
        <w:rPr>
          <w:sz w:val="20"/>
          <w:szCs w:val="20"/>
          <w:color w:val="auto"/>
        </w:rPr>
      </w:pPr>
    </w:p>
    <w:p>
      <w:pPr>
        <w:ind w:left="960"/>
        <w:spacing w:after="0"/>
        <w:rPr>
          <w:rFonts w:ascii="Arial" w:cs="Arial" w:eastAsia="Arial" w:hAnsi="Arial"/>
          <w:sz w:val="16"/>
          <w:szCs w:val="16"/>
          <w:u w:val="single" w:color="auto"/>
          <w:color w:val="0000FF"/>
        </w:rPr>
      </w:pPr>
      <w:hyperlink r:id="rId116">
        <w:r>
          <w:rPr>
            <w:rFonts w:ascii="Arial" w:cs="Arial" w:eastAsia="Arial" w:hAnsi="Arial"/>
            <w:sz w:val="16"/>
            <w:szCs w:val="16"/>
            <w:u w:val="single" w:color="auto"/>
            <w:color w:val="0000FF"/>
          </w:rPr>
          <w:t>Winnebago Industries, Inc. Deferred Compensation Plan previously filed with the</w:t>
        </w:r>
      </w:hyperlink>
    </w:p>
    <w:p>
      <w:pPr>
        <w:jc w:val="both"/>
        <w:ind w:left="960" w:right="80" w:hanging="459"/>
        <w:spacing w:after="0" w:line="232"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10a.</w:t>
      </w:r>
      <w:r>
        <w:rPr>
          <w:sz w:val="20"/>
          <w:szCs w:val="20"/>
          <w:color w:val="auto"/>
        </w:rPr>
        <w:tab/>
      </w:r>
      <w:hyperlink r:id="rId116">
        <w:r>
          <w:rPr>
            <w:rFonts w:ascii="Arial" w:cs="Arial" w:eastAsia="Arial" w:hAnsi="Arial"/>
            <w:sz w:val="16"/>
            <w:szCs w:val="16"/>
            <w:u w:val="single" w:color="auto"/>
            <w:color w:val="0000FF"/>
          </w:rPr>
          <w:t>Registrant's Quarterly Report on Form 10-Q for the quarter ended March 2, 1991</w:t>
        </w:r>
      </w:hyperlink>
      <w:r>
        <w:rPr>
          <w:rFonts w:ascii="Arial" w:cs="Arial" w:eastAsia="Arial" w:hAnsi="Arial"/>
          <w:sz w:val="16"/>
          <w:szCs w:val="16"/>
          <w:u w:val="single" w:color="auto"/>
          <w:color w:val="0000FF"/>
        </w:rPr>
        <w:t xml:space="preserve"> </w:t>
      </w:r>
      <w:hyperlink r:id="rId116">
        <w:r>
          <w:rPr>
            <w:rFonts w:ascii="Arial" w:cs="Arial" w:eastAsia="Arial" w:hAnsi="Arial"/>
            <w:sz w:val="16"/>
            <w:szCs w:val="16"/>
            <w:u w:val="single" w:color="auto"/>
            <w:color w:val="0000FF"/>
          </w:rPr>
          <w:t>and incorporated by reference herein and the Amendment dated June 29, 1995.*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107315</wp:posOffset>
            </wp:positionV>
            <wp:extent cx="7115175" cy="8572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7115175" cy="857250"/>
                    </a:xfrm>
                    <a:prstGeom prst="rect">
                      <a:avLst/>
                    </a:prstGeom>
                    <a:noFill/>
                  </pic:spPr>
                </pic:pic>
              </a:graphicData>
            </a:graphic>
          </wp:anchor>
        </w:drawing>
      </w:r>
    </w:p>
    <w:p>
      <w:pPr>
        <w:spacing w:after="0" w:line="164" w:lineRule="exact"/>
        <w:rPr>
          <w:sz w:val="20"/>
          <w:szCs w:val="20"/>
          <w:color w:val="auto"/>
        </w:rPr>
      </w:pPr>
    </w:p>
    <w:p>
      <w:pPr>
        <w:ind w:left="960" w:right="140"/>
        <w:spacing w:after="0" w:line="211" w:lineRule="auto"/>
        <w:rPr>
          <w:rFonts w:ascii="Arial" w:cs="Arial" w:eastAsia="Arial" w:hAnsi="Arial"/>
          <w:sz w:val="16"/>
          <w:szCs w:val="16"/>
          <w:u w:val="single" w:color="auto"/>
          <w:color w:val="0000FF"/>
        </w:rPr>
      </w:pPr>
      <w:hyperlink r:id="rId118">
        <w:r>
          <w:rPr>
            <w:rFonts w:ascii="Arial" w:cs="Arial" w:eastAsia="Arial" w:hAnsi="Arial"/>
            <w:sz w:val="16"/>
            <w:szCs w:val="16"/>
            <w:u w:val="single" w:color="auto"/>
            <w:color w:val="0000FF"/>
          </w:rPr>
          <w:t>Winnebago Industries, Inc. Executive Share Option Plan previously filed as</w:t>
        </w:r>
      </w:hyperlink>
      <w:r>
        <w:rPr>
          <w:rFonts w:ascii="Arial" w:cs="Arial" w:eastAsia="Arial" w:hAnsi="Arial"/>
          <w:sz w:val="16"/>
          <w:szCs w:val="16"/>
          <w:u w:val="single" w:color="auto"/>
          <w:color w:val="0000FF"/>
        </w:rPr>
        <w:t xml:space="preserve"> </w:t>
      </w:r>
      <w:hyperlink r:id="rId118">
        <w:r>
          <w:rPr>
            <w:rFonts w:ascii="Arial" w:cs="Arial" w:eastAsia="Arial" w:hAnsi="Arial"/>
            <w:sz w:val="16"/>
            <w:szCs w:val="16"/>
            <w:u w:val="single" w:color="auto"/>
            <w:color w:val="0000FF"/>
          </w:rPr>
          <w:t>Exhibit 10.J with the Registrant's Annual Report on Form 10-K for the fiscal year</w:t>
        </w:r>
      </w:hyperlink>
      <w:r>
        <w:rPr>
          <w:rFonts w:ascii="Arial" w:cs="Arial" w:eastAsia="Arial" w:hAnsi="Arial"/>
          <w:sz w:val="16"/>
          <w:szCs w:val="16"/>
          <w:u w:val="single" w:color="auto"/>
          <w:color w:val="0000FF"/>
        </w:rPr>
        <w:t xml:space="preserve"> </w:t>
      </w:r>
      <w:hyperlink r:id="rId118">
        <w:r>
          <w:rPr>
            <w:rFonts w:ascii="Arial" w:cs="Arial" w:eastAsia="Arial" w:hAnsi="Arial"/>
            <w:sz w:val="16"/>
            <w:szCs w:val="16"/>
            <w:u w:val="single" w:color="auto"/>
            <w:color w:val="0000FF"/>
          </w:rPr>
          <w:t>ended August 29, 1998 (Commission File Number 001-06403) and incorporated</w:t>
        </w:r>
      </w:hyperlink>
    </w:p>
    <w:p>
      <w:pPr>
        <w:spacing w:after="0" w:line="1" w:lineRule="exact"/>
        <w:rPr>
          <w:rFonts w:ascii="Arial" w:cs="Arial" w:eastAsia="Arial" w:hAnsi="Arial"/>
          <w:sz w:val="16"/>
          <w:szCs w:val="16"/>
          <w:u w:val="single" w:color="auto"/>
          <w:color w:val="0000FF"/>
        </w:rPr>
      </w:pPr>
    </w:p>
    <w:p>
      <w:pPr>
        <w:jc w:val="both"/>
        <w:ind w:left="960" w:right="120" w:hanging="459"/>
        <w:spacing w:after="0" w:line="221"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10b.</w:t>
      </w:r>
      <w:r>
        <w:rPr>
          <w:sz w:val="20"/>
          <w:szCs w:val="20"/>
          <w:color w:val="auto"/>
        </w:rPr>
        <w:tab/>
      </w:r>
      <w:hyperlink r:id="rId118">
        <w:r>
          <w:rPr>
            <w:rFonts w:ascii="Arial" w:cs="Arial" w:eastAsia="Arial" w:hAnsi="Arial"/>
            <w:sz w:val="16"/>
            <w:szCs w:val="16"/>
            <w:u w:val="single" w:color="auto"/>
            <w:color w:val="0000FF"/>
          </w:rPr>
          <w:t>by reference herein, and the Amendment dated July 1, 1999 previously filed as</w:t>
        </w:r>
      </w:hyperlink>
      <w:r>
        <w:rPr>
          <w:rFonts w:ascii="Arial" w:cs="Arial" w:eastAsia="Arial" w:hAnsi="Arial"/>
          <w:sz w:val="16"/>
          <w:szCs w:val="16"/>
          <w:u w:val="single" w:color="auto"/>
          <w:color w:val="0000FF"/>
        </w:rPr>
        <w:t xml:space="preserve"> </w:t>
      </w:r>
      <w:hyperlink r:id="rId118">
        <w:r>
          <w:rPr>
            <w:rFonts w:ascii="Arial" w:cs="Arial" w:eastAsia="Arial" w:hAnsi="Arial"/>
            <w:sz w:val="16"/>
            <w:szCs w:val="16"/>
            <w:u w:val="single" w:color="auto"/>
            <w:color w:val="0000FF"/>
          </w:rPr>
          <w:t>Exhibit 10.J with the Registrant's Quarterly Report on Form 10-Q for the quarter</w:t>
        </w:r>
      </w:hyperlink>
      <w:r>
        <w:rPr>
          <w:rFonts w:ascii="Arial" w:cs="Arial" w:eastAsia="Arial" w:hAnsi="Arial"/>
          <w:sz w:val="16"/>
          <w:szCs w:val="16"/>
          <w:u w:val="single" w:color="auto"/>
          <w:color w:val="0000FF"/>
        </w:rPr>
        <w:t xml:space="preserve"> </w:t>
      </w:r>
      <w:hyperlink r:id="rId118">
        <w:r>
          <w:rPr>
            <w:rFonts w:ascii="Arial" w:cs="Arial" w:eastAsia="Arial" w:hAnsi="Arial"/>
            <w:sz w:val="16"/>
            <w:szCs w:val="16"/>
            <w:u w:val="single" w:color="auto"/>
            <w:color w:val="0000FF"/>
          </w:rPr>
          <w:t>ended May 29, 1999 (Commission File Number 001-06403) and incorporated by</w:t>
        </w:r>
      </w:hyperlink>
      <w:r>
        <w:rPr>
          <w:rFonts w:ascii="Arial" w:cs="Arial" w:eastAsia="Arial" w:hAnsi="Arial"/>
          <w:sz w:val="16"/>
          <w:szCs w:val="16"/>
          <w:u w:val="single" w:color="auto"/>
          <w:color w:val="0000FF"/>
        </w:rPr>
        <w:t xml:space="preserve"> </w:t>
      </w:r>
      <w:hyperlink r:id="rId118">
        <w:r>
          <w:rPr>
            <w:rFonts w:ascii="Arial" w:cs="Arial" w:eastAsia="Arial" w:hAnsi="Arial"/>
            <w:sz w:val="16"/>
            <w:szCs w:val="16"/>
            <w:u w:val="single" w:color="auto"/>
            <w:color w:val="0000FF"/>
          </w:rPr>
          <w:t>reference herein and the Amendment dated January 1, 2001.*</w:t>
        </w:r>
      </w:hyperlink>
    </w:p>
    <w:p>
      <w:pPr>
        <w:spacing w:after="0" w:line="186" w:lineRule="exact"/>
        <w:rPr>
          <w:rFonts w:ascii="Arial" w:cs="Arial" w:eastAsia="Arial" w:hAnsi="Arial"/>
          <w:sz w:val="16"/>
          <w:szCs w:val="16"/>
          <w:u w:val="single" w:color="auto"/>
          <w:color w:val="0000FF"/>
        </w:rPr>
      </w:pPr>
    </w:p>
    <w:p>
      <w:pPr>
        <w:ind w:left="960" w:right="140"/>
        <w:spacing w:after="0" w:line="211" w:lineRule="auto"/>
        <w:rPr>
          <w:rFonts w:ascii="Arial" w:cs="Arial" w:eastAsia="Arial" w:hAnsi="Arial"/>
          <w:sz w:val="16"/>
          <w:szCs w:val="16"/>
          <w:u w:val="single" w:color="auto"/>
          <w:color w:val="0000FF"/>
        </w:rPr>
      </w:pPr>
      <w:hyperlink r:id="rId119">
        <w:r>
          <w:rPr>
            <w:rFonts w:ascii="Arial" w:cs="Arial" w:eastAsia="Arial" w:hAnsi="Arial"/>
            <w:sz w:val="16"/>
            <w:szCs w:val="16"/>
            <w:u w:val="single" w:color="auto"/>
            <w:color w:val="0000FF"/>
          </w:rPr>
          <w:t>Winnebago Industries, Inc. Executive Deferred Compensation Plan previously</w:t>
        </w:r>
      </w:hyperlink>
      <w:r>
        <w:rPr>
          <w:rFonts w:ascii="Arial" w:cs="Arial" w:eastAsia="Arial" w:hAnsi="Arial"/>
          <w:sz w:val="16"/>
          <w:szCs w:val="16"/>
          <w:u w:val="single" w:color="auto"/>
          <w:color w:val="0000FF"/>
        </w:rPr>
        <w:t xml:space="preserve"> </w:t>
      </w:r>
      <w:hyperlink r:id="rId119">
        <w:r>
          <w:rPr>
            <w:rFonts w:ascii="Arial" w:cs="Arial" w:eastAsia="Arial" w:hAnsi="Arial"/>
            <w:sz w:val="16"/>
            <w:szCs w:val="16"/>
            <w:u w:val="single" w:color="auto"/>
            <w:color w:val="0000FF"/>
          </w:rPr>
          <w:t>filed as Exhibit 10.C with the Registrant's Quarterly Report on Form 10-Q for the</w:t>
        </w:r>
      </w:hyperlink>
    </w:p>
    <w:p>
      <w:pPr>
        <w:ind w:left="960" w:right="20" w:hanging="459"/>
        <w:spacing w:after="0" w:line="232"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10c.</w:t>
      </w:r>
      <w:r>
        <w:rPr>
          <w:sz w:val="20"/>
          <w:szCs w:val="20"/>
          <w:color w:val="auto"/>
        </w:rPr>
        <w:tab/>
      </w:r>
      <w:hyperlink r:id="rId119">
        <w:r>
          <w:rPr>
            <w:rFonts w:ascii="Arial" w:cs="Arial" w:eastAsia="Arial" w:hAnsi="Arial"/>
            <w:sz w:val="16"/>
            <w:szCs w:val="16"/>
            <w:u w:val="single" w:color="auto"/>
            <w:color w:val="0000FF"/>
          </w:rPr>
          <w:t>quarter ended November 25, 2006 (Commission File Number 001-06403) and the</w:t>
        </w:r>
      </w:hyperlink>
      <w:r>
        <w:rPr>
          <w:rFonts w:ascii="Arial" w:cs="Arial" w:eastAsia="Arial" w:hAnsi="Arial"/>
          <w:sz w:val="16"/>
          <w:szCs w:val="16"/>
          <w:u w:val="single" w:color="auto"/>
          <w:color w:val="0000FF"/>
        </w:rPr>
        <w:t xml:space="preserve"> </w:t>
      </w:r>
      <w:hyperlink r:id="rId119">
        <w:r>
          <w:rPr>
            <w:rFonts w:ascii="Arial" w:cs="Arial" w:eastAsia="Arial" w:hAnsi="Arial"/>
            <w:sz w:val="16"/>
            <w:szCs w:val="16"/>
            <w:u w:val="single" w:color="auto"/>
            <w:color w:val="0000FF"/>
          </w:rPr>
          <w:t>Amendment dated June 21, 2011.*</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Borders>
              <w:bottom w:val="single" w:sz="8" w:color="auto"/>
            </w:tcBorders>
            <w:gridSpan w:val="5"/>
          </w:tcPr>
          <w:p>
            <w:pPr>
              <w:jc w:val="right"/>
              <w:ind w:right="479"/>
              <w:spacing w:after="0"/>
              <w:rPr>
                <w:sz w:val="20"/>
                <w:szCs w:val="20"/>
                <w:color w:val="auto"/>
              </w:rPr>
            </w:pPr>
            <w:r>
              <w:rPr>
                <w:rFonts w:ascii="Arial" w:cs="Arial" w:eastAsia="Arial" w:hAnsi="Arial"/>
                <w:sz w:val="16"/>
                <w:szCs w:val="16"/>
                <w:b w:val="1"/>
                <w:bCs w:val="1"/>
                <w:color w:val="auto"/>
              </w:rPr>
              <w:t>Incorporated by Reference</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Filed</w:t>
            </w:r>
          </w:p>
        </w:tc>
      </w:tr>
      <w:tr>
        <w:trPr>
          <w:trHeight w:val="230"/>
        </w:trPr>
        <w:tc>
          <w:tcPr>
            <w:tcW w:w="98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Form</w:t>
            </w:r>
          </w:p>
        </w:tc>
        <w:tc>
          <w:tcPr>
            <w:tcW w:w="120" w:type="dxa"/>
            <w:vAlign w:val="bottom"/>
          </w:tcPr>
          <w:p>
            <w:pPr>
              <w:spacing w:after="0"/>
              <w:rPr>
                <w:sz w:val="20"/>
                <w:szCs w:val="20"/>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Filing Date</w:t>
            </w:r>
          </w:p>
        </w:tc>
        <w:tc>
          <w:tcPr>
            <w:tcW w:w="1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Herewith</w:t>
            </w:r>
          </w:p>
        </w:tc>
      </w:tr>
      <w:tr>
        <w:trPr>
          <w:trHeight w:val="696"/>
        </w:trPr>
        <w:tc>
          <w:tcPr>
            <w:tcW w:w="1100" w:type="dxa"/>
            <w:vAlign w:val="bottom"/>
            <w:gridSpan w:val="2"/>
          </w:tcPr>
          <w:p>
            <w:pPr>
              <w:ind w:left="720"/>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10/05/2016</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660" w:type="dxa"/>
            <w:vAlign w:val="bottom"/>
          </w:tcPr>
          <w:p>
            <w:pPr>
              <w:jc w:val="right"/>
              <w:ind w:right="239"/>
              <w:spacing w:after="0"/>
              <w:rPr>
                <w:sz w:val="20"/>
                <w:szCs w:val="20"/>
                <w:color w:val="auto"/>
              </w:rPr>
            </w:pPr>
            <w:r>
              <w:rPr>
                <w:rFonts w:ascii="Arial" w:cs="Arial" w:eastAsia="Arial" w:hAnsi="Arial"/>
                <w:sz w:val="16"/>
                <w:szCs w:val="16"/>
                <w:color w:val="auto"/>
              </w:rPr>
              <w:t>8-K</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2.1</w:t>
            </w:r>
          </w:p>
        </w:tc>
        <w:tc>
          <w:tcPr>
            <w:tcW w:w="1020" w:type="dxa"/>
            <w:vAlign w:val="bottom"/>
          </w:tcPr>
          <w:p>
            <w:pPr>
              <w:jc w:val="right"/>
              <w:spacing w:after="0"/>
              <w:rPr>
                <w:sz w:val="20"/>
                <w:szCs w:val="20"/>
                <w:color w:val="auto"/>
              </w:rPr>
            </w:pPr>
            <w:r>
              <w:rPr>
                <w:rFonts w:ascii="Arial" w:cs="Arial" w:eastAsia="Arial" w:hAnsi="Arial"/>
                <w:sz w:val="16"/>
                <w:szCs w:val="16"/>
                <w:color w:val="auto"/>
              </w:rPr>
              <w:t>09/16/2019</w:t>
            </w:r>
          </w:p>
        </w:tc>
      </w:tr>
      <w:tr>
        <w:trPr>
          <w:trHeight w:val="702"/>
        </w:trPr>
        <w:tc>
          <w:tcPr>
            <w:tcW w:w="660" w:type="dxa"/>
            <w:vAlign w:val="bottom"/>
          </w:tcPr>
          <w:p>
            <w:pPr>
              <w:jc w:val="right"/>
              <w:ind w:right="239"/>
              <w:spacing w:after="0"/>
              <w:rPr>
                <w:sz w:val="20"/>
                <w:szCs w:val="20"/>
                <w:color w:val="auto"/>
              </w:rPr>
            </w:pPr>
            <w:r>
              <w:rPr>
                <w:rFonts w:ascii="Arial" w:cs="Arial" w:eastAsia="Arial" w:hAnsi="Arial"/>
                <w:sz w:val="16"/>
                <w:szCs w:val="16"/>
                <w:color w:val="auto"/>
                <w:w w:val="94"/>
              </w:rPr>
              <w:t>10-K</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3a</w:t>
            </w:r>
          </w:p>
        </w:tc>
        <w:tc>
          <w:tcPr>
            <w:tcW w:w="1020" w:type="dxa"/>
            <w:vAlign w:val="bottom"/>
          </w:tcPr>
          <w:p>
            <w:pPr>
              <w:jc w:val="right"/>
              <w:spacing w:after="0"/>
              <w:rPr>
                <w:sz w:val="20"/>
                <w:szCs w:val="20"/>
                <w:color w:val="auto"/>
              </w:rPr>
            </w:pPr>
            <w:r>
              <w:rPr>
                <w:rFonts w:ascii="Arial" w:cs="Arial" w:eastAsia="Arial" w:hAnsi="Arial"/>
                <w:sz w:val="16"/>
                <w:szCs w:val="16"/>
                <w:color w:val="auto"/>
              </w:rPr>
              <w:t>10/18/2018</w:t>
            </w:r>
          </w:p>
        </w:tc>
      </w:tr>
      <w:tr>
        <w:trPr>
          <w:trHeight w:val="378"/>
        </w:trPr>
        <w:tc>
          <w:tcPr>
            <w:tcW w:w="660" w:type="dxa"/>
            <w:vAlign w:val="bottom"/>
          </w:tcPr>
          <w:p>
            <w:pPr>
              <w:jc w:val="right"/>
              <w:ind w:right="239"/>
              <w:spacing w:after="0"/>
              <w:rPr>
                <w:sz w:val="20"/>
                <w:szCs w:val="20"/>
                <w:color w:val="auto"/>
              </w:rPr>
            </w:pPr>
            <w:r>
              <w:rPr>
                <w:rFonts w:ascii="Arial" w:cs="Arial" w:eastAsia="Arial" w:hAnsi="Arial"/>
                <w:sz w:val="16"/>
                <w:szCs w:val="16"/>
                <w:color w:val="auto"/>
              </w:rPr>
              <w:t>8-K</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3.1</w:t>
            </w:r>
          </w:p>
        </w:tc>
        <w:tc>
          <w:tcPr>
            <w:tcW w:w="1020" w:type="dxa"/>
            <w:vAlign w:val="bottom"/>
          </w:tcPr>
          <w:p>
            <w:pPr>
              <w:jc w:val="right"/>
              <w:spacing w:after="0"/>
              <w:rPr>
                <w:sz w:val="20"/>
                <w:szCs w:val="20"/>
                <w:color w:val="auto"/>
              </w:rPr>
            </w:pPr>
            <w:r>
              <w:rPr>
                <w:rFonts w:ascii="Arial" w:cs="Arial" w:eastAsia="Arial" w:hAnsi="Arial"/>
                <w:sz w:val="16"/>
                <w:szCs w:val="16"/>
                <w:color w:val="auto"/>
              </w:rPr>
              <w:t>03/29/2016</w:t>
            </w:r>
          </w:p>
        </w:tc>
      </w:tr>
      <w:tr>
        <w:trPr>
          <w:trHeight w:val="378"/>
        </w:trPr>
        <w:tc>
          <w:tcPr>
            <w:tcW w:w="660" w:type="dxa"/>
            <w:vAlign w:val="bottom"/>
          </w:tcPr>
          <w:p>
            <w:pPr>
              <w:jc w:val="right"/>
              <w:ind w:right="239"/>
              <w:spacing w:after="0"/>
              <w:rPr>
                <w:sz w:val="20"/>
                <w:szCs w:val="20"/>
                <w:color w:val="auto"/>
              </w:rPr>
            </w:pPr>
            <w:r>
              <w:rPr>
                <w:rFonts w:ascii="Arial" w:cs="Arial" w:eastAsia="Arial" w:hAnsi="Arial"/>
                <w:sz w:val="16"/>
                <w:szCs w:val="16"/>
                <w:color w:val="auto"/>
                <w:w w:val="94"/>
              </w:rPr>
              <w:t>10-K</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4a</w:t>
            </w:r>
          </w:p>
        </w:tc>
        <w:tc>
          <w:tcPr>
            <w:tcW w:w="1020" w:type="dxa"/>
            <w:vAlign w:val="bottom"/>
          </w:tcPr>
          <w:p>
            <w:pPr>
              <w:jc w:val="right"/>
              <w:spacing w:after="0"/>
              <w:rPr>
                <w:sz w:val="20"/>
                <w:szCs w:val="20"/>
                <w:color w:val="auto"/>
              </w:rPr>
            </w:pPr>
            <w:r>
              <w:rPr>
                <w:rFonts w:ascii="Arial" w:cs="Arial" w:eastAsia="Arial" w:hAnsi="Arial"/>
                <w:sz w:val="16"/>
                <w:szCs w:val="16"/>
                <w:color w:val="auto"/>
              </w:rPr>
              <w:t>10/23/2019</w:t>
            </w:r>
          </w:p>
        </w:tc>
      </w:tr>
      <w:tr>
        <w:trPr>
          <w:trHeight w:val="378"/>
        </w:trPr>
        <w:tc>
          <w:tcPr>
            <w:tcW w:w="660" w:type="dxa"/>
            <w:vAlign w:val="bottom"/>
          </w:tcPr>
          <w:p>
            <w:pPr>
              <w:jc w:val="right"/>
              <w:ind w:right="239"/>
              <w:spacing w:after="0"/>
              <w:rPr>
                <w:sz w:val="20"/>
                <w:szCs w:val="20"/>
                <w:color w:val="auto"/>
              </w:rPr>
            </w:pPr>
            <w:r>
              <w:rPr>
                <w:rFonts w:ascii="Arial" w:cs="Arial" w:eastAsia="Arial" w:hAnsi="Arial"/>
                <w:sz w:val="16"/>
                <w:szCs w:val="16"/>
                <w:color w:val="auto"/>
              </w:rPr>
              <w:t>8-K</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4.1</w:t>
            </w:r>
          </w:p>
        </w:tc>
        <w:tc>
          <w:tcPr>
            <w:tcW w:w="1020" w:type="dxa"/>
            <w:vAlign w:val="bottom"/>
          </w:tcPr>
          <w:p>
            <w:pPr>
              <w:jc w:val="right"/>
              <w:spacing w:after="0"/>
              <w:rPr>
                <w:sz w:val="20"/>
                <w:szCs w:val="20"/>
                <w:color w:val="auto"/>
              </w:rPr>
            </w:pPr>
            <w:r>
              <w:rPr>
                <w:rFonts w:ascii="Arial" w:cs="Arial" w:eastAsia="Arial" w:hAnsi="Arial"/>
                <w:sz w:val="16"/>
                <w:szCs w:val="16"/>
                <w:color w:val="auto"/>
              </w:rPr>
              <w:t>11/04/2019</w:t>
            </w:r>
          </w:p>
        </w:tc>
      </w:tr>
      <w:tr>
        <w:trPr>
          <w:trHeight w:val="310"/>
        </w:trPr>
        <w:tc>
          <w:tcPr>
            <w:tcW w:w="660" w:type="dxa"/>
            <w:vAlign w:val="bottom"/>
          </w:tcPr>
          <w:p>
            <w:pPr>
              <w:jc w:val="right"/>
              <w:ind w:right="239"/>
              <w:spacing w:after="0"/>
              <w:rPr>
                <w:sz w:val="20"/>
                <w:szCs w:val="20"/>
                <w:color w:val="auto"/>
              </w:rPr>
            </w:pPr>
            <w:r>
              <w:rPr>
                <w:rFonts w:ascii="Arial" w:cs="Arial" w:eastAsia="Arial" w:hAnsi="Arial"/>
                <w:sz w:val="16"/>
                <w:szCs w:val="16"/>
                <w:color w:val="auto"/>
              </w:rPr>
              <w:t>8-K</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4.2</w:t>
            </w:r>
          </w:p>
        </w:tc>
        <w:tc>
          <w:tcPr>
            <w:tcW w:w="1020" w:type="dxa"/>
            <w:vAlign w:val="bottom"/>
          </w:tcPr>
          <w:p>
            <w:pPr>
              <w:jc w:val="right"/>
              <w:spacing w:after="0"/>
              <w:rPr>
                <w:sz w:val="20"/>
                <w:szCs w:val="20"/>
                <w:color w:val="auto"/>
              </w:rPr>
            </w:pPr>
            <w:r>
              <w:rPr>
                <w:rFonts w:ascii="Arial" w:cs="Arial" w:eastAsia="Arial" w:hAnsi="Arial"/>
                <w:sz w:val="16"/>
                <w:szCs w:val="16"/>
                <w:color w:val="auto"/>
              </w:rPr>
              <w:t>11/04/2019</w:t>
            </w:r>
          </w:p>
        </w:tc>
      </w:tr>
      <w:tr>
        <w:trPr>
          <w:trHeight w:val="310"/>
        </w:trPr>
        <w:tc>
          <w:tcPr>
            <w:tcW w:w="660" w:type="dxa"/>
            <w:vAlign w:val="bottom"/>
          </w:tcPr>
          <w:p>
            <w:pPr>
              <w:jc w:val="right"/>
              <w:ind w:right="239"/>
              <w:spacing w:after="0"/>
              <w:rPr>
                <w:sz w:val="20"/>
                <w:szCs w:val="20"/>
                <w:color w:val="auto"/>
              </w:rPr>
            </w:pPr>
            <w:r>
              <w:rPr>
                <w:rFonts w:ascii="Arial" w:cs="Arial" w:eastAsia="Arial" w:hAnsi="Arial"/>
                <w:sz w:val="16"/>
                <w:szCs w:val="16"/>
                <w:color w:val="auto"/>
              </w:rPr>
              <w:t>8-K</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4.1</w:t>
            </w:r>
          </w:p>
        </w:tc>
        <w:tc>
          <w:tcPr>
            <w:tcW w:w="1020" w:type="dxa"/>
            <w:vAlign w:val="bottom"/>
          </w:tcPr>
          <w:p>
            <w:pPr>
              <w:jc w:val="right"/>
              <w:spacing w:after="0"/>
              <w:rPr>
                <w:sz w:val="20"/>
                <w:szCs w:val="20"/>
                <w:color w:val="auto"/>
              </w:rPr>
            </w:pPr>
            <w:r>
              <w:rPr>
                <w:rFonts w:ascii="Arial" w:cs="Arial" w:eastAsia="Arial" w:hAnsi="Arial"/>
                <w:sz w:val="16"/>
                <w:szCs w:val="16"/>
                <w:color w:val="auto"/>
              </w:rPr>
              <w:t>07/09/2020</w:t>
            </w:r>
          </w:p>
        </w:tc>
      </w:tr>
      <w:tr>
        <w:trPr>
          <w:trHeight w:val="310"/>
        </w:trPr>
        <w:tc>
          <w:tcPr>
            <w:tcW w:w="660" w:type="dxa"/>
            <w:vAlign w:val="bottom"/>
          </w:tcPr>
          <w:p>
            <w:pPr>
              <w:jc w:val="right"/>
              <w:ind w:right="239"/>
              <w:spacing w:after="0"/>
              <w:rPr>
                <w:sz w:val="20"/>
                <w:szCs w:val="20"/>
                <w:color w:val="auto"/>
              </w:rPr>
            </w:pPr>
            <w:r>
              <w:rPr>
                <w:rFonts w:ascii="Arial" w:cs="Arial" w:eastAsia="Arial" w:hAnsi="Arial"/>
                <w:sz w:val="16"/>
                <w:szCs w:val="16"/>
                <w:color w:val="auto"/>
              </w:rPr>
              <w:t>8-K</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4.2</w:t>
            </w:r>
          </w:p>
        </w:tc>
        <w:tc>
          <w:tcPr>
            <w:tcW w:w="1020" w:type="dxa"/>
            <w:vAlign w:val="bottom"/>
          </w:tcPr>
          <w:p>
            <w:pPr>
              <w:jc w:val="right"/>
              <w:spacing w:after="0"/>
              <w:rPr>
                <w:sz w:val="20"/>
                <w:szCs w:val="20"/>
                <w:color w:val="auto"/>
              </w:rPr>
            </w:pPr>
            <w:r>
              <w:rPr>
                <w:rFonts w:ascii="Arial" w:cs="Arial" w:eastAsia="Arial" w:hAnsi="Arial"/>
                <w:sz w:val="16"/>
                <w:szCs w:val="16"/>
                <w:color w:val="auto"/>
              </w:rPr>
              <w:t>07/09/2020</w:t>
            </w:r>
          </w:p>
        </w:tc>
      </w:tr>
      <w:tr>
        <w:trPr>
          <w:trHeight w:val="473"/>
        </w:trPr>
        <w:tc>
          <w:tcPr>
            <w:tcW w:w="660" w:type="dxa"/>
            <w:vAlign w:val="bottom"/>
          </w:tcPr>
          <w:p>
            <w:pPr>
              <w:jc w:val="right"/>
              <w:ind w:right="239"/>
              <w:spacing w:after="0"/>
              <w:rPr>
                <w:sz w:val="20"/>
                <w:szCs w:val="20"/>
                <w:color w:val="auto"/>
              </w:rPr>
            </w:pPr>
            <w:r>
              <w:rPr>
                <w:rFonts w:ascii="Arial" w:cs="Arial" w:eastAsia="Arial" w:hAnsi="Arial"/>
                <w:sz w:val="16"/>
                <w:szCs w:val="16"/>
                <w:color w:val="auto"/>
                <w:w w:val="94"/>
              </w:rPr>
              <w:t>10-K</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10.B</w:t>
            </w:r>
          </w:p>
        </w:tc>
        <w:tc>
          <w:tcPr>
            <w:tcW w:w="1020" w:type="dxa"/>
            <w:vAlign w:val="bottom"/>
          </w:tcPr>
          <w:p>
            <w:pPr>
              <w:jc w:val="right"/>
              <w:spacing w:after="0"/>
              <w:rPr>
                <w:sz w:val="20"/>
                <w:szCs w:val="20"/>
                <w:color w:val="auto"/>
              </w:rPr>
            </w:pPr>
            <w:r>
              <w:rPr>
                <w:rFonts w:ascii="Arial" w:cs="Arial" w:eastAsia="Arial" w:hAnsi="Arial"/>
                <w:sz w:val="16"/>
                <w:szCs w:val="16"/>
                <w:color w:val="auto"/>
              </w:rPr>
              <w:t>11/22/1995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00"/>
        <w:spacing w:after="0"/>
        <w:tabs>
          <w:tab w:leader="none" w:pos="1620" w:val="left"/>
          <w:tab w:leader="none" w:pos="2340" w:val="left"/>
        </w:tabs>
        <w:rPr>
          <w:sz w:val="20"/>
          <w:szCs w:val="20"/>
          <w:color w:val="auto"/>
        </w:rPr>
      </w:pPr>
      <w:r>
        <w:rPr>
          <w:rFonts w:ascii="Arial" w:cs="Arial" w:eastAsia="Arial" w:hAnsi="Arial"/>
          <w:sz w:val="16"/>
          <w:szCs w:val="16"/>
          <w:color w:val="auto"/>
        </w:rPr>
        <w:t>10-Q</w:t>
      </w:r>
      <w:r>
        <w:rPr>
          <w:sz w:val="20"/>
          <w:szCs w:val="20"/>
          <w:color w:val="auto"/>
        </w:rPr>
        <w:tab/>
      </w:r>
      <w:r>
        <w:rPr>
          <w:rFonts w:ascii="Arial" w:cs="Arial" w:eastAsia="Arial" w:hAnsi="Arial"/>
          <w:sz w:val="16"/>
          <w:szCs w:val="16"/>
          <w:color w:val="auto"/>
        </w:rPr>
        <w:t>10.I</w:t>
      </w:r>
      <w:r>
        <w:rPr>
          <w:sz w:val="20"/>
          <w:szCs w:val="20"/>
          <w:color w:val="auto"/>
        </w:rPr>
        <w:tab/>
      </w:r>
      <w:r>
        <w:rPr>
          <w:rFonts w:ascii="Arial" w:cs="Arial" w:eastAsia="Arial" w:hAnsi="Arial"/>
          <w:sz w:val="15"/>
          <w:szCs w:val="15"/>
          <w:color w:val="auto"/>
        </w:rPr>
        <w:t>04/09/2001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20"/>
        <w:spacing w:after="0"/>
        <w:tabs>
          <w:tab w:leader="none" w:pos="1460" w:val="left"/>
          <w:tab w:leader="none" w:pos="2340" w:val="left"/>
        </w:tabs>
        <w:rPr>
          <w:sz w:val="20"/>
          <w:szCs w:val="20"/>
          <w:color w:val="auto"/>
        </w:rPr>
      </w:pPr>
      <w:r>
        <w:rPr>
          <w:rFonts w:ascii="Arial" w:cs="Arial" w:eastAsia="Arial" w:hAnsi="Arial"/>
          <w:sz w:val="16"/>
          <w:szCs w:val="16"/>
          <w:color w:val="auto"/>
        </w:rPr>
        <w:t>10-K</w:t>
      </w:r>
      <w:r>
        <w:rPr>
          <w:sz w:val="20"/>
          <w:szCs w:val="20"/>
          <w:color w:val="auto"/>
        </w:rPr>
        <w:tab/>
      </w:r>
      <w:r>
        <w:rPr>
          <w:rFonts w:ascii="Arial" w:cs="Arial" w:eastAsia="Arial" w:hAnsi="Arial"/>
          <w:sz w:val="16"/>
          <w:szCs w:val="16"/>
          <w:color w:val="auto"/>
        </w:rPr>
        <w:t>10.BB</w:t>
      </w:r>
      <w:r>
        <w:rPr>
          <w:sz w:val="20"/>
          <w:szCs w:val="20"/>
          <w:color w:val="auto"/>
        </w:rPr>
        <w:tab/>
      </w:r>
      <w:r>
        <w:rPr>
          <w:rFonts w:ascii="Arial" w:cs="Arial" w:eastAsia="Arial" w:hAnsi="Arial"/>
          <w:sz w:val="15"/>
          <w:szCs w:val="15"/>
          <w:color w:val="auto"/>
        </w:rPr>
        <w:t>10/25/2011</w:t>
      </w:r>
    </w:p>
    <w:p>
      <w:pPr>
        <w:spacing w:after="0" w:line="371" w:lineRule="exact"/>
        <w:rPr>
          <w:sz w:val="20"/>
          <w:szCs w:val="20"/>
          <w:color w:val="auto"/>
        </w:rPr>
      </w:pPr>
    </w:p>
    <w:p>
      <w:pPr>
        <w:sectPr>
          <w:pgSz w:w="11900" w:h="16838" w:orient="portrait"/>
          <w:cols w:equalWidth="0" w:num="2">
            <w:col w:w="6820" w:space="140"/>
            <w:col w:w="4260"/>
          </w:cols>
          <w:pgMar w:left="320" w:top="14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type w:val="continuous"/>
        </w:sectPr>
      </w:pPr>
    </w:p>
    <w:bookmarkStart w:id="77" w:name="page78"/>
    <w:bookmarkEnd w:id="7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6"/>
          <w:szCs w:val="16"/>
          <w:b w:val="1"/>
          <w:bCs w:val="1"/>
          <w:color w:val="auto"/>
        </w:rPr>
        <w:t>No.</w:t>
      </w:r>
      <w:r>
        <w:rPr>
          <w:sz w:val="20"/>
          <w:szCs w:val="20"/>
          <w:color w:val="auto"/>
        </w:rPr>
        <w:tab/>
      </w:r>
      <w:r>
        <w:rPr>
          <w:rFonts w:ascii="Arial" w:cs="Arial" w:eastAsia="Arial" w:hAnsi="Arial"/>
          <w:sz w:val="16"/>
          <w:szCs w:val="16"/>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9683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7115175" cy="968375"/>
                    </a:xfrm>
                    <a:prstGeom prst="rect">
                      <a:avLst/>
                    </a:prstGeom>
                    <a:noFill/>
                  </pic:spPr>
                </pic:pic>
              </a:graphicData>
            </a:graphic>
          </wp:anchor>
        </w:drawing>
      </w:r>
    </w:p>
    <w:p>
      <w:pPr>
        <w:spacing w:after="0" w:line="39" w:lineRule="exact"/>
        <w:rPr>
          <w:sz w:val="20"/>
          <w:szCs w:val="20"/>
          <w:color w:val="auto"/>
        </w:rPr>
      </w:pPr>
    </w:p>
    <w:p>
      <w:pPr>
        <w:ind w:left="960" w:right="80"/>
        <w:spacing w:after="0" w:line="211" w:lineRule="auto"/>
        <w:rPr>
          <w:rFonts w:ascii="Arial" w:cs="Arial" w:eastAsia="Arial" w:hAnsi="Arial"/>
          <w:sz w:val="16"/>
          <w:szCs w:val="16"/>
          <w:u w:val="single" w:color="auto"/>
          <w:color w:val="0000FF"/>
        </w:rPr>
      </w:pPr>
      <w:hyperlink r:id="rId122">
        <w:r>
          <w:rPr>
            <w:rFonts w:ascii="Arial" w:cs="Arial" w:eastAsia="Arial" w:hAnsi="Arial"/>
            <w:sz w:val="16"/>
            <w:szCs w:val="16"/>
            <w:u w:val="single" w:color="auto"/>
            <w:color w:val="0000FF"/>
          </w:rPr>
          <w:t>Winnebago Industries, Inc. 2004 Incentive Compensation Plan previously filed as</w:t>
        </w:r>
      </w:hyperlink>
      <w:r>
        <w:rPr>
          <w:rFonts w:ascii="Arial" w:cs="Arial" w:eastAsia="Arial" w:hAnsi="Arial"/>
          <w:sz w:val="16"/>
          <w:szCs w:val="16"/>
          <w:u w:val="single" w:color="auto"/>
          <w:color w:val="0000FF"/>
        </w:rPr>
        <w:t xml:space="preserve"> </w:t>
      </w:r>
      <w:hyperlink r:id="rId122">
        <w:r>
          <w:rPr>
            <w:rFonts w:ascii="Arial" w:cs="Arial" w:eastAsia="Arial" w:hAnsi="Arial"/>
            <w:sz w:val="16"/>
            <w:szCs w:val="16"/>
            <w:u w:val="single" w:color="auto"/>
            <w:color w:val="0000FF"/>
          </w:rPr>
          <w:t>Appendix B with the Registrant's Proxy Statement for the Annual Meeting of</w:t>
        </w:r>
      </w:hyperlink>
      <w:r>
        <w:rPr>
          <w:rFonts w:ascii="Arial" w:cs="Arial" w:eastAsia="Arial" w:hAnsi="Arial"/>
          <w:sz w:val="16"/>
          <w:szCs w:val="16"/>
          <w:u w:val="single" w:color="auto"/>
          <w:color w:val="0000FF"/>
        </w:rPr>
        <w:t xml:space="preserve"> </w:t>
      </w:r>
      <w:hyperlink r:id="rId122">
        <w:r>
          <w:rPr>
            <w:rFonts w:ascii="Arial" w:cs="Arial" w:eastAsia="Arial" w:hAnsi="Arial"/>
            <w:sz w:val="16"/>
            <w:szCs w:val="16"/>
            <w:u w:val="single" w:color="auto"/>
            <w:color w:val="0000FF"/>
          </w:rPr>
          <w:t>Shareholders held on January 13, 2004 (Commission File Number 001-06403)</w:t>
        </w:r>
      </w:hyperlink>
      <w:r>
        <w:rPr>
          <w:rFonts w:ascii="Arial" w:cs="Arial" w:eastAsia="Arial" w:hAnsi="Arial"/>
          <w:sz w:val="16"/>
          <w:szCs w:val="16"/>
          <w:u w:val="single" w:color="auto"/>
          <w:color w:val="0000FF"/>
        </w:rPr>
        <w:t xml:space="preserve"> </w:t>
      </w:r>
      <w:hyperlink r:id="rId122">
        <w:r>
          <w:rPr>
            <w:rFonts w:ascii="Arial" w:cs="Arial" w:eastAsia="Arial" w:hAnsi="Arial"/>
            <w:sz w:val="16"/>
            <w:szCs w:val="16"/>
            <w:u w:val="single" w:color="auto"/>
            <w:color w:val="0000FF"/>
          </w:rPr>
          <w:t>and incorporated by reference herein and the Amendment dated October 11,</w:t>
        </w:r>
      </w:hyperlink>
    </w:p>
    <w:p>
      <w:pPr>
        <w:spacing w:after="0" w:line="1" w:lineRule="exact"/>
        <w:rPr>
          <w:rFonts w:ascii="Arial" w:cs="Arial" w:eastAsia="Arial" w:hAnsi="Arial"/>
          <w:sz w:val="16"/>
          <w:szCs w:val="16"/>
          <w:u w:val="single" w:color="auto"/>
          <w:color w:val="0000FF"/>
        </w:rPr>
      </w:pPr>
    </w:p>
    <w:p>
      <w:pPr>
        <w:ind w:left="960" w:right="160" w:hanging="459"/>
        <w:spacing w:after="0" w:line="221"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10d.</w:t>
      </w:r>
      <w:r>
        <w:rPr>
          <w:sz w:val="20"/>
          <w:szCs w:val="20"/>
          <w:color w:val="auto"/>
        </w:rPr>
        <w:tab/>
      </w:r>
      <w:hyperlink r:id="rId122">
        <w:r>
          <w:rPr>
            <w:rFonts w:ascii="Arial" w:cs="Arial" w:eastAsia="Arial" w:hAnsi="Arial"/>
            <w:sz w:val="16"/>
            <w:szCs w:val="16"/>
            <w:u w:val="single" w:color="auto"/>
            <w:color w:val="0000FF"/>
          </w:rPr>
          <w:t>2006 previously filed as Exhibit 10.A with the Registrant's Quarterly Report on</w:t>
        </w:r>
      </w:hyperlink>
      <w:r>
        <w:rPr>
          <w:rFonts w:ascii="Arial" w:cs="Arial" w:eastAsia="Arial" w:hAnsi="Arial"/>
          <w:sz w:val="16"/>
          <w:szCs w:val="16"/>
          <w:u w:val="single" w:color="auto"/>
          <w:color w:val="0000FF"/>
        </w:rPr>
        <w:t xml:space="preserve"> </w:t>
      </w:r>
      <w:hyperlink r:id="rId122">
        <w:r>
          <w:rPr>
            <w:rFonts w:ascii="Arial" w:cs="Arial" w:eastAsia="Arial" w:hAnsi="Arial"/>
            <w:sz w:val="16"/>
            <w:szCs w:val="16"/>
            <w:u w:val="single" w:color="auto"/>
            <w:color w:val="0000FF"/>
          </w:rPr>
          <w:t>Form 10-Q for the quarter ended November 25, 2006 (Commission File Number</w:t>
        </w:r>
      </w:hyperlink>
      <w:r>
        <w:rPr>
          <w:rFonts w:ascii="Arial" w:cs="Arial" w:eastAsia="Arial" w:hAnsi="Arial"/>
          <w:sz w:val="16"/>
          <w:szCs w:val="16"/>
          <w:u w:val="single" w:color="auto"/>
          <w:color w:val="0000FF"/>
        </w:rPr>
        <w:t xml:space="preserve"> </w:t>
      </w:r>
      <w:hyperlink r:id="rId122">
        <w:r>
          <w:rPr>
            <w:rFonts w:ascii="Arial" w:cs="Arial" w:eastAsia="Arial" w:hAnsi="Arial"/>
            <w:sz w:val="16"/>
            <w:szCs w:val="16"/>
            <w:u w:val="single" w:color="auto"/>
            <w:color w:val="0000FF"/>
          </w:rPr>
          <w:t>001-06403) and incorporated by reference herein and the Amendment dated</w:t>
        </w:r>
      </w:hyperlink>
      <w:r>
        <w:rPr>
          <w:rFonts w:ascii="Arial" w:cs="Arial" w:eastAsia="Arial" w:hAnsi="Arial"/>
          <w:sz w:val="16"/>
          <w:szCs w:val="16"/>
          <w:u w:val="single" w:color="auto"/>
          <w:color w:val="0000FF"/>
        </w:rPr>
        <w:t xml:space="preserve"> </w:t>
      </w:r>
      <w:hyperlink r:id="rId122">
        <w:r>
          <w:rPr>
            <w:rFonts w:ascii="Arial" w:cs="Arial" w:eastAsia="Arial" w:hAnsi="Arial"/>
            <w:sz w:val="16"/>
            <w:szCs w:val="16"/>
            <w:u w:val="single" w:color="auto"/>
            <w:color w:val="0000FF"/>
          </w:rPr>
          <w:t>March 23, 2011.*</w:t>
        </w:r>
      </w:hyperlink>
    </w:p>
    <w:p>
      <w:pPr>
        <w:spacing w:after="0" w:line="186" w:lineRule="exact"/>
        <w:rPr>
          <w:rFonts w:ascii="Arial" w:cs="Arial" w:eastAsia="Arial" w:hAnsi="Arial"/>
          <w:sz w:val="16"/>
          <w:szCs w:val="16"/>
          <w:u w:val="single" w:color="auto"/>
          <w:color w:val="0000FF"/>
        </w:rPr>
      </w:pPr>
    </w:p>
    <w:p>
      <w:pPr>
        <w:ind w:left="960" w:right="80"/>
        <w:spacing w:after="0" w:line="211" w:lineRule="auto"/>
        <w:rPr>
          <w:rFonts w:ascii="Arial" w:cs="Arial" w:eastAsia="Arial" w:hAnsi="Arial"/>
          <w:sz w:val="16"/>
          <w:szCs w:val="16"/>
          <w:u w:val="single" w:color="auto"/>
          <w:color w:val="0000FF"/>
        </w:rPr>
      </w:pPr>
      <w:hyperlink r:id="rId123">
        <w:r>
          <w:rPr>
            <w:rFonts w:ascii="Arial" w:cs="Arial" w:eastAsia="Arial" w:hAnsi="Arial"/>
            <w:sz w:val="16"/>
            <w:szCs w:val="16"/>
            <w:u w:val="single" w:color="auto"/>
            <w:color w:val="0000FF"/>
          </w:rPr>
          <w:t>Winnebago Industries, Inc. 2014 Omnibus Equity, Performance Award, and</w:t>
        </w:r>
      </w:hyperlink>
      <w:r>
        <w:rPr>
          <w:rFonts w:ascii="Arial" w:cs="Arial" w:eastAsia="Arial" w:hAnsi="Arial"/>
          <w:sz w:val="16"/>
          <w:szCs w:val="16"/>
          <w:u w:val="single" w:color="auto"/>
          <w:color w:val="0000FF"/>
        </w:rPr>
        <w:t xml:space="preserve"> </w:t>
      </w:r>
      <w:hyperlink r:id="rId123">
        <w:r>
          <w:rPr>
            <w:rFonts w:ascii="Arial" w:cs="Arial" w:eastAsia="Arial" w:hAnsi="Arial"/>
            <w:sz w:val="16"/>
            <w:szCs w:val="16"/>
            <w:u w:val="single" w:color="auto"/>
            <w:color w:val="0000FF"/>
          </w:rPr>
          <w:t>Incentive Compensation Plan previously filed as Appendix B with the Registrant's</w:t>
        </w:r>
      </w:hyperlink>
      <w:r>
        <w:rPr>
          <w:rFonts w:ascii="Arial" w:cs="Arial" w:eastAsia="Arial" w:hAnsi="Arial"/>
          <w:sz w:val="16"/>
          <w:szCs w:val="16"/>
          <w:u w:val="single" w:color="auto"/>
          <w:color w:val="0000FF"/>
        </w:rPr>
        <w:t xml:space="preserve"> </w:t>
      </w:r>
      <w:hyperlink r:id="rId123">
        <w:r>
          <w:rPr>
            <w:rFonts w:ascii="Arial" w:cs="Arial" w:eastAsia="Arial" w:hAnsi="Arial"/>
            <w:sz w:val="16"/>
            <w:szCs w:val="16"/>
            <w:u w:val="single" w:color="auto"/>
            <w:color w:val="0000FF"/>
          </w:rPr>
          <w:t>Proxy Statement for the Annual Meeting of Shareholders held on December 17,</w:t>
        </w:r>
      </w:hyperlink>
    </w:p>
    <w:p>
      <w:pPr>
        <w:spacing w:after="0" w:line="1" w:lineRule="exact"/>
        <w:rPr>
          <w:rFonts w:ascii="Arial" w:cs="Arial" w:eastAsia="Arial" w:hAnsi="Arial"/>
          <w:sz w:val="16"/>
          <w:szCs w:val="16"/>
          <w:u w:val="single" w:color="auto"/>
          <w:color w:val="0000FF"/>
        </w:rPr>
      </w:pPr>
    </w:p>
    <w:p>
      <w:pPr>
        <w:ind w:left="960" w:right="40" w:hanging="459"/>
        <w:spacing w:after="0" w:line="221"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10e.</w:t>
      </w:r>
      <w:r>
        <w:rPr>
          <w:sz w:val="20"/>
          <w:szCs w:val="20"/>
          <w:color w:val="auto"/>
        </w:rPr>
        <w:tab/>
      </w:r>
      <w:hyperlink r:id="rId123">
        <w:r>
          <w:rPr>
            <w:rFonts w:ascii="Arial" w:cs="Arial" w:eastAsia="Arial" w:hAnsi="Arial"/>
            <w:sz w:val="16"/>
            <w:szCs w:val="16"/>
            <w:u w:val="single" w:color="auto"/>
            <w:color w:val="0000FF"/>
          </w:rPr>
          <w:t>2013 (Commission File Number 001-06403) and incorporated by reference herein</w:t>
        </w:r>
      </w:hyperlink>
      <w:r>
        <w:rPr>
          <w:rFonts w:ascii="Arial" w:cs="Arial" w:eastAsia="Arial" w:hAnsi="Arial"/>
          <w:sz w:val="16"/>
          <w:szCs w:val="16"/>
          <w:u w:val="single" w:color="auto"/>
          <w:color w:val="0000FF"/>
        </w:rPr>
        <w:t xml:space="preserve"> </w:t>
      </w:r>
      <w:hyperlink r:id="rId123">
        <w:r>
          <w:rPr>
            <w:rFonts w:ascii="Arial" w:cs="Arial" w:eastAsia="Arial" w:hAnsi="Arial"/>
            <w:sz w:val="16"/>
            <w:szCs w:val="16"/>
            <w:u w:val="single" w:color="auto"/>
            <w:color w:val="0000FF"/>
          </w:rPr>
          <w:t>and the Supplement previously filed as Exhibit 10.1 with the Registrant's Current</w:t>
        </w:r>
      </w:hyperlink>
      <w:r>
        <w:rPr>
          <w:rFonts w:ascii="Arial" w:cs="Arial" w:eastAsia="Arial" w:hAnsi="Arial"/>
          <w:sz w:val="16"/>
          <w:szCs w:val="16"/>
          <w:u w:val="single" w:color="auto"/>
          <w:color w:val="0000FF"/>
        </w:rPr>
        <w:t xml:space="preserve"> </w:t>
      </w:r>
      <w:hyperlink r:id="rId123">
        <w:r>
          <w:rPr>
            <w:rFonts w:ascii="Arial" w:cs="Arial" w:eastAsia="Arial" w:hAnsi="Arial"/>
            <w:sz w:val="16"/>
            <w:szCs w:val="16"/>
            <w:u w:val="single" w:color="auto"/>
            <w:color w:val="0000FF"/>
          </w:rPr>
          <w:t>Report on Form 8-K dated December 6, 2013 (Commission File Number 001-</w:t>
        </w:r>
      </w:hyperlink>
      <w:hyperlink r:id="rId123">
        <w:r>
          <w:rPr>
            <w:rFonts w:ascii="Arial" w:cs="Arial" w:eastAsia="Arial" w:hAnsi="Arial"/>
            <w:sz w:val="16"/>
            <w:szCs w:val="16"/>
            <w:u w:val="single" w:color="auto"/>
            <w:color w:val="0000FF"/>
          </w:rPr>
          <w:t>06403) and incorporated by reference herein.*</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13335</wp:posOffset>
            </wp:positionH>
            <wp:positionV relativeFrom="paragraph">
              <wp:posOffset>108585</wp:posOffset>
            </wp:positionV>
            <wp:extent cx="7115175" cy="548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7115175" cy="548640"/>
                    </a:xfrm>
                    <a:prstGeom prst="rect">
                      <a:avLst/>
                    </a:prstGeom>
                    <a:noFill/>
                  </pic:spPr>
                </pic:pic>
              </a:graphicData>
            </a:graphic>
          </wp:anchor>
        </w:drawing>
      </w:r>
    </w:p>
    <w:p>
      <w:pPr>
        <w:spacing w:after="0" w:line="166" w:lineRule="exact"/>
        <w:rPr>
          <w:rFonts w:ascii="Arial" w:cs="Arial" w:eastAsia="Arial" w:hAnsi="Arial"/>
          <w:sz w:val="16"/>
          <w:szCs w:val="16"/>
          <w:u w:val="single" w:color="auto"/>
          <w:color w:val="0000FF"/>
        </w:rPr>
      </w:pPr>
    </w:p>
    <w:p>
      <w:pPr>
        <w:ind w:left="960" w:right="140"/>
        <w:spacing w:after="0" w:line="211" w:lineRule="auto"/>
        <w:rPr>
          <w:rFonts w:ascii="Arial" w:cs="Arial" w:eastAsia="Arial" w:hAnsi="Arial"/>
          <w:sz w:val="16"/>
          <w:szCs w:val="16"/>
          <w:u w:val="single" w:color="auto"/>
          <w:color w:val="0000FF"/>
        </w:rPr>
      </w:pPr>
      <w:hyperlink r:id="rId125">
        <w:r>
          <w:rPr>
            <w:rFonts w:ascii="Arial" w:cs="Arial" w:eastAsia="Arial" w:hAnsi="Arial"/>
            <w:sz w:val="16"/>
            <w:szCs w:val="16"/>
            <w:u w:val="single" w:color="auto"/>
            <w:color w:val="0000FF"/>
          </w:rPr>
          <w:t>Winnebago Industries, Inc. 2019 Omnibus Incentive Plan, previously filed as</w:t>
        </w:r>
      </w:hyperlink>
      <w:r>
        <w:rPr>
          <w:rFonts w:ascii="Arial" w:cs="Arial" w:eastAsia="Arial" w:hAnsi="Arial"/>
          <w:sz w:val="16"/>
          <w:szCs w:val="16"/>
          <w:u w:val="single" w:color="auto"/>
          <w:color w:val="0000FF"/>
        </w:rPr>
        <w:t xml:space="preserve"> </w:t>
      </w:r>
      <w:hyperlink r:id="rId125">
        <w:r>
          <w:rPr>
            <w:rFonts w:ascii="Arial" w:cs="Arial" w:eastAsia="Arial" w:hAnsi="Arial"/>
            <w:sz w:val="16"/>
            <w:szCs w:val="16"/>
            <w:u w:val="single" w:color="auto"/>
            <w:color w:val="0000FF"/>
          </w:rPr>
          <w:t>Appendix A to the Registrant's Definitive Proxy Statement on Schedule 14A filed</w:t>
        </w:r>
      </w:hyperlink>
    </w:p>
    <w:p>
      <w:pPr>
        <w:ind w:left="960" w:right="140" w:hanging="419"/>
        <w:spacing w:after="0" w:line="232" w:lineRule="auto"/>
        <w:tabs>
          <w:tab w:leader="none" w:pos="940" w:val="left"/>
        </w:tabs>
        <w:rPr>
          <w:rFonts w:ascii="Arial" w:cs="Arial" w:eastAsia="Arial" w:hAnsi="Arial"/>
          <w:sz w:val="16"/>
          <w:szCs w:val="16"/>
          <w:color w:val="0000FF"/>
        </w:rPr>
      </w:pPr>
      <w:r>
        <w:rPr>
          <w:rFonts w:ascii="Arial" w:cs="Arial" w:eastAsia="Arial" w:hAnsi="Arial"/>
          <w:sz w:val="16"/>
          <w:szCs w:val="16"/>
          <w:color w:val="auto"/>
        </w:rPr>
        <w:t>10f.</w:t>
      </w:r>
      <w:r>
        <w:rPr>
          <w:sz w:val="20"/>
          <w:szCs w:val="20"/>
          <w:color w:val="auto"/>
        </w:rPr>
        <w:tab/>
      </w:r>
      <w:hyperlink r:id="rId125">
        <w:r>
          <w:rPr>
            <w:rFonts w:ascii="Arial" w:cs="Arial" w:eastAsia="Arial" w:hAnsi="Arial"/>
            <w:sz w:val="16"/>
            <w:szCs w:val="16"/>
            <w:u w:val="single" w:color="auto"/>
            <w:color w:val="0000FF"/>
          </w:rPr>
          <w:t>on October 31, 2018 (Commission File Number 001-06403) and incorporated by</w:t>
        </w:r>
      </w:hyperlink>
      <w:r>
        <w:rPr>
          <w:rFonts w:ascii="Arial" w:cs="Arial" w:eastAsia="Arial" w:hAnsi="Arial"/>
          <w:sz w:val="16"/>
          <w:szCs w:val="16"/>
          <w:u w:val="single" w:color="auto"/>
          <w:color w:val="0000FF"/>
        </w:rPr>
        <w:t xml:space="preserve"> </w:t>
      </w:r>
      <w:hyperlink r:id="rId125">
        <w:r>
          <w:rPr>
            <w:rFonts w:ascii="Arial" w:cs="Arial" w:eastAsia="Arial" w:hAnsi="Arial"/>
            <w:sz w:val="16"/>
            <w:szCs w:val="16"/>
            <w:u w:val="single" w:color="auto"/>
            <w:color w:val="0000FF"/>
          </w:rPr>
          <w:t>reference herein.</w:t>
        </w:r>
        <w:r>
          <w:rPr>
            <w:rFonts w:ascii="Arial" w:cs="Arial" w:eastAsia="Arial" w:hAnsi="Arial"/>
            <w:sz w:val="16"/>
            <w:szCs w:val="16"/>
            <w:color w:val="3051F2"/>
          </w:rPr>
          <w:t>*</w:t>
        </w:r>
      </w:hyperlink>
    </w:p>
    <w:p>
      <w:pPr>
        <w:spacing w:after="0" w:line="184" w:lineRule="exact"/>
        <w:rPr>
          <w:sz w:val="20"/>
          <w:szCs w:val="20"/>
          <w:color w:val="auto"/>
        </w:rPr>
      </w:pPr>
    </w:p>
    <w:p>
      <w:pPr>
        <w:ind w:left="960"/>
        <w:spacing w:after="0" w:line="211" w:lineRule="auto"/>
        <w:rPr>
          <w:rFonts w:ascii="Arial" w:cs="Arial" w:eastAsia="Arial" w:hAnsi="Arial"/>
          <w:sz w:val="16"/>
          <w:szCs w:val="16"/>
          <w:u w:val="single" w:color="auto"/>
          <w:color w:val="0000FF"/>
        </w:rPr>
      </w:pPr>
      <w:hyperlink r:id="rId126">
        <w:r>
          <w:rPr>
            <w:rFonts w:ascii="Arial" w:cs="Arial" w:eastAsia="Arial" w:hAnsi="Arial"/>
            <w:sz w:val="16"/>
            <w:szCs w:val="16"/>
            <w:u w:val="single" w:color="auto"/>
            <w:color w:val="0000FF"/>
          </w:rPr>
          <w:t>Winnebago Industries, Inc. Directors' Deferred Compensation Plan previously</w:t>
        </w:r>
      </w:hyperlink>
      <w:r>
        <w:rPr>
          <w:rFonts w:ascii="Arial" w:cs="Arial" w:eastAsia="Arial" w:hAnsi="Arial"/>
          <w:sz w:val="16"/>
          <w:szCs w:val="16"/>
          <w:u w:val="single" w:color="auto"/>
          <w:color w:val="0000FF"/>
        </w:rPr>
        <w:t xml:space="preserve"> </w:t>
      </w:r>
      <w:hyperlink r:id="rId126">
        <w:r>
          <w:rPr>
            <w:rFonts w:ascii="Arial" w:cs="Arial" w:eastAsia="Arial" w:hAnsi="Arial"/>
            <w:sz w:val="16"/>
            <w:szCs w:val="16"/>
            <w:u w:val="single" w:color="auto"/>
            <w:color w:val="0000FF"/>
          </w:rPr>
          <w:t>filed as Exhibit 10.E with the Registrant's Annual Report on Form 10-K for the</w:t>
        </w:r>
      </w:hyperlink>
      <w:r>
        <w:rPr>
          <w:rFonts w:ascii="Arial" w:cs="Arial" w:eastAsia="Arial" w:hAnsi="Arial"/>
          <w:sz w:val="16"/>
          <w:szCs w:val="16"/>
          <w:u w:val="single" w:color="auto"/>
          <w:color w:val="0000FF"/>
        </w:rPr>
        <w:t xml:space="preserve"> </w:t>
      </w:r>
      <w:hyperlink r:id="rId126">
        <w:r>
          <w:rPr>
            <w:rFonts w:ascii="Arial" w:cs="Arial" w:eastAsia="Arial" w:hAnsi="Arial"/>
            <w:sz w:val="16"/>
            <w:szCs w:val="16"/>
            <w:u w:val="single" w:color="auto"/>
            <w:color w:val="0000FF"/>
          </w:rPr>
          <w:t>fiscal year ended August 30, 1997 (Commission File Number 001-06403), and</w:t>
        </w:r>
      </w:hyperlink>
      <w:r>
        <w:rPr>
          <w:rFonts w:ascii="Arial" w:cs="Arial" w:eastAsia="Arial" w:hAnsi="Arial"/>
          <w:sz w:val="16"/>
          <w:szCs w:val="16"/>
          <w:u w:val="single" w:color="auto"/>
          <w:color w:val="0000FF"/>
        </w:rPr>
        <w:t xml:space="preserve"> </w:t>
      </w:r>
      <w:hyperlink r:id="rId126">
        <w:r>
          <w:rPr>
            <w:rFonts w:ascii="Arial" w:cs="Arial" w:eastAsia="Arial" w:hAnsi="Arial"/>
            <w:sz w:val="16"/>
            <w:szCs w:val="16"/>
            <w:u w:val="single" w:color="auto"/>
            <w:color w:val="0000FF"/>
          </w:rPr>
          <w:t>incorporated by reference herein and the Amendment dated October 15, 2003</w:t>
        </w:r>
      </w:hyperlink>
      <w:r>
        <w:rPr>
          <w:rFonts w:ascii="Arial" w:cs="Arial" w:eastAsia="Arial" w:hAnsi="Arial"/>
          <w:sz w:val="16"/>
          <w:szCs w:val="16"/>
          <w:u w:val="single" w:color="auto"/>
          <w:color w:val="0000FF"/>
        </w:rPr>
        <w:t xml:space="preserve"> </w:t>
      </w:r>
      <w:hyperlink r:id="rId126">
        <w:r>
          <w:rPr>
            <w:rFonts w:ascii="Arial" w:cs="Arial" w:eastAsia="Arial" w:hAnsi="Arial"/>
            <w:sz w:val="16"/>
            <w:szCs w:val="16"/>
            <w:u w:val="single" w:color="auto"/>
            <w:color w:val="0000FF"/>
          </w:rPr>
          <w:t>previously filed as Exhibit 10.H with the Registrant's Quarterly Report on Form 10-</w:t>
        </w:r>
      </w:hyperlink>
    </w:p>
    <w:p>
      <w:pPr>
        <w:spacing w:after="0" w:line="1" w:lineRule="exact"/>
        <w:rPr>
          <w:rFonts w:ascii="Arial" w:cs="Arial" w:eastAsia="Arial" w:hAnsi="Arial"/>
          <w:sz w:val="16"/>
          <w:szCs w:val="16"/>
          <w:u w:val="single" w:color="auto"/>
          <w:color w:val="0000FF"/>
        </w:rPr>
      </w:pPr>
    </w:p>
    <w:p>
      <w:pPr>
        <w:ind w:left="960" w:right="40" w:hanging="459"/>
        <w:spacing w:after="0" w:line="219"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10g.</w:t>
      </w:r>
      <w:r>
        <w:rPr>
          <w:sz w:val="20"/>
          <w:szCs w:val="20"/>
          <w:color w:val="auto"/>
        </w:rPr>
        <w:tab/>
      </w:r>
      <w:hyperlink r:id="rId126">
        <w:r>
          <w:rPr>
            <w:rFonts w:ascii="Arial" w:cs="Arial" w:eastAsia="Arial" w:hAnsi="Arial"/>
            <w:sz w:val="16"/>
            <w:szCs w:val="16"/>
            <w:u w:val="single" w:color="auto"/>
            <w:color w:val="0000FF"/>
          </w:rPr>
          <w:t>Q for the quarter ended November 29, 2003 (Commission File Number 001-</w:t>
        </w:r>
      </w:hyperlink>
      <w:hyperlink r:id="rId126">
        <w:r>
          <w:rPr>
            <w:rFonts w:ascii="Arial" w:cs="Arial" w:eastAsia="Arial" w:hAnsi="Arial"/>
            <w:sz w:val="16"/>
            <w:szCs w:val="16"/>
            <w:u w:val="single" w:color="auto"/>
            <w:color w:val="0000FF"/>
          </w:rPr>
          <w:t>06403) and incorporated by reference herein and the Amendment dated October</w:t>
        </w:r>
      </w:hyperlink>
      <w:r>
        <w:rPr>
          <w:rFonts w:ascii="Arial" w:cs="Arial" w:eastAsia="Arial" w:hAnsi="Arial"/>
          <w:sz w:val="16"/>
          <w:szCs w:val="16"/>
          <w:u w:val="single" w:color="auto"/>
          <w:color w:val="0000FF"/>
        </w:rPr>
        <w:t xml:space="preserve"> </w:t>
      </w:r>
      <w:hyperlink r:id="rId126">
        <w:r>
          <w:rPr>
            <w:rFonts w:ascii="Arial" w:cs="Arial" w:eastAsia="Arial" w:hAnsi="Arial"/>
            <w:sz w:val="16"/>
            <w:szCs w:val="16"/>
            <w:u w:val="single" w:color="auto"/>
            <w:color w:val="0000FF"/>
          </w:rPr>
          <w:t>11, 2006 previously filed as Exhibit 10.B with the Registrant's Quarterly Report on</w:t>
        </w:r>
      </w:hyperlink>
      <w:r>
        <w:rPr>
          <w:rFonts w:ascii="Arial" w:cs="Arial" w:eastAsia="Arial" w:hAnsi="Arial"/>
          <w:sz w:val="16"/>
          <w:szCs w:val="16"/>
          <w:u w:val="single" w:color="auto"/>
          <w:color w:val="0000FF"/>
        </w:rPr>
        <w:t xml:space="preserve"> </w:t>
      </w:r>
      <w:hyperlink r:id="rId126">
        <w:r>
          <w:rPr>
            <w:rFonts w:ascii="Arial" w:cs="Arial" w:eastAsia="Arial" w:hAnsi="Arial"/>
            <w:sz w:val="16"/>
            <w:szCs w:val="16"/>
            <w:u w:val="single" w:color="auto"/>
            <w:color w:val="0000FF"/>
          </w:rPr>
          <w:t>Form 10-Q for the quarter ended November 25, 2006 (Commission File Number</w:t>
        </w:r>
      </w:hyperlink>
      <w:r>
        <w:rPr>
          <w:rFonts w:ascii="Arial" w:cs="Arial" w:eastAsia="Arial" w:hAnsi="Arial"/>
          <w:sz w:val="16"/>
          <w:szCs w:val="16"/>
          <w:u w:val="single" w:color="auto"/>
          <w:color w:val="0000FF"/>
        </w:rPr>
        <w:t xml:space="preserve"> </w:t>
      </w:r>
      <w:hyperlink r:id="rId126">
        <w:r>
          <w:rPr>
            <w:rFonts w:ascii="Arial" w:cs="Arial" w:eastAsia="Arial" w:hAnsi="Arial"/>
            <w:sz w:val="16"/>
            <w:szCs w:val="16"/>
            <w:u w:val="single" w:color="auto"/>
            <w:color w:val="0000FF"/>
          </w:rPr>
          <w:t>001-06403) and the Amendment dated July 1, 2013.*</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13335</wp:posOffset>
            </wp:positionH>
            <wp:positionV relativeFrom="paragraph">
              <wp:posOffset>108585</wp:posOffset>
            </wp:positionV>
            <wp:extent cx="7115175" cy="651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7115175" cy="651510"/>
                    </a:xfrm>
                    <a:prstGeom prst="rect">
                      <a:avLst/>
                    </a:prstGeom>
                    <a:noFill/>
                  </pic:spPr>
                </pic:pic>
              </a:graphicData>
            </a:graphic>
          </wp:anchor>
        </w:drawing>
      </w:r>
    </w:p>
    <w:p>
      <w:pPr>
        <w:spacing w:after="0" w:line="167" w:lineRule="exact"/>
        <w:rPr>
          <w:rFonts w:ascii="Arial" w:cs="Arial" w:eastAsia="Arial" w:hAnsi="Arial"/>
          <w:sz w:val="16"/>
          <w:szCs w:val="16"/>
          <w:u w:val="single" w:color="auto"/>
          <w:color w:val="0000FF"/>
        </w:rPr>
      </w:pPr>
    </w:p>
    <w:p>
      <w:pPr>
        <w:ind w:left="960" w:right="120"/>
        <w:spacing w:after="0" w:line="211" w:lineRule="auto"/>
        <w:rPr>
          <w:rFonts w:ascii="Arial" w:cs="Arial" w:eastAsia="Arial" w:hAnsi="Arial"/>
          <w:sz w:val="16"/>
          <w:szCs w:val="16"/>
          <w:u w:val="single" w:color="auto"/>
          <w:color w:val="0000FF"/>
        </w:rPr>
      </w:pPr>
      <w:hyperlink r:id="rId116">
        <w:r>
          <w:rPr>
            <w:rFonts w:ascii="Arial" w:cs="Arial" w:eastAsia="Arial" w:hAnsi="Arial"/>
            <w:sz w:val="16"/>
            <w:szCs w:val="16"/>
            <w:u w:val="single" w:color="auto"/>
            <w:color w:val="0000FF"/>
          </w:rPr>
          <w:t>Winnebago Industries, Inc. Profit Sharing and Deferred Savings Investment Plan</w:t>
        </w:r>
      </w:hyperlink>
      <w:r>
        <w:rPr>
          <w:rFonts w:ascii="Arial" w:cs="Arial" w:eastAsia="Arial" w:hAnsi="Arial"/>
          <w:sz w:val="16"/>
          <w:szCs w:val="16"/>
          <w:u w:val="single" w:color="auto"/>
          <w:color w:val="0000FF"/>
        </w:rPr>
        <w:t xml:space="preserve"> </w:t>
      </w:r>
      <w:hyperlink r:id="rId116">
        <w:r>
          <w:rPr>
            <w:rFonts w:ascii="Arial" w:cs="Arial" w:eastAsia="Arial" w:hAnsi="Arial"/>
            <w:sz w:val="16"/>
            <w:szCs w:val="16"/>
            <w:u w:val="single" w:color="auto"/>
            <w:color w:val="0000FF"/>
          </w:rPr>
          <w:t>previously filed with the Registrant's Annual Report on Form 10-K for the fiscal</w:t>
        </w:r>
      </w:hyperlink>
    </w:p>
    <w:p>
      <w:pPr>
        <w:jc w:val="both"/>
        <w:ind w:left="960" w:right="620" w:hanging="459"/>
        <w:spacing w:after="0" w:line="225"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10h.</w:t>
      </w:r>
      <w:r>
        <w:rPr>
          <w:sz w:val="20"/>
          <w:szCs w:val="20"/>
          <w:color w:val="auto"/>
        </w:rPr>
        <w:tab/>
      </w:r>
      <w:hyperlink r:id="rId116">
        <w:r>
          <w:rPr>
            <w:rFonts w:ascii="Arial" w:cs="Arial" w:eastAsia="Arial" w:hAnsi="Arial"/>
            <w:sz w:val="16"/>
            <w:szCs w:val="16"/>
            <w:u w:val="single" w:color="auto"/>
            <w:color w:val="0000FF"/>
          </w:rPr>
          <w:t>year ended August 31, 1985 (Commission File Number 001-06403), and</w:t>
        </w:r>
      </w:hyperlink>
      <w:r>
        <w:rPr>
          <w:rFonts w:ascii="Arial" w:cs="Arial" w:eastAsia="Arial" w:hAnsi="Arial"/>
          <w:sz w:val="16"/>
          <w:szCs w:val="16"/>
          <w:u w:val="single" w:color="auto"/>
          <w:color w:val="0000FF"/>
        </w:rPr>
        <w:t xml:space="preserve"> </w:t>
      </w:r>
      <w:hyperlink r:id="rId116">
        <w:r>
          <w:rPr>
            <w:rFonts w:ascii="Arial" w:cs="Arial" w:eastAsia="Arial" w:hAnsi="Arial"/>
            <w:sz w:val="16"/>
            <w:szCs w:val="16"/>
            <w:u w:val="single" w:color="auto"/>
            <w:color w:val="0000FF"/>
          </w:rPr>
          <w:t>incorporated by reference herein, the Amendment dated July 1, 1995 and</w:t>
        </w:r>
      </w:hyperlink>
      <w:r>
        <w:rPr>
          <w:rFonts w:ascii="Arial" w:cs="Arial" w:eastAsia="Arial" w:hAnsi="Arial"/>
          <w:sz w:val="16"/>
          <w:szCs w:val="16"/>
          <w:u w:val="single" w:color="auto"/>
          <w:color w:val="0000FF"/>
        </w:rPr>
        <w:t xml:space="preserve"> </w:t>
      </w:r>
      <w:hyperlink r:id="rId116">
        <w:r>
          <w:rPr>
            <w:rFonts w:ascii="Arial" w:cs="Arial" w:eastAsia="Arial" w:hAnsi="Arial"/>
            <w:sz w:val="16"/>
            <w:szCs w:val="16"/>
            <w:u w:val="single" w:color="auto"/>
            <w:color w:val="0000FF"/>
          </w:rPr>
          <w:t>incorporated by reference herein.*</w:t>
        </w:r>
      </w:hyperlink>
    </w:p>
    <w:p>
      <w:pPr>
        <w:spacing w:after="0" w:line="185" w:lineRule="exact"/>
        <w:rPr>
          <w:rFonts w:ascii="Arial" w:cs="Arial" w:eastAsia="Arial" w:hAnsi="Arial"/>
          <w:sz w:val="16"/>
          <w:szCs w:val="16"/>
          <w:u w:val="single" w:color="auto"/>
          <w:color w:val="0000FF"/>
        </w:rPr>
      </w:pPr>
    </w:p>
    <w:p>
      <w:pPr>
        <w:ind w:left="560" w:right="200" w:firstLine="405"/>
        <w:spacing w:after="0" w:line="232" w:lineRule="auto"/>
        <w:rPr>
          <w:rFonts w:ascii="Arial" w:cs="Arial" w:eastAsia="Arial" w:hAnsi="Arial"/>
          <w:sz w:val="16"/>
          <w:szCs w:val="16"/>
          <w:color w:val="000000"/>
        </w:rPr>
      </w:pPr>
      <w:hyperlink r:id="rId128">
        <w:r>
          <w:rPr>
            <w:rFonts w:ascii="Arial" w:cs="Arial" w:eastAsia="Arial" w:hAnsi="Arial"/>
            <w:sz w:val="16"/>
            <w:szCs w:val="16"/>
            <w:u w:val="single" w:color="auto"/>
            <w:color w:val="0000FF"/>
          </w:rPr>
          <w:t>Winnebago Industries, Inc. Officers' Long-Term Incentive Plan, fiscal three-year</w:t>
        </w:r>
      </w:hyperlink>
      <w:r>
        <w:rPr>
          <w:rFonts w:ascii="Arial" w:cs="Arial" w:eastAsia="Arial" w:hAnsi="Arial"/>
          <w:sz w:val="16"/>
          <w:szCs w:val="16"/>
          <w:u w:val="single" w:color="auto"/>
          <w:color w:val="0000FF"/>
        </w:rPr>
        <w:t xml:space="preserve"> </w:t>
      </w:r>
      <w:r>
        <w:rPr>
          <w:rFonts w:ascii="Arial" w:cs="Arial" w:eastAsia="Arial" w:hAnsi="Arial"/>
          <w:sz w:val="16"/>
          <w:szCs w:val="16"/>
          <w:color w:val="000000"/>
        </w:rPr>
        <w:t xml:space="preserve">10i. </w:t>
      </w:r>
      <w:hyperlink r:id="rId128">
        <w:r>
          <w:rPr>
            <w:rFonts w:ascii="Arial" w:cs="Arial" w:eastAsia="Arial" w:hAnsi="Arial"/>
            <w:sz w:val="16"/>
            <w:szCs w:val="16"/>
            <w:u w:val="single" w:color="auto"/>
            <w:color w:val="0000FF"/>
          </w:rPr>
          <w:t>period 2018, 2019, and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107315</wp:posOffset>
            </wp:positionV>
            <wp:extent cx="7115175" cy="4457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7115175" cy="445770"/>
                    </a:xfrm>
                    <a:prstGeom prst="rect">
                      <a:avLst/>
                    </a:prstGeom>
                    <a:noFill/>
                  </pic:spPr>
                </pic:pic>
              </a:graphicData>
            </a:graphic>
          </wp:anchor>
        </w:drawing>
      </w:r>
    </w:p>
    <w:p>
      <w:pPr>
        <w:spacing w:after="0" w:line="142" w:lineRule="exact"/>
        <w:rPr>
          <w:sz w:val="20"/>
          <w:szCs w:val="20"/>
          <w:color w:val="auto"/>
        </w:rPr>
      </w:pPr>
    </w:p>
    <w:p>
      <w:pPr>
        <w:ind w:left="960"/>
        <w:spacing w:after="0"/>
        <w:rPr>
          <w:rFonts w:ascii="Arial" w:cs="Arial" w:eastAsia="Arial" w:hAnsi="Arial"/>
          <w:sz w:val="16"/>
          <w:szCs w:val="16"/>
          <w:u w:val="single" w:color="auto"/>
          <w:color w:val="0000FF"/>
        </w:rPr>
      </w:pPr>
      <w:hyperlink r:id="rId130">
        <w:r>
          <w:rPr>
            <w:rFonts w:ascii="Arial" w:cs="Arial" w:eastAsia="Arial" w:hAnsi="Arial"/>
            <w:sz w:val="16"/>
            <w:szCs w:val="16"/>
            <w:u w:val="single" w:color="auto"/>
            <w:color w:val="0000FF"/>
          </w:rPr>
          <w:t>Form of Non-Qualified Stock Option Agreement under Winnebago Industries, Inc.</w:t>
        </w:r>
      </w:hyperlink>
    </w:p>
    <w:p>
      <w:pPr>
        <w:ind w:left="560"/>
        <w:spacing w:after="0" w:line="211" w:lineRule="auto"/>
        <w:tabs>
          <w:tab w:leader="none" w:pos="940" w:val="left"/>
        </w:tabs>
        <w:rPr>
          <w:rFonts w:ascii="Arial" w:cs="Arial" w:eastAsia="Arial" w:hAnsi="Arial"/>
          <w:sz w:val="16"/>
          <w:szCs w:val="16"/>
          <w:u w:val="single" w:color="auto"/>
          <w:color w:val="0000FF"/>
        </w:rPr>
      </w:pPr>
      <w:r>
        <w:rPr>
          <w:rFonts w:ascii="Arial" w:cs="Arial" w:eastAsia="Arial" w:hAnsi="Arial"/>
          <w:sz w:val="9"/>
          <w:szCs w:val="9"/>
          <w:color w:val="auto"/>
        </w:rPr>
        <w:t>10j.</w:t>
      </w:r>
      <w:r>
        <w:rPr>
          <w:sz w:val="20"/>
          <w:szCs w:val="20"/>
          <w:color w:val="auto"/>
        </w:rPr>
        <w:tab/>
      </w:r>
      <w:hyperlink r:id="rId130">
        <w:r>
          <w:rPr>
            <w:rFonts w:ascii="Arial" w:cs="Arial" w:eastAsia="Arial" w:hAnsi="Arial"/>
            <w:sz w:val="16"/>
            <w:szCs w:val="16"/>
            <w:u w:val="single" w:color="auto"/>
            <w:color w:val="0000FF"/>
          </w:rPr>
          <w:t>2014 Omnibus Equity, Performance, and Incentive Compensation Plan (Fiscal</w:t>
        </w:r>
      </w:hyperlink>
    </w:p>
    <w:p>
      <w:pPr>
        <w:ind w:left="960"/>
        <w:spacing w:after="0"/>
        <w:rPr>
          <w:rFonts w:ascii="Arial" w:cs="Arial" w:eastAsia="Arial" w:hAnsi="Arial"/>
          <w:sz w:val="16"/>
          <w:szCs w:val="16"/>
          <w:color w:val="0000FF"/>
        </w:rPr>
      </w:pPr>
      <w:hyperlink r:id="rId130">
        <w:r>
          <w:rPr>
            <w:rFonts w:ascii="Arial" w:cs="Arial" w:eastAsia="Arial" w:hAnsi="Arial"/>
            <w:sz w:val="16"/>
            <w:szCs w:val="16"/>
            <w:u w:val="single" w:color="auto"/>
            <w:color w:val="0000FF"/>
          </w:rPr>
          <w:t>2019 awards and later).</w:t>
        </w:r>
        <w:r>
          <w:rPr>
            <w:rFonts w:ascii="Arial" w:cs="Arial" w:eastAsia="Arial" w:hAnsi="Arial"/>
            <w:sz w:val="16"/>
            <w:szCs w:val="16"/>
            <w:color w:val="3051F2"/>
          </w:rPr>
          <w:t>*</w:t>
        </w:r>
      </w:hyperlink>
    </w:p>
    <w:p>
      <w:pPr>
        <w:spacing w:after="0" w:line="172" w:lineRule="exact"/>
        <w:rPr>
          <w:sz w:val="20"/>
          <w:szCs w:val="20"/>
          <w:color w:val="auto"/>
        </w:rPr>
      </w:pPr>
    </w:p>
    <w:p>
      <w:pPr>
        <w:ind w:left="960"/>
        <w:spacing w:after="0"/>
        <w:rPr>
          <w:rFonts w:ascii="Arial" w:cs="Arial" w:eastAsia="Arial" w:hAnsi="Arial"/>
          <w:sz w:val="16"/>
          <w:szCs w:val="16"/>
          <w:u w:val="single" w:color="auto"/>
          <w:color w:val="0000FF"/>
        </w:rPr>
      </w:pPr>
      <w:hyperlink r:id="rId131">
        <w:r>
          <w:rPr>
            <w:rFonts w:ascii="Arial" w:cs="Arial" w:eastAsia="Arial" w:hAnsi="Arial"/>
            <w:sz w:val="16"/>
            <w:szCs w:val="16"/>
            <w:u w:val="single" w:color="auto"/>
            <w:color w:val="0000FF"/>
          </w:rPr>
          <w:t>Form of Restricted Stock Unit Award Agreement (Executives) under Winnebago</w:t>
        </w:r>
      </w:hyperlink>
    </w:p>
    <w:p>
      <w:pPr>
        <w:ind w:left="960" w:right="680" w:hanging="459"/>
        <w:spacing w:after="0" w:line="232" w:lineRule="auto"/>
        <w:tabs>
          <w:tab w:leader="none" w:pos="940" w:val="left"/>
        </w:tabs>
        <w:rPr>
          <w:rFonts w:ascii="Arial" w:cs="Arial" w:eastAsia="Arial" w:hAnsi="Arial"/>
          <w:sz w:val="16"/>
          <w:szCs w:val="16"/>
          <w:color w:val="0000FF"/>
        </w:rPr>
      </w:pPr>
      <w:r>
        <w:rPr>
          <w:rFonts w:ascii="Arial" w:cs="Arial" w:eastAsia="Arial" w:hAnsi="Arial"/>
          <w:sz w:val="16"/>
          <w:szCs w:val="16"/>
          <w:color w:val="auto"/>
        </w:rPr>
        <w:t>10k.</w:t>
      </w:r>
      <w:r>
        <w:rPr>
          <w:sz w:val="20"/>
          <w:szCs w:val="20"/>
          <w:color w:val="auto"/>
        </w:rPr>
        <w:tab/>
      </w:r>
      <w:hyperlink r:id="rId131">
        <w:r>
          <w:rPr>
            <w:rFonts w:ascii="Arial" w:cs="Arial" w:eastAsia="Arial" w:hAnsi="Arial"/>
            <w:sz w:val="16"/>
            <w:szCs w:val="16"/>
            <w:u w:val="single" w:color="auto"/>
            <w:color w:val="0000FF"/>
          </w:rPr>
          <w:t>Industries, Inc. 2014 Omnibus Equity, Performance Award, and Incentive</w:t>
        </w:r>
      </w:hyperlink>
      <w:r>
        <w:rPr>
          <w:rFonts w:ascii="Arial" w:cs="Arial" w:eastAsia="Arial" w:hAnsi="Arial"/>
          <w:sz w:val="16"/>
          <w:szCs w:val="16"/>
          <w:u w:val="single" w:color="auto"/>
          <w:color w:val="0000FF"/>
        </w:rPr>
        <w:t xml:space="preserve"> </w:t>
      </w:r>
      <w:hyperlink r:id="rId131">
        <w:r>
          <w:rPr>
            <w:rFonts w:ascii="Arial" w:cs="Arial" w:eastAsia="Arial" w:hAnsi="Arial"/>
            <w:sz w:val="16"/>
            <w:szCs w:val="16"/>
            <w:u w:val="single" w:color="auto"/>
            <w:color w:val="0000FF"/>
          </w:rPr>
          <w:t>Compensation Plan (Fiscal 2019 awards and later).</w:t>
        </w:r>
        <w:r>
          <w:rPr>
            <w:rFonts w:ascii="Arial" w:cs="Arial" w:eastAsia="Arial" w:hAnsi="Arial"/>
            <w:sz w:val="16"/>
            <w:szCs w:val="16"/>
            <w:color w:val="3051F2"/>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107315</wp:posOffset>
            </wp:positionV>
            <wp:extent cx="7115175" cy="4457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7115175" cy="445770"/>
                    </a:xfrm>
                    <a:prstGeom prst="rect">
                      <a:avLst/>
                    </a:prstGeom>
                    <a:noFill/>
                  </pic:spPr>
                </pic:pic>
              </a:graphicData>
            </a:graphic>
          </wp:anchor>
        </w:drawing>
      </w:r>
    </w:p>
    <w:p>
      <w:pPr>
        <w:spacing w:after="0" w:line="142" w:lineRule="exact"/>
        <w:rPr>
          <w:sz w:val="20"/>
          <w:szCs w:val="20"/>
          <w:color w:val="auto"/>
        </w:rPr>
      </w:pPr>
    </w:p>
    <w:p>
      <w:pPr>
        <w:ind w:left="960"/>
        <w:spacing w:after="0"/>
        <w:rPr>
          <w:rFonts w:ascii="Arial" w:cs="Arial" w:eastAsia="Arial" w:hAnsi="Arial"/>
          <w:sz w:val="16"/>
          <w:szCs w:val="16"/>
          <w:u w:val="single" w:color="auto"/>
          <w:color w:val="0000FF"/>
        </w:rPr>
      </w:pPr>
      <w:hyperlink r:id="rId133">
        <w:r>
          <w:rPr>
            <w:rFonts w:ascii="Arial" w:cs="Arial" w:eastAsia="Arial" w:hAnsi="Arial"/>
            <w:sz w:val="16"/>
            <w:szCs w:val="16"/>
            <w:u w:val="single" w:color="auto"/>
            <w:color w:val="0000FF"/>
          </w:rPr>
          <w:t>Form of Performance Stock Unit Agreement under Winnebago Industries, Inc.</w:t>
        </w:r>
      </w:hyperlink>
    </w:p>
    <w:p>
      <w:pPr>
        <w:ind w:left="960" w:right="320" w:hanging="399"/>
        <w:spacing w:after="0" w:line="232" w:lineRule="auto"/>
        <w:tabs>
          <w:tab w:leader="none" w:pos="940" w:val="left"/>
        </w:tabs>
        <w:rPr>
          <w:rFonts w:ascii="Arial" w:cs="Arial" w:eastAsia="Arial" w:hAnsi="Arial"/>
          <w:sz w:val="16"/>
          <w:szCs w:val="16"/>
          <w:color w:val="0000FF"/>
        </w:rPr>
      </w:pPr>
      <w:r>
        <w:rPr>
          <w:rFonts w:ascii="Arial" w:cs="Arial" w:eastAsia="Arial" w:hAnsi="Arial"/>
          <w:sz w:val="16"/>
          <w:szCs w:val="16"/>
          <w:color w:val="auto"/>
        </w:rPr>
        <w:t>10l.</w:t>
      </w:r>
      <w:r>
        <w:rPr>
          <w:sz w:val="20"/>
          <w:szCs w:val="20"/>
          <w:color w:val="auto"/>
        </w:rPr>
        <w:tab/>
      </w:r>
      <w:hyperlink r:id="rId133">
        <w:r>
          <w:rPr>
            <w:rFonts w:ascii="Arial" w:cs="Arial" w:eastAsia="Arial" w:hAnsi="Arial"/>
            <w:sz w:val="16"/>
            <w:szCs w:val="16"/>
            <w:u w:val="single" w:color="auto"/>
            <w:color w:val="0000FF"/>
          </w:rPr>
          <w:t>2014 Omnibus Equity, Performance Award, and Incentive Compensation Plan</w:t>
        </w:r>
      </w:hyperlink>
      <w:r>
        <w:rPr>
          <w:rFonts w:ascii="Arial" w:cs="Arial" w:eastAsia="Arial" w:hAnsi="Arial"/>
          <w:sz w:val="16"/>
          <w:szCs w:val="16"/>
          <w:u w:val="single" w:color="auto"/>
          <w:color w:val="0000FF"/>
        </w:rPr>
        <w:t xml:space="preserve"> </w:t>
      </w:r>
      <w:hyperlink r:id="rId133">
        <w:r>
          <w:rPr>
            <w:rFonts w:ascii="Arial" w:cs="Arial" w:eastAsia="Arial" w:hAnsi="Arial"/>
            <w:sz w:val="16"/>
            <w:szCs w:val="16"/>
            <w:u w:val="single" w:color="auto"/>
            <w:color w:val="0000FF"/>
          </w:rPr>
          <w:t>(Fiscal 2019 awards and later).</w:t>
        </w:r>
        <w:r>
          <w:rPr>
            <w:rFonts w:ascii="Arial" w:cs="Arial" w:eastAsia="Arial" w:hAnsi="Arial"/>
            <w:sz w:val="16"/>
            <w:szCs w:val="16"/>
            <w:color w:val="3051F2"/>
          </w:rPr>
          <w:t>*</w:t>
        </w:r>
      </w:hyperlink>
    </w:p>
    <w:p>
      <w:pPr>
        <w:spacing w:after="0" w:line="162" w:lineRule="exact"/>
        <w:rPr>
          <w:sz w:val="20"/>
          <w:szCs w:val="20"/>
          <w:color w:val="auto"/>
        </w:rPr>
      </w:pPr>
    </w:p>
    <w:p>
      <w:pPr>
        <w:ind w:left="960"/>
        <w:spacing w:after="0"/>
        <w:rPr>
          <w:rFonts w:ascii="Arial" w:cs="Arial" w:eastAsia="Arial" w:hAnsi="Arial"/>
          <w:sz w:val="16"/>
          <w:szCs w:val="16"/>
          <w:u w:val="single" w:color="auto"/>
          <w:color w:val="0000FF"/>
        </w:rPr>
      </w:pPr>
      <w:hyperlink r:id="rId134">
        <w:r>
          <w:rPr>
            <w:rFonts w:ascii="Arial" w:cs="Arial" w:eastAsia="Arial" w:hAnsi="Arial"/>
            <w:sz w:val="16"/>
            <w:szCs w:val="16"/>
            <w:u w:val="single" w:color="auto"/>
            <w:color w:val="0000FF"/>
          </w:rPr>
          <w:t>Form of Restricted Stock Unit Award Agreement (Non-Employee Director) under</w:t>
        </w:r>
      </w:hyperlink>
    </w:p>
    <w:p>
      <w:pPr>
        <w:ind w:left="960" w:right="500" w:hanging="499"/>
        <w:spacing w:after="0" w:line="232" w:lineRule="auto"/>
        <w:tabs>
          <w:tab w:leader="none" w:pos="940" w:val="left"/>
        </w:tabs>
        <w:rPr>
          <w:rFonts w:ascii="Arial" w:cs="Arial" w:eastAsia="Arial" w:hAnsi="Arial"/>
          <w:sz w:val="16"/>
          <w:szCs w:val="16"/>
          <w:color w:val="0000FF"/>
        </w:rPr>
      </w:pPr>
      <w:r>
        <w:rPr>
          <w:rFonts w:ascii="Arial" w:cs="Arial" w:eastAsia="Arial" w:hAnsi="Arial"/>
          <w:sz w:val="16"/>
          <w:szCs w:val="16"/>
          <w:color w:val="auto"/>
        </w:rPr>
        <w:t>10m.</w:t>
      </w:r>
      <w:r>
        <w:rPr>
          <w:sz w:val="20"/>
          <w:szCs w:val="20"/>
          <w:color w:val="auto"/>
        </w:rPr>
        <w:tab/>
      </w:r>
      <w:hyperlink r:id="rId134">
        <w:r>
          <w:rPr>
            <w:rFonts w:ascii="Arial" w:cs="Arial" w:eastAsia="Arial" w:hAnsi="Arial"/>
            <w:sz w:val="16"/>
            <w:szCs w:val="16"/>
            <w:u w:val="single" w:color="auto"/>
            <w:color w:val="0000FF"/>
          </w:rPr>
          <w:t>Winnebago Industries, Inc. 2014 Omnibus Equity, Performance Award, and</w:t>
        </w:r>
      </w:hyperlink>
      <w:r>
        <w:rPr>
          <w:rFonts w:ascii="Arial" w:cs="Arial" w:eastAsia="Arial" w:hAnsi="Arial"/>
          <w:sz w:val="16"/>
          <w:szCs w:val="16"/>
          <w:u w:val="single" w:color="auto"/>
          <w:color w:val="0000FF"/>
        </w:rPr>
        <w:t xml:space="preserve"> </w:t>
      </w:r>
      <w:hyperlink r:id="rId134">
        <w:r>
          <w:rPr>
            <w:rFonts w:ascii="Arial" w:cs="Arial" w:eastAsia="Arial" w:hAnsi="Arial"/>
            <w:sz w:val="16"/>
            <w:szCs w:val="16"/>
            <w:u w:val="single" w:color="auto"/>
            <w:color w:val="0000FF"/>
          </w:rPr>
          <w:t>Incentive Compensation Plan (Fiscal 2019 awards and later).</w:t>
        </w:r>
        <w:r>
          <w:rPr>
            <w:rFonts w:ascii="Arial" w:cs="Arial" w:eastAsia="Arial" w:hAnsi="Arial"/>
            <w:sz w:val="16"/>
            <w:szCs w:val="16"/>
            <w:color w:val="3051F2"/>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107315</wp:posOffset>
            </wp:positionV>
            <wp:extent cx="7115175" cy="3429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5">
                      <a:extLst>
                        <a:ext uri="{28A0092B-C50C-407E-A947-70E740481C1C}"/>
                      </a:extLst>
                    </a:blip>
                    <a:srcRect/>
                    <a:stretch>
                      <a:fillRect/>
                    </a:stretch>
                  </pic:blipFill>
                  <pic:spPr bwMode="auto">
                    <a:xfrm>
                      <a:off x="0" y="0"/>
                      <a:ext cx="7115175" cy="342900"/>
                    </a:xfrm>
                    <a:prstGeom prst="rect">
                      <a:avLst/>
                    </a:prstGeom>
                    <a:noFill/>
                  </pic:spPr>
                </pic:pic>
              </a:graphicData>
            </a:graphic>
          </wp:anchor>
        </w:drawing>
      </w:r>
    </w:p>
    <w:p>
      <w:pPr>
        <w:spacing w:after="0" w:line="164" w:lineRule="exact"/>
        <w:rPr>
          <w:sz w:val="20"/>
          <w:szCs w:val="20"/>
          <w:color w:val="auto"/>
        </w:rPr>
      </w:pPr>
    </w:p>
    <w:p>
      <w:pPr>
        <w:ind w:left="500" w:right="680" w:firstLine="459"/>
        <w:spacing w:after="0" w:line="232" w:lineRule="auto"/>
        <w:rPr>
          <w:rFonts w:ascii="Arial" w:cs="Arial" w:eastAsia="Arial" w:hAnsi="Arial"/>
          <w:sz w:val="16"/>
          <w:szCs w:val="16"/>
          <w:color w:val="000000"/>
        </w:rPr>
      </w:pPr>
      <w:hyperlink r:id="rId136">
        <w:r>
          <w:rPr>
            <w:rFonts w:ascii="Arial" w:cs="Arial" w:eastAsia="Arial" w:hAnsi="Arial"/>
            <w:sz w:val="16"/>
            <w:szCs w:val="16"/>
            <w:u w:val="single" w:color="auto"/>
            <w:color w:val="0000FF"/>
          </w:rPr>
          <w:t>Executive Change in Control Agreement dated November 2018 between</w:t>
        </w:r>
      </w:hyperlink>
      <w:r>
        <w:rPr>
          <w:rFonts w:ascii="Arial" w:cs="Arial" w:eastAsia="Arial" w:hAnsi="Arial"/>
          <w:sz w:val="16"/>
          <w:szCs w:val="16"/>
          <w:u w:val="single" w:color="auto"/>
          <w:color w:val="0000FF"/>
        </w:rPr>
        <w:t xml:space="preserve"> </w:t>
      </w:r>
      <w:r>
        <w:rPr>
          <w:rFonts w:ascii="Arial" w:cs="Arial" w:eastAsia="Arial" w:hAnsi="Arial"/>
          <w:sz w:val="16"/>
          <w:szCs w:val="16"/>
          <w:color w:val="000000"/>
        </w:rPr>
        <w:t xml:space="preserve">10n. </w:t>
      </w:r>
      <w:hyperlink r:id="rId136">
        <w:r>
          <w:rPr>
            <w:rFonts w:ascii="Arial" w:cs="Arial" w:eastAsia="Arial" w:hAnsi="Arial"/>
            <w:sz w:val="16"/>
            <w:szCs w:val="16"/>
            <w:u w:val="single" w:color="auto"/>
            <w:color w:val="0000FF"/>
          </w:rPr>
          <w:t>Winnebago Industries, Inc. and Michael J. Happe.*</w:t>
        </w:r>
      </w:hyperlink>
    </w:p>
    <w:p>
      <w:pPr>
        <w:spacing w:after="0" w:line="45" w:lineRule="exact"/>
        <w:rPr>
          <w:sz w:val="20"/>
          <w:szCs w:val="20"/>
          <w:color w:val="auto"/>
        </w:rPr>
      </w:pPr>
    </w:p>
    <w:p>
      <w:pPr>
        <w:ind w:left="500"/>
        <w:spacing w:after="0"/>
        <w:tabs>
          <w:tab w:leader="none" w:pos="940" w:val="left"/>
        </w:tabs>
        <w:rPr>
          <w:rFonts w:ascii="Arial" w:cs="Arial" w:eastAsia="Arial" w:hAnsi="Arial"/>
          <w:sz w:val="16"/>
          <w:szCs w:val="16"/>
          <w:u w:val="single" w:color="auto"/>
          <w:color w:val="0000FF"/>
        </w:rPr>
      </w:pPr>
      <w:hyperlink r:id="rId137"/>
      <w:r>
        <w:rPr>
          <w:rFonts w:ascii="Arial" w:cs="Arial" w:eastAsia="Arial" w:hAnsi="Arial"/>
          <w:sz w:val="32"/>
          <w:szCs w:val="32"/>
          <w:color w:val="000000"/>
          <w:vertAlign w:val="subscript"/>
        </w:rPr>
        <w:t>10o.</w:t>
      </w:r>
      <w:r>
        <w:rPr>
          <w:rFonts w:ascii="Arial" w:cs="Arial" w:eastAsia="Arial" w:hAnsi="Arial"/>
          <w:sz w:val="16"/>
          <w:szCs w:val="16"/>
          <w:color w:val="0000FF"/>
        </w:rPr>
        <w:tab/>
      </w:r>
      <w:hyperlink r:id="rId137">
        <w:r>
          <w:rPr>
            <w:rFonts w:ascii="Arial" w:cs="Arial" w:eastAsia="Arial" w:hAnsi="Arial"/>
            <w:sz w:val="16"/>
            <w:szCs w:val="16"/>
            <w:u w:val="single" w:color="auto"/>
            <w:color w:val="0000FF"/>
          </w:rPr>
          <w:t>Form of Change in Control Agreemen</w:t>
        </w:r>
        <w:r>
          <w:rPr>
            <w:rFonts w:ascii="Arial" w:cs="Arial" w:eastAsia="Arial" w:hAnsi="Arial"/>
            <w:sz w:val="16"/>
            <w:szCs w:val="16"/>
            <w:u w:val="single" w:color="auto"/>
            <w:color w:val="3051F2"/>
          </w:rPr>
          <w:t>t.</w:t>
        </w:r>
      </w:hyperlink>
      <w:r>
        <w:rPr>
          <w:rFonts w:ascii="Arial" w:cs="Arial" w:eastAsia="Arial" w:hAnsi="Arial"/>
          <w:sz w:val="16"/>
          <w:szCs w:val="16"/>
          <w:color w:val="3051F2"/>
        </w:rPr>
        <w:t>*</w:t>
      </w:r>
      <w:r>
        <w:rPr>
          <w:rFonts w:ascii="Arial" w:cs="Arial" w:eastAsia="Arial" w:hAnsi="Arial"/>
          <w:sz w:val="16"/>
          <w:szCs w:val="16"/>
          <w:color w:val="000000"/>
        </w:rPr>
        <w:t>*</w:t>
      </w:r>
    </w:p>
    <w:p>
      <w:pPr>
        <w:spacing w:after="0" w:line="47" w:lineRule="exact"/>
        <w:rPr>
          <w:sz w:val="20"/>
          <w:szCs w:val="20"/>
          <w:color w:val="auto"/>
        </w:rPr>
      </w:pPr>
    </w:p>
    <w:p>
      <w:pPr>
        <w:ind w:left="500"/>
        <w:spacing w:after="0"/>
        <w:tabs>
          <w:tab w:leader="none" w:pos="940" w:val="left"/>
        </w:tabs>
        <w:rPr>
          <w:rFonts w:ascii="Arial" w:cs="Arial" w:eastAsia="Arial" w:hAnsi="Arial"/>
          <w:sz w:val="16"/>
          <w:szCs w:val="16"/>
          <w:u w:val="single" w:color="auto"/>
          <w:color w:val="0000FF"/>
        </w:rPr>
      </w:pPr>
      <w:hyperlink r:id="rId138"/>
      <w:r>
        <w:rPr>
          <w:rFonts w:ascii="Arial" w:cs="Arial" w:eastAsia="Arial" w:hAnsi="Arial"/>
          <w:sz w:val="32"/>
          <w:szCs w:val="32"/>
          <w:color w:val="000000"/>
          <w:vertAlign w:val="subscript"/>
        </w:rPr>
        <w:t>10p.</w:t>
      </w:r>
      <w:r>
        <w:rPr>
          <w:rFonts w:ascii="Arial" w:cs="Arial" w:eastAsia="Arial" w:hAnsi="Arial"/>
          <w:sz w:val="16"/>
          <w:szCs w:val="16"/>
          <w:color w:val="0000FF"/>
        </w:rPr>
        <w:tab/>
      </w:r>
      <w:hyperlink r:id="rId138">
        <w:r>
          <w:rPr>
            <w:rFonts w:ascii="Arial" w:cs="Arial" w:eastAsia="Arial" w:hAnsi="Arial"/>
            <w:sz w:val="16"/>
            <w:szCs w:val="16"/>
            <w:u w:val="single" w:color="auto"/>
            <w:color w:val="0000FF"/>
          </w:rPr>
          <w:t>Winnebago Industries, Inc. Supplemental Executive Retirement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-177800</wp:posOffset>
            </wp:positionV>
            <wp:extent cx="7115175" cy="2400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9">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spacing w:after="0" w:line="92" w:lineRule="exact"/>
        <w:rPr>
          <w:sz w:val="20"/>
          <w:szCs w:val="20"/>
          <w:color w:val="auto"/>
        </w:rPr>
      </w:pPr>
    </w:p>
    <w:p>
      <w:pPr>
        <w:ind w:left="960" w:right="360" w:hanging="459"/>
        <w:spacing w:after="0" w:line="232"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10q.</w:t>
      </w:r>
      <w:r>
        <w:rPr>
          <w:sz w:val="20"/>
          <w:szCs w:val="20"/>
          <w:color w:val="auto"/>
        </w:rPr>
        <w:tab/>
      </w:r>
      <w:hyperlink w:anchor="page90">
        <w:r>
          <w:rPr>
            <w:rFonts w:ascii="Arial" w:cs="Arial" w:eastAsia="Arial" w:hAnsi="Arial"/>
            <w:sz w:val="16"/>
            <w:szCs w:val="16"/>
            <w:u w:val="single" w:color="auto"/>
            <w:color w:val="0000FF"/>
          </w:rPr>
          <w:t>Winnebago Industries, Inc. Executive Incentive Compensation Plan for Fiscal</w:t>
        </w:r>
      </w:hyperlink>
      <w:r>
        <w:rPr>
          <w:rFonts w:ascii="Arial" w:cs="Arial" w:eastAsia="Arial" w:hAnsi="Arial"/>
          <w:sz w:val="16"/>
          <w:szCs w:val="16"/>
          <w:u w:val="single" w:color="auto"/>
          <w:color w:val="0000FF"/>
        </w:rPr>
        <w:t xml:space="preserve"> </w:t>
      </w:r>
      <w:hyperlink w:anchor="page90">
        <w:r>
          <w:rPr>
            <w:rFonts w:ascii="Arial" w:cs="Arial" w:eastAsia="Arial" w:hAnsi="Arial"/>
            <w:sz w:val="16"/>
            <w:szCs w:val="16"/>
            <w:u w:val="single" w:color="auto"/>
            <w:color w:val="0000FF"/>
          </w:rPr>
          <w:t>Period 2021.*</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Borders>
              <w:bottom w:val="single" w:sz="8" w:color="auto"/>
            </w:tcBorders>
            <w:gridSpan w:val="5"/>
          </w:tcPr>
          <w:p>
            <w:pPr>
              <w:jc w:val="right"/>
              <w:ind w:right="479"/>
              <w:spacing w:after="0"/>
              <w:rPr>
                <w:sz w:val="20"/>
                <w:szCs w:val="20"/>
                <w:color w:val="auto"/>
              </w:rPr>
            </w:pPr>
            <w:r>
              <w:rPr>
                <w:rFonts w:ascii="Arial" w:cs="Arial" w:eastAsia="Arial" w:hAnsi="Arial"/>
                <w:sz w:val="16"/>
                <w:szCs w:val="16"/>
                <w:b w:val="1"/>
                <w:bCs w:val="1"/>
                <w:color w:val="auto"/>
              </w:rPr>
              <w:t>Incorporated by Reference</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Filed</w:t>
            </w:r>
          </w:p>
        </w:tc>
      </w:tr>
      <w:tr>
        <w:trPr>
          <w:trHeight w:val="230"/>
        </w:trPr>
        <w:tc>
          <w:tcPr>
            <w:tcW w:w="98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Form</w:t>
            </w:r>
          </w:p>
        </w:tc>
        <w:tc>
          <w:tcPr>
            <w:tcW w:w="120" w:type="dxa"/>
            <w:vAlign w:val="bottom"/>
          </w:tcPr>
          <w:p>
            <w:pPr>
              <w:spacing w:after="0"/>
              <w:rPr>
                <w:sz w:val="20"/>
                <w:szCs w:val="20"/>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Filing Date</w:t>
            </w:r>
          </w:p>
        </w:tc>
        <w:tc>
          <w:tcPr>
            <w:tcW w:w="1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Herewith</w:t>
            </w:r>
          </w:p>
        </w:tc>
      </w:tr>
      <w:tr>
        <w:trPr>
          <w:trHeight w:val="858"/>
        </w:trPr>
        <w:tc>
          <w:tcPr>
            <w:tcW w:w="1100" w:type="dxa"/>
            <w:vAlign w:val="bottom"/>
            <w:gridSpan w:val="2"/>
          </w:tcPr>
          <w:p>
            <w:pPr>
              <w:ind w:left="600"/>
              <w:spacing w:after="0"/>
              <w:rPr>
                <w:sz w:val="20"/>
                <w:szCs w:val="20"/>
                <w:color w:val="auto"/>
              </w:rPr>
            </w:pPr>
            <w:r>
              <w:rPr>
                <w:rFonts w:ascii="Arial" w:cs="Arial" w:eastAsia="Arial" w:hAnsi="Arial"/>
                <w:sz w:val="16"/>
                <w:szCs w:val="16"/>
                <w:color w:val="auto"/>
              </w:rPr>
              <w:t>10-Q</w:t>
            </w:r>
          </w:p>
        </w:tc>
        <w:tc>
          <w:tcPr>
            <w:tcW w:w="84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07/01/2011</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720"/>
        <w:spacing w:after="0"/>
        <w:tabs>
          <w:tab w:leader="none" w:pos="1580" w:val="left"/>
          <w:tab w:leader="none" w:pos="2340" w:val="left"/>
        </w:tabs>
        <w:rPr>
          <w:sz w:val="20"/>
          <w:szCs w:val="20"/>
          <w:color w:val="auto"/>
        </w:rPr>
      </w:pPr>
      <w:r>
        <w:rPr>
          <w:rFonts w:ascii="Arial" w:cs="Arial" w:eastAsia="Arial" w:hAnsi="Arial"/>
          <w:sz w:val="16"/>
          <w:szCs w:val="16"/>
          <w:color w:val="auto"/>
        </w:rPr>
        <w:t>8-K</w:t>
      </w:r>
      <w:r>
        <w:rPr>
          <w:sz w:val="20"/>
          <w:szCs w:val="20"/>
          <w:color w:val="auto"/>
        </w:rPr>
        <w:tab/>
      </w:r>
      <w:r>
        <w:rPr>
          <w:rFonts w:ascii="Arial" w:cs="Arial" w:eastAsia="Arial" w:hAnsi="Arial"/>
          <w:sz w:val="16"/>
          <w:szCs w:val="16"/>
          <w:color w:val="auto"/>
        </w:rPr>
        <w:t>10.1</w:t>
      </w:r>
      <w:r>
        <w:rPr>
          <w:sz w:val="20"/>
          <w:szCs w:val="20"/>
          <w:color w:val="auto"/>
        </w:rPr>
        <w:tab/>
      </w:r>
      <w:r>
        <w:rPr>
          <w:rFonts w:ascii="Arial" w:cs="Arial" w:eastAsia="Arial" w:hAnsi="Arial"/>
          <w:sz w:val="15"/>
          <w:szCs w:val="15"/>
          <w:color w:val="auto"/>
        </w:rPr>
        <w:t>12/06/2013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20"/>
        <w:spacing w:after="0"/>
        <w:tabs>
          <w:tab w:leader="none" w:pos="1780" w:val="left"/>
          <w:tab w:leader="none" w:pos="2340" w:val="left"/>
        </w:tabs>
        <w:rPr>
          <w:sz w:val="20"/>
          <w:szCs w:val="20"/>
          <w:color w:val="auto"/>
        </w:rPr>
      </w:pPr>
      <w:r>
        <w:rPr>
          <w:rFonts w:ascii="Arial" w:cs="Arial" w:eastAsia="Arial" w:hAnsi="Arial"/>
          <w:sz w:val="16"/>
          <w:szCs w:val="16"/>
          <w:color w:val="auto"/>
        </w:rPr>
        <w:t>DEF 14A</w:t>
      </w:r>
      <w:r>
        <w:rPr>
          <w:sz w:val="20"/>
          <w:szCs w:val="20"/>
          <w:color w:val="auto"/>
        </w:rPr>
        <w:tab/>
      </w:r>
      <w:r>
        <w:rPr>
          <w:rFonts w:ascii="Arial" w:cs="Arial" w:eastAsia="Arial" w:hAnsi="Arial"/>
          <w:sz w:val="16"/>
          <w:szCs w:val="16"/>
          <w:color w:val="auto"/>
        </w:rPr>
        <w:t>A</w:t>
      </w:r>
      <w:r>
        <w:rPr>
          <w:sz w:val="20"/>
          <w:szCs w:val="20"/>
          <w:color w:val="auto"/>
        </w:rPr>
        <w:tab/>
      </w:r>
      <w:r>
        <w:rPr>
          <w:rFonts w:ascii="Arial" w:cs="Arial" w:eastAsia="Arial" w:hAnsi="Arial"/>
          <w:sz w:val="15"/>
          <w:szCs w:val="15"/>
          <w:color w:val="auto"/>
        </w:rPr>
        <w:t>10/31/2018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00"/>
        <w:spacing w:after="0"/>
        <w:tabs>
          <w:tab w:leader="none" w:pos="1580" w:val="left"/>
          <w:tab w:leader="none" w:pos="2340" w:val="left"/>
        </w:tabs>
        <w:rPr>
          <w:sz w:val="20"/>
          <w:szCs w:val="20"/>
          <w:color w:val="auto"/>
        </w:rPr>
      </w:pPr>
      <w:r>
        <w:rPr>
          <w:rFonts w:ascii="Arial" w:cs="Arial" w:eastAsia="Arial" w:hAnsi="Arial"/>
          <w:sz w:val="16"/>
          <w:szCs w:val="16"/>
          <w:color w:val="auto"/>
        </w:rPr>
        <w:t>10-Q</w:t>
      </w:r>
      <w:r>
        <w:rPr>
          <w:sz w:val="20"/>
          <w:szCs w:val="20"/>
          <w:color w:val="auto"/>
        </w:rPr>
        <w:tab/>
      </w:r>
      <w:r>
        <w:rPr>
          <w:rFonts w:ascii="Arial" w:cs="Arial" w:eastAsia="Arial" w:hAnsi="Arial"/>
          <w:sz w:val="16"/>
          <w:szCs w:val="16"/>
          <w:color w:val="auto"/>
        </w:rPr>
        <w:t>10.1</w:t>
      </w:r>
      <w:r>
        <w:rPr>
          <w:sz w:val="20"/>
          <w:szCs w:val="20"/>
          <w:color w:val="auto"/>
        </w:rPr>
        <w:tab/>
      </w:r>
      <w:r>
        <w:rPr>
          <w:rFonts w:ascii="Arial" w:cs="Arial" w:eastAsia="Arial" w:hAnsi="Arial"/>
          <w:sz w:val="15"/>
          <w:szCs w:val="15"/>
          <w:color w:val="auto"/>
        </w:rPr>
        <w:t>06/28/2013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660" w:type="dxa"/>
            <w:vAlign w:val="bottom"/>
          </w:tcPr>
          <w:p>
            <w:pPr>
              <w:jc w:val="right"/>
              <w:ind w:right="219"/>
              <w:spacing w:after="0"/>
              <w:rPr>
                <w:sz w:val="20"/>
                <w:szCs w:val="20"/>
                <w:color w:val="auto"/>
              </w:rPr>
            </w:pPr>
            <w:r>
              <w:rPr>
                <w:rFonts w:ascii="Arial" w:cs="Arial" w:eastAsia="Arial" w:hAnsi="Arial"/>
                <w:sz w:val="16"/>
                <w:szCs w:val="16"/>
                <w:color w:val="auto"/>
              </w:rPr>
              <w:t>10-K</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10.C</w:t>
            </w:r>
          </w:p>
        </w:tc>
        <w:tc>
          <w:tcPr>
            <w:tcW w:w="1020" w:type="dxa"/>
            <w:vAlign w:val="bottom"/>
          </w:tcPr>
          <w:p>
            <w:pPr>
              <w:jc w:val="right"/>
              <w:spacing w:after="0"/>
              <w:rPr>
                <w:sz w:val="20"/>
                <w:szCs w:val="20"/>
                <w:color w:val="auto"/>
              </w:rPr>
            </w:pPr>
            <w:r>
              <w:rPr>
                <w:rFonts w:ascii="Arial" w:cs="Arial" w:eastAsia="Arial" w:hAnsi="Arial"/>
                <w:sz w:val="16"/>
                <w:szCs w:val="16"/>
                <w:color w:val="auto"/>
              </w:rPr>
              <w:t>11/22/1995</w:t>
            </w:r>
          </w:p>
        </w:tc>
      </w:tr>
      <w:tr>
        <w:trPr>
          <w:trHeight w:val="783"/>
        </w:trPr>
        <w:tc>
          <w:tcPr>
            <w:tcW w:w="660" w:type="dxa"/>
            <w:vAlign w:val="bottom"/>
          </w:tcPr>
          <w:p>
            <w:pPr>
              <w:jc w:val="right"/>
              <w:ind w:right="219"/>
              <w:spacing w:after="0"/>
              <w:rPr>
                <w:sz w:val="20"/>
                <w:szCs w:val="20"/>
                <w:color w:val="auto"/>
              </w:rPr>
            </w:pPr>
            <w:r>
              <w:rPr>
                <w:rFonts w:ascii="Arial" w:cs="Arial" w:eastAsia="Arial" w:hAnsi="Arial"/>
                <w:sz w:val="16"/>
                <w:szCs w:val="16"/>
                <w:color w:val="auto"/>
              </w:rPr>
              <w:t>8-K</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99.2</w:t>
            </w:r>
          </w:p>
        </w:tc>
        <w:tc>
          <w:tcPr>
            <w:tcW w:w="1020" w:type="dxa"/>
            <w:vAlign w:val="bottom"/>
          </w:tcPr>
          <w:p>
            <w:pPr>
              <w:jc w:val="right"/>
              <w:spacing w:after="0"/>
              <w:rPr>
                <w:sz w:val="20"/>
                <w:szCs w:val="20"/>
                <w:color w:val="auto"/>
              </w:rPr>
            </w:pPr>
            <w:r>
              <w:rPr>
                <w:rFonts w:ascii="Arial" w:cs="Arial" w:eastAsia="Arial" w:hAnsi="Arial"/>
                <w:sz w:val="16"/>
                <w:szCs w:val="16"/>
                <w:color w:val="auto"/>
              </w:rPr>
              <w:t>10/20/2017</w:t>
            </w:r>
          </w:p>
        </w:tc>
      </w:tr>
      <w:tr>
        <w:trPr>
          <w:trHeight w:val="621"/>
        </w:trPr>
        <w:tc>
          <w:tcPr>
            <w:tcW w:w="660" w:type="dxa"/>
            <w:vAlign w:val="bottom"/>
          </w:tcPr>
          <w:p>
            <w:pPr>
              <w:jc w:val="right"/>
              <w:ind w:right="219"/>
              <w:spacing w:after="0"/>
              <w:rPr>
                <w:sz w:val="20"/>
                <w:szCs w:val="20"/>
                <w:color w:val="auto"/>
              </w:rPr>
            </w:pPr>
            <w:r>
              <w:rPr>
                <w:rFonts w:ascii="Arial" w:cs="Arial" w:eastAsia="Arial" w:hAnsi="Arial"/>
                <w:sz w:val="16"/>
                <w:szCs w:val="16"/>
                <w:color w:val="auto"/>
                <w:w w:val="95"/>
              </w:rPr>
              <w:t>10-Q</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10.b</w:t>
            </w:r>
          </w:p>
        </w:tc>
        <w:tc>
          <w:tcPr>
            <w:tcW w:w="1020" w:type="dxa"/>
            <w:vAlign w:val="bottom"/>
          </w:tcPr>
          <w:p>
            <w:pPr>
              <w:jc w:val="right"/>
              <w:spacing w:after="0"/>
              <w:rPr>
                <w:sz w:val="20"/>
                <w:szCs w:val="20"/>
                <w:color w:val="auto"/>
              </w:rPr>
            </w:pPr>
            <w:r>
              <w:rPr>
                <w:rFonts w:ascii="Arial" w:cs="Arial" w:eastAsia="Arial" w:hAnsi="Arial"/>
                <w:sz w:val="16"/>
                <w:szCs w:val="16"/>
                <w:color w:val="auto"/>
              </w:rPr>
              <w:t>12/20/2018</w:t>
            </w:r>
          </w:p>
        </w:tc>
      </w:tr>
      <w:tr>
        <w:trPr>
          <w:trHeight w:val="702"/>
        </w:trPr>
        <w:tc>
          <w:tcPr>
            <w:tcW w:w="660" w:type="dxa"/>
            <w:vAlign w:val="bottom"/>
          </w:tcPr>
          <w:p>
            <w:pPr>
              <w:jc w:val="right"/>
              <w:ind w:right="219"/>
              <w:spacing w:after="0"/>
              <w:rPr>
                <w:sz w:val="20"/>
                <w:szCs w:val="20"/>
                <w:color w:val="auto"/>
              </w:rPr>
            </w:pPr>
            <w:r>
              <w:rPr>
                <w:rFonts w:ascii="Arial" w:cs="Arial" w:eastAsia="Arial" w:hAnsi="Arial"/>
                <w:sz w:val="16"/>
                <w:szCs w:val="16"/>
                <w:color w:val="auto"/>
                <w:w w:val="95"/>
              </w:rPr>
              <w:t>10-Q</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10.c</w:t>
            </w:r>
          </w:p>
        </w:tc>
        <w:tc>
          <w:tcPr>
            <w:tcW w:w="1020" w:type="dxa"/>
            <w:vAlign w:val="bottom"/>
          </w:tcPr>
          <w:p>
            <w:pPr>
              <w:jc w:val="right"/>
              <w:spacing w:after="0"/>
              <w:rPr>
                <w:sz w:val="20"/>
                <w:szCs w:val="20"/>
                <w:color w:val="auto"/>
              </w:rPr>
            </w:pPr>
            <w:r>
              <w:rPr>
                <w:rFonts w:ascii="Arial" w:cs="Arial" w:eastAsia="Arial" w:hAnsi="Arial"/>
                <w:sz w:val="16"/>
                <w:szCs w:val="16"/>
                <w:color w:val="auto"/>
              </w:rPr>
              <w:t>12/20/2018</w:t>
            </w:r>
          </w:p>
        </w:tc>
      </w:tr>
      <w:tr>
        <w:trPr>
          <w:trHeight w:val="702"/>
        </w:trPr>
        <w:tc>
          <w:tcPr>
            <w:tcW w:w="660" w:type="dxa"/>
            <w:vAlign w:val="bottom"/>
          </w:tcPr>
          <w:p>
            <w:pPr>
              <w:jc w:val="right"/>
              <w:ind w:right="219"/>
              <w:spacing w:after="0"/>
              <w:rPr>
                <w:sz w:val="20"/>
                <w:szCs w:val="20"/>
                <w:color w:val="auto"/>
              </w:rPr>
            </w:pPr>
            <w:r>
              <w:rPr>
                <w:rFonts w:ascii="Arial" w:cs="Arial" w:eastAsia="Arial" w:hAnsi="Arial"/>
                <w:sz w:val="16"/>
                <w:szCs w:val="16"/>
                <w:color w:val="auto"/>
                <w:w w:val="95"/>
              </w:rPr>
              <w:t>10-Q</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10.d</w:t>
            </w:r>
          </w:p>
        </w:tc>
        <w:tc>
          <w:tcPr>
            <w:tcW w:w="1020" w:type="dxa"/>
            <w:vAlign w:val="bottom"/>
          </w:tcPr>
          <w:p>
            <w:pPr>
              <w:jc w:val="right"/>
              <w:spacing w:after="0"/>
              <w:rPr>
                <w:sz w:val="20"/>
                <w:szCs w:val="20"/>
                <w:color w:val="auto"/>
              </w:rPr>
            </w:pPr>
            <w:r>
              <w:rPr>
                <w:rFonts w:ascii="Arial" w:cs="Arial" w:eastAsia="Arial" w:hAnsi="Arial"/>
                <w:sz w:val="16"/>
                <w:szCs w:val="16"/>
                <w:color w:val="auto"/>
              </w:rPr>
              <w:t>12/20/2018</w:t>
            </w:r>
          </w:p>
        </w:tc>
      </w:tr>
      <w:tr>
        <w:trPr>
          <w:trHeight w:val="702"/>
        </w:trPr>
        <w:tc>
          <w:tcPr>
            <w:tcW w:w="660" w:type="dxa"/>
            <w:vAlign w:val="bottom"/>
          </w:tcPr>
          <w:p>
            <w:pPr>
              <w:jc w:val="right"/>
              <w:ind w:right="219"/>
              <w:spacing w:after="0"/>
              <w:rPr>
                <w:sz w:val="20"/>
                <w:szCs w:val="20"/>
                <w:color w:val="auto"/>
              </w:rPr>
            </w:pPr>
            <w:r>
              <w:rPr>
                <w:rFonts w:ascii="Arial" w:cs="Arial" w:eastAsia="Arial" w:hAnsi="Arial"/>
                <w:sz w:val="16"/>
                <w:szCs w:val="16"/>
                <w:color w:val="auto"/>
                <w:w w:val="95"/>
              </w:rPr>
              <w:t>10-Q</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10.e</w:t>
            </w:r>
          </w:p>
        </w:tc>
        <w:tc>
          <w:tcPr>
            <w:tcW w:w="1020" w:type="dxa"/>
            <w:vAlign w:val="bottom"/>
          </w:tcPr>
          <w:p>
            <w:pPr>
              <w:jc w:val="right"/>
              <w:spacing w:after="0"/>
              <w:rPr>
                <w:sz w:val="20"/>
                <w:szCs w:val="20"/>
                <w:color w:val="auto"/>
              </w:rPr>
            </w:pPr>
            <w:r>
              <w:rPr>
                <w:rFonts w:ascii="Arial" w:cs="Arial" w:eastAsia="Arial" w:hAnsi="Arial"/>
                <w:sz w:val="16"/>
                <w:szCs w:val="16"/>
                <w:color w:val="auto"/>
              </w:rPr>
              <w:t>12/20/2018</w:t>
            </w:r>
          </w:p>
        </w:tc>
      </w:tr>
      <w:tr>
        <w:trPr>
          <w:trHeight w:val="621"/>
        </w:trPr>
        <w:tc>
          <w:tcPr>
            <w:tcW w:w="660" w:type="dxa"/>
            <w:vAlign w:val="bottom"/>
          </w:tcPr>
          <w:p>
            <w:pPr>
              <w:jc w:val="right"/>
              <w:ind w:right="219"/>
              <w:spacing w:after="0"/>
              <w:rPr>
                <w:sz w:val="20"/>
                <w:szCs w:val="20"/>
                <w:color w:val="auto"/>
              </w:rPr>
            </w:pPr>
            <w:r>
              <w:rPr>
                <w:rFonts w:ascii="Arial" w:cs="Arial" w:eastAsia="Arial" w:hAnsi="Arial"/>
                <w:sz w:val="16"/>
                <w:szCs w:val="16"/>
                <w:color w:val="auto"/>
              </w:rPr>
              <w:t>10-K</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10p</w:t>
            </w:r>
          </w:p>
        </w:tc>
        <w:tc>
          <w:tcPr>
            <w:tcW w:w="1020" w:type="dxa"/>
            <w:vAlign w:val="bottom"/>
          </w:tcPr>
          <w:p>
            <w:pPr>
              <w:jc w:val="right"/>
              <w:spacing w:after="0"/>
              <w:rPr>
                <w:sz w:val="20"/>
                <w:szCs w:val="20"/>
                <w:color w:val="auto"/>
              </w:rPr>
            </w:pPr>
            <w:r>
              <w:rPr>
                <w:rFonts w:ascii="Arial" w:cs="Arial" w:eastAsia="Arial" w:hAnsi="Arial"/>
                <w:sz w:val="16"/>
                <w:szCs w:val="16"/>
                <w:color w:val="auto"/>
              </w:rPr>
              <w:t>10/23/2019</w:t>
            </w:r>
          </w:p>
        </w:tc>
      </w:tr>
      <w:tr>
        <w:trPr>
          <w:trHeight w:val="459"/>
        </w:trPr>
        <w:tc>
          <w:tcPr>
            <w:tcW w:w="660" w:type="dxa"/>
            <w:vAlign w:val="bottom"/>
          </w:tcPr>
          <w:p>
            <w:pPr>
              <w:jc w:val="right"/>
              <w:ind w:right="219"/>
              <w:spacing w:after="0"/>
              <w:rPr>
                <w:sz w:val="20"/>
                <w:szCs w:val="20"/>
                <w:color w:val="auto"/>
              </w:rPr>
            </w:pPr>
            <w:r>
              <w:rPr>
                <w:rFonts w:ascii="Arial" w:cs="Arial" w:eastAsia="Arial" w:hAnsi="Arial"/>
                <w:sz w:val="16"/>
                <w:szCs w:val="16"/>
                <w:color w:val="auto"/>
                <w:w w:val="95"/>
              </w:rPr>
              <w:t>10-Q</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10.f</w:t>
            </w:r>
          </w:p>
        </w:tc>
        <w:tc>
          <w:tcPr>
            <w:tcW w:w="1020" w:type="dxa"/>
            <w:vAlign w:val="bottom"/>
          </w:tcPr>
          <w:p>
            <w:pPr>
              <w:jc w:val="right"/>
              <w:spacing w:after="0"/>
              <w:rPr>
                <w:sz w:val="20"/>
                <w:szCs w:val="20"/>
                <w:color w:val="auto"/>
              </w:rPr>
            </w:pPr>
            <w:r>
              <w:rPr>
                <w:rFonts w:ascii="Arial" w:cs="Arial" w:eastAsia="Arial" w:hAnsi="Arial"/>
                <w:sz w:val="16"/>
                <w:szCs w:val="16"/>
                <w:color w:val="auto"/>
              </w:rPr>
              <w:t>12/20/2018</w:t>
            </w:r>
          </w:p>
        </w:tc>
      </w:tr>
      <w:tr>
        <w:trPr>
          <w:trHeight w:val="378"/>
        </w:trPr>
        <w:tc>
          <w:tcPr>
            <w:tcW w:w="660" w:type="dxa"/>
            <w:vAlign w:val="bottom"/>
          </w:tcPr>
          <w:p>
            <w:pPr>
              <w:jc w:val="right"/>
              <w:ind w:right="219"/>
              <w:spacing w:after="0"/>
              <w:rPr>
                <w:sz w:val="20"/>
                <w:szCs w:val="20"/>
                <w:color w:val="auto"/>
              </w:rPr>
            </w:pPr>
            <w:r>
              <w:rPr>
                <w:rFonts w:ascii="Arial" w:cs="Arial" w:eastAsia="Arial" w:hAnsi="Arial"/>
                <w:sz w:val="16"/>
                <w:szCs w:val="16"/>
                <w:color w:val="auto"/>
              </w:rPr>
              <w:t>10-K</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10.Z</w:t>
            </w:r>
          </w:p>
        </w:tc>
        <w:tc>
          <w:tcPr>
            <w:tcW w:w="1020" w:type="dxa"/>
            <w:vAlign w:val="bottom"/>
          </w:tcPr>
          <w:p>
            <w:pPr>
              <w:jc w:val="right"/>
              <w:spacing w:after="0"/>
              <w:rPr>
                <w:sz w:val="20"/>
                <w:szCs w:val="20"/>
                <w:color w:val="auto"/>
              </w:rPr>
            </w:pPr>
            <w:r>
              <w:rPr>
                <w:rFonts w:ascii="Arial" w:cs="Arial" w:eastAsia="Arial" w:hAnsi="Arial"/>
                <w:sz w:val="16"/>
                <w:szCs w:val="16"/>
                <w:color w:val="auto"/>
              </w:rPr>
              <w:t>10/27/2009</w:t>
            </w:r>
          </w:p>
        </w:tc>
      </w:tr>
    </w:tbl>
    <w:p>
      <w:pPr>
        <w:spacing w:after="0" w:line="183" w:lineRule="exact"/>
        <w:rPr>
          <w:sz w:val="20"/>
          <w:szCs w:val="20"/>
          <w:color w:val="auto"/>
        </w:rPr>
      </w:pPr>
    </w:p>
    <w:p>
      <w:pPr>
        <w:jc w:val="right"/>
        <w:ind w:right="420"/>
        <w:spacing w:after="0"/>
        <w:rPr>
          <w:sz w:val="20"/>
          <w:szCs w:val="20"/>
          <w:color w:val="auto"/>
        </w:rPr>
      </w:pPr>
      <w:r>
        <w:rPr>
          <w:rFonts w:ascii="Arial" w:cs="Arial" w:eastAsia="Arial" w:hAnsi="Arial"/>
          <w:sz w:val="16"/>
          <w:szCs w:val="16"/>
          <w:color w:val="auto"/>
        </w:rPr>
        <w:t>X</w:t>
      </w:r>
    </w:p>
    <w:p>
      <w:pPr>
        <w:spacing w:after="0" w:line="290" w:lineRule="exact"/>
        <w:rPr>
          <w:sz w:val="20"/>
          <w:szCs w:val="20"/>
          <w:color w:val="auto"/>
        </w:rPr>
      </w:pPr>
    </w:p>
    <w:p>
      <w:pPr>
        <w:sectPr>
          <w:pgSz w:w="11900" w:h="16838" w:orient="portrait"/>
          <w:cols w:equalWidth="0" w:num="2">
            <w:col w:w="6840" w:space="120"/>
            <w:col w:w="4260"/>
          </w:cols>
          <w:pgMar w:left="320" w:top="141" w:right="35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type w:val="continuous"/>
        </w:sectPr>
      </w:pPr>
    </w:p>
    <w:bookmarkStart w:id="78" w:name="page79"/>
    <w:bookmarkEnd w:id="7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6"/>
          <w:szCs w:val="16"/>
          <w:b w:val="1"/>
          <w:bCs w:val="1"/>
          <w:color w:val="auto"/>
        </w:rPr>
        <w:t>No.</w:t>
      </w:r>
      <w:r>
        <w:rPr>
          <w:sz w:val="20"/>
          <w:szCs w:val="20"/>
          <w:color w:val="auto"/>
        </w:rPr>
        <w:tab/>
      </w:r>
      <w:r>
        <w:rPr>
          <w:rFonts w:ascii="Arial" w:cs="Arial" w:eastAsia="Arial" w:hAnsi="Arial"/>
          <w:sz w:val="16"/>
          <w:szCs w:val="16"/>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2482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1">
                      <a:extLst>
                        <a:ext uri="{28A0092B-C50C-407E-A947-70E740481C1C}"/>
                      </a:extLst>
                    </a:blip>
                    <a:srcRect/>
                    <a:stretch>
                      <a:fillRect/>
                    </a:stretch>
                  </pic:blipFill>
                  <pic:spPr bwMode="auto">
                    <a:xfrm>
                      <a:off x="0" y="0"/>
                      <a:ext cx="7115175" cy="248285"/>
                    </a:xfrm>
                    <a:prstGeom prst="rect">
                      <a:avLst/>
                    </a:prstGeom>
                    <a:noFill/>
                  </pic:spPr>
                </pic:pic>
              </a:graphicData>
            </a:graphic>
          </wp:anchor>
        </w:drawing>
      </w:r>
    </w:p>
    <w:p>
      <w:pPr>
        <w:ind w:left="540"/>
        <w:spacing w:after="0"/>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10r.</w:t>
      </w:r>
      <w:r>
        <w:rPr>
          <w:sz w:val="20"/>
          <w:szCs w:val="20"/>
          <w:color w:val="auto"/>
        </w:rPr>
        <w:tab/>
      </w:r>
      <w:hyperlink w:anchor="page100">
        <w:r>
          <w:rPr>
            <w:rFonts w:ascii="Arial" w:cs="Arial" w:eastAsia="Arial" w:hAnsi="Arial"/>
            <w:sz w:val="16"/>
            <w:szCs w:val="16"/>
            <w:u w:val="single" w:color="auto"/>
            <w:color w:val="0000FF"/>
          </w:rPr>
          <w:t>Form of Performance Stock Unit Agreement under Winnebago Industries, Inc.</w:t>
        </w:r>
      </w:hyperlink>
    </w:p>
    <w:p>
      <w:pPr>
        <w:ind w:left="960"/>
        <w:spacing w:after="0"/>
        <w:rPr>
          <w:rFonts w:ascii="Arial" w:cs="Arial" w:eastAsia="Arial" w:hAnsi="Arial"/>
          <w:sz w:val="16"/>
          <w:szCs w:val="16"/>
          <w:u w:val="single" w:color="auto"/>
          <w:color w:val="0000FF"/>
        </w:rPr>
      </w:pPr>
      <w:hyperlink w:anchor="page100">
        <w:r>
          <w:rPr>
            <w:rFonts w:ascii="Arial" w:cs="Arial" w:eastAsia="Arial" w:hAnsi="Arial"/>
            <w:sz w:val="16"/>
            <w:szCs w:val="16"/>
            <w:u w:val="single" w:color="auto"/>
            <w:color w:val="0000FF"/>
          </w:rPr>
          <w:t>2019 Omnibus Incentive Plan (Special FY21 1-year award).*</w:t>
        </w:r>
      </w:hyperlink>
    </w:p>
    <w:p>
      <w:pPr>
        <w:ind w:left="500"/>
        <w:spacing w:after="0"/>
        <w:tabs>
          <w:tab w:leader="none" w:pos="940" w:val="left"/>
        </w:tabs>
        <w:rPr>
          <w:rFonts w:ascii="Arial" w:cs="Arial" w:eastAsia="Arial" w:hAnsi="Arial"/>
          <w:sz w:val="16"/>
          <w:szCs w:val="16"/>
          <w:u w:val="single" w:color="auto"/>
          <w:color w:val="0000FF"/>
        </w:rPr>
      </w:pPr>
      <w:r>
        <w:rPr>
          <w:rFonts w:ascii="Arial" w:cs="Arial" w:eastAsia="Arial" w:hAnsi="Arial"/>
          <w:sz w:val="13"/>
          <w:szCs w:val="13"/>
          <w:color w:val="auto"/>
        </w:rPr>
        <w:t>10s.</w:t>
      </w:r>
      <w:r>
        <w:rPr>
          <w:sz w:val="20"/>
          <w:szCs w:val="20"/>
          <w:color w:val="auto"/>
        </w:rPr>
        <w:tab/>
      </w:r>
      <w:hyperlink w:anchor="page105">
        <w:r>
          <w:rPr>
            <w:rFonts w:ascii="Arial" w:cs="Arial" w:eastAsia="Arial" w:hAnsi="Arial"/>
            <w:sz w:val="16"/>
            <w:szCs w:val="16"/>
            <w:u w:val="single" w:color="auto"/>
            <w:color w:val="0000FF"/>
          </w:rPr>
          <w:t>Form of Performance Stock Unit Agreement under Winnebago Industries, Inc.</w:t>
        </w:r>
      </w:hyperlink>
    </w:p>
    <w:p>
      <w:pPr>
        <w:ind w:left="960"/>
        <w:spacing w:after="0"/>
        <w:rPr>
          <w:rFonts w:ascii="Arial" w:cs="Arial" w:eastAsia="Arial" w:hAnsi="Arial"/>
          <w:sz w:val="16"/>
          <w:szCs w:val="16"/>
          <w:u w:val="single" w:color="auto"/>
          <w:color w:val="0000FF"/>
        </w:rPr>
      </w:pPr>
      <w:hyperlink w:anchor="page105">
        <w:r>
          <w:rPr>
            <w:rFonts w:ascii="Arial" w:cs="Arial" w:eastAsia="Arial" w:hAnsi="Arial"/>
            <w:sz w:val="16"/>
            <w:szCs w:val="16"/>
            <w:u w:val="single" w:color="auto"/>
            <w:color w:val="0000FF"/>
          </w:rPr>
          <w:t>2019 Omnibus Incentive Plan (Fiscal 2021 awards)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10795</wp:posOffset>
            </wp:positionV>
            <wp:extent cx="7115175" cy="4457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2">
                      <a:extLst>
                        <a:ext uri="{28A0092B-C50C-407E-A947-70E740481C1C}"/>
                      </a:extLst>
                    </a:blip>
                    <a:srcRect/>
                    <a:stretch>
                      <a:fillRect/>
                    </a:stretch>
                  </pic:blipFill>
                  <pic:spPr bwMode="auto">
                    <a:xfrm>
                      <a:off x="0" y="0"/>
                      <a:ext cx="7115175" cy="445770"/>
                    </a:xfrm>
                    <a:prstGeom prst="rect">
                      <a:avLst/>
                    </a:prstGeom>
                    <a:noFill/>
                  </pic:spPr>
                </pic:pic>
              </a:graphicData>
            </a:graphic>
          </wp:anchor>
        </w:drawing>
      </w:r>
    </w:p>
    <w:p>
      <w:pPr>
        <w:ind w:left="960"/>
        <w:spacing w:after="0"/>
        <w:rPr>
          <w:rFonts w:ascii="Arial" w:cs="Arial" w:eastAsia="Arial" w:hAnsi="Arial"/>
          <w:sz w:val="16"/>
          <w:szCs w:val="16"/>
          <w:u w:val="single" w:color="auto"/>
          <w:color w:val="0000FF"/>
        </w:rPr>
      </w:pPr>
      <w:hyperlink r:id="rId143">
        <w:r>
          <w:rPr>
            <w:rFonts w:ascii="Arial" w:cs="Arial" w:eastAsia="Arial" w:hAnsi="Arial"/>
            <w:sz w:val="16"/>
            <w:szCs w:val="16"/>
            <w:u w:val="single" w:color="auto"/>
            <w:color w:val="0000FF"/>
          </w:rPr>
          <w:t>Non-competition, Non-solicitation and Confidentiality Agreement by and among</w:t>
        </w:r>
      </w:hyperlink>
    </w:p>
    <w:p>
      <w:pPr>
        <w:ind w:left="960" w:right="160" w:hanging="419"/>
        <w:spacing w:after="0" w:line="232"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10t.</w:t>
      </w:r>
      <w:r>
        <w:rPr>
          <w:sz w:val="20"/>
          <w:szCs w:val="20"/>
          <w:color w:val="auto"/>
        </w:rPr>
        <w:tab/>
      </w:r>
      <w:hyperlink r:id="rId143">
        <w:r>
          <w:rPr>
            <w:rFonts w:ascii="Arial" w:cs="Arial" w:eastAsia="Arial" w:hAnsi="Arial"/>
            <w:sz w:val="16"/>
            <w:szCs w:val="16"/>
            <w:u w:val="single" w:color="auto"/>
            <w:color w:val="0000FF"/>
          </w:rPr>
          <w:t>Octavius Corporation, Winnebago Industries, Inc., Grand Design RV, LLC, RDB</w:t>
        </w:r>
      </w:hyperlink>
      <w:r>
        <w:rPr>
          <w:rFonts w:ascii="Arial" w:cs="Arial" w:eastAsia="Arial" w:hAnsi="Arial"/>
          <w:sz w:val="16"/>
          <w:szCs w:val="16"/>
          <w:u w:val="single" w:color="auto"/>
          <w:color w:val="0000FF"/>
        </w:rPr>
        <w:t xml:space="preserve"> </w:t>
      </w:r>
      <w:hyperlink r:id="rId143">
        <w:r>
          <w:rPr>
            <w:rFonts w:ascii="Arial" w:cs="Arial" w:eastAsia="Arial" w:hAnsi="Arial"/>
            <w:sz w:val="16"/>
            <w:szCs w:val="16"/>
            <w:u w:val="single" w:color="auto"/>
            <w:color w:val="0000FF"/>
          </w:rPr>
          <w:t>III, Inc., Ronald Fenech, Donald Clark and William Fenech.</w:t>
        </w:r>
      </w:hyperlink>
    </w:p>
    <w:p>
      <w:pPr>
        <w:spacing w:after="0" w:line="184" w:lineRule="exact"/>
        <w:rPr>
          <w:sz w:val="20"/>
          <w:szCs w:val="20"/>
          <w:color w:val="auto"/>
        </w:rPr>
      </w:pPr>
    </w:p>
    <w:p>
      <w:pPr>
        <w:ind w:left="960" w:right="180"/>
        <w:spacing w:after="0" w:line="211" w:lineRule="auto"/>
        <w:rPr>
          <w:rFonts w:ascii="Arial" w:cs="Arial" w:eastAsia="Arial" w:hAnsi="Arial"/>
          <w:sz w:val="16"/>
          <w:szCs w:val="16"/>
          <w:u w:val="single" w:color="auto"/>
          <w:color w:val="0000FF"/>
        </w:rPr>
      </w:pPr>
      <w:hyperlink r:id="rId144">
        <w:r>
          <w:rPr>
            <w:rFonts w:ascii="Arial" w:cs="Arial" w:eastAsia="Arial" w:hAnsi="Arial"/>
            <w:sz w:val="16"/>
            <w:szCs w:val="16"/>
            <w:u w:val="single" w:color="auto"/>
            <w:color w:val="0000FF"/>
          </w:rPr>
          <w:t>Non-Solicitation and Confidentiality Agreement by and among Octavius</w:t>
        </w:r>
      </w:hyperlink>
      <w:r>
        <w:rPr>
          <w:rFonts w:ascii="Arial" w:cs="Arial" w:eastAsia="Arial" w:hAnsi="Arial"/>
          <w:sz w:val="16"/>
          <w:szCs w:val="16"/>
          <w:u w:val="single" w:color="auto"/>
          <w:color w:val="0000FF"/>
        </w:rPr>
        <w:t xml:space="preserve"> </w:t>
      </w:r>
      <w:hyperlink r:id="rId144">
        <w:r>
          <w:rPr>
            <w:rFonts w:ascii="Arial" w:cs="Arial" w:eastAsia="Arial" w:hAnsi="Arial"/>
            <w:sz w:val="16"/>
            <w:szCs w:val="16"/>
            <w:u w:val="single" w:color="auto"/>
            <w:color w:val="0000FF"/>
          </w:rPr>
          <w:t>Corporation, Winnebago Industries, Inc., Grand Design, RV, LLC, Summit</w:t>
        </w:r>
      </w:hyperlink>
      <w:r>
        <w:rPr>
          <w:rFonts w:ascii="Arial" w:cs="Arial" w:eastAsia="Arial" w:hAnsi="Arial"/>
          <w:sz w:val="16"/>
          <w:szCs w:val="16"/>
          <w:u w:val="single" w:color="auto"/>
          <w:color w:val="0000FF"/>
        </w:rPr>
        <w:t xml:space="preserve"> </w:t>
      </w:r>
      <w:hyperlink r:id="rId144">
        <w:r>
          <w:rPr>
            <w:rFonts w:ascii="Arial" w:cs="Arial" w:eastAsia="Arial" w:hAnsi="Arial"/>
            <w:sz w:val="16"/>
            <w:szCs w:val="16"/>
            <w:u w:val="single" w:color="auto"/>
            <w:color w:val="0000FF"/>
          </w:rPr>
          <w:t>Partners Growth Equity Fund VIII-B, L.P., Summit Partners Growth Equity Fund</w:t>
        </w:r>
      </w:hyperlink>
    </w:p>
    <w:p>
      <w:pPr>
        <w:spacing w:after="0" w:line="1" w:lineRule="exact"/>
        <w:rPr>
          <w:rFonts w:ascii="Arial" w:cs="Arial" w:eastAsia="Arial" w:hAnsi="Arial"/>
          <w:sz w:val="16"/>
          <w:szCs w:val="16"/>
          <w:u w:val="single" w:color="auto"/>
          <w:color w:val="0000FF"/>
        </w:rPr>
      </w:pPr>
    </w:p>
    <w:p>
      <w:pPr>
        <w:jc w:val="both"/>
        <w:ind w:left="960" w:right="620" w:hanging="459"/>
        <w:spacing w:after="0" w:line="225"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10u.</w:t>
      </w:r>
      <w:r>
        <w:rPr>
          <w:sz w:val="20"/>
          <w:szCs w:val="20"/>
          <w:color w:val="auto"/>
        </w:rPr>
        <w:tab/>
      </w:r>
      <w:hyperlink r:id="rId144">
        <w:r>
          <w:rPr>
            <w:rFonts w:ascii="Arial" w:cs="Arial" w:eastAsia="Arial" w:hAnsi="Arial"/>
            <w:sz w:val="16"/>
            <w:szCs w:val="16"/>
            <w:u w:val="single" w:color="auto"/>
            <w:color w:val="0000FF"/>
          </w:rPr>
          <w:t>VIII-A, L.P., Summit Partners Entrepreneur Advisors Fund I, L.P., Summit</w:t>
        </w:r>
      </w:hyperlink>
      <w:r>
        <w:rPr>
          <w:rFonts w:ascii="Arial" w:cs="Arial" w:eastAsia="Arial" w:hAnsi="Arial"/>
          <w:sz w:val="16"/>
          <w:szCs w:val="16"/>
          <w:u w:val="single" w:color="auto"/>
          <w:color w:val="0000FF"/>
        </w:rPr>
        <w:t xml:space="preserve"> </w:t>
      </w:r>
      <w:hyperlink r:id="rId144">
        <w:r>
          <w:rPr>
            <w:rFonts w:ascii="Arial" w:cs="Arial" w:eastAsia="Arial" w:hAnsi="Arial"/>
            <w:sz w:val="16"/>
            <w:szCs w:val="16"/>
            <w:u w:val="single" w:color="auto"/>
            <w:color w:val="0000FF"/>
          </w:rPr>
          <w:t>Investors I, LLC, Summit Investors I (UK), L.P., and SP GE VIII-B GD RV</w:t>
        </w:r>
      </w:hyperlink>
      <w:r>
        <w:rPr>
          <w:rFonts w:ascii="Arial" w:cs="Arial" w:eastAsia="Arial" w:hAnsi="Arial"/>
          <w:sz w:val="16"/>
          <w:szCs w:val="16"/>
          <w:u w:val="single" w:color="auto"/>
          <w:color w:val="0000FF"/>
        </w:rPr>
        <w:t xml:space="preserve"> </w:t>
      </w:r>
      <w:hyperlink r:id="rId144">
        <w:r>
          <w:rPr>
            <w:rFonts w:ascii="Arial" w:cs="Arial" w:eastAsia="Arial" w:hAnsi="Arial"/>
            <w:sz w:val="16"/>
            <w:szCs w:val="16"/>
            <w:u w:val="single" w:color="auto"/>
            <w:color w:val="0000FF"/>
          </w:rPr>
          <w:t>Holdings, L.P.</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13335</wp:posOffset>
            </wp:positionH>
            <wp:positionV relativeFrom="paragraph">
              <wp:posOffset>107315</wp:posOffset>
            </wp:positionV>
            <wp:extent cx="7115175" cy="651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5">
                      <a:extLst>
                        <a:ext uri="{28A0092B-C50C-407E-A947-70E740481C1C}"/>
                      </a:extLst>
                    </a:blip>
                    <a:srcRect/>
                    <a:stretch>
                      <a:fillRect/>
                    </a:stretch>
                  </pic:blipFill>
                  <pic:spPr bwMode="auto">
                    <a:xfrm>
                      <a:off x="0" y="0"/>
                      <a:ext cx="7115175" cy="651510"/>
                    </a:xfrm>
                    <a:prstGeom prst="rect">
                      <a:avLst/>
                    </a:prstGeom>
                    <a:noFill/>
                  </pic:spPr>
                </pic:pic>
              </a:graphicData>
            </a:graphic>
          </wp:anchor>
        </w:drawing>
      </w:r>
    </w:p>
    <w:p>
      <w:pPr>
        <w:spacing w:after="0" w:line="165" w:lineRule="exact"/>
        <w:rPr>
          <w:rFonts w:ascii="Arial" w:cs="Arial" w:eastAsia="Arial" w:hAnsi="Arial"/>
          <w:sz w:val="16"/>
          <w:szCs w:val="16"/>
          <w:u w:val="single" w:color="auto"/>
          <w:color w:val="0000FF"/>
        </w:rPr>
      </w:pPr>
    </w:p>
    <w:p>
      <w:pPr>
        <w:ind w:left="960"/>
        <w:spacing w:after="0" w:line="211" w:lineRule="auto"/>
        <w:rPr>
          <w:rFonts w:ascii="Arial" w:cs="Arial" w:eastAsia="Arial" w:hAnsi="Arial"/>
          <w:sz w:val="16"/>
          <w:szCs w:val="16"/>
          <w:u w:val="single" w:color="auto"/>
          <w:color w:val="0000FF"/>
        </w:rPr>
      </w:pPr>
      <w:hyperlink r:id="rId146">
        <w:r>
          <w:rPr>
            <w:rFonts w:ascii="Arial" w:cs="Arial" w:eastAsia="Arial" w:hAnsi="Arial"/>
            <w:sz w:val="16"/>
            <w:szCs w:val="16"/>
            <w:u w:val="single" w:color="auto"/>
            <w:color w:val="0000FF"/>
          </w:rPr>
          <w:t>Registration Rights Agreement by and among Winnebago Industries, Inc.,</w:t>
        </w:r>
      </w:hyperlink>
      <w:r>
        <w:rPr>
          <w:rFonts w:ascii="Arial" w:cs="Arial" w:eastAsia="Arial" w:hAnsi="Arial"/>
          <w:sz w:val="16"/>
          <w:szCs w:val="16"/>
          <w:u w:val="single" w:color="auto"/>
          <w:color w:val="0000FF"/>
        </w:rPr>
        <w:t xml:space="preserve"> </w:t>
      </w:r>
      <w:hyperlink r:id="rId146">
        <w:r>
          <w:rPr>
            <w:rFonts w:ascii="Arial" w:cs="Arial" w:eastAsia="Arial" w:hAnsi="Arial"/>
            <w:sz w:val="16"/>
            <w:szCs w:val="16"/>
            <w:u w:val="single" w:color="auto"/>
            <w:color w:val="0000FF"/>
          </w:rPr>
          <w:t>Summit Partners Growth Equity Fund VIII-A, L.P., Summit Partners Growth Equity</w:t>
        </w:r>
      </w:hyperlink>
    </w:p>
    <w:p>
      <w:pPr>
        <w:ind w:left="960" w:right="220" w:hanging="439"/>
        <w:spacing w:after="0" w:line="225"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10v.</w:t>
      </w:r>
      <w:r>
        <w:rPr>
          <w:sz w:val="20"/>
          <w:szCs w:val="20"/>
          <w:color w:val="auto"/>
        </w:rPr>
        <w:tab/>
      </w:r>
      <w:hyperlink r:id="rId146">
        <w:r>
          <w:rPr>
            <w:rFonts w:ascii="Arial" w:cs="Arial" w:eastAsia="Arial" w:hAnsi="Arial"/>
            <w:sz w:val="16"/>
            <w:szCs w:val="16"/>
            <w:u w:val="single" w:color="auto"/>
            <w:color w:val="0000FF"/>
          </w:rPr>
          <w:t>Fund VIII-B, L.P., Summit Partners Entrepreneur Advisors Fund I, L.P., Summit</w:t>
        </w:r>
      </w:hyperlink>
      <w:r>
        <w:rPr>
          <w:rFonts w:ascii="Arial" w:cs="Arial" w:eastAsia="Arial" w:hAnsi="Arial"/>
          <w:sz w:val="16"/>
          <w:szCs w:val="16"/>
          <w:u w:val="single" w:color="auto"/>
          <w:color w:val="0000FF"/>
        </w:rPr>
        <w:t xml:space="preserve"> </w:t>
      </w:r>
      <w:hyperlink r:id="rId146">
        <w:r>
          <w:rPr>
            <w:rFonts w:ascii="Arial" w:cs="Arial" w:eastAsia="Arial" w:hAnsi="Arial"/>
            <w:sz w:val="16"/>
            <w:szCs w:val="16"/>
            <w:u w:val="single" w:color="auto"/>
            <w:color w:val="0000FF"/>
          </w:rPr>
          <w:t>Investors I, LLC, Summit Investors I (UK), L.P. and SP GE VIII-B GD RV</w:t>
        </w:r>
      </w:hyperlink>
      <w:r>
        <w:rPr>
          <w:rFonts w:ascii="Arial" w:cs="Arial" w:eastAsia="Arial" w:hAnsi="Arial"/>
          <w:sz w:val="16"/>
          <w:szCs w:val="16"/>
          <w:u w:val="single" w:color="auto"/>
          <w:color w:val="0000FF"/>
        </w:rPr>
        <w:t xml:space="preserve"> </w:t>
      </w:r>
      <w:hyperlink r:id="rId146">
        <w:r>
          <w:rPr>
            <w:rFonts w:ascii="Arial" w:cs="Arial" w:eastAsia="Arial" w:hAnsi="Arial"/>
            <w:sz w:val="16"/>
            <w:szCs w:val="16"/>
            <w:u w:val="single" w:color="auto"/>
            <w:color w:val="0000FF"/>
          </w:rPr>
          <w:t>Holdings, L.P., Donald Clark, Ronald Fenech, and William Fenech.</w:t>
        </w:r>
      </w:hyperlink>
    </w:p>
    <w:p>
      <w:pPr>
        <w:spacing w:after="0" w:line="163" w:lineRule="exact"/>
        <w:rPr>
          <w:rFonts w:ascii="Arial" w:cs="Arial" w:eastAsia="Arial" w:hAnsi="Arial"/>
          <w:sz w:val="16"/>
          <w:szCs w:val="16"/>
          <w:u w:val="single" w:color="auto"/>
          <w:color w:val="0000FF"/>
        </w:rPr>
      </w:pPr>
    </w:p>
    <w:p>
      <w:pPr>
        <w:ind w:left="960"/>
        <w:spacing w:after="0"/>
        <w:rPr>
          <w:rFonts w:ascii="Arial" w:cs="Arial" w:eastAsia="Arial" w:hAnsi="Arial"/>
          <w:sz w:val="16"/>
          <w:szCs w:val="16"/>
          <w:u w:val="single" w:color="auto"/>
          <w:color w:val="0000FF"/>
        </w:rPr>
      </w:pPr>
      <w:hyperlink r:id="rId147">
        <w:r>
          <w:rPr>
            <w:rFonts w:ascii="Arial" w:cs="Arial" w:eastAsia="Arial" w:hAnsi="Arial"/>
            <w:sz w:val="16"/>
            <w:szCs w:val="16"/>
            <w:u w:val="single" w:color="auto"/>
            <w:color w:val="0000FF"/>
          </w:rPr>
          <w:t>Employment Agreement by and between Grand Design RV, LLC and Donald</w:t>
        </w:r>
      </w:hyperlink>
    </w:p>
    <w:p>
      <w:pPr>
        <w:ind w:left="960" w:right="240" w:hanging="479"/>
        <w:spacing w:after="0" w:line="232"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10w.</w:t>
      </w:r>
      <w:r>
        <w:rPr>
          <w:sz w:val="20"/>
          <w:szCs w:val="20"/>
          <w:color w:val="auto"/>
        </w:rPr>
        <w:tab/>
      </w:r>
      <w:hyperlink r:id="rId147">
        <w:r>
          <w:rPr>
            <w:rFonts w:ascii="Arial" w:cs="Arial" w:eastAsia="Arial" w:hAnsi="Arial"/>
            <w:sz w:val="16"/>
            <w:szCs w:val="16"/>
            <w:u w:val="single" w:color="auto"/>
            <w:color w:val="0000FF"/>
          </w:rPr>
          <w:t>Clark dated October 2, 2016, including Exhibit A, Executive Change of Control</w:t>
        </w:r>
      </w:hyperlink>
      <w:r>
        <w:rPr>
          <w:rFonts w:ascii="Arial" w:cs="Arial" w:eastAsia="Arial" w:hAnsi="Arial"/>
          <w:sz w:val="16"/>
          <w:szCs w:val="16"/>
          <w:u w:val="single" w:color="auto"/>
          <w:color w:val="0000FF"/>
        </w:rPr>
        <w:t xml:space="preserve"> </w:t>
      </w:r>
      <w:hyperlink r:id="rId147">
        <w:r>
          <w:rPr>
            <w:rFonts w:ascii="Arial" w:cs="Arial" w:eastAsia="Arial" w:hAnsi="Arial"/>
            <w:sz w:val="16"/>
            <w:szCs w:val="16"/>
            <w:u w:val="single" w:color="auto"/>
            <w:color w:val="0000FF"/>
          </w:rPr>
          <w:t>Agreement between Winnebago Industries, Inc. and Donald Clark.</w:t>
        </w:r>
        <w:r>
          <w:rPr>
            <w:rFonts w:ascii="Arial" w:cs="Arial" w:eastAsia="Arial" w:hAnsi="Arial"/>
            <w:sz w:val="16"/>
            <w:szCs w:val="16"/>
            <w:u w:val="single" w:color="auto"/>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107315</wp:posOffset>
            </wp:positionV>
            <wp:extent cx="7115175" cy="3429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8">
                      <a:extLst>
                        <a:ext uri="{28A0092B-C50C-407E-A947-70E740481C1C}"/>
                      </a:extLst>
                    </a:blip>
                    <a:srcRect/>
                    <a:stretch>
                      <a:fillRect/>
                    </a:stretch>
                  </pic:blipFill>
                  <pic:spPr bwMode="auto">
                    <a:xfrm>
                      <a:off x="0" y="0"/>
                      <a:ext cx="7115175" cy="342900"/>
                    </a:xfrm>
                    <a:prstGeom prst="rect">
                      <a:avLst/>
                    </a:prstGeom>
                    <a:noFill/>
                  </pic:spPr>
                </pic:pic>
              </a:graphicData>
            </a:graphic>
          </wp:anchor>
        </w:drawing>
      </w:r>
    </w:p>
    <w:p>
      <w:pPr>
        <w:spacing w:after="0" w:line="164" w:lineRule="exact"/>
        <w:rPr>
          <w:sz w:val="20"/>
          <w:szCs w:val="20"/>
          <w:color w:val="auto"/>
        </w:rPr>
      </w:pPr>
    </w:p>
    <w:p>
      <w:pPr>
        <w:ind w:left="500" w:firstLine="450"/>
        <w:spacing w:after="0" w:line="232" w:lineRule="auto"/>
        <w:rPr>
          <w:rFonts w:ascii="Arial" w:cs="Arial" w:eastAsia="Arial" w:hAnsi="Arial"/>
          <w:sz w:val="16"/>
          <w:szCs w:val="16"/>
          <w:color w:val="000000"/>
        </w:rPr>
      </w:pPr>
      <w:hyperlink r:id="rId149">
        <w:r>
          <w:rPr>
            <w:rFonts w:ascii="Arial" w:cs="Arial" w:eastAsia="Arial" w:hAnsi="Arial"/>
            <w:sz w:val="16"/>
            <w:szCs w:val="16"/>
            <w:u w:val="single" w:color="auto"/>
            <w:color w:val="0000FF"/>
          </w:rPr>
          <w:t>Loan Agreement by and among Winnebago Industries, Inc., Octavius Corporation</w:t>
        </w:r>
      </w:hyperlink>
      <w:r>
        <w:rPr>
          <w:rFonts w:ascii="Arial" w:cs="Arial" w:eastAsia="Arial" w:hAnsi="Arial"/>
          <w:sz w:val="16"/>
          <w:szCs w:val="16"/>
          <w:u w:val="single" w:color="auto"/>
          <w:color w:val="0000FF"/>
        </w:rPr>
        <w:t xml:space="preserve"> </w:t>
      </w:r>
      <w:r>
        <w:rPr>
          <w:rFonts w:ascii="Arial" w:cs="Arial" w:eastAsia="Arial" w:hAnsi="Arial"/>
          <w:sz w:val="16"/>
          <w:szCs w:val="16"/>
          <w:color w:val="000000"/>
        </w:rPr>
        <w:t xml:space="preserve">10x. </w:t>
      </w:r>
      <w:hyperlink r:id="rId149">
        <w:r>
          <w:rPr>
            <w:rFonts w:ascii="Arial" w:cs="Arial" w:eastAsia="Arial" w:hAnsi="Arial"/>
            <w:sz w:val="16"/>
            <w:szCs w:val="16"/>
            <w:u w:val="single" w:color="auto"/>
            <w:color w:val="0000FF"/>
          </w:rPr>
          <w:t>and JPMorgan Chase Bank, N.A.</w:t>
        </w:r>
      </w:hyperlink>
    </w:p>
    <w:p>
      <w:pPr>
        <w:spacing w:after="0" w:line="162" w:lineRule="exact"/>
        <w:rPr>
          <w:sz w:val="20"/>
          <w:szCs w:val="20"/>
          <w:color w:val="auto"/>
        </w:rPr>
      </w:pPr>
    </w:p>
    <w:p>
      <w:pPr>
        <w:ind w:left="960"/>
        <w:spacing w:after="0"/>
        <w:rPr>
          <w:rFonts w:ascii="Arial" w:cs="Arial" w:eastAsia="Arial" w:hAnsi="Arial"/>
          <w:sz w:val="16"/>
          <w:szCs w:val="16"/>
          <w:u w:val="single" w:color="auto"/>
          <w:color w:val="0000FF"/>
        </w:rPr>
      </w:pPr>
      <w:hyperlink r:id="rId150">
        <w:r>
          <w:rPr>
            <w:rFonts w:ascii="Arial" w:cs="Arial" w:eastAsia="Arial" w:hAnsi="Arial"/>
            <w:sz w:val="16"/>
            <w:szCs w:val="16"/>
            <w:u w:val="single" w:color="auto"/>
            <w:color w:val="0000FF"/>
          </w:rPr>
          <w:t>Amendment No. 1 to Loan Agreement dated as of December 8, 2017 among</w:t>
        </w:r>
      </w:hyperlink>
    </w:p>
    <w:p>
      <w:pPr>
        <w:ind w:left="960" w:right="100" w:hanging="439"/>
        <w:spacing w:after="0" w:line="232"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10y.</w:t>
      </w:r>
      <w:r>
        <w:rPr>
          <w:sz w:val="20"/>
          <w:szCs w:val="20"/>
          <w:color w:val="auto"/>
        </w:rPr>
        <w:tab/>
      </w:r>
      <w:hyperlink r:id="rId150">
        <w:r>
          <w:rPr>
            <w:rFonts w:ascii="Arial" w:cs="Arial" w:eastAsia="Arial" w:hAnsi="Arial"/>
            <w:sz w:val="16"/>
            <w:szCs w:val="16"/>
            <w:u w:val="single" w:color="auto"/>
            <w:color w:val="0000FF"/>
          </w:rPr>
          <w:t>Octavius Corporation, JPMorgan Chase Bank, N.A. as Administrative Agent and</w:t>
        </w:r>
      </w:hyperlink>
      <w:r>
        <w:rPr>
          <w:rFonts w:ascii="Arial" w:cs="Arial" w:eastAsia="Arial" w:hAnsi="Arial"/>
          <w:sz w:val="16"/>
          <w:szCs w:val="16"/>
          <w:u w:val="single" w:color="auto"/>
          <w:color w:val="0000FF"/>
        </w:rPr>
        <w:t xml:space="preserve"> </w:t>
      </w:r>
      <w:hyperlink r:id="rId150">
        <w:r>
          <w:rPr>
            <w:rFonts w:ascii="Arial" w:cs="Arial" w:eastAsia="Arial" w:hAnsi="Arial"/>
            <w:sz w:val="16"/>
            <w:szCs w:val="16"/>
            <w:u w:val="single" w:color="auto"/>
            <w:color w:val="0000FF"/>
          </w:rPr>
          <w:t>the lender parties 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107315</wp:posOffset>
            </wp:positionV>
            <wp:extent cx="7115175" cy="514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1">
                      <a:extLst>
                        <a:ext uri="{28A0092B-C50C-407E-A947-70E740481C1C}"/>
                      </a:extLst>
                    </a:blip>
                    <a:srcRect/>
                    <a:stretch>
                      <a:fillRect/>
                    </a:stretch>
                  </pic:blipFill>
                  <pic:spPr bwMode="auto">
                    <a:xfrm>
                      <a:off x="0" y="0"/>
                      <a:ext cx="7115175" cy="514350"/>
                    </a:xfrm>
                    <a:prstGeom prst="rect">
                      <a:avLst/>
                    </a:prstGeom>
                    <a:noFill/>
                  </pic:spPr>
                </pic:pic>
              </a:graphicData>
            </a:graphic>
          </wp:anchor>
        </w:drawing>
      </w:r>
    </w:p>
    <w:p>
      <w:pPr>
        <w:spacing w:after="0" w:line="178" w:lineRule="exact"/>
        <w:rPr>
          <w:sz w:val="20"/>
          <w:szCs w:val="20"/>
          <w:color w:val="auto"/>
        </w:rPr>
      </w:pPr>
    </w:p>
    <w:p>
      <w:pPr>
        <w:ind w:left="960"/>
        <w:spacing w:after="0"/>
        <w:rPr>
          <w:rFonts w:ascii="Arial" w:cs="Arial" w:eastAsia="Arial" w:hAnsi="Arial"/>
          <w:sz w:val="16"/>
          <w:szCs w:val="16"/>
          <w:u w:val="single" w:color="auto"/>
          <w:color w:val="0000FF"/>
        </w:rPr>
      </w:pPr>
      <w:hyperlink r:id="rId152">
        <w:r>
          <w:rPr>
            <w:rFonts w:ascii="Arial" w:cs="Arial" w:eastAsia="Arial" w:hAnsi="Arial"/>
            <w:sz w:val="16"/>
            <w:szCs w:val="16"/>
            <w:u w:val="single" w:color="auto"/>
            <w:color w:val="0000FF"/>
          </w:rPr>
          <w:t>Amended and Restated Credit Agreement dated as of October 22, 2019 among</w:t>
        </w:r>
      </w:hyperlink>
    </w:p>
    <w:p>
      <w:pPr>
        <w:spacing w:after="0" w:line="5" w:lineRule="exact"/>
        <w:rPr>
          <w:sz w:val="20"/>
          <w:szCs w:val="20"/>
          <w:color w:val="auto"/>
        </w:rPr>
      </w:pPr>
    </w:p>
    <w:p>
      <w:pPr>
        <w:ind w:left="960" w:right="220" w:hanging="459"/>
        <w:spacing w:after="0" w:line="186" w:lineRule="auto"/>
        <w:tabs>
          <w:tab w:leader="none" w:pos="940" w:val="left"/>
        </w:tabs>
        <w:rPr>
          <w:rFonts w:ascii="Arial" w:cs="Arial" w:eastAsia="Arial" w:hAnsi="Arial"/>
          <w:sz w:val="16"/>
          <w:szCs w:val="16"/>
          <w:u w:val="single" w:color="auto"/>
          <w:color w:val="0000FF"/>
        </w:rPr>
      </w:pPr>
      <w:r>
        <w:rPr>
          <w:rFonts w:ascii="Arial" w:cs="Arial" w:eastAsia="Arial" w:hAnsi="Arial"/>
          <w:sz w:val="32"/>
          <w:szCs w:val="32"/>
          <w:color w:val="auto"/>
          <w:vertAlign w:val="subscript"/>
        </w:rPr>
        <w:t>10z.</w:t>
      </w:r>
      <w:r>
        <w:rPr>
          <w:sz w:val="20"/>
          <w:szCs w:val="20"/>
          <w:color w:val="auto"/>
        </w:rPr>
        <w:tab/>
      </w:r>
      <w:hyperlink r:id="rId152">
        <w:r>
          <w:rPr>
            <w:rFonts w:ascii="Arial" w:cs="Arial" w:eastAsia="Arial" w:hAnsi="Arial"/>
            <w:sz w:val="16"/>
            <w:szCs w:val="16"/>
            <w:u w:val="single" w:color="auto"/>
            <w:color w:val="0000FF"/>
          </w:rPr>
          <w:t>Winnebago Industries, Inc., Winnebago of Indiana, LLC and Grand Design RV,</w:t>
        </w:r>
      </w:hyperlink>
      <w:r>
        <w:rPr>
          <w:rFonts w:ascii="Arial" w:cs="Arial" w:eastAsia="Arial" w:hAnsi="Arial"/>
          <w:sz w:val="16"/>
          <w:szCs w:val="16"/>
          <w:u w:val="single" w:color="auto"/>
          <w:color w:val="0000FF"/>
        </w:rPr>
        <w:t xml:space="preserve"> </w:t>
      </w:r>
      <w:hyperlink r:id="rId152">
        <w:r>
          <w:rPr>
            <w:rFonts w:ascii="Arial" w:cs="Arial" w:eastAsia="Arial" w:hAnsi="Arial"/>
            <w:sz w:val="16"/>
            <w:szCs w:val="16"/>
            <w:u w:val="single" w:color="auto"/>
            <w:color w:val="0000FF"/>
          </w:rPr>
          <w:t>LLC, the other loan parties party thereto from time to time, the lenders party</w:t>
        </w:r>
      </w:hyperlink>
      <w:r>
        <w:rPr>
          <w:rFonts w:ascii="Arial" w:cs="Arial" w:eastAsia="Arial" w:hAnsi="Arial"/>
          <w:sz w:val="16"/>
          <w:szCs w:val="16"/>
          <w:u w:val="single" w:color="auto"/>
          <w:color w:val="0000FF"/>
        </w:rPr>
        <w:t xml:space="preserve"> </w:t>
      </w:r>
      <w:hyperlink r:id="rId152">
        <w:r>
          <w:rPr>
            <w:rFonts w:ascii="Arial" w:cs="Arial" w:eastAsia="Arial" w:hAnsi="Arial"/>
            <w:sz w:val="16"/>
            <w:szCs w:val="16"/>
            <w:u w:val="single" w:color="auto"/>
            <w:color w:val="0000FF"/>
          </w:rPr>
          <w:t>thereto from time to time and JPMorgan Chase Bank, N.A.</w:t>
        </w:r>
      </w:hyperlink>
    </w:p>
    <w:p>
      <w:pPr>
        <w:spacing w:after="0" w:line="37" w:lineRule="exact"/>
        <w:rPr>
          <w:rFonts w:ascii="Arial" w:cs="Arial" w:eastAsia="Arial" w:hAnsi="Arial"/>
          <w:sz w:val="16"/>
          <w:szCs w:val="16"/>
          <w:u w:val="single" w:color="auto"/>
          <w:color w:val="0000FF"/>
        </w:rPr>
      </w:pPr>
    </w:p>
    <w:p>
      <w:pPr>
        <w:ind w:left="400" w:right="20" w:firstLine="549"/>
        <w:spacing w:after="0" w:line="232" w:lineRule="auto"/>
        <w:rPr>
          <w:rFonts w:ascii="Arial" w:cs="Arial" w:eastAsia="Arial" w:hAnsi="Arial"/>
          <w:sz w:val="16"/>
          <w:szCs w:val="16"/>
          <w:color w:val="000000"/>
        </w:rPr>
      </w:pPr>
      <w:hyperlink r:id="rId153">
        <w:r>
          <w:rPr>
            <w:rFonts w:ascii="Arial" w:cs="Arial" w:eastAsia="Arial" w:hAnsi="Arial"/>
            <w:sz w:val="16"/>
            <w:szCs w:val="16"/>
            <w:u w:val="single" w:color="auto"/>
            <w:color w:val="0000FF"/>
          </w:rPr>
          <w:t>Lease Agreement (Main Facility) dated November 8, 2016 by and between Three</w:t>
        </w:r>
      </w:hyperlink>
      <w:r>
        <w:rPr>
          <w:rFonts w:ascii="Arial" w:cs="Arial" w:eastAsia="Arial" w:hAnsi="Arial"/>
          <w:sz w:val="16"/>
          <w:szCs w:val="16"/>
          <w:u w:val="single" w:color="auto"/>
          <w:color w:val="0000FF"/>
        </w:rPr>
        <w:t xml:space="preserve"> </w:t>
      </w:r>
      <w:r>
        <w:rPr>
          <w:rFonts w:ascii="Arial" w:cs="Arial" w:eastAsia="Arial" w:hAnsi="Arial"/>
          <w:sz w:val="16"/>
          <w:szCs w:val="16"/>
          <w:color w:val="000000"/>
        </w:rPr>
        <w:t xml:space="preserve">10aa. </w:t>
      </w:r>
      <w:hyperlink r:id="rId153">
        <w:r>
          <w:rPr>
            <w:rFonts w:ascii="Arial" w:cs="Arial" w:eastAsia="Arial" w:hAnsi="Arial"/>
            <w:sz w:val="16"/>
            <w:szCs w:val="16"/>
            <w:u w:val="single" w:color="auto"/>
            <w:color w:val="0000FF"/>
          </w:rPr>
          <w:t>Oaks, LLC and Grand Design RV,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107315</wp:posOffset>
            </wp:positionV>
            <wp:extent cx="7115175" cy="3429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4">
                      <a:extLst>
                        <a:ext uri="{28A0092B-C50C-407E-A947-70E740481C1C}"/>
                      </a:extLst>
                    </a:blip>
                    <a:srcRect/>
                    <a:stretch>
                      <a:fillRect/>
                    </a:stretch>
                  </pic:blipFill>
                  <pic:spPr bwMode="auto">
                    <a:xfrm>
                      <a:off x="0" y="0"/>
                      <a:ext cx="7115175" cy="342900"/>
                    </a:xfrm>
                    <a:prstGeom prst="rect">
                      <a:avLst/>
                    </a:prstGeom>
                    <a:noFill/>
                  </pic:spPr>
                </pic:pic>
              </a:graphicData>
            </a:graphic>
          </wp:anchor>
        </w:drawing>
      </w:r>
    </w:p>
    <w:p>
      <w:pPr>
        <w:spacing w:after="0" w:line="164" w:lineRule="exact"/>
        <w:rPr>
          <w:sz w:val="20"/>
          <w:szCs w:val="20"/>
          <w:color w:val="auto"/>
        </w:rPr>
      </w:pPr>
    </w:p>
    <w:p>
      <w:pPr>
        <w:ind w:left="400" w:right="80" w:firstLine="549"/>
        <w:spacing w:after="0" w:line="232" w:lineRule="auto"/>
        <w:rPr>
          <w:rFonts w:ascii="Arial" w:cs="Arial" w:eastAsia="Arial" w:hAnsi="Arial"/>
          <w:sz w:val="16"/>
          <w:szCs w:val="16"/>
          <w:color w:val="000000"/>
        </w:rPr>
      </w:pPr>
      <w:hyperlink r:id="rId155">
        <w:r>
          <w:rPr>
            <w:rFonts w:ascii="Arial" w:cs="Arial" w:eastAsia="Arial" w:hAnsi="Arial"/>
            <w:sz w:val="16"/>
            <w:szCs w:val="16"/>
            <w:u w:val="single" w:color="auto"/>
            <w:color w:val="0000FF"/>
          </w:rPr>
          <w:t>Lease Agreement (Expansion Facility) dated November 8, 2016 by and between</w:t>
        </w:r>
      </w:hyperlink>
      <w:r>
        <w:rPr>
          <w:rFonts w:ascii="Arial" w:cs="Arial" w:eastAsia="Arial" w:hAnsi="Arial"/>
          <w:sz w:val="16"/>
          <w:szCs w:val="16"/>
          <w:u w:val="single" w:color="auto"/>
          <w:color w:val="0000FF"/>
        </w:rPr>
        <w:t xml:space="preserve"> </w:t>
      </w:r>
      <w:r>
        <w:rPr>
          <w:rFonts w:ascii="Arial" w:cs="Arial" w:eastAsia="Arial" w:hAnsi="Arial"/>
          <w:sz w:val="16"/>
          <w:szCs w:val="16"/>
          <w:color w:val="000000"/>
        </w:rPr>
        <w:t xml:space="preserve">10ab. </w:t>
      </w:r>
      <w:hyperlink r:id="rId155">
        <w:r>
          <w:rPr>
            <w:rFonts w:ascii="Arial" w:cs="Arial" w:eastAsia="Arial" w:hAnsi="Arial"/>
            <w:sz w:val="16"/>
            <w:szCs w:val="16"/>
            <w:u w:val="single" w:color="auto"/>
            <w:color w:val="0000FF"/>
          </w:rPr>
          <w:t>Three Oaks, LLC and Grand Design RV, LLC.</w:t>
        </w:r>
      </w:hyperlink>
    </w:p>
    <w:p>
      <w:pPr>
        <w:spacing w:after="0" w:line="184" w:lineRule="exact"/>
        <w:rPr>
          <w:sz w:val="20"/>
          <w:szCs w:val="20"/>
          <w:color w:val="auto"/>
        </w:rPr>
      </w:pPr>
    </w:p>
    <w:p>
      <w:pPr>
        <w:ind w:left="960" w:right="40" w:hanging="539"/>
        <w:spacing w:after="0" w:line="232"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10ac.</w:t>
      </w:r>
      <w:r>
        <w:rPr>
          <w:sz w:val="20"/>
          <w:szCs w:val="20"/>
          <w:color w:val="auto"/>
        </w:rPr>
        <w:tab/>
      </w:r>
      <w:hyperlink r:id="rId156">
        <w:r>
          <w:rPr>
            <w:rFonts w:ascii="Arial" w:cs="Arial" w:eastAsia="Arial" w:hAnsi="Arial"/>
            <w:sz w:val="16"/>
            <w:szCs w:val="16"/>
            <w:u w:val="single" w:color="auto"/>
            <w:color w:val="0000FF"/>
          </w:rPr>
          <w:t>Amended and Restated Employment Agreement between Winnebago Industries,</w:t>
        </w:r>
      </w:hyperlink>
      <w:r>
        <w:rPr>
          <w:rFonts w:ascii="Arial" w:cs="Arial" w:eastAsia="Arial" w:hAnsi="Arial"/>
          <w:sz w:val="16"/>
          <w:szCs w:val="16"/>
          <w:u w:val="single" w:color="auto"/>
          <w:color w:val="0000FF"/>
        </w:rPr>
        <w:t xml:space="preserve"> </w:t>
      </w:r>
      <w:hyperlink r:id="rId156">
        <w:r>
          <w:rPr>
            <w:rFonts w:ascii="Arial" w:cs="Arial" w:eastAsia="Arial" w:hAnsi="Arial"/>
            <w:sz w:val="16"/>
            <w:szCs w:val="16"/>
            <w:u w:val="single" w:color="auto"/>
            <w:color w:val="0000FF"/>
          </w:rPr>
          <w:t>Inc., Grand Design RV, LLC, and Donald Clark effective September 1,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4445</wp:posOffset>
            </wp:positionV>
            <wp:extent cx="7115175" cy="3429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7">
                      <a:extLst>
                        <a:ext uri="{28A0092B-C50C-407E-A947-70E740481C1C}"/>
                      </a:extLst>
                    </a:blip>
                    <a:srcRect/>
                    <a:stretch>
                      <a:fillRect/>
                    </a:stretch>
                  </pic:blipFill>
                  <pic:spPr bwMode="auto">
                    <a:xfrm>
                      <a:off x="0" y="0"/>
                      <a:ext cx="7115175" cy="342900"/>
                    </a:xfrm>
                    <a:prstGeom prst="rect">
                      <a:avLst/>
                    </a:prstGeom>
                    <a:noFill/>
                  </pic:spPr>
                </pic:pic>
              </a:graphicData>
            </a:graphic>
          </wp:anchor>
        </w:drawing>
      </w:r>
    </w:p>
    <w:p>
      <w:pPr>
        <w:spacing w:after="0" w:line="2" w:lineRule="exact"/>
        <w:rPr>
          <w:sz w:val="20"/>
          <w:szCs w:val="20"/>
          <w:color w:val="auto"/>
        </w:rPr>
      </w:pPr>
    </w:p>
    <w:p>
      <w:pPr>
        <w:ind w:left="400" w:right="440" w:firstLine="549"/>
        <w:spacing w:after="0" w:line="232" w:lineRule="auto"/>
        <w:rPr>
          <w:rFonts w:ascii="Arial" w:cs="Arial" w:eastAsia="Arial" w:hAnsi="Arial"/>
          <w:sz w:val="16"/>
          <w:szCs w:val="16"/>
          <w:color w:val="000000"/>
        </w:rPr>
      </w:pPr>
      <w:hyperlink r:id="rId158">
        <w:r>
          <w:rPr>
            <w:rFonts w:ascii="Arial" w:cs="Arial" w:eastAsia="Arial" w:hAnsi="Arial"/>
            <w:sz w:val="16"/>
            <w:szCs w:val="16"/>
            <w:u w:val="single" w:color="auto"/>
            <w:color w:val="0000FF"/>
          </w:rPr>
          <w:t>Amended and Restated Change in Control Agreement between Winnebago</w:t>
        </w:r>
      </w:hyperlink>
      <w:r>
        <w:rPr>
          <w:rFonts w:ascii="Arial" w:cs="Arial" w:eastAsia="Arial" w:hAnsi="Arial"/>
          <w:sz w:val="16"/>
          <w:szCs w:val="16"/>
          <w:u w:val="single" w:color="auto"/>
          <w:color w:val="0000FF"/>
        </w:rPr>
        <w:t xml:space="preserve"> </w:t>
      </w:r>
      <w:r>
        <w:rPr>
          <w:rFonts w:ascii="Arial" w:cs="Arial" w:eastAsia="Arial" w:hAnsi="Arial"/>
          <w:sz w:val="16"/>
          <w:szCs w:val="16"/>
          <w:color w:val="000000"/>
        </w:rPr>
        <w:t xml:space="preserve">10ad. </w:t>
      </w:r>
      <w:hyperlink r:id="rId158">
        <w:r>
          <w:rPr>
            <w:rFonts w:ascii="Arial" w:cs="Arial" w:eastAsia="Arial" w:hAnsi="Arial"/>
            <w:sz w:val="16"/>
            <w:szCs w:val="16"/>
            <w:u w:val="single" w:color="auto"/>
            <w:color w:val="0000FF"/>
          </w:rPr>
          <w:t>Industries, Inc. and Donald Clark effective September 1, 2019.*</w:t>
        </w:r>
      </w:hyperlink>
    </w:p>
    <w:p>
      <w:pPr>
        <w:spacing w:after="0" w:line="184" w:lineRule="exact"/>
        <w:rPr>
          <w:sz w:val="20"/>
          <w:szCs w:val="20"/>
          <w:color w:val="auto"/>
        </w:rPr>
      </w:pPr>
    </w:p>
    <w:p>
      <w:pPr>
        <w:ind w:left="400" w:right="120" w:firstLine="549"/>
        <w:spacing w:after="0" w:line="182" w:lineRule="auto"/>
        <w:rPr>
          <w:rFonts w:ascii="Arial" w:cs="Arial" w:eastAsia="Arial" w:hAnsi="Arial"/>
          <w:sz w:val="13"/>
          <w:szCs w:val="13"/>
          <w:color w:val="0000FF"/>
        </w:rPr>
      </w:pPr>
      <w:hyperlink r:id="rId159">
        <w:r>
          <w:rPr>
            <w:rFonts w:ascii="Arial" w:cs="Arial" w:eastAsia="Arial" w:hAnsi="Arial"/>
            <w:sz w:val="13"/>
            <w:szCs w:val="13"/>
            <w:u w:val="single" w:color="auto"/>
            <w:color w:val="0000FF"/>
          </w:rPr>
          <w:t>Commitment Letter dated September 15, 2019, by and among Winnebago</w:t>
        </w:r>
      </w:hyperlink>
      <w:r>
        <w:rPr>
          <w:rFonts w:ascii="Arial" w:cs="Arial" w:eastAsia="Arial" w:hAnsi="Arial"/>
          <w:sz w:val="13"/>
          <w:szCs w:val="13"/>
          <w:u w:val="single" w:color="auto"/>
          <w:color w:val="0000FF"/>
        </w:rPr>
        <w:t xml:space="preserve"> </w:t>
      </w:r>
      <w:hyperlink r:id="rId159"/>
      <w:r>
        <w:rPr>
          <w:rFonts w:ascii="Arial" w:cs="Arial" w:eastAsia="Arial" w:hAnsi="Arial"/>
          <w:sz w:val="24"/>
          <w:szCs w:val="24"/>
          <w:color w:val="000000"/>
          <w:vertAlign w:val="subscript"/>
        </w:rPr>
        <w:t>10ae.</w:t>
      </w:r>
      <w:r>
        <w:rPr>
          <w:rFonts w:ascii="Arial" w:cs="Arial" w:eastAsia="Arial" w:hAnsi="Arial"/>
          <w:sz w:val="13"/>
          <w:szCs w:val="13"/>
          <w:color w:val="0000FF"/>
        </w:rPr>
        <w:t xml:space="preserve"> </w:t>
      </w:r>
      <w:hyperlink r:id="rId159">
        <w:r>
          <w:rPr>
            <w:rFonts w:ascii="Arial" w:cs="Arial" w:eastAsia="Arial" w:hAnsi="Arial"/>
            <w:sz w:val="13"/>
            <w:szCs w:val="13"/>
            <w:u w:val="single" w:color="auto"/>
            <w:color w:val="0000FF"/>
          </w:rPr>
          <w:t>Industries, Inc., Goldman Sachs Bank USA, Bank of Montreal, and BMO Capital</w:t>
        </w:r>
      </w:hyperlink>
    </w:p>
    <w:p>
      <w:pPr>
        <w:spacing w:after="0" w:line="1" w:lineRule="exact"/>
        <w:rPr>
          <w:rFonts w:ascii="Arial" w:cs="Arial" w:eastAsia="Arial" w:hAnsi="Arial"/>
          <w:sz w:val="13"/>
          <w:szCs w:val="13"/>
          <w:u w:val="single" w:color="auto"/>
          <w:color w:val="0000FF"/>
        </w:rPr>
      </w:pPr>
    </w:p>
    <w:p>
      <w:pPr>
        <w:ind w:left="960"/>
        <w:spacing w:after="0"/>
        <w:rPr>
          <w:rFonts w:ascii="Arial" w:cs="Arial" w:eastAsia="Arial" w:hAnsi="Arial"/>
          <w:sz w:val="16"/>
          <w:szCs w:val="16"/>
          <w:u w:val="single" w:color="auto"/>
          <w:color w:val="0000FF"/>
        </w:rPr>
      </w:pPr>
      <w:hyperlink r:id="rId159">
        <w:r>
          <w:rPr>
            <w:rFonts w:ascii="Arial" w:cs="Arial" w:eastAsia="Arial" w:hAnsi="Arial"/>
            <w:sz w:val="16"/>
            <w:szCs w:val="16"/>
            <w:u w:val="single" w:color="auto"/>
            <w:color w:val="0000FF"/>
          </w:rPr>
          <w:t>Markets Corp.</w:t>
        </w:r>
      </w:hyperlink>
    </w:p>
    <w:p>
      <w:pPr>
        <w:spacing w:after="0" w:line="20" w:lineRule="exact"/>
        <w:rPr>
          <w:rFonts w:ascii="Arial" w:cs="Arial" w:eastAsia="Arial" w:hAnsi="Arial"/>
          <w:sz w:val="13"/>
          <w:szCs w:val="13"/>
          <w:u w:val="single" w:color="auto"/>
          <w:color w:val="0000FF"/>
        </w:rPr>
      </w:pPr>
      <w:r>
        <w:rPr>
          <w:rFonts w:ascii="Arial" w:cs="Arial" w:eastAsia="Arial" w:hAnsi="Arial"/>
          <w:sz w:val="13"/>
          <w:szCs w:val="13"/>
          <w:u w:val="single" w:color="auto"/>
          <w:color w:val="0000FF"/>
        </w:rPr>
        <w:drawing>
          <wp:anchor simplePos="0" relativeHeight="251657728" behindDoc="1" locked="0" layoutInCell="0" allowOverlap="1">
            <wp:simplePos x="0" y="0"/>
            <wp:positionH relativeFrom="column">
              <wp:posOffset>13335</wp:posOffset>
            </wp:positionH>
            <wp:positionV relativeFrom="paragraph">
              <wp:posOffset>113665</wp:posOffset>
            </wp:positionV>
            <wp:extent cx="7115175" cy="4800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0">
                      <a:extLst>
                        <a:ext uri="{28A0092B-C50C-407E-A947-70E740481C1C}"/>
                      </a:extLst>
                    </a:blip>
                    <a:srcRect/>
                    <a:stretch>
                      <a:fillRect/>
                    </a:stretch>
                  </pic:blipFill>
                  <pic:spPr bwMode="auto">
                    <a:xfrm>
                      <a:off x="0" y="0"/>
                      <a:ext cx="7115175" cy="480060"/>
                    </a:xfrm>
                    <a:prstGeom prst="rect">
                      <a:avLst/>
                    </a:prstGeom>
                    <a:noFill/>
                  </pic:spPr>
                </pic:pic>
              </a:graphicData>
            </a:graphic>
          </wp:anchor>
        </w:drawing>
      </w:r>
    </w:p>
    <w:p>
      <w:pPr>
        <w:spacing w:after="0" w:line="174" w:lineRule="exact"/>
        <w:rPr>
          <w:rFonts w:ascii="Arial" w:cs="Arial" w:eastAsia="Arial" w:hAnsi="Arial"/>
          <w:sz w:val="13"/>
          <w:szCs w:val="13"/>
          <w:u w:val="single" w:color="auto"/>
          <w:color w:val="0000FF"/>
        </w:rPr>
      </w:pPr>
    </w:p>
    <w:p>
      <w:pPr>
        <w:ind w:left="460" w:right="140" w:firstLine="504"/>
        <w:spacing w:after="0" w:line="183" w:lineRule="auto"/>
        <w:rPr>
          <w:rFonts w:ascii="Arial" w:cs="Arial" w:eastAsia="Arial" w:hAnsi="Arial"/>
          <w:sz w:val="14"/>
          <w:szCs w:val="14"/>
          <w:color w:val="0000FF"/>
        </w:rPr>
      </w:pPr>
      <w:hyperlink r:id="rId161">
        <w:r>
          <w:rPr>
            <w:rFonts w:ascii="Arial" w:cs="Arial" w:eastAsia="Arial" w:hAnsi="Arial"/>
            <w:sz w:val="14"/>
            <w:szCs w:val="14"/>
            <w:u w:val="single" w:color="auto"/>
            <w:color w:val="0000FF"/>
          </w:rPr>
          <w:t>Amended and Restated Credit Agreement dated as of October 22, 2019 among</w:t>
        </w:r>
      </w:hyperlink>
      <w:r>
        <w:rPr>
          <w:rFonts w:ascii="Arial" w:cs="Arial" w:eastAsia="Arial" w:hAnsi="Arial"/>
          <w:sz w:val="14"/>
          <w:szCs w:val="14"/>
          <w:u w:val="single" w:color="auto"/>
          <w:color w:val="0000FF"/>
        </w:rPr>
        <w:t xml:space="preserve"> </w:t>
      </w:r>
      <w:hyperlink r:id="rId161"/>
      <w:r>
        <w:rPr>
          <w:rFonts w:ascii="Arial" w:cs="Arial" w:eastAsia="Arial" w:hAnsi="Arial"/>
          <w:sz w:val="26"/>
          <w:szCs w:val="26"/>
          <w:color w:val="000000"/>
          <w:vertAlign w:val="subscript"/>
        </w:rPr>
        <w:t>10af.</w:t>
      </w:r>
      <w:r>
        <w:rPr>
          <w:rFonts w:ascii="Arial" w:cs="Arial" w:eastAsia="Arial" w:hAnsi="Arial"/>
          <w:sz w:val="14"/>
          <w:szCs w:val="14"/>
          <w:color w:val="0000FF"/>
        </w:rPr>
        <w:t xml:space="preserve"> </w:t>
      </w:r>
      <w:hyperlink r:id="rId161">
        <w:r>
          <w:rPr>
            <w:rFonts w:ascii="Arial" w:cs="Arial" w:eastAsia="Arial" w:hAnsi="Arial"/>
            <w:sz w:val="14"/>
            <w:szCs w:val="14"/>
            <w:u w:val="single" w:color="auto"/>
            <w:color w:val="0000FF"/>
          </w:rPr>
          <w:t>Winnebago Industries, Inc., Winnebago of Indiana, LLC and Grand Design RV,</w:t>
        </w:r>
      </w:hyperlink>
    </w:p>
    <w:p>
      <w:pPr>
        <w:ind w:left="960" w:right="440"/>
        <w:spacing w:after="0" w:line="242" w:lineRule="auto"/>
        <w:rPr>
          <w:rFonts w:ascii="Arial" w:cs="Arial" w:eastAsia="Arial" w:hAnsi="Arial"/>
          <w:sz w:val="16"/>
          <w:szCs w:val="16"/>
          <w:u w:val="single" w:color="auto"/>
          <w:color w:val="0000FF"/>
        </w:rPr>
      </w:pPr>
      <w:hyperlink r:id="rId161">
        <w:r>
          <w:rPr>
            <w:rFonts w:ascii="Arial" w:cs="Arial" w:eastAsia="Arial" w:hAnsi="Arial"/>
            <w:sz w:val="16"/>
            <w:szCs w:val="16"/>
            <w:u w:val="single" w:color="auto"/>
            <w:color w:val="0000FF"/>
          </w:rPr>
          <w:t>LLC, the other loan parties party thereto from time to time, the lenders party</w:t>
        </w:r>
      </w:hyperlink>
      <w:r>
        <w:rPr>
          <w:rFonts w:ascii="Arial" w:cs="Arial" w:eastAsia="Arial" w:hAnsi="Arial"/>
          <w:sz w:val="16"/>
          <w:szCs w:val="16"/>
          <w:u w:val="single" w:color="auto"/>
          <w:color w:val="0000FF"/>
        </w:rPr>
        <w:t xml:space="preserve"> </w:t>
      </w:r>
      <w:hyperlink r:id="rId161">
        <w:r>
          <w:rPr>
            <w:rFonts w:ascii="Arial" w:cs="Arial" w:eastAsia="Arial" w:hAnsi="Arial"/>
            <w:sz w:val="16"/>
            <w:szCs w:val="16"/>
            <w:u w:val="single" w:color="auto"/>
            <w:color w:val="0000FF"/>
          </w:rPr>
          <w:t>thereto from time to time and JPMorgan Chase Bank, N.A.</w:t>
        </w:r>
      </w:hyperlink>
    </w:p>
    <w:p>
      <w:pPr>
        <w:spacing w:after="0" w:line="7" w:lineRule="exact"/>
        <w:rPr>
          <w:sz w:val="20"/>
          <w:szCs w:val="20"/>
          <w:color w:val="auto"/>
        </w:rPr>
      </w:pPr>
    </w:p>
    <w:p>
      <w:pPr>
        <w:ind w:left="960" w:right="420" w:hanging="559"/>
        <w:spacing w:after="0" w:line="188" w:lineRule="auto"/>
        <w:tabs>
          <w:tab w:leader="none" w:pos="940" w:val="left"/>
        </w:tabs>
        <w:rPr>
          <w:rFonts w:ascii="Arial" w:cs="Arial" w:eastAsia="Arial" w:hAnsi="Arial"/>
          <w:sz w:val="14"/>
          <w:szCs w:val="14"/>
          <w:color w:val="0000FF"/>
        </w:rPr>
      </w:pPr>
      <w:r>
        <w:rPr>
          <w:rFonts w:ascii="Arial" w:cs="Arial" w:eastAsia="Arial" w:hAnsi="Arial"/>
          <w:sz w:val="27"/>
          <w:szCs w:val="27"/>
          <w:color w:val="auto"/>
          <w:vertAlign w:val="subscript"/>
        </w:rPr>
        <w:t>10ag.</w:t>
      </w:r>
      <w:r>
        <w:rPr>
          <w:sz w:val="20"/>
          <w:szCs w:val="20"/>
          <w:color w:val="auto"/>
        </w:rPr>
        <w:tab/>
      </w:r>
      <w:hyperlink r:id="rId162">
        <w:r>
          <w:rPr>
            <w:rFonts w:ascii="Arial" w:cs="Arial" w:eastAsia="Arial" w:hAnsi="Arial"/>
            <w:sz w:val="14"/>
            <w:szCs w:val="14"/>
            <w:u w:val="single" w:color="auto"/>
            <w:color w:val="0000FF"/>
          </w:rPr>
          <w:t>Purchase Agreement, dated October 29, 2019, by and among Winnebago</w:t>
        </w:r>
      </w:hyperlink>
      <w:r>
        <w:rPr>
          <w:rFonts w:ascii="Arial" w:cs="Arial" w:eastAsia="Arial" w:hAnsi="Arial"/>
          <w:sz w:val="14"/>
          <w:szCs w:val="14"/>
          <w:u w:val="single" w:color="auto"/>
          <w:color w:val="0000FF"/>
        </w:rPr>
        <w:t xml:space="preserve"> </w:t>
      </w:r>
      <w:hyperlink r:id="rId162">
        <w:r>
          <w:rPr>
            <w:rFonts w:ascii="Arial" w:cs="Arial" w:eastAsia="Arial" w:hAnsi="Arial"/>
            <w:sz w:val="14"/>
            <w:szCs w:val="14"/>
            <w:u w:val="single" w:color="auto"/>
            <w:color w:val="0000FF"/>
          </w:rPr>
          <w:t>Industries, Inc., Goldman Sachs &amp; Co. LLC and BMO Capital Markets Corp</w:t>
        </w:r>
        <w:r>
          <w:rPr>
            <w:rFonts w:ascii="Arial" w:cs="Arial" w:eastAsia="Arial" w:hAnsi="Arial"/>
            <w:sz w:val="14"/>
            <w:szCs w:val="14"/>
            <w:color w:val="0000FF"/>
          </w:rPr>
          <w:t>.</w:t>
        </w:r>
      </w:hyperlink>
    </w:p>
    <w:p>
      <w:pPr>
        <w:spacing w:after="0" w:line="36" w:lineRule="exact"/>
        <w:rPr>
          <w:sz w:val="20"/>
          <w:szCs w:val="20"/>
          <w:color w:val="auto"/>
        </w:rPr>
      </w:pPr>
    </w:p>
    <w:p>
      <w:pPr>
        <w:ind w:left="960" w:right="200" w:hanging="559"/>
        <w:spacing w:after="0" w:line="188" w:lineRule="auto"/>
        <w:tabs>
          <w:tab w:leader="none" w:pos="940" w:val="left"/>
        </w:tabs>
        <w:rPr>
          <w:rFonts w:ascii="Arial" w:cs="Arial" w:eastAsia="Arial" w:hAnsi="Arial"/>
          <w:sz w:val="14"/>
          <w:szCs w:val="14"/>
          <w:u w:val="single" w:color="auto"/>
          <w:color w:val="0000FF"/>
        </w:rPr>
      </w:pPr>
      <w:r>
        <w:rPr>
          <w:rFonts w:ascii="Arial" w:cs="Arial" w:eastAsia="Arial" w:hAnsi="Arial"/>
          <w:sz w:val="27"/>
          <w:szCs w:val="27"/>
          <w:color w:val="auto"/>
          <w:vertAlign w:val="subscript"/>
        </w:rPr>
        <w:t>10ah.</w:t>
      </w:r>
      <w:r>
        <w:rPr>
          <w:sz w:val="20"/>
          <w:szCs w:val="20"/>
          <w:color w:val="auto"/>
        </w:rPr>
        <w:tab/>
      </w:r>
      <w:hyperlink r:id="rId163">
        <w:r>
          <w:rPr>
            <w:rFonts w:ascii="Arial" w:cs="Arial" w:eastAsia="Arial" w:hAnsi="Arial"/>
            <w:sz w:val="14"/>
            <w:szCs w:val="14"/>
            <w:u w:val="single" w:color="auto"/>
            <w:color w:val="0000FF"/>
          </w:rPr>
          <w:t>Base Convertible Bond Hedge Confirmation, dated October 29, 2019, between</w:t>
        </w:r>
      </w:hyperlink>
      <w:r>
        <w:rPr>
          <w:rFonts w:ascii="Arial" w:cs="Arial" w:eastAsia="Arial" w:hAnsi="Arial"/>
          <w:sz w:val="14"/>
          <w:szCs w:val="14"/>
          <w:u w:val="single" w:color="auto"/>
          <w:color w:val="0000FF"/>
        </w:rPr>
        <w:t xml:space="preserve"> </w:t>
      </w:r>
      <w:hyperlink r:id="rId163">
        <w:r>
          <w:rPr>
            <w:rFonts w:ascii="Arial" w:cs="Arial" w:eastAsia="Arial" w:hAnsi="Arial"/>
            <w:sz w:val="14"/>
            <w:szCs w:val="14"/>
            <w:u w:val="single" w:color="auto"/>
            <w:color w:val="0000FF"/>
          </w:rPr>
          <w:t>Winnebago Industries, Inc., and Goldman Sachs &amp; Co.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-226695</wp:posOffset>
            </wp:positionV>
            <wp:extent cx="7115175" cy="2571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4">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Borders>
              <w:bottom w:val="single" w:sz="8" w:color="auto"/>
            </w:tcBorders>
            <w:gridSpan w:val="5"/>
          </w:tcPr>
          <w:p>
            <w:pPr>
              <w:jc w:val="right"/>
              <w:ind w:right="479"/>
              <w:spacing w:after="0"/>
              <w:rPr>
                <w:sz w:val="20"/>
                <w:szCs w:val="20"/>
                <w:color w:val="auto"/>
              </w:rPr>
            </w:pPr>
            <w:r>
              <w:rPr>
                <w:rFonts w:ascii="Arial" w:cs="Arial" w:eastAsia="Arial" w:hAnsi="Arial"/>
                <w:sz w:val="16"/>
                <w:szCs w:val="16"/>
                <w:b w:val="1"/>
                <w:bCs w:val="1"/>
                <w:color w:val="auto"/>
              </w:rPr>
              <w:t>Incorporated by Reference</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Filed</w:t>
            </w:r>
          </w:p>
        </w:tc>
      </w:tr>
      <w:tr>
        <w:trPr>
          <w:trHeight w:val="230"/>
        </w:trPr>
        <w:tc>
          <w:tcPr>
            <w:tcW w:w="1100" w:type="dxa"/>
            <w:vAlign w:val="bottom"/>
            <w:gridSpan w:val="2"/>
          </w:tcPr>
          <w:p>
            <w:pPr>
              <w:ind w:left="300"/>
              <w:spacing w:after="0"/>
              <w:rPr>
                <w:sz w:val="20"/>
                <w:szCs w:val="20"/>
                <w:color w:val="auto"/>
              </w:rPr>
            </w:pPr>
            <w:r>
              <w:rPr>
                <w:rFonts w:ascii="Arial" w:cs="Arial" w:eastAsia="Arial" w:hAnsi="Arial"/>
                <w:sz w:val="16"/>
                <w:szCs w:val="16"/>
                <w:b w:val="1"/>
                <w:bCs w:val="1"/>
                <w:color w:val="auto"/>
              </w:rPr>
              <w:t>Form</w:t>
            </w:r>
          </w:p>
        </w:tc>
        <w:tc>
          <w:tcPr>
            <w:tcW w:w="940" w:type="dxa"/>
            <w:vAlign w:val="bottom"/>
            <w:gridSpan w:val="2"/>
          </w:tcPr>
          <w:p>
            <w:pPr>
              <w:ind w:left="140"/>
              <w:spacing w:after="0"/>
              <w:rPr>
                <w:sz w:val="20"/>
                <w:szCs w:val="20"/>
                <w:color w:val="auto"/>
              </w:rPr>
            </w:pPr>
            <w:r>
              <w:rPr>
                <w:rFonts w:ascii="Arial" w:cs="Arial" w:eastAsia="Arial" w:hAnsi="Arial"/>
                <w:sz w:val="16"/>
                <w:szCs w:val="16"/>
                <w:b w:val="1"/>
                <w:bCs w:val="1"/>
                <w:color w:val="auto"/>
              </w:rPr>
              <w:t>Exhibit</w:t>
            </w: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rPr>
              <w:t>Filing Date</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Herewith</w:t>
            </w:r>
          </w:p>
        </w:tc>
      </w:tr>
      <w:tr>
        <w:trPr>
          <w:trHeight w:val="291"/>
        </w:trPr>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Borders>
              <w:top w:val="single" w:sz="8" w:color="auto"/>
            </w:tcBorders>
          </w:tcPr>
          <w:p>
            <w:pPr>
              <w:ind w:left="420"/>
              <w:spacing w:after="0"/>
              <w:rPr>
                <w:sz w:val="20"/>
                <w:szCs w:val="20"/>
                <w:color w:val="auto"/>
              </w:rPr>
            </w:pPr>
            <w:r>
              <w:rPr>
                <w:rFonts w:ascii="Arial" w:cs="Arial" w:eastAsia="Arial" w:hAnsi="Arial"/>
                <w:sz w:val="16"/>
                <w:szCs w:val="16"/>
                <w:color w:val="auto"/>
              </w:rPr>
              <w:t>X</w:t>
            </w:r>
          </w:p>
        </w:tc>
      </w:tr>
      <w:tr>
        <w:trPr>
          <w:trHeight w:val="378"/>
        </w:trPr>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ind w:left="420"/>
              <w:spacing w:after="0"/>
              <w:rPr>
                <w:sz w:val="20"/>
                <w:szCs w:val="20"/>
                <w:color w:val="auto"/>
              </w:rPr>
            </w:pPr>
            <w:r>
              <w:rPr>
                <w:rFonts w:ascii="Arial" w:cs="Arial" w:eastAsia="Arial" w:hAnsi="Arial"/>
                <w:sz w:val="16"/>
                <w:szCs w:val="16"/>
                <w:color w:val="auto"/>
              </w:rPr>
              <w:t>X</w:t>
            </w:r>
          </w:p>
        </w:tc>
      </w:tr>
      <w:tr>
        <w:trPr>
          <w:trHeight w:val="540"/>
        </w:trPr>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10/05/2016</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945"/>
        </w:trPr>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10/05/2016</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107"/>
        </w:trPr>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10/05/2016</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864"/>
        </w:trPr>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10/05/2016</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621"/>
        </w:trPr>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99.2</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11/14/2016</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621"/>
        </w:trPr>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12/12/2017</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756"/>
        </w:trPr>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10/23/2019</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675"/>
        </w:trPr>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10-Q</w:t>
            </w:r>
          </w:p>
        </w:tc>
        <w:tc>
          <w:tcPr>
            <w:tcW w:w="840" w:type="dxa"/>
            <w:vAlign w:val="bottom"/>
          </w:tcPr>
          <w:p>
            <w:pPr>
              <w:jc w:val="right"/>
              <w:spacing w:after="0"/>
              <w:rPr>
                <w:sz w:val="20"/>
                <w:szCs w:val="20"/>
                <w:color w:val="auto"/>
              </w:rPr>
            </w:pPr>
            <w:r>
              <w:rPr>
                <w:rFonts w:ascii="Arial" w:cs="Arial" w:eastAsia="Arial" w:hAnsi="Arial"/>
                <w:sz w:val="16"/>
                <w:szCs w:val="16"/>
                <w:color w:val="auto"/>
              </w:rPr>
              <w:t>99.4</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12/29/2016</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40"/>
        </w:trPr>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10-Q</w:t>
            </w:r>
          </w:p>
        </w:tc>
        <w:tc>
          <w:tcPr>
            <w:tcW w:w="840" w:type="dxa"/>
            <w:vAlign w:val="bottom"/>
          </w:tcPr>
          <w:p>
            <w:pPr>
              <w:jc w:val="right"/>
              <w:spacing w:after="0"/>
              <w:rPr>
                <w:sz w:val="20"/>
                <w:szCs w:val="20"/>
                <w:color w:val="auto"/>
              </w:rPr>
            </w:pPr>
            <w:r>
              <w:rPr>
                <w:rFonts w:ascii="Arial" w:cs="Arial" w:eastAsia="Arial" w:hAnsi="Arial"/>
                <w:sz w:val="16"/>
                <w:szCs w:val="16"/>
                <w:color w:val="auto"/>
              </w:rPr>
              <w:t>99.5</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12/29/2016</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59"/>
        </w:trPr>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06/24/2019</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59"/>
        </w:trPr>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06/24/2019</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621"/>
        </w:trPr>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09/16/2019</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729"/>
        </w:trPr>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10/23/2019</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80"/>
        </w:trPr>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11/04/2019</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11/04/2019</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2">
            <w:col w:w="6800" w:space="160"/>
            <w:col w:w="4260"/>
          </w:cols>
          <w:pgMar w:left="320" w:top="141" w:right="359" w:bottom="1440" w:gutter="0" w:footer="0" w:header="0"/>
        </w:sectPr>
      </w:pPr>
    </w:p>
    <w:bookmarkStart w:id="79" w:name="page80"/>
    <w:bookmarkEnd w:id="7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6"/>
          <w:szCs w:val="16"/>
          <w:b w:val="1"/>
          <w:bCs w:val="1"/>
          <w:color w:val="auto"/>
        </w:rPr>
        <w:t>No.</w:t>
      </w:r>
      <w:r>
        <w:rPr>
          <w:sz w:val="20"/>
          <w:szCs w:val="20"/>
          <w:color w:val="auto"/>
        </w:rPr>
        <w:tab/>
      </w:r>
      <w:r>
        <w:rPr>
          <w:rFonts w:ascii="Arial" w:cs="Arial" w:eastAsia="Arial" w:hAnsi="Arial"/>
          <w:sz w:val="16"/>
          <w:szCs w:val="16"/>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433768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6">
                      <a:extLst>
                        <a:ext uri="{28A0092B-C50C-407E-A947-70E740481C1C}"/>
                      </a:extLst>
                    </a:blip>
                    <a:srcRect/>
                    <a:stretch>
                      <a:fillRect/>
                    </a:stretch>
                  </pic:blipFill>
                  <pic:spPr bwMode="auto">
                    <a:xfrm>
                      <a:off x="0" y="0"/>
                      <a:ext cx="4337685" cy="8255"/>
                    </a:xfrm>
                    <a:prstGeom prst="rect">
                      <a:avLst/>
                    </a:prstGeom>
                    <a:noFill/>
                  </pic:spPr>
                </pic:pic>
              </a:graphicData>
            </a:graphic>
          </wp:anchor>
        </w:drawing>
      </w:r>
    </w:p>
    <w:p>
      <w:pPr>
        <w:spacing w:after="0" w:line="12" w:lineRule="exact"/>
        <w:rPr>
          <w:sz w:val="20"/>
          <w:szCs w:val="20"/>
          <w:color w:val="auto"/>
        </w:rPr>
      </w:pPr>
    </w:p>
    <w:p>
      <w:pPr>
        <w:ind w:left="960" w:right="220" w:hanging="499"/>
        <w:spacing w:after="0" w:line="188" w:lineRule="auto"/>
        <w:tabs>
          <w:tab w:leader="none" w:pos="940" w:val="left"/>
        </w:tabs>
        <w:rPr>
          <w:rFonts w:ascii="Arial" w:cs="Arial" w:eastAsia="Arial" w:hAnsi="Arial"/>
          <w:sz w:val="14"/>
          <w:szCs w:val="14"/>
          <w:u w:val="single" w:color="auto"/>
          <w:color w:val="0000FF"/>
        </w:rPr>
      </w:pPr>
      <w:r>
        <w:rPr>
          <w:rFonts w:ascii="Arial" w:cs="Arial" w:eastAsia="Arial" w:hAnsi="Arial"/>
          <w:sz w:val="27"/>
          <w:szCs w:val="27"/>
          <w:color w:val="auto"/>
          <w:vertAlign w:val="subscript"/>
        </w:rPr>
        <w:t>10ai.</w:t>
      </w:r>
      <w:r>
        <w:rPr>
          <w:sz w:val="20"/>
          <w:szCs w:val="20"/>
          <w:color w:val="auto"/>
        </w:rPr>
        <w:tab/>
      </w:r>
      <w:hyperlink r:id="rId167">
        <w:r>
          <w:rPr>
            <w:rFonts w:ascii="Arial" w:cs="Arial" w:eastAsia="Arial" w:hAnsi="Arial"/>
            <w:sz w:val="14"/>
            <w:szCs w:val="14"/>
            <w:u w:val="single" w:color="auto"/>
            <w:color w:val="0000FF"/>
          </w:rPr>
          <w:t>Base Convertible Bond Hedge Confirmation, dated October 29, 2019, between</w:t>
        </w:r>
      </w:hyperlink>
      <w:r>
        <w:rPr>
          <w:rFonts w:ascii="Arial" w:cs="Arial" w:eastAsia="Arial" w:hAnsi="Arial"/>
          <w:sz w:val="14"/>
          <w:szCs w:val="14"/>
          <w:u w:val="single" w:color="auto"/>
          <w:color w:val="0000FF"/>
        </w:rPr>
        <w:t xml:space="preserve"> </w:t>
      </w:r>
      <w:hyperlink r:id="rId167">
        <w:r>
          <w:rPr>
            <w:rFonts w:ascii="Arial" w:cs="Arial" w:eastAsia="Arial" w:hAnsi="Arial"/>
            <w:sz w:val="14"/>
            <w:szCs w:val="14"/>
            <w:u w:val="single" w:color="auto"/>
            <w:color w:val="0000FF"/>
          </w:rPr>
          <w:t>Winnebago Industries, Inc., and Bank of Montreal.</w:t>
        </w:r>
      </w:hyperlink>
    </w:p>
    <w:p>
      <w:pPr>
        <w:spacing w:after="0" w:line="36" w:lineRule="exact"/>
        <w:rPr>
          <w:sz w:val="20"/>
          <w:szCs w:val="20"/>
          <w:color w:val="auto"/>
        </w:rPr>
      </w:pPr>
    </w:p>
    <w:p>
      <w:pPr>
        <w:ind w:left="960" w:right="540" w:hanging="499"/>
        <w:spacing w:after="0" w:line="188" w:lineRule="auto"/>
        <w:tabs>
          <w:tab w:leader="none" w:pos="940" w:val="left"/>
        </w:tabs>
        <w:rPr>
          <w:rFonts w:ascii="Arial" w:cs="Arial" w:eastAsia="Arial" w:hAnsi="Arial"/>
          <w:sz w:val="14"/>
          <w:szCs w:val="14"/>
          <w:u w:val="single" w:color="auto"/>
          <w:color w:val="0000FF"/>
        </w:rPr>
      </w:pPr>
      <w:r>
        <w:rPr>
          <w:rFonts w:ascii="Arial" w:cs="Arial" w:eastAsia="Arial" w:hAnsi="Arial"/>
          <w:sz w:val="27"/>
          <w:szCs w:val="27"/>
          <w:color w:val="auto"/>
          <w:vertAlign w:val="subscript"/>
        </w:rPr>
        <w:t>10aj.</w:t>
      </w:r>
      <w:r>
        <w:rPr>
          <w:sz w:val="20"/>
          <w:szCs w:val="20"/>
          <w:color w:val="auto"/>
        </w:rPr>
        <w:tab/>
      </w:r>
      <w:hyperlink r:id="rId168">
        <w:r>
          <w:rPr>
            <w:rFonts w:ascii="Arial" w:cs="Arial" w:eastAsia="Arial" w:hAnsi="Arial"/>
            <w:sz w:val="14"/>
            <w:szCs w:val="14"/>
            <w:u w:val="single" w:color="auto"/>
            <w:color w:val="0000FF"/>
          </w:rPr>
          <w:t>Additional Convertible Bond Hedge Confirmation, dated October 30, 2019,</w:t>
        </w:r>
      </w:hyperlink>
      <w:r>
        <w:rPr>
          <w:rFonts w:ascii="Arial" w:cs="Arial" w:eastAsia="Arial" w:hAnsi="Arial"/>
          <w:sz w:val="14"/>
          <w:szCs w:val="14"/>
          <w:u w:val="single" w:color="auto"/>
          <w:color w:val="0000FF"/>
        </w:rPr>
        <w:t xml:space="preserve"> </w:t>
      </w:r>
      <w:hyperlink r:id="rId168">
        <w:r>
          <w:rPr>
            <w:rFonts w:ascii="Arial" w:cs="Arial" w:eastAsia="Arial" w:hAnsi="Arial"/>
            <w:sz w:val="14"/>
            <w:szCs w:val="14"/>
            <w:u w:val="single" w:color="auto"/>
            <w:color w:val="0000FF"/>
          </w:rPr>
          <w:t>between Winnebago Industries, Inc., and Goldman Sachs &amp; Co.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-226695</wp:posOffset>
            </wp:positionV>
            <wp:extent cx="7115175" cy="2571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9">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spacing w:after="0" w:line="16" w:lineRule="exact"/>
        <w:rPr>
          <w:sz w:val="20"/>
          <w:szCs w:val="20"/>
          <w:color w:val="auto"/>
        </w:rPr>
      </w:pPr>
    </w:p>
    <w:p>
      <w:pPr>
        <w:ind w:left="960" w:right="540" w:hanging="539"/>
        <w:spacing w:after="0" w:line="188" w:lineRule="auto"/>
        <w:tabs>
          <w:tab w:leader="none" w:pos="940" w:val="left"/>
        </w:tabs>
        <w:rPr>
          <w:rFonts w:ascii="Arial" w:cs="Arial" w:eastAsia="Arial" w:hAnsi="Arial"/>
          <w:sz w:val="14"/>
          <w:szCs w:val="14"/>
          <w:u w:val="single" w:color="auto"/>
          <w:color w:val="0000FF"/>
        </w:rPr>
      </w:pPr>
      <w:r>
        <w:rPr>
          <w:rFonts w:ascii="Arial" w:cs="Arial" w:eastAsia="Arial" w:hAnsi="Arial"/>
          <w:sz w:val="27"/>
          <w:szCs w:val="27"/>
          <w:color w:val="auto"/>
          <w:vertAlign w:val="subscript"/>
        </w:rPr>
        <w:t>10ak.</w:t>
      </w:r>
      <w:r>
        <w:rPr>
          <w:sz w:val="20"/>
          <w:szCs w:val="20"/>
          <w:color w:val="auto"/>
        </w:rPr>
        <w:tab/>
      </w:r>
      <w:hyperlink r:id="rId170">
        <w:r>
          <w:rPr>
            <w:rFonts w:ascii="Arial" w:cs="Arial" w:eastAsia="Arial" w:hAnsi="Arial"/>
            <w:sz w:val="14"/>
            <w:szCs w:val="14"/>
            <w:u w:val="single" w:color="auto"/>
            <w:color w:val="0000FF"/>
          </w:rPr>
          <w:t>Additional Convertible Bond Hedge Confirmation, dated October 30, 2019,</w:t>
        </w:r>
      </w:hyperlink>
      <w:r>
        <w:rPr>
          <w:rFonts w:ascii="Arial" w:cs="Arial" w:eastAsia="Arial" w:hAnsi="Arial"/>
          <w:sz w:val="14"/>
          <w:szCs w:val="14"/>
          <w:u w:val="single" w:color="auto"/>
          <w:color w:val="0000FF"/>
        </w:rPr>
        <w:t xml:space="preserve"> </w:t>
      </w:r>
      <w:hyperlink r:id="rId170">
        <w:r>
          <w:rPr>
            <w:rFonts w:ascii="Arial" w:cs="Arial" w:eastAsia="Arial" w:hAnsi="Arial"/>
            <w:sz w:val="14"/>
            <w:szCs w:val="14"/>
            <w:u w:val="single" w:color="auto"/>
            <w:color w:val="0000FF"/>
          </w:rPr>
          <w:t>between Winnebago Industries, Inc., and Bank of Montreal.</w:t>
        </w:r>
      </w:hyperlink>
    </w:p>
    <w:p>
      <w:pPr>
        <w:spacing w:after="0" w:line="36" w:lineRule="exact"/>
        <w:rPr>
          <w:sz w:val="20"/>
          <w:szCs w:val="20"/>
          <w:color w:val="auto"/>
        </w:rPr>
      </w:pPr>
    </w:p>
    <w:p>
      <w:pPr>
        <w:ind w:left="960" w:right="560" w:hanging="499"/>
        <w:spacing w:after="0" w:line="188" w:lineRule="auto"/>
        <w:tabs>
          <w:tab w:leader="none" w:pos="940" w:val="left"/>
        </w:tabs>
        <w:rPr>
          <w:rFonts w:ascii="Arial" w:cs="Arial" w:eastAsia="Arial" w:hAnsi="Arial"/>
          <w:sz w:val="14"/>
          <w:szCs w:val="14"/>
          <w:u w:val="single" w:color="auto"/>
          <w:color w:val="0000FF"/>
        </w:rPr>
      </w:pPr>
      <w:r>
        <w:rPr>
          <w:rFonts w:ascii="Arial" w:cs="Arial" w:eastAsia="Arial" w:hAnsi="Arial"/>
          <w:sz w:val="27"/>
          <w:szCs w:val="27"/>
          <w:color w:val="auto"/>
          <w:vertAlign w:val="subscript"/>
        </w:rPr>
        <w:t>10al.</w:t>
      </w:r>
      <w:r>
        <w:rPr>
          <w:sz w:val="20"/>
          <w:szCs w:val="20"/>
          <w:color w:val="auto"/>
        </w:rPr>
        <w:tab/>
      </w:r>
      <w:hyperlink r:id="rId171">
        <w:r>
          <w:rPr>
            <w:rFonts w:ascii="Arial" w:cs="Arial" w:eastAsia="Arial" w:hAnsi="Arial"/>
            <w:sz w:val="14"/>
            <w:szCs w:val="14"/>
            <w:u w:val="single" w:color="auto"/>
            <w:color w:val="0000FF"/>
          </w:rPr>
          <w:t>Base Warrant Confirmation, dated October 29, 2019, between Winnebago</w:t>
        </w:r>
      </w:hyperlink>
      <w:r>
        <w:rPr>
          <w:rFonts w:ascii="Arial" w:cs="Arial" w:eastAsia="Arial" w:hAnsi="Arial"/>
          <w:sz w:val="14"/>
          <w:szCs w:val="14"/>
          <w:u w:val="single" w:color="auto"/>
          <w:color w:val="0000FF"/>
        </w:rPr>
        <w:t xml:space="preserve"> </w:t>
      </w:r>
      <w:hyperlink r:id="rId171">
        <w:r>
          <w:rPr>
            <w:rFonts w:ascii="Arial" w:cs="Arial" w:eastAsia="Arial" w:hAnsi="Arial"/>
            <w:sz w:val="14"/>
            <w:szCs w:val="14"/>
            <w:u w:val="single" w:color="auto"/>
            <w:color w:val="0000FF"/>
          </w:rPr>
          <w:t>Industries, Inc., and Goldman Sachs &amp; Co.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-226695</wp:posOffset>
            </wp:positionV>
            <wp:extent cx="7115175" cy="2571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2">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spacing w:after="0" w:line="16" w:lineRule="exact"/>
        <w:rPr>
          <w:sz w:val="20"/>
          <w:szCs w:val="20"/>
          <w:color w:val="auto"/>
        </w:rPr>
      </w:pPr>
    </w:p>
    <w:p>
      <w:pPr>
        <w:ind w:left="960" w:right="560" w:hanging="599"/>
        <w:spacing w:after="0" w:line="188" w:lineRule="auto"/>
        <w:tabs>
          <w:tab w:leader="none" w:pos="940" w:val="left"/>
        </w:tabs>
        <w:rPr>
          <w:rFonts w:ascii="Arial" w:cs="Arial" w:eastAsia="Arial" w:hAnsi="Arial"/>
          <w:sz w:val="14"/>
          <w:szCs w:val="14"/>
          <w:u w:val="single" w:color="auto"/>
          <w:color w:val="0000FF"/>
        </w:rPr>
      </w:pPr>
      <w:r>
        <w:rPr>
          <w:rFonts w:ascii="Arial" w:cs="Arial" w:eastAsia="Arial" w:hAnsi="Arial"/>
          <w:sz w:val="27"/>
          <w:szCs w:val="27"/>
          <w:color w:val="auto"/>
          <w:vertAlign w:val="subscript"/>
        </w:rPr>
        <w:t>10am.</w:t>
      </w:r>
      <w:r>
        <w:rPr>
          <w:sz w:val="20"/>
          <w:szCs w:val="20"/>
          <w:color w:val="auto"/>
        </w:rPr>
        <w:tab/>
      </w:r>
      <w:hyperlink r:id="rId173">
        <w:r>
          <w:rPr>
            <w:rFonts w:ascii="Arial" w:cs="Arial" w:eastAsia="Arial" w:hAnsi="Arial"/>
            <w:sz w:val="14"/>
            <w:szCs w:val="14"/>
            <w:u w:val="single" w:color="auto"/>
            <w:color w:val="0000FF"/>
          </w:rPr>
          <w:t>Base Warrant Confirmation, dated October 29, 2019, between Winnebago</w:t>
        </w:r>
      </w:hyperlink>
      <w:r>
        <w:rPr>
          <w:rFonts w:ascii="Arial" w:cs="Arial" w:eastAsia="Arial" w:hAnsi="Arial"/>
          <w:sz w:val="14"/>
          <w:szCs w:val="14"/>
          <w:u w:val="single" w:color="auto"/>
          <w:color w:val="0000FF"/>
        </w:rPr>
        <w:t xml:space="preserve"> </w:t>
      </w:r>
      <w:hyperlink r:id="rId173">
        <w:r>
          <w:rPr>
            <w:rFonts w:ascii="Arial" w:cs="Arial" w:eastAsia="Arial" w:hAnsi="Arial"/>
            <w:sz w:val="14"/>
            <w:szCs w:val="14"/>
            <w:u w:val="single" w:color="auto"/>
            <w:color w:val="0000FF"/>
          </w:rPr>
          <w:t>Industries, Inc., and Bank of Montreal</w:t>
        </w:r>
      </w:hyperlink>
    </w:p>
    <w:p>
      <w:pPr>
        <w:spacing w:after="0" w:line="36" w:lineRule="exact"/>
        <w:rPr>
          <w:sz w:val="20"/>
          <w:szCs w:val="20"/>
          <w:color w:val="auto"/>
        </w:rPr>
      </w:pPr>
    </w:p>
    <w:p>
      <w:pPr>
        <w:ind w:left="960" w:right="220" w:hanging="559"/>
        <w:spacing w:after="0" w:line="188" w:lineRule="auto"/>
        <w:tabs>
          <w:tab w:leader="none" w:pos="940" w:val="left"/>
        </w:tabs>
        <w:rPr>
          <w:rFonts w:ascii="Arial" w:cs="Arial" w:eastAsia="Arial" w:hAnsi="Arial"/>
          <w:sz w:val="14"/>
          <w:szCs w:val="14"/>
          <w:u w:val="single" w:color="auto"/>
          <w:color w:val="0000FF"/>
        </w:rPr>
      </w:pPr>
      <w:r>
        <w:rPr>
          <w:rFonts w:ascii="Arial" w:cs="Arial" w:eastAsia="Arial" w:hAnsi="Arial"/>
          <w:sz w:val="27"/>
          <w:szCs w:val="27"/>
          <w:color w:val="auto"/>
          <w:vertAlign w:val="subscript"/>
        </w:rPr>
        <w:t>10an.</w:t>
      </w:r>
      <w:r>
        <w:rPr>
          <w:sz w:val="20"/>
          <w:szCs w:val="20"/>
          <w:color w:val="auto"/>
        </w:rPr>
        <w:tab/>
      </w:r>
      <w:hyperlink r:id="rId174">
        <w:r>
          <w:rPr>
            <w:rFonts w:ascii="Arial" w:cs="Arial" w:eastAsia="Arial" w:hAnsi="Arial"/>
            <w:sz w:val="14"/>
            <w:szCs w:val="14"/>
            <w:u w:val="single" w:color="auto"/>
            <w:color w:val="0000FF"/>
          </w:rPr>
          <w:t>Additional Warrant Confirmation, dated October 30, 2019, between Winnebago</w:t>
        </w:r>
      </w:hyperlink>
      <w:r>
        <w:rPr>
          <w:rFonts w:ascii="Arial" w:cs="Arial" w:eastAsia="Arial" w:hAnsi="Arial"/>
          <w:sz w:val="14"/>
          <w:szCs w:val="14"/>
          <w:u w:val="single" w:color="auto"/>
          <w:color w:val="0000FF"/>
        </w:rPr>
        <w:t xml:space="preserve"> </w:t>
      </w:r>
      <w:hyperlink r:id="rId174">
        <w:r>
          <w:rPr>
            <w:rFonts w:ascii="Arial" w:cs="Arial" w:eastAsia="Arial" w:hAnsi="Arial"/>
            <w:sz w:val="14"/>
            <w:szCs w:val="14"/>
            <w:u w:val="single" w:color="auto"/>
            <w:color w:val="0000FF"/>
          </w:rPr>
          <w:t>Industries, Inc., and Goldman Sachs &amp; Co.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-226695</wp:posOffset>
            </wp:positionV>
            <wp:extent cx="7115175" cy="2571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5">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spacing w:after="0" w:line="16" w:lineRule="exact"/>
        <w:rPr>
          <w:sz w:val="20"/>
          <w:szCs w:val="20"/>
          <w:color w:val="auto"/>
        </w:rPr>
      </w:pPr>
    </w:p>
    <w:p>
      <w:pPr>
        <w:ind w:left="960" w:right="220" w:hanging="559"/>
        <w:spacing w:after="0" w:line="188" w:lineRule="auto"/>
        <w:tabs>
          <w:tab w:leader="none" w:pos="940" w:val="left"/>
        </w:tabs>
        <w:rPr>
          <w:rFonts w:ascii="Arial" w:cs="Arial" w:eastAsia="Arial" w:hAnsi="Arial"/>
          <w:sz w:val="14"/>
          <w:szCs w:val="14"/>
          <w:u w:val="single" w:color="auto"/>
          <w:color w:val="0000FF"/>
        </w:rPr>
      </w:pPr>
      <w:r>
        <w:rPr>
          <w:rFonts w:ascii="Arial" w:cs="Arial" w:eastAsia="Arial" w:hAnsi="Arial"/>
          <w:sz w:val="27"/>
          <w:szCs w:val="27"/>
          <w:color w:val="auto"/>
          <w:vertAlign w:val="subscript"/>
        </w:rPr>
        <w:t>10ao.</w:t>
      </w:r>
      <w:r>
        <w:rPr>
          <w:sz w:val="20"/>
          <w:szCs w:val="20"/>
          <w:color w:val="auto"/>
        </w:rPr>
        <w:tab/>
      </w:r>
      <w:hyperlink r:id="rId176">
        <w:r>
          <w:rPr>
            <w:rFonts w:ascii="Arial" w:cs="Arial" w:eastAsia="Arial" w:hAnsi="Arial"/>
            <w:sz w:val="14"/>
            <w:szCs w:val="14"/>
            <w:u w:val="single" w:color="auto"/>
            <w:color w:val="0000FF"/>
          </w:rPr>
          <w:t>Additional Warrant Confirmation, dated October 30, 2019, between Winnebago</w:t>
        </w:r>
      </w:hyperlink>
      <w:r>
        <w:rPr>
          <w:rFonts w:ascii="Arial" w:cs="Arial" w:eastAsia="Arial" w:hAnsi="Arial"/>
          <w:sz w:val="14"/>
          <w:szCs w:val="14"/>
          <w:u w:val="single" w:color="auto"/>
          <w:color w:val="0000FF"/>
        </w:rPr>
        <w:t xml:space="preserve"> </w:t>
      </w:r>
      <w:hyperlink r:id="rId176">
        <w:r>
          <w:rPr>
            <w:rFonts w:ascii="Arial" w:cs="Arial" w:eastAsia="Arial" w:hAnsi="Arial"/>
            <w:sz w:val="14"/>
            <w:szCs w:val="14"/>
            <w:u w:val="single" w:color="auto"/>
            <w:color w:val="0000FF"/>
          </w:rPr>
          <w:t>Industries, Inc., and Bank of Montreal.</w:t>
        </w:r>
      </w:hyperlink>
    </w:p>
    <w:p>
      <w:pPr>
        <w:spacing w:after="0" w:line="36" w:lineRule="exact"/>
        <w:rPr>
          <w:sz w:val="20"/>
          <w:szCs w:val="20"/>
          <w:color w:val="auto"/>
        </w:rPr>
      </w:pPr>
    </w:p>
    <w:p>
      <w:pPr>
        <w:ind w:left="960" w:right="20" w:hanging="559"/>
        <w:spacing w:after="0" w:line="188" w:lineRule="auto"/>
        <w:tabs>
          <w:tab w:leader="none" w:pos="940" w:val="left"/>
        </w:tabs>
        <w:rPr>
          <w:rFonts w:ascii="Arial" w:cs="Arial" w:eastAsia="Arial" w:hAnsi="Arial"/>
          <w:sz w:val="14"/>
          <w:szCs w:val="14"/>
          <w:u w:val="single" w:color="auto"/>
          <w:color w:val="0000FF"/>
        </w:rPr>
      </w:pPr>
      <w:r>
        <w:rPr>
          <w:rFonts w:ascii="Arial" w:cs="Arial" w:eastAsia="Arial" w:hAnsi="Arial"/>
          <w:sz w:val="27"/>
          <w:szCs w:val="27"/>
          <w:color w:val="auto"/>
          <w:vertAlign w:val="subscript"/>
        </w:rPr>
        <w:t>10ap.</w:t>
      </w:r>
      <w:r>
        <w:rPr>
          <w:sz w:val="20"/>
          <w:szCs w:val="20"/>
          <w:color w:val="auto"/>
        </w:rPr>
        <w:tab/>
      </w:r>
      <w:hyperlink r:id="rId177">
        <w:r>
          <w:rPr>
            <w:rFonts w:ascii="Arial" w:cs="Arial" w:eastAsia="Arial" w:hAnsi="Arial"/>
            <w:sz w:val="14"/>
            <w:szCs w:val="14"/>
            <w:u w:val="single" w:color="auto"/>
            <w:color w:val="0000FF"/>
          </w:rPr>
          <w:t>Standstill Agreement dated as of September 15, 2019, by and among Winnebago</w:t>
        </w:r>
      </w:hyperlink>
      <w:r>
        <w:rPr>
          <w:rFonts w:ascii="Arial" w:cs="Arial" w:eastAsia="Arial" w:hAnsi="Arial"/>
          <w:sz w:val="14"/>
          <w:szCs w:val="14"/>
          <w:u w:val="single" w:color="auto"/>
          <w:color w:val="0000FF"/>
        </w:rPr>
        <w:t xml:space="preserve"> </w:t>
      </w:r>
      <w:hyperlink r:id="rId177">
        <w:r>
          <w:rPr>
            <w:rFonts w:ascii="Arial" w:cs="Arial" w:eastAsia="Arial" w:hAnsi="Arial"/>
            <w:sz w:val="14"/>
            <w:szCs w:val="14"/>
            <w:u w:val="single" w:color="auto"/>
            <w:color w:val="0000FF"/>
          </w:rPr>
          <w:t>Industries, Inc. and each of the investors named on the signature pages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-226695</wp:posOffset>
            </wp:positionV>
            <wp:extent cx="7115175" cy="2571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8">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spacing w:after="0" w:line="16" w:lineRule="exact"/>
        <w:rPr>
          <w:sz w:val="20"/>
          <w:szCs w:val="20"/>
          <w:color w:val="auto"/>
        </w:rPr>
      </w:pPr>
    </w:p>
    <w:p>
      <w:pPr>
        <w:ind w:left="960" w:right="20" w:hanging="559"/>
        <w:spacing w:after="0" w:line="188" w:lineRule="auto"/>
        <w:tabs>
          <w:tab w:leader="none" w:pos="940" w:val="left"/>
        </w:tabs>
        <w:rPr>
          <w:rFonts w:ascii="Arial" w:cs="Arial" w:eastAsia="Arial" w:hAnsi="Arial"/>
          <w:sz w:val="14"/>
          <w:szCs w:val="14"/>
          <w:u w:val="single" w:color="auto"/>
          <w:color w:val="0000FF"/>
        </w:rPr>
      </w:pPr>
      <w:r>
        <w:rPr>
          <w:rFonts w:ascii="Arial" w:cs="Arial" w:eastAsia="Arial" w:hAnsi="Arial"/>
          <w:sz w:val="27"/>
          <w:szCs w:val="27"/>
          <w:color w:val="auto"/>
          <w:vertAlign w:val="subscript"/>
        </w:rPr>
        <w:t>10aq.</w:t>
      </w:r>
      <w:r>
        <w:rPr>
          <w:sz w:val="20"/>
          <w:szCs w:val="20"/>
          <w:color w:val="auto"/>
        </w:rPr>
        <w:tab/>
      </w:r>
      <w:hyperlink r:id="rId179">
        <w:r>
          <w:rPr>
            <w:rFonts w:ascii="Arial" w:cs="Arial" w:eastAsia="Arial" w:hAnsi="Arial"/>
            <w:sz w:val="14"/>
            <w:szCs w:val="14"/>
            <w:u w:val="single" w:color="auto"/>
            <w:color w:val="0000FF"/>
          </w:rPr>
          <w:t>Lock-Up Letter Agreement dated September 15, 2019, by and among Winnebago</w:t>
        </w:r>
      </w:hyperlink>
      <w:r>
        <w:rPr>
          <w:rFonts w:ascii="Arial" w:cs="Arial" w:eastAsia="Arial" w:hAnsi="Arial"/>
          <w:sz w:val="14"/>
          <w:szCs w:val="14"/>
          <w:u w:val="single" w:color="auto"/>
          <w:color w:val="0000FF"/>
        </w:rPr>
        <w:t xml:space="preserve"> </w:t>
      </w:r>
      <w:hyperlink r:id="rId179">
        <w:r>
          <w:rPr>
            <w:rFonts w:ascii="Arial" w:cs="Arial" w:eastAsia="Arial" w:hAnsi="Arial"/>
            <w:sz w:val="14"/>
            <w:szCs w:val="14"/>
            <w:u w:val="single" w:color="auto"/>
            <w:color w:val="0000FF"/>
          </w:rPr>
          <w:t>Industries, Inc. and each of the parties named on the signature pages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29845</wp:posOffset>
            </wp:positionV>
            <wp:extent cx="7115175" cy="5918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0">
                      <a:extLst>
                        <a:ext uri="{28A0092B-C50C-407E-A947-70E740481C1C}"/>
                      </a:extLst>
                    </a:blip>
                    <a:srcRect/>
                    <a:stretch>
                      <a:fillRect/>
                    </a:stretch>
                  </pic:blipFill>
                  <pic:spPr bwMode="auto">
                    <a:xfrm>
                      <a:off x="0" y="0"/>
                      <a:ext cx="7115175" cy="591820"/>
                    </a:xfrm>
                    <a:prstGeom prst="rect">
                      <a:avLst/>
                    </a:prstGeom>
                    <a:noFill/>
                  </pic:spPr>
                </pic:pic>
              </a:graphicData>
            </a:graphic>
          </wp:anchor>
        </w:drawing>
      </w:r>
    </w:p>
    <w:p>
      <w:pPr>
        <w:spacing w:after="0" w:line="43" w:lineRule="exact"/>
        <w:rPr>
          <w:sz w:val="20"/>
          <w:szCs w:val="20"/>
          <w:color w:val="auto"/>
        </w:rPr>
      </w:pPr>
    </w:p>
    <w:p>
      <w:pPr>
        <w:ind w:left="960" w:right="220"/>
        <w:spacing w:after="0" w:line="228" w:lineRule="auto"/>
        <w:rPr>
          <w:rFonts w:ascii="Arial" w:cs="Arial" w:eastAsia="Arial" w:hAnsi="Arial"/>
          <w:sz w:val="16"/>
          <w:szCs w:val="16"/>
          <w:u w:val="single" w:color="auto"/>
          <w:color w:val="0000FF"/>
        </w:rPr>
      </w:pPr>
      <w:hyperlink r:id="rId181">
        <w:r>
          <w:rPr>
            <w:rFonts w:ascii="Arial" w:cs="Arial" w:eastAsia="Arial" w:hAnsi="Arial"/>
            <w:sz w:val="16"/>
            <w:szCs w:val="16"/>
            <w:u w:val="single" w:color="auto"/>
            <w:color w:val="0000FF"/>
          </w:rPr>
          <w:t>Amendment No. 1 to Amended and Restated Credit Agreement dated as of</w:t>
        </w:r>
      </w:hyperlink>
      <w:r>
        <w:rPr>
          <w:rFonts w:ascii="Arial" w:cs="Arial" w:eastAsia="Arial" w:hAnsi="Arial"/>
          <w:sz w:val="16"/>
          <w:szCs w:val="16"/>
          <w:u w:val="single" w:color="auto"/>
          <w:color w:val="0000FF"/>
        </w:rPr>
        <w:t xml:space="preserve"> </w:t>
      </w:r>
      <w:hyperlink r:id="rId181">
        <w:r>
          <w:rPr>
            <w:rFonts w:ascii="Arial" w:cs="Arial" w:eastAsia="Arial" w:hAnsi="Arial"/>
            <w:sz w:val="16"/>
            <w:szCs w:val="16"/>
            <w:u w:val="single" w:color="auto"/>
            <w:color w:val="0000FF"/>
          </w:rPr>
          <w:t>November 15, 2019 among Winnebago Industries, Inc., Winnebago of Indiana,</w:t>
        </w:r>
      </w:hyperlink>
    </w:p>
    <w:p>
      <w:pPr>
        <w:spacing w:after="0" w:line="1" w:lineRule="exact"/>
        <w:rPr>
          <w:sz w:val="20"/>
          <w:szCs w:val="20"/>
          <w:color w:val="auto"/>
        </w:rPr>
      </w:pPr>
    </w:p>
    <w:p>
      <w:pPr>
        <w:ind w:left="960" w:right="360" w:hanging="499"/>
        <w:spacing w:after="0" w:line="237"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10ar.</w:t>
      </w:r>
      <w:r>
        <w:rPr>
          <w:sz w:val="20"/>
          <w:szCs w:val="20"/>
          <w:color w:val="auto"/>
        </w:rPr>
        <w:tab/>
      </w:r>
      <w:hyperlink r:id="rId181">
        <w:r>
          <w:rPr>
            <w:rFonts w:ascii="Arial" w:cs="Arial" w:eastAsia="Arial" w:hAnsi="Arial"/>
            <w:sz w:val="16"/>
            <w:szCs w:val="16"/>
            <w:u w:val="single" w:color="auto"/>
            <w:color w:val="0000FF"/>
          </w:rPr>
          <w:t>LLC and Grand Design RV, LLC, Newmar Corporation, the other loan parties</w:t>
        </w:r>
      </w:hyperlink>
      <w:r>
        <w:rPr>
          <w:rFonts w:ascii="Arial" w:cs="Arial" w:eastAsia="Arial" w:hAnsi="Arial"/>
          <w:sz w:val="16"/>
          <w:szCs w:val="16"/>
          <w:u w:val="single" w:color="auto"/>
          <w:color w:val="0000FF"/>
        </w:rPr>
        <w:t xml:space="preserve"> </w:t>
      </w:r>
      <w:hyperlink r:id="rId181">
        <w:r>
          <w:rPr>
            <w:rFonts w:ascii="Arial" w:cs="Arial" w:eastAsia="Arial" w:hAnsi="Arial"/>
            <w:sz w:val="16"/>
            <w:szCs w:val="16"/>
            <w:u w:val="single" w:color="auto"/>
            <w:color w:val="0000FF"/>
          </w:rPr>
          <w:t>thereto from time to time, the lenders party thereto from time to time and</w:t>
        </w:r>
      </w:hyperlink>
      <w:r>
        <w:rPr>
          <w:rFonts w:ascii="Arial" w:cs="Arial" w:eastAsia="Arial" w:hAnsi="Arial"/>
          <w:sz w:val="16"/>
          <w:szCs w:val="16"/>
          <w:u w:val="single" w:color="auto"/>
          <w:color w:val="0000FF"/>
        </w:rPr>
        <w:t xml:space="preserve"> </w:t>
      </w:r>
      <w:hyperlink r:id="rId181">
        <w:r>
          <w:rPr>
            <w:rFonts w:ascii="Arial" w:cs="Arial" w:eastAsia="Arial" w:hAnsi="Arial"/>
            <w:sz w:val="16"/>
            <w:szCs w:val="16"/>
            <w:u w:val="single" w:color="auto"/>
            <w:color w:val="0000FF"/>
          </w:rPr>
          <w:t>JPMorgan Chase Bank, N.A.</w:t>
        </w:r>
      </w:hyperlink>
    </w:p>
    <w:p>
      <w:pPr>
        <w:spacing w:after="0" w:line="8" w:lineRule="exact"/>
        <w:rPr>
          <w:rFonts w:ascii="Arial" w:cs="Arial" w:eastAsia="Arial" w:hAnsi="Arial"/>
          <w:sz w:val="16"/>
          <w:szCs w:val="16"/>
          <w:u w:val="single" w:color="auto"/>
          <w:color w:val="0000FF"/>
        </w:rPr>
      </w:pPr>
    </w:p>
    <w:p>
      <w:pPr>
        <w:ind w:left="960" w:right="180" w:hanging="539"/>
        <w:spacing w:after="0" w:line="188" w:lineRule="auto"/>
        <w:tabs>
          <w:tab w:leader="none" w:pos="940" w:val="left"/>
        </w:tabs>
        <w:rPr>
          <w:rFonts w:ascii="Arial" w:cs="Arial" w:eastAsia="Arial" w:hAnsi="Arial"/>
          <w:sz w:val="14"/>
          <w:szCs w:val="14"/>
          <w:u w:val="single" w:color="auto"/>
          <w:color w:val="0000FF"/>
        </w:rPr>
      </w:pPr>
      <w:r>
        <w:rPr>
          <w:rFonts w:ascii="Arial" w:cs="Arial" w:eastAsia="Arial" w:hAnsi="Arial"/>
          <w:sz w:val="27"/>
          <w:szCs w:val="27"/>
          <w:color w:val="auto"/>
          <w:vertAlign w:val="subscript"/>
        </w:rPr>
        <w:t>10as.</w:t>
      </w:r>
      <w:r>
        <w:rPr>
          <w:sz w:val="20"/>
          <w:szCs w:val="20"/>
          <w:color w:val="auto"/>
        </w:rPr>
        <w:tab/>
      </w:r>
      <w:hyperlink r:id="rId182">
        <w:r>
          <w:rPr>
            <w:rFonts w:ascii="Arial" w:cs="Arial" w:eastAsia="Arial" w:hAnsi="Arial"/>
            <w:sz w:val="14"/>
            <w:szCs w:val="14"/>
            <w:u w:val="single" w:color="auto"/>
            <w:color w:val="0000FF"/>
          </w:rPr>
          <w:t>First Restated and Amended Lease Agreement (Main Facility) dated October 4,</w:t>
        </w:r>
      </w:hyperlink>
      <w:r>
        <w:rPr>
          <w:rFonts w:ascii="Arial" w:cs="Arial" w:eastAsia="Arial" w:hAnsi="Arial"/>
          <w:sz w:val="14"/>
          <w:szCs w:val="14"/>
          <w:u w:val="single" w:color="auto"/>
          <w:color w:val="0000FF"/>
        </w:rPr>
        <w:t xml:space="preserve"> </w:t>
      </w:r>
      <w:hyperlink r:id="rId182">
        <w:r>
          <w:rPr>
            <w:rFonts w:ascii="Arial" w:cs="Arial" w:eastAsia="Arial" w:hAnsi="Arial"/>
            <w:sz w:val="14"/>
            <w:szCs w:val="14"/>
            <w:u w:val="single" w:color="auto"/>
            <w:color w:val="0000FF"/>
          </w:rPr>
          <w:t>2019 by and between Three Oaks, LLC and Grand Design RV, LLC.</w:t>
        </w:r>
      </w:hyperlink>
    </w:p>
    <w:p>
      <w:pPr>
        <w:spacing w:after="0" w:line="36" w:lineRule="exact"/>
        <w:rPr>
          <w:sz w:val="20"/>
          <w:szCs w:val="20"/>
          <w:color w:val="auto"/>
        </w:rPr>
      </w:pPr>
    </w:p>
    <w:p>
      <w:pPr>
        <w:ind w:left="960" w:right="180" w:hanging="499"/>
        <w:spacing w:after="0" w:line="188" w:lineRule="auto"/>
        <w:tabs>
          <w:tab w:leader="none" w:pos="940" w:val="left"/>
        </w:tabs>
        <w:rPr>
          <w:rFonts w:ascii="Arial" w:cs="Arial" w:eastAsia="Arial" w:hAnsi="Arial"/>
          <w:sz w:val="14"/>
          <w:szCs w:val="14"/>
          <w:u w:val="single" w:color="auto"/>
          <w:color w:val="0000FF"/>
        </w:rPr>
      </w:pPr>
      <w:r>
        <w:rPr>
          <w:rFonts w:ascii="Arial" w:cs="Arial" w:eastAsia="Arial" w:hAnsi="Arial"/>
          <w:sz w:val="27"/>
          <w:szCs w:val="27"/>
          <w:color w:val="auto"/>
          <w:vertAlign w:val="subscript"/>
        </w:rPr>
        <w:t>10at.</w:t>
      </w:r>
      <w:r>
        <w:rPr>
          <w:sz w:val="20"/>
          <w:szCs w:val="20"/>
          <w:color w:val="auto"/>
        </w:rPr>
        <w:tab/>
      </w:r>
      <w:hyperlink r:id="rId183">
        <w:r>
          <w:rPr>
            <w:rFonts w:ascii="Arial" w:cs="Arial" w:eastAsia="Arial" w:hAnsi="Arial"/>
            <w:sz w:val="14"/>
            <w:szCs w:val="14"/>
            <w:u w:val="single" w:color="auto"/>
            <w:color w:val="0000FF"/>
          </w:rPr>
          <w:t>Second Restated and Amended Lease Agreement (Expansion Facility) dated</w:t>
        </w:r>
      </w:hyperlink>
      <w:r>
        <w:rPr>
          <w:rFonts w:ascii="Arial" w:cs="Arial" w:eastAsia="Arial" w:hAnsi="Arial"/>
          <w:sz w:val="14"/>
          <w:szCs w:val="14"/>
          <w:u w:val="single" w:color="auto"/>
          <w:color w:val="0000FF"/>
        </w:rPr>
        <w:t xml:space="preserve"> </w:t>
      </w:r>
      <w:hyperlink r:id="rId183">
        <w:r>
          <w:rPr>
            <w:rFonts w:ascii="Arial" w:cs="Arial" w:eastAsia="Arial" w:hAnsi="Arial"/>
            <w:sz w:val="14"/>
            <w:szCs w:val="14"/>
            <w:u w:val="single" w:color="auto"/>
            <w:color w:val="0000FF"/>
          </w:rPr>
          <w:t>October 4, 2019 by and between Three Oaks, LLC and Grand Design RV,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-226695</wp:posOffset>
            </wp:positionV>
            <wp:extent cx="7115175" cy="2571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4">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spacing w:after="0" w:line="43" w:lineRule="exact"/>
        <w:rPr>
          <w:sz w:val="20"/>
          <w:szCs w:val="20"/>
          <w:color w:val="auto"/>
        </w:rPr>
      </w:pPr>
    </w:p>
    <w:p>
      <w:pPr>
        <w:ind w:left="960" w:right="100"/>
        <w:spacing w:after="0" w:line="228" w:lineRule="auto"/>
        <w:rPr>
          <w:rFonts w:ascii="Arial" w:cs="Arial" w:eastAsia="Arial" w:hAnsi="Arial"/>
          <w:sz w:val="16"/>
          <w:szCs w:val="16"/>
          <w:u w:val="single" w:color="auto"/>
          <w:color w:val="0000FF"/>
        </w:rPr>
      </w:pPr>
      <w:hyperlink r:id="rId185">
        <w:r>
          <w:rPr>
            <w:rFonts w:ascii="Arial" w:cs="Arial" w:eastAsia="Arial" w:hAnsi="Arial"/>
            <w:sz w:val="16"/>
            <w:szCs w:val="16"/>
            <w:u w:val="single" w:color="auto"/>
            <w:color w:val="0000FF"/>
          </w:rPr>
          <w:t>Amendment No. 2 to Amended and Restated Credit Agreement, dated as of July</w:t>
        </w:r>
      </w:hyperlink>
      <w:r>
        <w:rPr>
          <w:rFonts w:ascii="Arial" w:cs="Arial" w:eastAsia="Arial" w:hAnsi="Arial"/>
          <w:sz w:val="16"/>
          <w:szCs w:val="16"/>
          <w:u w:val="single" w:color="auto"/>
          <w:color w:val="0000FF"/>
        </w:rPr>
        <w:t xml:space="preserve"> </w:t>
      </w:r>
      <w:hyperlink r:id="rId185">
        <w:r>
          <w:rPr>
            <w:rFonts w:ascii="Arial" w:cs="Arial" w:eastAsia="Arial" w:hAnsi="Arial"/>
            <w:sz w:val="16"/>
            <w:szCs w:val="16"/>
            <w:u w:val="single" w:color="auto"/>
            <w:color w:val="0000FF"/>
          </w:rPr>
          <w:t>8, 2020, among Winnebago Industries, Inc., Winnebago of Indiana, LLC, Grand</w:t>
        </w:r>
      </w:hyperlink>
    </w:p>
    <w:p>
      <w:pPr>
        <w:spacing w:after="0" w:line="1" w:lineRule="exact"/>
        <w:rPr>
          <w:sz w:val="20"/>
          <w:szCs w:val="20"/>
          <w:color w:val="auto"/>
        </w:rPr>
      </w:pPr>
    </w:p>
    <w:p>
      <w:pPr>
        <w:ind w:left="960" w:right="80" w:hanging="559"/>
        <w:spacing w:after="0" w:line="237"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10au.</w:t>
      </w:r>
      <w:r>
        <w:rPr>
          <w:sz w:val="20"/>
          <w:szCs w:val="20"/>
          <w:color w:val="auto"/>
        </w:rPr>
        <w:tab/>
      </w:r>
      <w:hyperlink r:id="rId185">
        <w:r>
          <w:rPr>
            <w:rFonts w:ascii="Arial" w:cs="Arial" w:eastAsia="Arial" w:hAnsi="Arial"/>
            <w:sz w:val="16"/>
            <w:szCs w:val="16"/>
            <w:u w:val="single" w:color="auto"/>
            <w:color w:val="0000FF"/>
          </w:rPr>
          <w:t>Design RV, LLC, Newmar Corporation, the other loan parties thereto from time to</w:t>
        </w:r>
      </w:hyperlink>
      <w:r>
        <w:rPr>
          <w:rFonts w:ascii="Arial" w:cs="Arial" w:eastAsia="Arial" w:hAnsi="Arial"/>
          <w:sz w:val="16"/>
          <w:szCs w:val="16"/>
          <w:u w:val="single" w:color="auto"/>
          <w:color w:val="0000FF"/>
        </w:rPr>
        <w:t xml:space="preserve"> </w:t>
      </w:r>
      <w:hyperlink r:id="rId185">
        <w:r>
          <w:rPr>
            <w:rFonts w:ascii="Arial" w:cs="Arial" w:eastAsia="Arial" w:hAnsi="Arial"/>
            <w:sz w:val="16"/>
            <w:szCs w:val="16"/>
            <w:u w:val="single" w:color="auto"/>
            <w:color w:val="0000FF"/>
          </w:rPr>
          <w:t>time, the lenders party thereto from time to time and JPMorgan Chase Bank,</w:t>
        </w:r>
      </w:hyperlink>
      <w:r>
        <w:rPr>
          <w:rFonts w:ascii="Arial" w:cs="Arial" w:eastAsia="Arial" w:hAnsi="Arial"/>
          <w:sz w:val="16"/>
          <w:szCs w:val="16"/>
          <w:u w:val="single" w:color="auto"/>
          <w:color w:val="0000FF"/>
        </w:rPr>
        <w:t xml:space="preserve"> </w:t>
      </w:r>
      <w:hyperlink r:id="rId185">
        <w:r>
          <w:rPr>
            <w:rFonts w:ascii="Arial" w:cs="Arial" w:eastAsia="Arial" w:hAnsi="Arial"/>
            <w:sz w:val="16"/>
            <w:szCs w:val="16"/>
            <w:u w:val="single" w:color="auto"/>
            <w:color w:val="0000FF"/>
          </w:rPr>
          <w:t>N.A., as administrative agent</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13335</wp:posOffset>
            </wp:positionH>
            <wp:positionV relativeFrom="paragraph">
              <wp:posOffset>12700</wp:posOffset>
            </wp:positionV>
            <wp:extent cx="7115175" cy="3683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6">
                      <a:extLst>
                        <a:ext uri="{28A0092B-C50C-407E-A947-70E740481C1C}"/>
                      </a:extLst>
                    </a:blip>
                    <a:srcRect/>
                    <a:stretch>
                      <a:fillRect/>
                    </a:stretch>
                  </pic:blipFill>
                  <pic:spPr bwMode="auto">
                    <a:xfrm>
                      <a:off x="0" y="0"/>
                      <a:ext cx="7115175" cy="368300"/>
                    </a:xfrm>
                    <a:prstGeom prst="rect">
                      <a:avLst/>
                    </a:prstGeom>
                    <a:noFill/>
                  </pic:spPr>
                </pic:pic>
              </a:graphicData>
            </a:graphic>
          </wp:anchor>
        </w:drawing>
      </w:r>
    </w:p>
    <w:p>
      <w:pPr>
        <w:spacing w:after="0" w:line="15" w:lineRule="exact"/>
        <w:rPr>
          <w:rFonts w:ascii="Arial" w:cs="Arial" w:eastAsia="Arial" w:hAnsi="Arial"/>
          <w:sz w:val="16"/>
          <w:szCs w:val="16"/>
          <w:u w:val="single" w:color="auto"/>
          <w:color w:val="0000FF"/>
        </w:rPr>
      </w:pPr>
    </w:p>
    <w:p>
      <w:pPr>
        <w:jc w:val="both"/>
        <w:ind w:left="420" w:firstLine="528"/>
        <w:spacing w:after="0" w:line="228" w:lineRule="auto"/>
        <w:rPr>
          <w:rFonts w:ascii="Arial" w:cs="Arial" w:eastAsia="Arial" w:hAnsi="Arial"/>
          <w:sz w:val="16"/>
          <w:szCs w:val="16"/>
          <w:color w:val="000000"/>
        </w:rPr>
      </w:pPr>
      <w:hyperlink r:id="rId187">
        <w:r>
          <w:rPr>
            <w:rFonts w:ascii="Arial" w:cs="Arial" w:eastAsia="Arial" w:hAnsi="Arial"/>
            <w:sz w:val="16"/>
            <w:szCs w:val="16"/>
            <w:u w:val="single" w:color="auto"/>
            <w:color w:val="0000FF"/>
          </w:rPr>
          <w:t>Intercreditor Agreement, dated as of July 8, 2020, among JPMorgan Chase Bank,</w:t>
        </w:r>
      </w:hyperlink>
      <w:r>
        <w:rPr>
          <w:rFonts w:ascii="Arial" w:cs="Arial" w:eastAsia="Arial" w:hAnsi="Arial"/>
          <w:sz w:val="16"/>
          <w:szCs w:val="16"/>
          <w:u w:val="single" w:color="auto"/>
          <w:color w:val="0000FF"/>
        </w:rPr>
        <w:t xml:space="preserve"> </w:t>
      </w:r>
      <w:r>
        <w:rPr>
          <w:rFonts w:ascii="Arial" w:cs="Arial" w:eastAsia="Arial" w:hAnsi="Arial"/>
          <w:sz w:val="16"/>
          <w:szCs w:val="16"/>
          <w:color w:val="000000"/>
        </w:rPr>
        <w:t xml:space="preserve">10av. </w:t>
      </w:r>
      <w:hyperlink r:id="rId187">
        <w:r>
          <w:rPr>
            <w:rFonts w:ascii="Arial" w:cs="Arial" w:eastAsia="Arial" w:hAnsi="Arial"/>
            <w:sz w:val="16"/>
            <w:szCs w:val="16"/>
            <w:u w:val="single" w:color="auto"/>
            <w:color w:val="0000FF"/>
          </w:rPr>
          <w:t>N.A., U.S. Bank National Association, as collateral trustee, Winnebago Industries,</w:t>
        </w:r>
      </w:hyperlink>
    </w:p>
    <w:p>
      <w:pPr>
        <w:spacing w:after="0" w:line="1" w:lineRule="exact"/>
        <w:rPr>
          <w:sz w:val="20"/>
          <w:szCs w:val="20"/>
          <w:color w:val="auto"/>
        </w:rPr>
      </w:pPr>
    </w:p>
    <w:p>
      <w:pPr>
        <w:ind w:left="960"/>
        <w:spacing w:after="0"/>
        <w:rPr>
          <w:rFonts w:ascii="Arial" w:cs="Arial" w:eastAsia="Arial" w:hAnsi="Arial"/>
          <w:sz w:val="16"/>
          <w:szCs w:val="16"/>
          <w:u w:val="single" w:color="auto"/>
          <w:color w:val="0000FF"/>
        </w:rPr>
      </w:pPr>
      <w:hyperlink r:id="rId187">
        <w:r>
          <w:rPr>
            <w:rFonts w:ascii="Arial" w:cs="Arial" w:eastAsia="Arial" w:hAnsi="Arial"/>
            <w:sz w:val="16"/>
            <w:szCs w:val="16"/>
            <w:u w:val="single" w:color="auto"/>
            <w:color w:val="0000FF"/>
          </w:rPr>
          <w:t>Inc. and certain of its subsidiaries party thereto.</w:t>
        </w:r>
      </w:hyperlink>
    </w:p>
    <w:p>
      <w:pPr>
        <w:ind w:left="960" w:hanging="327"/>
        <w:spacing w:after="0" w:line="185" w:lineRule="auto"/>
        <w:tabs>
          <w:tab w:leader="none" w:pos="960" w:val="left"/>
        </w:tabs>
        <w:numPr>
          <w:ilvl w:val="0"/>
          <w:numId w:val="45"/>
        </w:numPr>
        <w:rPr>
          <w:rFonts w:ascii="Arial" w:cs="Arial" w:eastAsia="Arial" w:hAnsi="Arial"/>
          <w:sz w:val="14"/>
          <w:szCs w:val="14"/>
          <w:u w:val="single" w:color="auto"/>
          <w:color w:val="0000FF"/>
        </w:rPr>
      </w:pPr>
      <w:hyperlink w:anchor="page84">
        <w:r>
          <w:rPr>
            <w:rFonts w:ascii="Arial" w:cs="Arial" w:eastAsia="Arial" w:hAnsi="Arial"/>
            <w:sz w:val="14"/>
            <w:szCs w:val="14"/>
            <w:u w:val="single" w:color="auto"/>
            <w:color w:val="0000FF"/>
          </w:rPr>
          <w:t>List of Subsidiaries.</w:t>
        </w:r>
      </w:hyperlink>
    </w:p>
    <w:p>
      <w:pPr>
        <w:spacing w:after="0" w:line="11" w:lineRule="exact"/>
        <w:rPr>
          <w:sz w:val="20"/>
          <w:szCs w:val="20"/>
          <w:color w:val="auto"/>
        </w:rPr>
      </w:pPr>
    </w:p>
    <w:p>
      <w:pPr>
        <w:ind w:left="960" w:hanging="327"/>
        <w:spacing w:after="0"/>
        <w:tabs>
          <w:tab w:leader="none" w:pos="960" w:val="left"/>
        </w:tabs>
        <w:numPr>
          <w:ilvl w:val="0"/>
          <w:numId w:val="46"/>
        </w:numPr>
        <w:rPr>
          <w:rFonts w:ascii="Arial" w:cs="Arial" w:eastAsia="Arial" w:hAnsi="Arial"/>
          <w:sz w:val="16"/>
          <w:szCs w:val="16"/>
          <w:u w:val="single" w:color="auto"/>
          <w:color w:val="0000FF"/>
        </w:rPr>
      </w:pPr>
      <w:hyperlink w:anchor="page85">
        <w:r>
          <w:rPr>
            <w:rFonts w:ascii="Arial" w:cs="Arial" w:eastAsia="Arial" w:hAnsi="Arial"/>
            <w:sz w:val="16"/>
            <w:szCs w:val="16"/>
            <w:u w:val="single" w:color="auto"/>
            <w:color w:val="0000FF"/>
          </w:rPr>
          <w:t>Consent of Independent Registered Public Accounting Firm.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-132715</wp:posOffset>
            </wp:positionV>
            <wp:extent cx="7115175" cy="2400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8">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spacing w:after="0" w:line="163" w:lineRule="exact"/>
        <w:rPr>
          <w:sz w:val="20"/>
          <w:szCs w:val="20"/>
          <w:color w:val="auto"/>
        </w:rPr>
      </w:pPr>
    </w:p>
    <w:p>
      <w:pPr>
        <w:ind w:left="500" w:right="620" w:firstLine="459"/>
        <w:spacing w:after="0" w:line="232" w:lineRule="auto"/>
        <w:rPr>
          <w:rFonts w:ascii="Arial" w:cs="Arial" w:eastAsia="Arial" w:hAnsi="Arial"/>
          <w:sz w:val="16"/>
          <w:szCs w:val="16"/>
          <w:color w:val="000000"/>
        </w:rPr>
      </w:pPr>
      <w:hyperlink w:anchor="page86">
        <w:r>
          <w:rPr>
            <w:rFonts w:ascii="Arial" w:cs="Arial" w:eastAsia="Arial" w:hAnsi="Arial"/>
            <w:sz w:val="16"/>
            <w:szCs w:val="16"/>
            <w:u w:val="single" w:color="auto"/>
            <w:color w:val="0000FF"/>
          </w:rPr>
          <w:t>Certification by the Chief Executive Officer pursuant to Section 302 of the</w:t>
        </w:r>
      </w:hyperlink>
      <w:r>
        <w:rPr>
          <w:rFonts w:ascii="Arial" w:cs="Arial" w:eastAsia="Arial" w:hAnsi="Arial"/>
          <w:sz w:val="16"/>
          <w:szCs w:val="16"/>
          <w:u w:val="single" w:color="auto"/>
          <w:color w:val="0000FF"/>
        </w:rPr>
        <w:t xml:space="preserve"> </w:t>
      </w:r>
      <w:r>
        <w:rPr>
          <w:rFonts w:ascii="Arial" w:cs="Arial" w:eastAsia="Arial" w:hAnsi="Arial"/>
          <w:sz w:val="16"/>
          <w:szCs w:val="16"/>
          <w:color w:val="000000"/>
        </w:rPr>
        <w:t xml:space="preserve">31.1 </w:t>
      </w:r>
      <w:hyperlink w:anchor="page86">
        <w:r>
          <w:rPr>
            <w:rFonts w:ascii="Arial" w:cs="Arial" w:eastAsia="Arial" w:hAnsi="Arial"/>
            <w:sz w:val="16"/>
            <w:szCs w:val="16"/>
            <w:u w:val="single" w:color="auto"/>
            <w:color w:val="0000FF"/>
          </w:rPr>
          <w:t>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107315</wp:posOffset>
            </wp:positionV>
            <wp:extent cx="7115175" cy="3429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9">
                      <a:extLst>
                        <a:ext uri="{28A0092B-C50C-407E-A947-70E740481C1C}"/>
                      </a:extLst>
                    </a:blip>
                    <a:srcRect/>
                    <a:stretch>
                      <a:fillRect/>
                    </a:stretch>
                  </pic:blipFill>
                  <pic:spPr bwMode="auto">
                    <a:xfrm>
                      <a:off x="0" y="0"/>
                      <a:ext cx="7115175" cy="342900"/>
                    </a:xfrm>
                    <a:prstGeom prst="rect">
                      <a:avLst/>
                    </a:prstGeom>
                    <a:noFill/>
                  </pic:spPr>
                </pic:pic>
              </a:graphicData>
            </a:graphic>
          </wp:anchor>
        </w:drawing>
      </w:r>
    </w:p>
    <w:p>
      <w:pPr>
        <w:spacing w:after="0" w:line="164" w:lineRule="exact"/>
        <w:rPr>
          <w:sz w:val="20"/>
          <w:szCs w:val="20"/>
          <w:color w:val="auto"/>
        </w:rPr>
      </w:pPr>
    </w:p>
    <w:p>
      <w:pPr>
        <w:ind w:left="500" w:right="680" w:firstLine="459"/>
        <w:spacing w:after="0" w:line="232" w:lineRule="auto"/>
        <w:rPr>
          <w:rFonts w:ascii="Arial" w:cs="Arial" w:eastAsia="Arial" w:hAnsi="Arial"/>
          <w:sz w:val="16"/>
          <w:szCs w:val="16"/>
          <w:color w:val="000000"/>
        </w:rPr>
      </w:pPr>
      <w:hyperlink w:anchor="page87">
        <w:r>
          <w:rPr>
            <w:rFonts w:ascii="Arial" w:cs="Arial" w:eastAsia="Arial" w:hAnsi="Arial"/>
            <w:sz w:val="16"/>
            <w:szCs w:val="16"/>
            <w:u w:val="single" w:color="auto"/>
            <w:color w:val="0000FF"/>
          </w:rPr>
          <w:t>Certification by the Chief Financial Officer pursuant to Section 302 of the</w:t>
        </w:r>
      </w:hyperlink>
      <w:r>
        <w:rPr>
          <w:rFonts w:ascii="Arial" w:cs="Arial" w:eastAsia="Arial" w:hAnsi="Arial"/>
          <w:sz w:val="16"/>
          <w:szCs w:val="16"/>
          <w:u w:val="single" w:color="auto"/>
          <w:color w:val="0000FF"/>
        </w:rPr>
        <w:t xml:space="preserve"> </w:t>
      </w:r>
      <w:r>
        <w:rPr>
          <w:rFonts w:ascii="Arial" w:cs="Arial" w:eastAsia="Arial" w:hAnsi="Arial"/>
          <w:sz w:val="16"/>
          <w:szCs w:val="16"/>
          <w:color w:val="000000"/>
        </w:rPr>
        <w:t xml:space="preserve">31.2 </w:t>
      </w:r>
      <w:hyperlink w:anchor="page87">
        <w:r>
          <w:rPr>
            <w:rFonts w:ascii="Arial" w:cs="Arial" w:eastAsia="Arial" w:hAnsi="Arial"/>
            <w:sz w:val="16"/>
            <w:szCs w:val="16"/>
            <w:u w:val="single" w:color="auto"/>
            <w:color w:val="0000FF"/>
          </w:rPr>
          <w:t>Sarbanes-Oxley Act of 2002.</w:t>
        </w:r>
      </w:hyperlink>
    </w:p>
    <w:p>
      <w:pPr>
        <w:spacing w:after="0" w:line="184" w:lineRule="exact"/>
        <w:rPr>
          <w:sz w:val="20"/>
          <w:szCs w:val="20"/>
          <w:color w:val="auto"/>
        </w:rPr>
      </w:pPr>
    </w:p>
    <w:p>
      <w:pPr>
        <w:ind w:left="500" w:right="100" w:firstLine="459"/>
        <w:spacing w:after="0" w:line="232" w:lineRule="auto"/>
        <w:rPr>
          <w:rFonts w:ascii="Arial" w:cs="Arial" w:eastAsia="Arial" w:hAnsi="Arial"/>
          <w:sz w:val="16"/>
          <w:szCs w:val="16"/>
          <w:color w:val="000000"/>
        </w:rPr>
      </w:pPr>
      <w:hyperlink w:anchor="page88">
        <w:r>
          <w:rPr>
            <w:rFonts w:ascii="Arial" w:cs="Arial" w:eastAsia="Arial" w:hAnsi="Arial"/>
            <w:sz w:val="16"/>
            <w:szCs w:val="16"/>
            <w:u w:val="single" w:color="auto"/>
            <w:color w:val="0000FF"/>
          </w:rPr>
          <w:t>Certification by the Chief Executive Officer pursuant to Section 1350, as adopted</w:t>
        </w:r>
      </w:hyperlink>
      <w:r>
        <w:rPr>
          <w:rFonts w:ascii="Arial" w:cs="Arial" w:eastAsia="Arial" w:hAnsi="Arial"/>
          <w:sz w:val="16"/>
          <w:szCs w:val="16"/>
          <w:u w:val="single" w:color="auto"/>
          <w:color w:val="0000FF"/>
        </w:rPr>
        <w:t xml:space="preserve"> </w:t>
      </w:r>
      <w:r>
        <w:rPr>
          <w:rFonts w:ascii="Arial" w:cs="Arial" w:eastAsia="Arial" w:hAnsi="Arial"/>
          <w:sz w:val="16"/>
          <w:szCs w:val="16"/>
          <w:color w:val="000000"/>
        </w:rPr>
        <w:t xml:space="preserve">32.1 </w:t>
      </w:r>
      <w:hyperlink w:anchor="page88">
        <w:r>
          <w:rPr>
            <w:rFonts w:ascii="Arial" w:cs="Arial" w:eastAsia="Arial" w:hAnsi="Arial"/>
            <w:sz w:val="16"/>
            <w:szCs w:val="16"/>
            <w:u w:val="single" w:color="auto"/>
            <w:color w:val="0000FF"/>
          </w:rPr>
          <w:t>pursuant to Section 906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107315</wp:posOffset>
            </wp:positionV>
            <wp:extent cx="7115175" cy="3429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0">
                      <a:extLst>
                        <a:ext uri="{28A0092B-C50C-407E-A947-70E740481C1C}"/>
                      </a:extLst>
                    </a:blip>
                    <a:srcRect/>
                    <a:stretch>
                      <a:fillRect/>
                    </a:stretch>
                  </pic:blipFill>
                  <pic:spPr bwMode="auto">
                    <a:xfrm>
                      <a:off x="0" y="0"/>
                      <a:ext cx="7115175" cy="342900"/>
                    </a:xfrm>
                    <a:prstGeom prst="rect">
                      <a:avLst/>
                    </a:prstGeom>
                    <a:noFill/>
                  </pic:spPr>
                </pic:pic>
              </a:graphicData>
            </a:graphic>
          </wp:anchor>
        </w:drawing>
      </w:r>
    </w:p>
    <w:p>
      <w:pPr>
        <w:spacing w:after="0" w:line="164" w:lineRule="exact"/>
        <w:rPr>
          <w:sz w:val="20"/>
          <w:szCs w:val="20"/>
          <w:color w:val="auto"/>
        </w:rPr>
      </w:pPr>
    </w:p>
    <w:p>
      <w:pPr>
        <w:ind w:left="500" w:right="140" w:firstLine="459"/>
        <w:spacing w:after="0" w:line="232" w:lineRule="auto"/>
        <w:rPr>
          <w:rFonts w:ascii="Arial" w:cs="Arial" w:eastAsia="Arial" w:hAnsi="Arial"/>
          <w:sz w:val="16"/>
          <w:szCs w:val="16"/>
          <w:color w:val="000000"/>
        </w:rPr>
      </w:pPr>
      <w:hyperlink w:anchor="page89">
        <w:r>
          <w:rPr>
            <w:rFonts w:ascii="Arial" w:cs="Arial" w:eastAsia="Arial" w:hAnsi="Arial"/>
            <w:sz w:val="16"/>
            <w:szCs w:val="16"/>
            <w:u w:val="single" w:color="auto"/>
            <w:color w:val="0000FF"/>
          </w:rPr>
          <w:t>Certification by the Chief Financial Officer pursuant to Section 1350, as adopted</w:t>
        </w:r>
      </w:hyperlink>
      <w:r>
        <w:rPr>
          <w:rFonts w:ascii="Arial" w:cs="Arial" w:eastAsia="Arial" w:hAnsi="Arial"/>
          <w:sz w:val="16"/>
          <w:szCs w:val="16"/>
          <w:u w:val="single" w:color="auto"/>
          <w:color w:val="0000FF"/>
        </w:rPr>
        <w:t xml:space="preserve"> </w:t>
      </w:r>
      <w:r>
        <w:rPr>
          <w:rFonts w:ascii="Arial" w:cs="Arial" w:eastAsia="Arial" w:hAnsi="Arial"/>
          <w:sz w:val="16"/>
          <w:szCs w:val="16"/>
          <w:color w:val="000000"/>
        </w:rPr>
        <w:t xml:space="preserve">32.2 </w:t>
      </w:r>
      <w:hyperlink w:anchor="page89">
        <w:r>
          <w:rPr>
            <w:rFonts w:ascii="Arial" w:cs="Arial" w:eastAsia="Arial" w:hAnsi="Arial"/>
            <w:sz w:val="16"/>
            <w:szCs w:val="16"/>
            <w:u w:val="single" w:color="auto"/>
            <w:color w:val="0000FF"/>
          </w:rPr>
          <w:t>pursuant to Section 906 of the Sarbanes-Oxley Act of 2002.</w:t>
        </w:r>
      </w:hyperlink>
    </w:p>
    <w:p>
      <w:pPr>
        <w:spacing w:after="0" w:line="1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101.INS XBRL Instance Document**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Borders>
              <w:bottom w:val="single" w:sz="8" w:color="auto"/>
            </w:tcBorders>
            <w:gridSpan w:val="5"/>
          </w:tcPr>
          <w:p>
            <w:pPr>
              <w:jc w:val="right"/>
              <w:ind w:right="479"/>
              <w:spacing w:after="0"/>
              <w:rPr>
                <w:sz w:val="20"/>
                <w:szCs w:val="20"/>
                <w:color w:val="auto"/>
              </w:rPr>
            </w:pPr>
            <w:r>
              <w:rPr>
                <w:rFonts w:ascii="Arial" w:cs="Arial" w:eastAsia="Arial" w:hAnsi="Arial"/>
                <w:sz w:val="16"/>
                <w:szCs w:val="16"/>
                <w:b w:val="1"/>
                <w:bCs w:val="1"/>
                <w:color w:val="auto"/>
              </w:rPr>
              <w:t>Incorporated by Reference</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Filed</w:t>
            </w:r>
          </w:p>
        </w:tc>
      </w:tr>
      <w:tr>
        <w:trPr>
          <w:trHeight w:val="230"/>
        </w:trPr>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Form</w:t>
            </w:r>
          </w:p>
        </w:tc>
        <w:tc>
          <w:tcPr>
            <w:tcW w:w="120" w:type="dxa"/>
            <w:vAlign w:val="bottom"/>
          </w:tcPr>
          <w:p>
            <w:pPr>
              <w:spacing w:after="0"/>
              <w:rPr>
                <w:sz w:val="20"/>
                <w:szCs w:val="20"/>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Filing Date</w:t>
            </w:r>
          </w:p>
        </w:tc>
        <w:tc>
          <w:tcPr>
            <w:tcW w:w="1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Herewith</w:t>
            </w:r>
          </w:p>
        </w:tc>
      </w:tr>
      <w:tr>
        <w:trPr>
          <w:trHeight w:val="305"/>
        </w:trPr>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11/04/2019</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11/04/2019</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11/04/2019</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11/04/2019</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11/04/2019</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11/04/2019</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11/04/2019</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11/8/2019</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11/8/2019</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662"/>
        </w:trPr>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10-Q</w:t>
            </w:r>
          </w:p>
        </w:tc>
        <w:tc>
          <w:tcPr>
            <w:tcW w:w="84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12/20/2019</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675"/>
        </w:trPr>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10-Q</w:t>
            </w:r>
          </w:p>
        </w:tc>
        <w:tc>
          <w:tcPr>
            <w:tcW w:w="840" w:type="dxa"/>
            <w:vAlign w:val="bottom"/>
          </w:tcPr>
          <w:p>
            <w:pPr>
              <w:jc w:val="right"/>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12/20/2019</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10-Q</w:t>
            </w:r>
          </w:p>
        </w:tc>
        <w:tc>
          <w:tcPr>
            <w:tcW w:w="840" w:type="dxa"/>
            <w:vAlign w:val="bottom"/>
          </w:tcPr>
          <w:p>
            <w:pPr>
              <w:jc w:val="right"/>
              <w:spacing w:after="0"/>
              <w:rPr>
                <w:sz w:val="20"/>
                <w:szCs w:val="20"/>
                <w:color w:val="auto"/>
              </w:rPr>
            </w:pPr>
            <w:r>
              <w:rPr>
                <w:rFonts w:ascii="Arial" w:cs="Arial" w:eastAsia="Arial" w:hAnsi="Arial"/>
                <w:sz w:val="16"/>
                <w:szCs w:val="16"/>
                <w:color w:val="auto"/>
              </w:rPr>
              <w:t>10.15</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12/20/2019</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661"/>
        </w:trPr>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7/9/2020</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756"/>
        </w:trPr>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7/9/2020</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91" w:lineRule="exact"/>
        <w:rPr>
          <w:sz w:val="20"/>
          <w:szCs w:val="20"/>
          <w:color w:val="auto"/>
        </w:rPr>
      </w:pPr>
    </w:p>
    <w:p>
      <w:pPr>
        <w:ind w:left="414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4140"/>
        <w:spacing w:after="0"/>
        <w:rPr>
          <w:sz w:val="20"/>
          <w:szCs w:val="20"/>
          <w:color w:val="auto"/>
        </w:rPr>
      </w:pPr>
      <w:r>
        <w:rPr>
          <w:rFonts w:ascii="Arial" w:cs="Arial" w:eastAsia="Arial" w:hAnsi="Arial"/>
          <w:sz w:val="16"/>
          <w:szCs w:val="16"/>
          <w:color w:val="auto"/>
        </w:rPr>
        <w:t>X</w:t>
      </w:r>
    </w:p>
    <w:p>
      <w:pPr>
        <w:spacing w:after="0" w:line="275" w:lineRule="exact"/>
        <w:rPr>
          <w:sz w:val="20"/>
          <w:szCs w:val="20"/>
          <w:color w:val="auto"/>
        </w:rPr>
      </w:pPr>
    </w:p>
    <w:p>
      <w:pPr>
        <w:ind w:left="4140"/>
        <w:spacing w:after="0"/>
        <w:rPr>
          <w:sz w:val="20"/>
          <w:szCs w:val="20"/>
          <w:color w:val="auto"/>
        </w:rPr>
      </w:pPr>
      <w:r>
        <w:rPr>
          <w:rFonts w:ascii="Arial" w:cs="Arial" w:eastAsia="Arial" w:hAnsi="Arial"/>
          <w:sz w:val="16"/>
          <w:szCs w:val="16"/>
          <w:color w:val="auto"/>
        </w:rPr>
        <w:t>X</w:t>
      </w:r>
    </w:p>
    <w:p>
      <w:pPr>
        <w:spacing w:after="0" w:line="356" w:lineRule="exact"/>
        <w:rPr>
          <w:sz w:val="20"/>
          <w:szCs w:val="20"/>
          <w:color w:val="auto"/>
        </w:rPr>
      </w:pPr>
    </w:p>
    <w:p>
      <w:pPr>
        <w:ind w:left="4140"/>
        <w:spacing w:after="0"/>
        <w:rPr>
          <w:sz w:val="20"/>
          <w:szCs w:val="20"/>
          <w:color w:val="auto"/>
        </w:rPr>
      </w:pPr>
      <w:r>
        <w:rPr>
          <w:rFonts w:ascii="Arial" w:cs="Arial" w:eastAsia="Arial" w:hAnsi="Arial"/>
          <w:sz w:val="16"/>
          <w:szCs w:val="16"/>
          <w:color w:val="auto"/>
        </w:rPr>
        <w:t>X</w:t>
      </w:r>
    </w:p>
    <w:p>
      <w:pPr>
        <w:spacing w:after="0" w:line="356" w:lineRule="exact"/>
        <w:rPr>
          <w:sz w:val="20"/>
          <w:szCs w:val="20"/>
          <w:color w:val="auto"/>
        </w:rPr>
      </w:pPr>
    </w:p>
    <w:p>
      <w:pPr>
        <w:ind w:left="4140"/>
        <w:spacing w:after="0"/>
        <w:rPr>
          <w:sz w:val="20"/>
          <w:szCs w:val="20"/>
          <w:color w:val="auto"/>
        </w:rPr>
      </w:pPr>
      <w:r>
        <w:rPr>
          <w:rFonts w:ascii="Arial" w:cs="Arial" w:eastAsia="Arial" w:hAnsi="Arial"/>
          <w:sz w:val="16"/>
          <w:szCs w:val="16"/>
          <w:color w:val="auto"/>
        </w:rPr>
        <w:t>X</w:t>
      </w:r>
    </w:p>
    <w:p>
      <w:pPr>
        <w:spacing w:after="0" w:line="356" w:lineRule="exact"/>
        <w:rPr>
          <w:sz w:val="20"/>
          <w:szCs w:val="20"/>
          <w:color w:val="auto"/>
        </w:rPr>
      </w:pPr>
    </w:p>
    <w:p>
      <w:pPr>
        <w:ind w:left="4140"/>
        <w:spacing w:after="0"/>
        <w:rPr>
          <w:sz w:val="20"/>
          <w:szCs w:val="20"/>
          <w:color w:val="auto"/>
        </w:rPr>
      </w:pPr>
      <w:r>
        <w:rPr>
          <w:rFonts w:ascii="Arial" w:cs="Arial" w:eastAsia="Arial" w:hAnsi="Arial"/>
          <w:sz w:val="16"/>
          <w:szCs w:val="16"/>
          <w:color w:val="auto"/>
        </w:rPr>
        <w:t>X</w:t>
      </w:r>
    </w:p>
    <w:p>
      <w:pPr>
        <w:sectPr>
          <w:pgSz w:w="11900" w:h="16838" w:orient="portrait"/>
          <w:cols w:equalWidth="0" w:num="2">
            <w:col w:w="6820" w:space="140"/>
            <w:col w:w="4260"/>
          </w:cols>
          <w:pgMar w:left="320" w:top="141" w:right="359" w:bottom="1440" w:gutter="0" w:footer="0" w:header="0"/>
        </w:sectPr>
      </w:pPr>
    </w:p>
    <w:bookmarkStart w:id="80" w:name="page81"/>
    <w:bookmarkEnd w:id="8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6"/>
          <w:szCs w:val="16"/>
          <w:b w:val="1"/>
          <w:bCs w:val="1"/>
          <w:color w:val="auto"/>
        </w:rPr>
        <w:t>No.</w:t>
      </w:r>
      <w:r>
        <w:rPr>
          <w:sz w:val="20"/>
          <w:szCs w:val="20"/>
          <w:color w:val="auto"/>
        </w:rPr>
        <w:tab/>
      </w:r>
      <w:r>
        <w:rPr>
          <w:rFonts w:ascii="Arial" w:cs="Arial" w:eastAsia="Arial" w:hAnsi="Arial"/>
          <w:sz w:val="16"/>
          <w:szCs w:val="16"/>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433768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2">
                      <a:extLst>
                        <a:ext uri="{28A0092B-C50C-407E-A947-70E740481C1C}"/>
                      </a:extLst>
                    </a:blip>
                    <a:srcRect/>
                    <a:stretch>
                      <a:fillRect/>
                    </a:stretch>
                  </pic:blipFill>
                  <pic:spPr bwMode="auto">
                    <a:xfrm>
                      <a:off x="0" y="0"/>
                      <a:ext cx="4337685" cy="825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101.SCH XBRL Taxonomy Extension Schema Document**</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101.CAL XBRL Taxonomy Extension Calculation Linkbase Document**</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101.DEF XBRL Taxonomy Extension Definitions Linkbase Document**</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101.LAB XBRL Taxonomy Extension Label Linkbase Document**</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101.PRE XBRL Taxonomy Extension Presentation Linkbase Document**</w:t>
      </w:r>
    </w:p>
    <w:p>
      <w:pPr>
        <w:spacing w:after="0" w:line="46" w:lineRule="exact"/>
        <w:rPr>
          <w:sz w:val="20"/>
          <w:szCs w:val="20"/>
          <w:color w:val="auto"/>
        </w:rPr>
      </w:pPr>
    </w:p>
    <w:p>
      <w:pPr>
        <w:ind w:left="960" w:hanging="921"/>
        <w:spacing w:after="0" w:line="216" w:lineRule="auto"/>
        <w:tabs>
          <w:tab w:leader="none" w:pos="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following financial statements from our Annual Report on Form 10-K for the fiscal year ended August 29, 2020 in Inline Extensible Business Reporting Language ("iXBRL"): (i) the Consolidated Balance Sheets at August 29, 2020 and August 31, 2019, (ii) the Consolidated Statements of Income and Comprehensive Income for the fiscal year ended August 29, 2020 and August 31, 2019, (iii) the Consolidated Statements of Cash Flows for the fiscal year ended August 29, 2020 and August 31, 2019, (iv) the Consolidated Statements of Changes in Stockholders' Equity for the fiscal year ended August 29, 2020 and August 31, 2019, (v) and the Notes to Consolidated Financial Statements.</w:t>
      </w:r>
    </w:p>
    <w:p>
      <w:pPr>
        <w:spacing w:after="0" w:line="22" w:lineRule="exact"/>
        <w:rPr>
          <w:sz w:val="20"/>
          <w:szCs w:val="20"/>
          <w:color w:val="auto"/>
        </w:rPr>
      </w:pPr>
    </w:p>
    <w:p>
      <w:pPr>
        <w:ind w:left="960" w:hanging="921"/>
        <w:spacing w:after="0" w:line="225" w:lineRule="auto"/>
        <w:tabs>
          <w:tab w:leader="none" w:pos="9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cover page from the Winnebago Industries, Inc. Annual Report on Form 10-K for the fiscal year ended August 29, 2020, formatted in Inline XBRL (included as Exhibit 101).</w:t>
      </w:r>
    </w:p>
    <w:p>
      <w:pPr>
        <w:spacing w:after="0" w:line="11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Management contract or compensation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Borders>
              <w:bottom w:val="single" w:sz="8" w:color="auto"/>
            </w:tcBorders>
            <w:gridSpan w:val="5"/>
          </w:tcPr>
          <w:p>
            <w:pPr>
              <w:ind w:left="560"/>
              <w:spacing w:after="0"/>
              <w:rPr>
                <w:sz w:val="20"/>
                <w:szCs w:val="20"/>
                <w:color w:val="auto"/>
              </w:rPr>
            </w:pPr>
            <w:r>
              <w:rPr>
                <w:rFonts w:ascii="Arial" w:cs="Arial" w:eastAsia="Arial" w:hAnsi="Arial"/>
                <w:sz w:val="16"/>
                <w:szCs w:val="16"/>
                <w:b w:val="1"/>
                <w:bCs w:val="1"/>
                <w:color w:val="auto"/>
              </w:rPr>
              <w:t>Incorporated by Reference</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Filed</w:t>
            </w:r>
          </w:p>
        </w:tc>
      </w:tr>
      <w:tr>
        <w:trPr>
          <w:trHeight w:val="230"/>
        </w:trPr>
        <w:tc>
          <w:tcPr>
            <w:tcW w:w="98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Form</w:t>
            </w:r>
          </w:p>
        </w:tc>
        <w:tc>
          <w:tcPr>
            <w:tcW w:w="120" w:type="dxa"/>
            <w:vAlign w:val="bottom"/>
          </w:tcPr>
          <w:p>
            <w:pPr>
              <w:spacing w:after="0"/>
              <w:rPr>
                <w:sz w:val="20"/>
                <w:szCs w:val="20"/>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20"/>
                <w:szCs w:val="20"/>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Filing Date</w:t>
            </w:r>
          </w:p>
        </w:tc>
        <w:tc>
          <w:tcPr>
            <w:tcW w:w="1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Herewith</w:t>
            </w:r>
          </w:p>
        </w:tc>
      </w:tr>
    </w:tbl>
    <w:p>
      <w:pPr>
        <w:sectPr>
          <w:pgSz w:w="11900" w:h="16838" w:orient="portrait"/>
          <w:cols w:equalWidth="0" w:num="2">
            <w:col w:w="6800" w:space="160"/>
            <w:col w:w="4260"/>
          </w:cols>
          <w:pgMar w:left="320" w:top="141" w:right="359" w:bottom="1440" w:gutter="0" w:footer="0" w:header="0"/>
        </w:sectPr>
      </w:pPr>
    </w:p>
    <w:bookmarkStart w:id="81" w:name="page82"/>
    <w:bookmarkEnd w:id="8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 Form 10-K Summary.</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386"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1" w:right="1440" w:bottom="1440" w:gutter="0" w:footer="0" w:header="0"/>
        </w:sectPr>
      </w:pPr>
    </w:p>
    <w:bookmarkStart w:id="82" w:name="page83"/>
    <w:bookmarkEnd w:id="8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26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3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WINNEBAGO INDUSTRIES, INC.</w:t>
      </w:r>
    </w:p>
    <w:p>
      <w:pPr>
        <w:spacing w:after="0" w:line="259" w:lineRule="exact"/>
        <w:rPr>
          <w:sz w:val="20"/>
          <w:szCs w:val="20"/>
          <w:color w:val="auto"/>
        </w:rPr>
      </w:pPr>
    </w:p>
    <w:p>
      <w:pPr>
        <w:ind w:left="5000"/>
        <w:spacing w:after="0"/>
        <w:tabs>
          <w:tab w:leader="none" w:pos="55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29210</wp:posOffset>
            </wp:positionV>
            <wp:extent cx="36175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5">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69"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Michael J. Happe</w:t>
      </w:r>
    </w:p>
    <w:p>
      <w:pPr>
        <w:spacing w:after="0" w:line="275"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President, Chief Executive Officer</w:t>
      </w:r>
    </w:p>
    <w:p>
      <w:pPr>
        <w:spacing w:after="0" w:line="59"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(Principal Executive Officer)</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Date: October 21, 2020</w:t>
      </w:r>
    </w:p>
    <w:p>
      <w:pPr>
        <w:spacing w:after="0" w:line="200" w:lineRule="exact"/>
        <w:rPr>
          <w:sz w:val="20"/>
          <w:szCs w:val="20"/>
          <w:color w:val="auto"/>
        </w:rPr>
      </w:pPr>
    </w:p>
    <w:p>
      <w:pPr>
        <w:spacing w:after="0" w:line="29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on October 21, 2020, by the following persons on behalf of the Registrant and in the capacities indicated.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gridSpan w:val="3"/>
          </w:tcPr>
          <w:p>
            <w:pPr>
              <w:ind w:left="1960"/>
              <w:spacing w:after="0"/>
              <w:rPr>
                <w:sz w:val="20"/>
                <w:szCs w:val="20"/>
                <w:color w:val="auto"/>
              </w:rPr>
            </w:pPr>
            <w:r>
              <w:rPr>
                <w:rFonts w:ascii="Arial" w:cs="Arial" w:eastAsia="Arial" w:hAnsi="Arial"/>
                <w:sz w:val="16"/>
                <w:szCs w:val="16"/>
                <w:b w:val="1"/>
                <w:bCs w:val="1"/>
                <w:color w:val="auto"/>
              </w:rPr>
              <w:t>Signature</w:t>
            </w:r>
          </w:p>
        </w:tc>
        <w:tc>
          <w:tcPr>
            <w:tcW w:w="4100" w:type="dxa"/>
            <w:vAlign w:val="bottom"/>
            <w:gridSpan w:val="3"/>
          </w:tcPr>
          <w:p>
            <w:pPr>
              <w:ind w:left="860"/>
              <w:spacing w:after="0"/>
              <w:rPr>
                <w:sz w:val="20"/>
                <w:szCs w:val="20"/>
                <w:color w:val="auto"/>
              </w:rPr>
            </w:pPr>
            <w:r>
              <w:rPr>
                <w:rFonts w:ascii="Arial" w:cs="Arial" w:eastAsia="Arial" w:hAnsi="Arial"/>
                <w:sz w:val="16"/>
                <w:szCs w:val="16"/>
                <w:b w:val="1"/>
                <w:bCs w:val="1"/>
                <w:color w:val="auto"/>
              </w:rPr>
              <w:t>Capacity</w:t>
            </w:r>
          </w:p>
        </w:tc>
      </w:tr>
      <w:tr>
        <w:trPr>
          <w:trHeight w:val="527"/>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Michael J. Happe</w:t>
            </w:r>
          </w:p>
        </w:tc>
        <w:tc>
          <w:tcPr>
            <w:tcW w:w="740" w:type="dxa"/>
            <w:vAlign w:val="bottom"/>
            <w:tcBorders>
              <w:top w:val="single" w:sz="8" w:color="auto"/>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560" w:type="dxa"/>
            <w:vAlign w:val="bottom"/>
          </w:tcPr>
          <w:p>
            <w:pPr>
              <w:spacing w:after="0"/>
              <w:rPr>
                <w:sz w:val="24"/>
                <w:szCs w:val="24"/>
                <w:color w:val="auto"/>
              </w:rPr>
            </w:pPr>
          </w:p>
        </w:tc>
      </w:tr>
      <w:tr>
        <w:trPr>
          <w:trHeight w:val="204"/>
        </w:trPr>
        <w:tc>
          <w:tcPr>
            <w:tcW w:w="4660" w:type="dxa"/>
            <w:vAlign w:val="bottom"/>
            <w:gridSpan w:val="3"/>
          </w:tcPr>
          <w:p>
            <w:pPr>
              <w:ind w:left="20"/>
              <w:spacing w:after="0"/>
              <w:rPr>
                <w:sz w:val="20"/>
                <w:szCs w:val="20"/>
                <w:color w:val="auto"/>
              </w:rPr>
            </w:pPr>
            <w:r>
              <w:rPr>
                <w:rFonts w:ascii="Arial" w:cs="Arial" w:eastAsia="Arial" w:hAnsi="Arial"/>
                <w:sz w:val="16"/>
                <w:szCs w:val="16"/>
                <w:color w:val="auto"/>
              </w:rPr>
              <w:t>Michael J. Happe</w:t>
            </w:r>
          </w:p>
        </w:tc>
        <w:tc>
          <w:tcPr>
            <w:tcW w:w="4100" w:type="dxa"/>
            <w:vAlign w:val="bottom"/>
            <w:gridSpan w:val="3"/>
          </w:tcPr>
          <w:p>
            <w:pPr>
              <w:ind w:left="860"/>
              <w:spacing w:after="0"/>
              <w:rPr>
                <w:sz w:val="20"/>
                <w:szCs w:val="20"/>
                <w:color w:val="auto"/>
              </w:rPr>
            </w:pPr>
            <w:r>
              <w:rPr>
                <w:rFonts w:ascii="Arial" w:cs="Arial" w:eastAsia="Arial" w:hAnsi="Arial"/>
                <w:sz w:val="16"/>
                <w:szCs w:val="16"/>
                <w:color w:val="auto"/>
              </w:rPr>
              <w:t>President, Chief Executive Officer</w:t>
            </w:r>
          </w:p>
        </w:tc>
      </w:tr>
      <w:tr>
        <w:trPr>
          <w:trHeight w:val="195"/>
        </w:trPr>
        <w:tc>
          <w:tcPr>
            <w:tcW w:w="1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100" w:type="dxa"/>
            <w:vAlign w:val="bottom"/>
            <w:gridSpan w:val="3"/>
          </w:tcPr>
          <w:p>
            <w:pPr>
              <w:ind w:left="860"/>
              <w:spacing w:after="0"/>
              <w:rPr>
                <w:sz w:val="20"/>
                <w:szCs w:val="20"/>
                <w:color w:val="auto"/>
              </w:rPr>
            </w:pPr>
            <w:r>
              <w:rPr>
                <w:rFonts w:ascii="Arial" w:cs="Arial" w:eastAsia="Arial" w:hAnsi="Arial"/>
                <w:sz w:val="16"/>
                <w:szCs w:val="16"/>
                <w:color w:val="auto"/>
              </w:rPr>
              <w:t>(Principal Executive Officer)</w:t>
            </w:r>
          </w:p>
        </w:tc>
      </w:tr>
      <w:tr>
        <w:trPr>
          <w:trHeight w:val="472"/>
        </w:trPr>
        <w:tc>
          <w:tcPr>
            <w:tcW w:w="46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i w:val="1"/>
                <w:iCs w:val="1"/>
                <w:color w:val="auto"/>
              </w:rPr>
              <w:t>/s/ Bryan L. Hughes</w:t>
            </w: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04"/>
        </w:trPr>
        <w:tc>
          <w:tcPr>
            <w:tcW w:w="4660" w:type="dxa"/>
            <w:vAlign w:val="bottom"/>
            <w:gridSpan w:val="3"/>
          </w:tcPr>
          <w:p>
            <w:pPr>
              <w:ind w:left="20"/>
              <w:spacing w:after="0"/>
              <w:rPr>
                <w:sz w:val="20"/>
                <w:szCs w:val="20"/>
                <w:color w:val="auto"/>
              </w:rPr>
            </w:pPr>
            <w:r>
              <w:rPr>
                <w:rFonts w:ascii="Arial" w:cs="Arial" w:eastAsia="Arial" w:hAnsi="Arial"/>
                <w:sz w:val="16"/>
                <w:szCs w:val="16"/>
                <w:color w:val="auto"/>
              </w:rPr>
              <w:t>Bryan L. Hughes</w:t>
            </w:r>
          </w:p>
        </w:tc>
        <w:tc>
          <w:tcPr>
            <w:tcW w:w="4100" w:type="dxa"/>
            <w:vAlign w:val="bottom"/>
            <w:gridSpan w:val="3"/>
          </w:tcPr>
          <w:p>
            <w:pPr>
              <w:ind w:left="860"/>
              <w:spacing w:after="0"/>
              <w:rPr>
                <w:sz w:val="20"/>
                <w:szCs w:val="20"/>
                <w:color w:val="auto"/>
              </w:rPr>
            </w:pPr>
            <w:r>
              <w:rPr>
                <w:rFonts w:ascii="Arial" w:cs="Arial" w:eastAsia="Arial" w:hAnsi="Arial"/>
                <w:sz w:val="16"/>
                <w:szCs w:val="16"/>
                <w:color w:val="auto"/>
              </w:rPr>
              <w:t>Senior Vice President, Chief Financial Officer</w:t>
            </w:r>
          </w:p>
        </w:tc>
      </w:tr>
      <w:tr>
        <w:trPr>
          <w:trHeight w:val="195"/>
        </w:trPr>
        <w:tc>
          <w:tcPr>
            <w:tcW w:w="1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100" w:type="dxa"/>
            <w:vAlign w:val="bottom"/>
            <w:gridSpan w:val="3"/>
          </w:tcPr>
          <w:p>
            <w:pPr>
              <w:ind w:left="860"/>
              <w:spacing w:after="0"/>
              <w:rPr>
                <w:sz w:val="20"/>
                <w:szCs w:val="20"/>
                <w:color w:val="auto"/>
              </w:rPr>
            </w:pPr>
            <w:r>
              <w:rPr>
                <w:rFonts w:ascii="Arial" w:cs="Arial" w:eastAsia="Arial" w:hAnsi="Arial"/>
                <w:sz w:val="16"/>
                <w:szCs w:val="16"/>
                <w:color w:val="auto"/>
              </w:rPr>
              <w:t>(Principal Financial and Accounting Officer)</w:t>
            </w:r>
          </w:p>
        </w:tc>
      </w:tr>
      <w:tr>
        <w:trPr>
          <w:trHeight w:val="472"/>
        </w:trPr>
        <w:tc>
          <w:tcPr>
            <w:tcW w:w="46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i w:val="1"/>
                <w:iCs w:val="1"/>
                <w:color w:val="auto"/>
              </w:rPr>
              <w:t>/s/ Sara E. Armbruster</w:t>
            </w: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3"/>
        </w:trPr>
        <w:tc>
          <w:tcPr>
            <w:tcW w:w="4660" w:type="dxa"/>
            <w:vAlign w:val="bottom"/>
            <w:gridSpan w:val="3"/>
          </w:tcPr>
          <w:p>
            <w:pPr>
              <w:ind w:left="20"/>
              <w:spacing w:after="0"/>
              <w:rPr>
                <w:sz w:val="20"/>
                <w:szCs w:val="20"/>
                <w:color w:val="auto"/>
              </w:rPr>
            </w:pPr>
            <w:r>
              <w:rPr>
                <w:rFonts w:ascii="Arial" w:cs="Arial" w:eastAsia="Arial" w:hAnsi="Arial"/>
                <w:sz w:val="16"/>
                <w:szCs w:val="16"/>
                <w:color w:val="auto"/>
              </w:rPr>
              <w:t>Sara E. Armbruster</w:t>
            </w:r>
          </w:p>
        </w:tc>
        <w:tc>
          <w:tcPr>
            <w:tcW w:w="4100" w:type="dxa"/>
            <w:vAlign w:val="bottom"/>
            <w:gridSpan w:val="3"/>
          </w:tcPr>
          <w:p>
            <w:pPr>
              <w:ind w:left="860"/>
              <w:spacing w:after="0"/>
              <w:rPr>
                <w:sz w:val="20"/>
                <w:szCs w:val="20"/>
                <w:color w:val="auto"/>
              </w:rPr>
            </w:pPr>
            <w:r>
              <w:rPr>
                <w:rFonts w:ascii="Arial" w:cs="Arial" w:eastAsia="Arial" w:hAnsi="Arial"/>
                <w:sz w:val="16"/>
                <w:szCs w:val="16"/>
                <w:color w:val="auto"/>
              </w:rPr>
              <w:t>Director</w:t>
            </w:r>
          </w:p>
        </w:tc>
      </w:tr>
      <w:tr>
        <w:trPr>
          <w:trHeight w:val="472"/>
        </w:trPr>
        <w:tc>
          <w:tcPr>
            <w:tcW w:w="46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i w:val="1"/>
                <w:iCs w:val="1"/>
                <w:color w:val="auto"/>
              </w:rPr>
              <w:t>/s/ Maria F. Blase</w:t>
            </w: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3"/>
        </w:trPr>
        <w:tc>
          <w:tcPr>
            <w:tcW w:w="4660" w:type="dxa"/>
            <w:vAlign w:val="bottom"/>
            <w:gridSpan w:val="3"/>
          </w:tcPr>
          <w:p>
            <w:pPr>
              <w:ind w:left="20"/>
              <w:spacing w:after="0"/>
              <w:rPr>
                <w:sz w:val="20"/>
                <w:szCs w:val="20"/>
                <w:color w:val="auto"/>
              </w:rPr>
            </w:pPr>
            <w:r>
              <w:rPr>
                <w:rFonts w:ascii="Arial" w:cs="Arial" w:eastAsia="Arial" w:hAnsi="Arial"/>
                <w:sz w:val="16"/>
                <w:szCs w:val="16"/>
                <w:color w:val="auto"/>
              </w:rPr>
              <w:t>Maria F. Blase</w:t>
            </w:r>
          </w:p>
        </w:tc>
        <w:tc>
          <w:tcPr>
            <w:tcW w:w="4100" w:type="dxa"/>
            <w:vAlign w:val="bottom"/>
            <w:gridSpan w:val="3"/>
          </w:tcPr>
          <w:p>
            <w:pPr>
              <w:ind w:left="860"/>
              <w:spacing w:after="0"/>
              <w:rPr>
                <w:sz w:val="20"/>
                <w:szCs w:val="20"/>
                <w:color w:val="auto"/>
              </w:rPr>
            </w:pPr>
            <w:r>
              <w:rPr>
                <w:rFonts w:ascii="Arial" w:cs="Arial" w:eastAsia="Arial" w:hAnsi="Arial"/>
                <w:sz w:val="16"/>
                <w:szCs w:val="16"/>
                <w:color w:val="auto"/>
              </w:rPr>
              <w:t>Director</w:t>
            </w:r>
          </w:p>
        </w:tc>
      </w:tr>
      <w:tr>
        <w:trPr>
          <w:trHeight w:val="472"/>
        </w:trPr>
        <w:tc>
          <w:tcPr>
            <w:tcW w:w="46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i w:val="1"/>
                <w:iCs w:val="1"/>
                <w:color w:val="auto"/>
              </w:rPr>
              <w:t>/s/ William C. Fisher</w:t>
            </w: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3"/>
        </w:trPr>
        <w:tc>
          <w:tcPr>
            <w:tcW w:w="4660" w:type="dxa"/>
            <w:vAlign w:val="bottom"/>
            <w:gridSpan w:val="3"/>
          </w:tcPr>
          <w:p>
            <w:pPr>
              <w:ind w:left="20"/>
              <w:spacing w:after="0"/>
              <w:rPr>
                <w:sz w:val="20"/>
                <w:szCs w:val="20"/>
                <w:color w:val="auto"/>
              </w:rPr>
            </w:pPr>
            <w:r>
              <w:rPr>
                <w:rFonts w:ascii="Arial" w:cs="Arial" w:eastAsia="Arial" w:hAnsi="Arial"/>
                <w:sz w:val="16"/>
                <w:szCs w:val="16"/>
                <w:color w:val="auto"/>
              </w:rPr>
              <w:t>William C. Fisher</w:t>
            </w:r>
          </w:p>
        </w:tc>
        <w:tc>
          <w:tcPr>
            <w:tcW w:w="4100" w:type="dxa"/>
            <w:vAlign w:val="bottom"/>
            <w:gridSpan w:val="3"/>
          </w:tcPr>
          <w:p>
            <w:pPr>
              <w:ind w:left="860"/>
              <w:spacing w:after="0"/>
              <w:rPr>
                <w:sz w:val="20"/>
                <w:szCs w:val="20"/>
                <w:color w:val="auto"/>
              </w:rPr>
            </w:pPr>
            <w:r>
              <w:rPr>
                <w:rFonts w:ascii="Arial" w:cs="Arial" w:eastAsia="Arial" w:hAnsi="Arial"/>
                <w:sz w:val="16"/>
                <w:szCs w:val="16"/>
                <w:color w:val="auto"/>
              </w:rPr>
              <w:t>Director</w:t>
            </w:r>
          </w:p>
        </w:tc>
      </w:tr>
      <w:tr>
        <w:trPr>
          <w:trHeight w:val="472"/>
        </w:trPr>
        <w:tc>
          <w:tcPr>
            <w:tcW w:w="46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i w:val="1"/>
                <w:iCs w:val="1"/>
                <w:color w:val="auto"/>
              </w:rPr>
              <w:t>/s/ Christopher J. Braun</w:t>
            </w: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3"/>
        </w:trPr>
        <w:tc>
          <w:tcPr>
            <w:tcW w:w="4660" w:type="dxa"/>
            <w:vAlign w:val="bottom"/>
            <w:gridSpan w:val="3"/>
          </w:tcPr>
          <w:p>
            <w:pPr>
              <w:ind w:left="20"/>
              <w:spacing w:after="0"/>
              <w:rPr>
                <w:sz w:val="20"/>
                <w:szCs w:val="20"/>
                <w:color w:val="auto"/>
              </w:rPr>
            </w:pPr>
            <w:r>
              <w:rPr>
                <w:rFonts w:ascii="Arial" w:cs="Arial" w:eastAsia="Arial" w:hAnsi="Arial"/>
                <w:sz w:val="16"/>
                <w:szCs w:val="16"/>
                <w:color w:val="auto"/>
              </w:rPr>
              <w:t>Christopher J. Braun</w:t>
            </w:r>
          </w:p>
        </w:tc>
        <w:tc>
          <w:tcPr>
            <w:tcW w:w="4100" w:type="dxa"/>
            <w:vAlign w:val="bottom"/>
            <w:gridSpan w:val="3"/>
          </w:tcPr>
          <w:p>
            <w:pPr>
              <w:ind w:left="860"/>
              <w:spacing w:after="0"/>
              <w:rPr>
                <w:sz w:val="20"/>
                <w:szCs w:val="20"/>
                <w:color w:val="auto"/>
              </w:rPr>
            </w:pPr>
            <w:r>
              <w:rPr>
                <w:rFonts w:ascii="Arial" w:cs="Arial" w:eastAsia="Arial" w:hAnsi="Arial"/>
                <w:sz w:val="16"/>
                <w:szCs w:val="16"/>
                <w:color w:val="auto"/>
              </w:rPr>
              <w:t>Director</w:t>
            </w:r>
          </w:p>
        </w:tc>
      </w:tr>
      <w:tr>
        <w:trPr>
          <w:trHeight w:val="472"/>
        </w:trPr>
        <w:tc>
          <w:tcPr>
            <w:tcW w:w="46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i w:val="1"/>
                <w:iCs w:val="1"/>
                <w:color w:val="auto"/>
              </w:rPr>
              <w:t>/s/ Robert M. Chiusano</w:t>
            </w: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4"/>
        </w:trPr>
        <w:tc>
          <w:tcPr>
            <w:tcW w:w="4660" w:type="dxa"/>
            <w:vAlign w:val="bottom"/>
            <w:gridSpan w:val="3"/>
          </w:tcPr>
          <w:p>
            <w:pPr>
              <w:ind w:left="20"/>
              <w:spacing w:after="0"/>
              <w:rPr>
                <w:sz w:val="20"/>
                <w:szCs w:val="20"/>
                <w:color w:val="auto"/>
              </w:rPr>
            </w:pPr>
            <w:r>
              <w:rPr>
                <w:rFonts w:ascii="Arial" w:cs="Arial" w:eastAsia="Arial" w:hAnsi="Arial"/>
                <w:sz w:val="16"/>
                <w:szCs w:val="16"/>
                <w:color w:val="auto"/>
              </w:rPr>
              <w:t>Robert M. Chiusano</w:t>
            </w:r>
          </w:p>
        </w:tc>
        <w:tc>
          <w:tcPr>
            <w:tcW w:w="4100" w:type="dxa"/>
            <w:vAlign w:val="bottom"/>
            <w:gridSpan w:val="3"/>
          </w:tcPr>
          <w:p>
            <w:pPr>
              <w:ind w:left="860"/>
              <w:spacing w:after="0"/>
              <w:rPr>
                <w:sz w:val="20"/>
                <w:szCs w:val="20"/>
                <w:color w:val="auto"/>
              </w:rPr>
            </w:pPr>
            <w:r>
              <w:rPr>
                <w:rFonts w:ascii="Arial" w:cs="Arial" w:eastAsia="Arial" w:hAnsi="Arial"/>
                <w:sz w:val="16"/>
                <w:szCs w:val="16"/>
                <w:color w:val="auto"/>
              </w:rPr>
              <w:t>Director</w:t>
            </w:r>
          </w:p>
        </w:tc>
      </w:tr>
      <w:tr>
        <w:trPr>
          <w:trHeight w:val="472"/>
        </w:trPr>
        <w:tc>
          <w:tcPr>
            <w:tcW w:w="46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i w:val="1"/>
                <w:iCs w:val="1"/>
                <w:color w:val="auto"/>
              </w:rPr>
              <w:t>/s/ David W. Miles</w:t>
            </w: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4"/>
        </w:trPr>
        <w:tc>
          <w:tcPr>
            <w:tcW w:w="4660" w:type="dxa"/>
            <w:vAlign w:val="bottom"/>
            <w:gridSpan w:val="3"/>
          </w:tcPr>
          <w:p>
            <w:pPr>
              <w:ind w:left="20"/>
              <w:spacing w:after="0"/>
              <w:rPr>
                <w:sz w:val="20"/>
                <w:szCs w:val="20"/>
                <w:color w:val="auto"/>
              </w:rPr>
            </w:pPr>
            <w:r>
              <w:rPr>
                <w:rFonts w:ascii="Arial" w:cs="Arial" w:eastAsia="Arial" w:hAnsi="Arial"/>
                <w:sz w:val="16"/>
                <w:szCs w:val="16"/>
                <w:color w:val="auto"/>
              </w:rPr>
              <w:t>David W. Miles</w:t>
            </w:r>
          </w:p>
        </w:tc>
        <w:tc>
          <w:tcPr>
            <w:tcW w:w="4100" w:type="dxa"/>
            <w:vAlign w:val="bottom"/>
            <w:gridSpan w:val="3"/>
          </w:tcPr>
          <w:p>
            <w:pPr>
              <w:ind w:left="860"/>
              <w:spacing w:after="0"/>
              <w:rPr>
                <w:sz w:val="20"/>
                <w:szCs w:val="20"/>
                <w:color w:val="auto"/>
              </w:rPr>
            </w:pPr>
            <w:r>
              <w:rPr>
                <w:rFonts w:ascii="Arial" w:cs="Arial" w:eastAsia="Arial" w:hAnsi="Arial"/>
                <w:sz w:val="16"/>
                <w:szCs w:val="16"/>
                <w:color w:val="auto"/>
              </w:rPr>
              <w:t>Director</w:t>
            </w:r>
          </w:p>
        </w:tc>
      </w:tr>
      <w:tr>
        <w:trPr>
          <w:trHeight w:val="472"/>
        </w:trPr>
        <w:tc>
          <w:tcPr>
            <w:tcW w:w="46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i w:val="1"/>
                <w:iCs w:val="1"/>
                <w:color w:val="auto"/>
              </w:rPr>
              <w:t>/s/ Richard D. Moss</w:t>
            </w: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3"/>
        </w:trPr>
        <w:tc>
          <w:tcPr>
            <w:tcW w:w="4660" w:type="dxa"/>
            <w:vAlign w:val="bottom"/>
            <w:gridSpan w:val="3"/>
          </w:tcPr>
          <w:p>
            <w:pPr>
              <w:ind w:left="20"/>
              <w:spacing w:after="0"/>
              <w:rPr>
                <w:sz w:val="20"/>
                <w:szCs w:val="20"/>
                <w:color w:val="auto"/>
              </w:rPr>
            </w:pPr>
            <w:r>
              <w:rPr>
                <w:rFonts w:ascii="Arial" w:cs="Arial" w:eastAsia="Arial" w:hAnsi="Arial"/>
                <w:sz w:val="16"/>
                <w:szCs w:val="16"/>
                <w:color w:val="auto"/>
              </w:rPr>
              <w:t>Richard D. Moss</w:t>
            </w:r>
          </w:p>
        </w:tc>
        <w:tc>
          <w:tcPr>
            <w:tcW w:w="4100" w:type="dxa"/>
            <w:vAlign w:val="bottom"/>
            <w:gridSpan w:val="3"/>
          </w:tcPr>
          <w:p>
            <w:pPr>
              <w:ind w:left="860"/>
              <w:spacing w:after="0"/>
              <w:rPr>
                <w:sz w:val="20"/>
                <w:szCs w:val="20"/>
                <w:color w:val="auto"/>
              </w:rPr>
            </w:pPr>
            <w:r>
              <w:rPr>
                <w:rFonts w:ascii="Arial" w:cs="Arial" w:eastAsia="Arial" w:hAnsi="Arial"/>
                <w:sz w:val="16"/>
                <w:szCs w:val="16"/>
                <w:color w:val="auto"/>
              </w:rPr>
              <w:t>Director</w:t>
            </w:r>
          </w:p>
        </w:tc>
      </w:tr>
      <w:tr>
        <w:trPr>
          <w:trHeight w:val="472"/>
        </w:trPr>
        <w:tc>
          <w:tcPr>
            <w:tcW w:w="46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i w:val="1"/>
                <w:iCs w:val="1"/>
                <w:color w:val="auto"/>
              </w:rPr>
              <w:t>/s/ John M. Murabito</w:t>
            </w: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4"/>
        </w:trPr>
        <w:tc>
          <w:tcPr>
            <w:tcW w:w="4660" w:type="dxa"/>
            <w:vAlign w:val="bottom"/>
            <w:gridSpan w:val="3"/>
          </w:tcPr>
          <w:p>
            <w:pPr>
              <w:ind w:left="20"/>
              <w:spacing w:after="0"/>
              <w:rPr>
                <w:sz w:val="20"/>
                <w:szCs w:val="20"/>
                <w:color w:val="auto"/>
              </w:rPr>
            </w:pPr>
            <w:r>
              <w:rPr>
                <w:rFonts w:ascii="Arial" w:cs="Arial" w:eastAsia="Arial" w:hAnsi="Arial"/>
                <w:sz w:val="16"/>
                <w:szCs w:val="16"/>
                <w:color w:val="auto"/>
              </w:rPr>
              <w:t>John M. Murabito</w:t>
            </w:r>
          </w:p>
        </w:tc>
        <w:tc>
          <w:tcPr>
            <w:tcW w:w="4100" w:type="dxa"/>
            <w:vAlign w:val="bottom"/>
            <w:gridSpan w:val="3"/>
          </w:tcPr>
          <w:p>
            <w:pPr>
              <w:ind w:left="860"/>
              <w:spacing w:after="0"/>
              <w:rPr>
                <w:sz w:val="20"/>
                <w:szCs w:val="20"/>
                <w:color w:val="auto"/>
              </w:rPr>
            </w:pPr>
            <w:r>
              <w:rPr>
                <w:rFonts w:ascii="Arial" w:cs="Arial" w:eastAsia="Arial" w:hAnsi="Arial"/>
                <w:sz w:val="16"/>
                <w:szCs w:val="16"/>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020"/>
          </w:cols>
          <w:pgMar w:left="320" w:top="141" w:right="55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ind w:left="1380"/>
              <w:spacing w:after="0"/>
              <w:rPr>
                <w:sz w:val="20"/>
                <w:szCs w:val="20"/>
                <w:color w:val="auto"/>
              </w:rPr>
            </w:pPr>
            <w:r>
              <w:rPr>
                <w:rFonts w:ascii="Arial" w:cs="Arial" w:eastAsia="Arial" w:hAnsi="Arial"/>
                <w:sz w:val="16"/>
                <w:szCs w:val="16"/>
                <w:b w:val="1"/>
                <w:bCs w:val="1"/>
                <w:color w:val="auto"/>
                <w:w w:val="97"/>
              </w:rPr>
              <w:t>Exhibit 21</w:t>
            </w:r>
          </w:p>
        </w:tc>
      </w:tr>
      <w:tr>
        <w:trPr>
          <w:trHeight w:val="406"/>
        </w:trPr>
        <w:tc>
          <w:tcPr>
            <w:tcW w:w="3360" w:type="dxa"/>
            <w:vAlign w:val="bottom"/>
          </w:tcPr>
          <w:p>
            <w:pPr>
              <w:spacing w:after="0"/>
              <w:rPr>
                <w:sz w:val="24"/>
                <w:szCs w:val="24"/>
                <w:color w:val="auto"/>
              </w:rPr>
            </w:pPr>
          </w:p>
        </w:tc>
        <w:tc>
          <w:tcPr>
            <w:tcW w:w="5740" w:type="dxa"/>
            <w:vAlign w:val="bottom"/>
            <w:gridSpan w:val="4"/>
          </w:tcPr>
          <w:p>
            <w:pPr>
              <w:jc w:val="center"/>
              <w:ind w:right="1220"/>
              <w:spacing w:after="0"/>
              <w:rPr>
                <w:sz w:val="20"/>
                <w:szCs w:val="20"/>
                <w:color w:val="auto"/>
              </w:rPr>
            </w:pPr>
            <w:r>
              <w:rPr>
                <w:rFonts w:ascii="Arial" w:cs="Arial" w:eastAsia="Arial" w:hAnsi="Arial"/>
                <w:sz w:val="16"/>
                <w:szCs w:val="16"/>
                <w:b w:val="1"/>
                <w:bCs w:val="1"/>
                <w:color w:val="auto"/>
              </w:rPr>
              <w:t>SUBSIDIARIES OF THE REGISTRANT</w:t>
            </w:r>
          </w:p>
        </w:tc>
        <w:tc>
          <w:tcPr>
            <w:tcW w:w="2140" w:type="dxa"/>
            <w:vAlign w:val="bottom"/>
          </w:tcPr>
          <w:p>
            <w:pPr>
              <w:spacing w:after="0"/>
              <w:rPr>
                <w:sz w:val="24"/>
                <w:szCs w:val="24"/>
                <w:color w:val="auto"/>
              </w:rPr>
            </w:pPr>
          </w:p>
        </w:tc>
      </w:tr>
      <w:tr>
        <w:trPr>
          <w:trHeight w:val="215"/>
        </w:trPr>
        <w:tc>
          <w:tcPr>
            <w:tcW w:w="3360" w:type="dxa"/>
            <w:vAlign w:val="bottom"/>
          </w:tcPr>
          <w:p>
            <w:pPr>
              <w:spacing w:after="0"/>
              <w:rPr>
                <w:sz w:val="18"/>
                <w:szCs w:val="18"/>
                <w:color w:val="auto"/>
              </w:rPr>
            </w:pPr>
          </w:p>
        </w:tc>
        <w:tc>
          <w:tcPr>
            <w:tcW w:w="5740" w:type="dxa"/>
            <w:vAlign w:val="bottom"/>
            <w:gridSpan w:val="4"/>
          </w:tcPr>
          <w:p>
            <w:pPr>
              <w:jc w:val="center"/>
              <w:ind w:right="1200"/>
              <w:spacing w:after="0"/>
              <w:rPr>
                <w:sz w:val="20"/>
                <w:szCs w:val="20"/>
                <w:color w:val="auto"/>
              </w:rPr>
            </w:pPr>
            <w:r>
              <w:rPr>
                <w:rFonts w:ascii="Arial" w:cs="Arial" w:eastAsia="Arial" w:hAnsi="Arial"/>
                <w:sz w:val="16"/>
                <w:szCs w:val="16"/>
                <w:b w:val="1"/>
                <w:bCs w:val="1"/>
                <w:color w:val="auto"/>
              </w:rPr>
              <w:t>at August 29, 2020</w:t>
            </w:r>
          </w:p>
        </w:tc>
        <w:tc>
          <w:tcPr>
            <w:tcW w:w="2140" w:type="dxa"/>
            <w:vAlign w:val="bottom"/>
          </w:tcPr>
          <w:p>
            <w:pPr>
              <w:spacing w:after="0"/>
              <w:rPr>
                <w:sz w:val="18"/>
                <w:szCs w:val="18"/>
                <w:color w:val="auto"/>
              </w:rPr>
            </w:pPr>
          </w:p>
        </w:tc>
      </w:tr>
      <w:tr>
        <w:trPr>
          <w:trHeight w:val="486"/>
        </w:trPr>
        <w:tc>
          <w:tcPr>
            <w:tcW w:w="33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Jurisdiction of</w:t>
            </w:r>
          </w:p>
        </w:tc>
        <w:tc>
          <w:tcPr>
            <w:tcW w:w="2140" w:type="dxa"/>
            <w:vAlign w:val="bottom"/>
          </w:tcPr>
          <w:p>
            <w:pPr>
              <w:jc w:val="center"/>
              <w:spacing w:after="0"/>
              <w:rPr>
                <w:sz w:val="20"/>
                <w:szCs w:val="20"/>
                <w:color w:val="auto"/>
              </w:rPr>
            </w:pPr>
            <w:r>
              <w:rPr>
                <w:rFonts w:ascii="Arial" w:cs="Arial" w:eastAsia="Arial" w:hAnsi="Arial"/>
                <w:sz w:val="16"/>
                <w:szCs w:val="16"/>
                <w:b w:val="1"/>
                <w:bCs w:val="1"/>
                <w:color w:val="auto"/>
                <w:w w:val="99"/>
              </w:rPr>
              <w:t>Percent of</w:t>
            </w:r>
          </w:p>
        </w:tc>
      </w:tr>
      <w:tr>
        <w:trPr>
          <w:trHeight w:val="256"/>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 of Corporation</w:t>
            </w:r>
          </w:p>
        </w:tc>
        <w:tc>
          <w:tcPr>
            <w:tcW w:w="332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Incorporation</w:t>
            </w:r>
          </w:p>
        </w:tc>
        <w:tc>
          <w:tcPr>
            <w:tcW w:w="140" w:type="dxa"/>
            <w:vAlign w:val="bottom"/>
            <w:tcBorders>
              <w:bottom w:val="single" w:sz="8" w:color="CCEEFF"/>
            </w:tcBorders>
          </w:tcPr>
          <w:p>
            <w:pPr>
              <w:spacing w:after="0"/>
              <w:rPr>
                <w:sz w:val="22"/>
                <w:szCs w:val="22"/>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Ownership</w:t>
            </w:r>
          </w:p>
        </w:tc>
      </w:tr>
      <w:tr>
        <w:trPr>
          <w:trHeight w:val="243"/>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Winnebago Industries, Inc.</w:t>
            </w:r>
          </w:p>
        </w:tc>
        <w:tc>
          <w:tcPr>
            <w:tcW w:w="3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Iowa</w:t>
            </w: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Parent</w:t>
            </w:r>
          </w:p>
        </w:tc>
      </w:tr>
      <w:tr>
        <w:trPr>
          <w:trHeight w:val="233"/>
        </w:trPr>
        <w:tc>
          <w:tcPr>
            <w:tcW w:w="3360" w:type="dxa"/>
            <w:vAlign w:val="bottom"/>
          </w:tcPr>
          <w:p>
            <w:pPr>
              <w:ind w:left="20"/>
              <w:spacing w:after="0"/>
              <w:rPr>
                <w:sz w:val="20"/>
                <w:szCs w:val="20"/>
                <w:color w:val="auto"/>
              </w:rPr>
            </w:pPr>
            <w:r>
              <w:rPr>
                <w:rFonts w:ascii="Arial" w:cs="Arial" w:eastAsia="Arial" w:hAnsi="Arial"/>
                <w:sz w:val="16"/>
                <w:szCs w:val="16"/>
                <w:color w:val="auto"/>
              </w:rPr>
              <w:t>Winnebago of Indiana, LLC</w:t>
            </w: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gridSpan w:val="2"/>
          </w:tcPr>
          <w:p>
            <w:pPr>
              <w:jc w:val="center"/>
              <w:ind w:right="140"/>
              <w:spacing w:after="0"/>
              <w:rPr>
                <w:sz w:val="20"/>
                <w:szCs w:val="20"/>
                <w:color w:val="auto"/>
              </w:rPr>
            </w:pPr>
            <w:r>
              <w:rPr>
                <w:rFonts w:ascii="Arial" w:cs="Arial" w:eastAsia="Arial" w:hAnsi="Arial"/>
                <w:sz w:val="16"/>
                <w:szCs w:val="16"/>
                <w:color w:val="auto"/>
              </w:rPr>
              <w:t>Iowa</w:t>
            </w:r>
          </w:p>
        </w:tc>
        <w:tc>
          <w:tcPr>
            <w:tcW w:w="2140" w:type="dxa"/>
            <w:vAlign w:val="bottom"/>
          </w:tcPr>
          <w:p>
            <w:pPr>
              <w:jc w:val="center"/>
              <w:spacing w:after="0"/>
              <w:rPr>
                <w:sz w:val="20"/>
                <w:szCs w:val="20"/>
                <w:color w:val="auto"/>
              </w:rPr>
            </w:pPr>
            <w:r>
              <w:rPr>
                <w:rFonts w:ascii="Arial" w:cs="Arial" w:eastAsia="Arial" w:hAnsi="Arial"/>
                <w:sz w:val="16"/>
                <w:szCs w:val="16"/>
                <w:color w:val="auto"/>
              </w:rPr>
              <w:t>100%</w:t>
            </w:r>
          </w:p>
        </w:tc>
      </w:tr>
      <w:tr>
        <w:trPr>
          <w:trHeight w:val="253"/>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Grand Design RV, LLC</w:t>
            </w:r>
          </w:p>
        </w:tc>
        <w:tc>
          <w:tcPr>
            <w:tcW w:w="3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Indiana</w:t>
            </w: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w:t>
            </w:r>
          </w:p>
        </w:tc>
      </w:tr>
      <w:tr>
        <w:trPr>
          <w:trHeight w:val="233"/>
        </w:trPr>
        <w:tc>
          <w:tcPr>
            <w:tcW w:w="3360" w:type="dxa"/>
            <w:vAlign w:val="bottom"/>
          </w:tcPr>
          <w:p>
            <w:pPr>
              <w:ind w:left="20"/>
              <w:spacing w:after="0"/>
              <w:rPr>
                <w:sz w:val="20"/>
                <w:szCs w:val="20"/>
                <w:color w:val="auto"/>
              </w:rPr>
            </w:pPr>
            <w:r>
              <w:rPr>
                <w:rFonts w:ascii="Arial" w:cs="Arial" w:eastAsia="Arial" w:hAnsi="Arial"/>
                <w:sz w:val="16"/>
                <w:szCs w:val="16"/>
                <w:color w:val="auto"/>
              </w:rPr>
              <w:t>Winnebago Industries Holdco, LLC</w:t>
            </w: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gridSpan w:val="2"/>
          </w:tcPr>
          <w:p>
            <w:pPr>
              <w:jc w:val="center"/>
              <w:ind w:right="160"/>
              <w:spacing w:after="0"/>
              <w:rPr>
                <w:sz w:val="20"/>
                <w:szCs w:val="20"/>
                <w:color w:val="auto"/>
              </w:rPr>
            </w:pPr>
            <w:r>
              <w:rPr>
                <w:rFonts w:ascii="Arial" w:cs="Arial" w:eastAsia="Arial" w:hAnsi="Arial"/>
                <w:sz w:val="16"/>
                <w:szCs w:val="16"/>
                <w:color w:val="auto"/>
              </w:rPr>
              <w:t>Delaware</w:t>
            </w:r>
          </w:p>
        </w:tc>
        <w:tc>
          <w:tcPr>
            <w:tcW w:w="2140" w:type="dxa"/>
            <w:vAlign w:val="bottom"/>
          </w:tcPr>
          <w:p>
            <w:pPr>
              <w:jc w:val="center"/>
              <w:spacing w:after="0"/>
              <w:rPr>
                <w:sz w:val="20"/>
                <w:szCs w:val="20"/>
                <w:color w:val="auto"/>
              </w:rPr>
            </w:pPr>
            <w:r>
              <w:rPr>
                <w:rFonts w:ascii="Arial" w:cs="Arial" w:eastAsia="Arial" w:hAnsi="Arial"/>
                <w:sz w:val="16"/>
                <w:szCs w:val="16"/>
                <w:color w:val="auto"/>
              </w:rPr>
              <w:t>100%</w:t>
            </w:r>
          </w:p>
        </w:tc>
      </w:tr>
      <w:tr>
        <w:trPr>
          <w:trHeight w:val="253"/>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Octavius Corporation</w:t>
            </w:r>
          </w:p>
        </w:tc>
        <w:tc>
          <w:tcPr>
            <w:tcW w:w="3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8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rPr>
              <w:t>Delaware</w:t>
            </w: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w:t>
            </w:r>
          </w:p>
        </w:tc>
      </w:tr>
      <w:tr>
        <w:trPr>
          <w:trHeight w:val="233"/>
        </w:trPr>
        <w:tc>
          <w:tcPr>
            <w:tcW w:w="3360" w:type="dxa"/>
            <w:vAlign w:val="bottom"/>
          </w:tcPr>
          <w:p>
            <w:pPr>
              <w:ind w:left="20"/>
              <w:spacing w:after="0"/>
              <w:rPr>
                <w:sz w:val="20"/>
                <w:szCs w:val="20"/>
                <w:color w:val="auto"/>
              </w:rPr>
            </w:pPr>
            <w:r>
              <w:rPr>
                <w:rFonts w:ascii="Arial" w:cs="Arial" w:eastAsia="Arial" w:hAnsi="Arial"/>
                <w:sz w:val="16"/>
                <w:szCs w:val="16"/>
                <w:color w:val="auto"/>
              </w:rPr>
              <w:t>Chris-Craft Limited</w:t>
            </w: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gridSpan w:val="2"/>
          </w:tcPr>
          <w:p>
            <w:pPr>
              <w:jc w:val="center"/>
              <w:ind w:right="160"/>
              <w:spacing w:after="0"/>
              <w:rPr>
                <w:sz w:val="20"/>
                <w:szCs w:val="20"/>
                <w:color w:val="auto"/>
              </w:rPr>
            </w:pPr>
            <w:r>
              <w:rPr>
                <w:rFonts w:ascii="Arial" w:cs="Arial" w:eastAsia="Arial" w:hAnsi="Arial"/>
                <w:sz w:val="16"/>
                <w:szCs w:val="16"/>
                <w:color w:val="auto"/>
              </w:rPr>
              <w:t>Jersey Channel Islands</w:t>
            </w:r>
          </w:p>
        </w:tc>
        <w:tc>
          <w:tcPr>
            <w:tcW w:w="2140" w:type="dxa"/>
            <w:vAlign w:val="bottom"/>
          </w:tcPr>
          <w:p>
            <w:pPr>
              <w:jc w:val="center"/>
              <w:spacing w:after="0"/>
              <w:rPr>
                <w:sz w:val="20"/>
                <w:szCs w:val="20"/>
                <w:color w:val="auto"/>
              </w:rPr>
            </w:pPr>
            <w:r>
              <w:rPr>
                <w:rFonts w:ascii="Arial" w:cs="Arial" w:eastAsia="Arial" w:hAnsi="Arial"/>
                <w:sz w:val="16"/>
                <w:szCs w:val="16"/>
                <w:color w:val="auto"/>
              </w:rPr>
              <w:t>100%</w:t>
            </w:r>
          </w:p>
        </w:tc>
      </w:tr>
      <w:tr>
        <w:trPr>
          <w:trHeight w:val="253"/>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Chris-Craft USA, Inc.</w:t>
            </w:r>
          </w:p>
        </w:tc>
        <w:tc>
          <w:tcPr>
            <w:tcW w:w="3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8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rPr>
              <w:t>Delaware</w:t>
            </w: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w:t>
            </w:r>
          </w:p>
        </w:tc>
      </w:tr>
      <w:tr>
        <w:trPr>
          <w:trHeight w:val="233"/>
        </w:trPr>
        <w:tc>
          <w:tcPr>
            <w:tcW w:w="3360" w:type="dxa"/>
            <w:vAlign w:val="bottom"/>
          </w:tcPr>
          <w:p>
            <w:pPr>
              <w:ind w:left="20"/>
              <w:spacing w:after="0"/>
              <w:rPr>
                <w:sz w:val="20"/>
                <w:szCs w:val="20"/>
                <w:color w:val="auto"/>
              </w:rPr>
            </w:pPr>
            <w:r>
              <w:rPr>
                <w:rFonts w:ascii="Arial" w:cs="Arial" w:eastAsia="Arial" w:hAnsi="Arial"/>
                <w:sz w:val="16"/>
                <w:szCs w:val="16"/>
                <w:color w:val="auto"/>
              </w:rPr>
              <w:t>CC Marine Brand Acquisition LLC</w:t>
            </w: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gridSpan w:val="2"/>
          </w:tcPr>
          <w:p>
            <w:pPr>
              <w:jc w:val="center"/>
              <w:ind w:right="160"/>
              <w:spacing w:after="0"/>
              <w:rPr>
                <w:sz w:val="20"/>
                <w:szCs w:val="20"/>
                <w:color w:val="auto"/>
              </w:rPr>
            </w:pPr>
            <w:r>
              <w:rPr>
                <w:rFonts w:ascii="Arial" w:cs="Arial" w:eastAsia="Arial" w:hAnsi="Arial"/>
                <w:sz w:val="16"/>
                <w:szCs w:val="16"/>
                <w:color w:val="auto"/>
              </w:rPr>
              <w:t>Delaware</w:t>
            </w:r>
          </w:p>
        </w:tc>
        <w:tc>
          <w:tcPr>
            <w:tcW w:w="2140" w:type="dxa"/>
            <w:vAlign w:val="bottom"/>
          </w:tcPr>
          <w:p>
            <w:pPr>
              <w:jc w:val="center"/>
              <w:spacing w:after="0"/>
              <w:rPr>
                <w:sz w:val="20"/>
                <w:szCs w:val="20"/>
                <w:color w:val="auto"/>
              </w:rPr>
            </w:pPr>
            <w:r>
              <w:rPr>
                <w:rFonts w:ascii="Arial" w:cs="Arial" w:eastAsia="Arial" w:hAnsi="Arial"/>
                <w:sz w:val="16"/>
                <w:szCs w:val="16"/>
                <w:color w:val="auto"/>
              </w:rPr>
              <w:t>100%</w:t>
            </w:r>
          </w:p>
        </w:tc>
      </w:tr>
      <w:tr>
        <w:trPr>
          <w:trHeight w:val="253"/>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Chris Craft Corporation</w:t>
            </w:r>
          </w:p>
        </w:tc>
        <w:tc>
          <w:tcPr>
            <w:tcW w:w="3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8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rPr>
              <w:t>Delaware</w:t>
            </w: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w:t>
            </w:r>
          </w:p>
        </w:tc>
      </w:tr>
      <w:tr>
        <w:trPr>
          <w:trHeight w:val="233"/>
        </w:trPr>
        <w:tc>
          <w:tcPr>
            <w:tcW w:w="3360" w:type="dxa"/>
            <w:vAlign w:val="bottom"/>
          </w:tcPr>
          <w:p>
            <w:pPr>
              <w:ind w:left="20"/>
              <w:spacing w:after="0"/>
              <w:rPr>
                <w:sz w:val="20"/>
                <w:szCs w:val="20"/>
                <w:color w:val="auto"/>
              </w:rPr>
            </w:pPr>
            <w:r>
              <w:rPr>
                <w:rFonts w:ascii="Arial" w:cs="Arial" w:eastAsia="Arial" w:hAnsi="Arial"/>
                <w:sz w:val="16"/>
                <w:szCs w:val="16"/>
                <w:color w:val="auto"/>
              </w:rPr>
              <w:t>CC Property Acquisition LLC</w:t>
            </w: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gridSpan w:val="2"/>
          </w:tcPr>
          <w:p>
            <w:pPr>
              <w:jc w:val="center"/>
              <w:ind w:right="160"/>
              <w:spacing w:after="0"/>
              <w:rPr>
                <w:sz w:val="20"/>
                <w:szCs w:val="20"/>
                <w:color w:val="auto"/>
              </w:rPr>
            </w:pPr>
            <w:r>
              <w:rPr>
                <w:rFonts w:ascii="Arial" w:cs="Arial" w:eastAsia="Arial" w:hAnsi="Arial"/>
                <w:sz w:val="16"/>
                <w:szCs w:val="16"/>
                <w:color w:val="auto"/>
              </w:rPr>
              <w:t>Delaware</w:t>
            </w:r>
          </w:p>
        </w:tc>
        <w:tc>
          <w:tcPr>
            <w:tcW w:w="2140" w:type="dxa"/>
            <w:vAlign w:val="bottom"/>
          </w:tcPr>
          <w:p>
            <w:pPr>
              <w:jc w:val="center"/>
              <w:spacing w:after="0"/>
              <w:rPr>
                <w:sz w:val="20"/>
                <w:szCs w:val="20"/>
                <w:color w:val="auto"/>
              </w:rPr>
            </w:pPr>
            <w:r>
              <w:rPr>
                <w:rFonts w:ascii="Arial" w:cs="Arial" w:eastAsia="Arial" w:hAnsi="Arial"/>
                <w:sz w:val="16"/>
                <w:szCs w:val="16"/>
                <w:color w:val="auto"/>
              </w:rPr>
              <w:t>100%</w:t>
            </w:r>
          </w:p>
        </w:tc>
      </w:tr>
      <w:tr>
        <w:trPr>
          <w:trHeight w:val="253"/>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Newmar Corporation</w:t>
            </w:r>
          </w:p>
        </w:tc>
        <w:tc>
          <w:tcPr>
            <w:tcW w:w="3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Indiana</w:t>
            </w: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w:t>
            </w:r>
          </w:p>
        </w:tc>
      </w:tr>
    </w:tbl>
    <w:p>
      <w:pPr>
        <w:sectPr>
          <w:pgSz w:w="11900" w:h="16838" w:orient="portrait"/>
          <w:cols w:equalWidth="0" w:num="1">
            <w:col w:w="11240"/>
          </w:cols>
          <w:pgMar w:left="320" w:top="93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6"/>
          <w:szCs w:val="16"/>
          <w:b w:val="1"/>
          <w:bCs w:val="1"/>
          <w:color w:val="auto"/>
        </w:rPr>
        <w:t>Exhibit 23</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55" w:lineRule="exact"/>
        <w:rPr>
          <w:sz w:val="20"/>
          <w:szCs w:val="20"/>
          <w:color w:val="auto"/>
        </w:rPr>
      </w:pPr>
    </w:p>
    <w:p>
      <w:pPr>
        <w:ind w:right="140"/>
        <w:spacing w:after="0" w:line="221" w:lineRule="auto"/>
        <w:rPr>
          <w:sz w:val="20"/>
          <w:szCs w:val="20"/>
          <w:color w:val="auto"/>
        </w:rPr>
      </w:pPr>
      <w:r>
        <w:rPr>
          <w:rFonts w:ascii="Arial" w:cs="Arial" w:eastAsia="Arial" w:hAnsi="Arial"/>
          <w:sz w:val="16"/>
          <w:szCs w:val="16"/>
          <w:color w:val="auto"/>
        </w:rPr>
        <w:t>We consent to the incorporation by reference in Registration Statement Nos. 333-31595, 333-47123, 333-113246, 333-194854, 333-222261 and 333-232220 on Form S-8 and No. 333-215641 on Form S-3 of our reports dated October 21, 2020, relating to the financial statements of Winnebago Industries, Inc. and subsidiaries and the effectiveness of Winnebago Industries, Inc. and subsidiaries’ internal control over financial reporting appearing in this Annual Report on Form 10-K of Winnebago Industries, Inc. for the year ended August 29, 2020.</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Deloitte &amp; Touche LLP</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October 21, 2020</w:t>
      </w:r>
    </w:p>
    <w:p>
      <w:pPr>
        <w:sectPr>
          <w:pgSz w:w="11900" w:h="16838" w:orient="portrait"/>
          <w:cols w:equalWidth="0" w:num="1">
            <w:col w:w="11240"/>
          </w:cols>
          <w:pgMar w:left="320" w:top="93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6"/>
          <w:szCs w:val="16"/>
          <w:b w:val="1"/>
          <w:bCs w:val="1"/>
          <w:color w:val="auto"/>
        </w:rPr>
        <w:t>Exhibit 31.1</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CERTIFICATION BY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 Michael J. Happe, Chief Executive Officer of Winnebago Industries, Inc., certify that:</w:t>
      </w:r>
    </w:p>
    <w:p>
      <w:pPr>
        <w:spacing w:after="0" w:line="86"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Winnebago Industries, Inc. (the "Registrant");</w:t>
      </w:r>
    </w:p>
    <w:p>
      <w:pPr>
        <w:spacing w:after="0" w:line="45"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28" w:lineRule="exact"/>
        <w:rPr>
          <w:rFonts w:ascii="Arial" w:cs="Arial" w:eastAsia="Arial" w:hAnsi="Arial"/>
          <w:sz w:val="16"/>
          <w:szCs w:val="16"/>
          <w:color w:val="auto"/>
        </w:rPr>
      </w:pPr>
    </w:p>
    <w:p>
      <w:pPr>
        <w:ind w:left="340" w:right="40" w:hanging="332"/>
        <w:spacing w:after="0" w:line="260"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22" w:lineRule="exact"/>
        <w:rPr>
          <w:rFonts w:ascii="Arial" w:cs="Arial" w:eastAsia="Arial" w:hAnsi="Arial"/>
          <w:sz w:val="16"/>
          <w:szCs w:val="16"/>
          <w:color w:val="auto"/>
        </w:rPr>
      </w:pPr>
    </w:p>
    <w:p>
      <w:pPr>
        <w:ind w:left="340" w:right="180" w:hanging="332"/>
        <w:spacing w:after="0" w:line="253"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6"/>
          <w:szCs w:val="16"/>
          <w:color w:val="auto"/>
        </w:rPr>
      </w:pPr>
    </w:p>
    <w:p>
      <w:pPr>
        <w:ind w:left="660" w:right="320" w:hanging="328"/>
        <w:spacing w:after="0" w:line="253" w:lineRule="auto"/>
        <w:tabs>
          <w:tab w:leader="none" w:pos="6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228" w:lineRule="exact"/>
        <w:rPr>
          <w:rFonts w:ascii="Arial" w:cs="Arial" w:eastAsia="Arial" w:hAnsi="Arial"/>
          <w:sz w:val="16"/>
          <w:szCs w:val="16"/>
          <w:color w:val="auto"/>
        </w:rPr>
      </w:pPr>
    </w:p>
    <w:p>
      <w:pPr>
        <w:ind w:left="660" w:right="40" w:hanging="328"/>
        <w:spacing w:after="0" w:line="253" w:lineRule="auto"/>
        <w:tabs>
          <w:tab w:leader="none" w:pos="6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6"/>
          <w:szCs w:val="16"/>
          <w:color w:val="auto"/>
        </w:rPr>
      </w:pPr>
    </w:p>
    <w:p>
      <w:pPr>
        <w:ind w:left="660" w:right="200" w:hanging="328"/>
        <w:spacing w:after="0" w:line="260" w:lineRule="auto"/>
        <w:tabs>
          <w:tab w:leader="none" w:pos="651"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spacing w:after="0" w:line="222" w:lineRule="exact"/>
        <w:rPr>
          <w:rFonts w:ascii="Arial" w:cs="Arial" w:eastAsia="Arial" w:hAnsi="Arial"/>
          <w:sz w:val="16"/>
          <w:szCs w:val="16"/>
          <w:color w:val="auto"/>
        </w:rPr>
      </w:pPr>
    </w:p>
    <w:p>
      <w:pPr>
        <w:jc w:val="both"/>
        <w:ind w:left="660" w:right="280" w:hanging="328"/>
        <w:spacing w:after="0" w:line="253" w:lineRule="auto"/>
        <w:tabs>
          <w:tab w:leader="none" w:pos="6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financial reporting;</w:t>
      </w:r>
    </w:p>
    <w:p>
      <w:pPr>
        <w:spacing w:after="0" w:line="228" w:lineRule="exact"/>
        <w:rPr>
          <w:rFonts w:ascii="Arial" w:cs="Arial" w:eastAsia="Arial" w:hAnsi="Arial"/>
          <w:sz w:val="16"/>
          <w:szCs w:val="16"/>
          <w:color w:val="auto"/>
        </w:rPr>
      </w:pPr>
    </w:p>
    <w:p>
      <w:pPr>
        <w:ind w:left="340" w:right="440" w:hanging="332"/>
        <w:spacing w:after="0" w:line="260"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2" w:lineRule="exact"/>
        <w:rPr>
          <w:rFonts w:ascii="Arial" w:cs="Arial" w:eastAsia="Arial" w:hAnsi="Arial"/>
          <w:sz w:val="16"/>
          <w:szCs w:val="16"/>
          <w:color w:val="auto"/>
        </w:rPr>
      </w:pPr>
    </w:p>
    <w:p>
      <w:pPr>
        <w:ind w:left="660" w:right="40" w:hanging="328"/>
        <w:spacing w:after="0" w:line="260" w:lineRule="auto"/>
        <w:tabs>
          <w:tab w:leader="none" w:pos="6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left="660" w:right="340" w:hanging="328"/>
        <w:spacing w:after="0" w:line="260" w:lineRule="auto"/>
        <w:tabs>
          <w:tab w:leader="none" w:pos="6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60" w:lineRule="exact"/>
        <w:rPr>
          <w:sz w:val="20"/>
          <w:szCs w:val="20"/>
          <w:color w:val="auto"/>
        </w:rPr>
      </w:pPr>
    </w:p>
    <w:p>
      <w:pPr>
        <w:ind w:left="20"/>
        <w:spacing w:after="0"/>
        <w:tabs>
          <w:tab w:leader="none" w:pos="960" w:val="left"/>
          <w:tab w:leader="none" w:pos="6120" w:val="left"/>
          <w:tab w:leader="none" w:pos="69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21,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29210</wp:posOffset>
            </wp:positionV>
            <wp:extent cx="27000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6">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69"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Michael J. Happe</w:t>
      </w:r>
    </w:p>
    <w:p>
      <w:pPr>
        <w:spacing w:after="0" w:line="59"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President, Chief Executive Officer</w:t>
      </w:r>
    </w:p>
    <w:p>
      <w:pPr>
        <w:sectPr>
          <w:pgSz w:w="11900" w:h="16838" w:orient="portrait"/>
          <w:cols w:equalWidth="0" w:num="1">
            <w:col w:w="11240"/>
          </w:cols>
          <w:pgMar w:left="320" w:top="972"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6"/>
          <w:szCs w:val="16"/>
          <w:b w:val="1"/>
          <w:bCs w:val="1"/>
          <w:color w:val="auto"/>
        </w:rPr>
        <w:t>Exhibit 31.2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BY CHIEF FINANCIAL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 Bryan L. Hughes, Chief Financial Officer of Winnebago Industries, Inc., certify that:</w:t>
      </w:r>
    </w:p>
    <w:p>
      <w:pPr>
        <w:spacing w:after="0" w:line="86"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Winnebago Industries, Inc. (the "Registrant");</w:t>
      </w:r>
    </w:p>
    <w:p>
      <w:pPr>
        <w:spacing w:after="0" w:line="28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28" w:lineRule="exact"/>
        <w:rPr>
          <w:rFonts w:ascii="Arial" w:cs="Arial" w:eastAsia="Arial" w:hAnsi="Arial"/>
          <w:sz w:val="16"/>
          <w:szCs w:val="16"/>
          <w:color w:val="auto"/>
        </w:rPr>
      </w:pPr>
    </w:p>
    <w:p>
      <w:pPr>
        <w:ind w:left="340" w:right="40" w:hanging="332"/>
        <w:spacing w:after="0" w:line="260"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22" w:lineRule="exact"/>
        <w:rPr>
          <w:rFonts w:ascii="Arial" w:cs="Arial" w:eastAsia="Arial" w:hAnsi="Arial"/>
          <w:sz w:val="16"/>
          <w:szCs w:val="16"/>
          <w:color w:val="auto"/>
        </w:rPr>
      </w:pPr>
    </w:p>
    <w:p>
      <w:pPr>
        <w:ind w:left="340" w:right="180" w:hanging="332"/>
        <w:spacing w:after="0" w:line="253"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6"/>
          <w:szCs w:val="16"/>
          <w:color w:val="auto"/>
        </w:rPr>
      </w:pPr>
    </w:p>
    <w:p>
      <w:pPr>
        <w:ind w:left="660" w:right="320" w:hanging="328"/>
        <w:spacing w:after="0" w:line="253" w:lineRule="auto"/>
        <w:tabs>
          <w:tab w:leader="none" w:pos="6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228" w:lineRule="exact"/>
        <w:rPr>
          <w:rFonts w:ascii="Arial" w:cs="Arial" w:eastAsia="Arial" w:hAnsi="Arial"/>
          <w:sz w:val="16"/>
          <w:szCs w:val="16"/>
          <w:color w:val="auto"/>
        </w:rPr>
      </w:pPr>
    </w:p>
    <w:p>
      <w:pPr>
        <w:ind w:left="660" w:right="40" w:hanging="328"/>
        <w:spacing w:after="0" w:line="253" w:lineRule="auto"/>
        <w:tabs>
          <w:tab w:leader="none" w:pos="6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6"/>
          <w:szCs w:val="16"/>
          <w:color w:val="auto"/>
        </w:rPr>
      </w:pPr>
    </w:p>
    <w:p>
      <w:pPr>
        <w:ind w:left="660" w:right="200" w:hanging="328"/>
        <w:spacing w:after="0" w:line="260" w:lineRule="auto"/>
        <w:tabs>
          <w:tab w:leader="none" w:pos="651"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spacing w:after="0" w:line="222" w:lineRule="exact"/>
        <w:rPr>
          <w:rFonts w:ascii="Arial" w:cs="Arial" w:eastAsia="Arial" w:hAnsi="Arial"/>
          <w:sz w:val="16"/>
          <w:szCs w:val="16"/>
          <w:color w:val="auto"/>
        </w:rPr>
      </w:pPr>
    </w:p>
    <w:p>
      <w:pPr>
        <w:jc w:val="both"/>
        <w:ind w:left="660" w:right="280" w:hanging="328"/>
        <w:spacing w:after="0" w:line="253" w:lineRule="auto"/>
        <w:tabs>
          <w:tab w:leader="none" w:pos="6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financial reporting;</w:t>
      </w:r>
    </w:p>
    <w:p>
      <w:pPr>
        <w:spacing w:after="0" w:line="228" w:lineRule="exact"/>
        <w:rPr>
          <w:rFonts w:ascii="Arial" w:cs="Arial" w:eastAsia="Arial" w:hAnsi="Arial"/>
          <w:sz w:val="16"/>
          <w:szCs w:val="16"/>
          <w:color w:val="auto"/>
        </w:rPr>
      </w:pPr>
    </w:p>
    <w:p>
      <w:pPr>
        <w:ind w:left="340" w:right="440" w:hanging="332"/>
        <w:spacing w:after="0" w:line="260"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2" w:lineRule="exact"/>
        <w:rPr>
          <w:rFonts w:ascii="Arial" w:cs="Arial" w:eastAsia="Arial" w:hAnsi="Arial"/>
          <w:sz w:val="16"/>
          <w:szCs w:val="16"/>
          <w:color w:val="auto"/>
        </w:rPr>
      </w:pPr>
    </w:p>
    <w:p>
      <w:pPr>
        <w:ind w:left="660" w:right="40" w:hanging="328"/>
        <w:spacing w:after="0" w:line="260" w:lineRule="auto"/>
        <w:tabs>
          <w:tab w:leader="none" w:pos="6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left="660" w:right="340" w:hanging="328"/>
        <w:spacing w:after="0" w:line="260" w:lineRule="auto"/>
        <w:tabs>
          <w:tab w:leader="none" w:pos="6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60" w:lineRule="exact"/>
        <w:rPr>
          <w:sz w:val="20"/>
          <w:szCs w:val="20"/>
          <w:color w:val="auto"/>
        </w:rPr>
      </w:pPr>
    </w:p>
    <w:p>
      <w:pPr>
        <w:ind w:left="20"/>
        <w:spacing w:after="0"/>
        <w:tabs>
          <w:tab w:leader="none" w:pos="780" w:val="left"/>
          <w:tab w:leader="none" w:pos="6280" w:val="left"/>
          <w:tab w:leader="none" w:pos="70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21,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29210</wp:posOffset>
            </wp:positionV>
            <wp:extent cx="26574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7">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69"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Bryan L. Hughes</w:t>
      </w:r>
    </w:p>
    <w:p>
      <w:pPr>
        <w:spacing w:after="0" w:line="59"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Senior Vice President, Chief Financial Officer</w:t>
      </w:r>
    </w:p>
    <w:p>
      <w:pPr>
        <w:spacing w:after="0" w:line="5"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240"/>
          </w:cols>
          <w:pgMar w:left="320" w:top="931"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6"/>
          <w:szCs w:val="16"/>
          <w:b w:val="1"/>
          <w:bCs w:val="1"/>
          <w:color w:val="auto"/>
        </w:rPr>
        <w:t>Exhibit 32.1</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Michael J. Happe, Chief Executive Officer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248" w:lineRule="exact"/>
        <w:rPr>
          <w:sz w:val="20"/>
          <w:szCs w:val="20"/>
          <w:color w:val="auto"/>
        </w:rPr>
      </w:pPr>
    </w:p>
    <w:p>
      <w:pPr>
        <w:ind w:left="660" w:right="20" w:hanging="328"/>
        <w:spacing w:after="0" w:line="260"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Annual Report on Form 10-K for the year ended August 29, 2020 (the "Report") of the Company fully complies with the requirements of Section 13(a) or 15(d) of the Securities Exchange Act of 1934, and</w:t>
      </w:r>
    </w:p>
    <w:p>
      <w:pPr>
        <w:spacing w:after="0" w:line="222" w:lineRule="exact"/>
        <w:rPr>
          <w:rFonts w:ascii="Arial" w:cs="Arial" w:eastAsia="Arial" w:hAnsi="Arial"/>
          <w:sz w:val="16"/>
          <w:szCs w:val="16"/>
          <w:color w:val="auto"/>
        </w:rPr>
      </w:pPr>
    </w:p>
    <w:p>
      <w:pPr>
        <w:ind w:left="660" w:hanging="328"/>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313" w:lineRule="exact"/>
        <w:rPr>
          <w:sz w:val="20"/>
          <w:szCs w:val="20"/>
          <w:color w:val="auto"/>
        </w:rPr>
      </w:pPr>
    </w:p>
    <w:p>
      <w:pPr>
        <w:ind w:left="20"/>
        <w:spacing w:after="0"/>
        <w:tabs>
          <w:tab w:leader="none" w:pos="960" w:val="left"/>
          <w:tab w:leader="none" w:pos="6120" w:val="left"/>
          <w:tab w:leader="none" w:pos="69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21,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29210</wp:posOffset>
            </wp:positionV>
            <wp:extent cx="27000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8">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69"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Michael J. Happe</w:t>
      </w:r>
    </w:p>
    <w:p>
      <w:pPr>
        <w:spacing w:after="0" w:line="59"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President, Chief Executive Officer</w:t>
      </w:r>
    </w:p>
    <w:p>
      <w:pPr>
        <w:sectPr>
          <w:pgSz w:w="11900" w:h="16838" w:orient="portrait"/>
          <w:cols w:equalWidth="0" w:num="1">
            <w:col w:w="11240"/>
          </w:cols>
          <w:pgMar w:left="320" w:top="972"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6"/>
          <w:szCs w:val="16"/>
          <w:b w:val="1"/>
          <w:bCs w:val="1"/>
          <w:color w:val="auto"/>
        </w:rPr>
        <w:t>Exhibit 32.2</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Bryan L. Hughes, Chief Financial Officer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248" w:lineRule="exact"/>
        <w:rPr>
          <w:sz w:val="20"/>
          <w:szCs w:val="20"/>
          <w:color w:val="auto"/>
        </w:rPr>
      </w:pPr>
    </w:p>
    <w:p>
      <w:pPr>
        <w:ind w:left="660" w:right="20" w:hanging="328"/>
        <w:spacing w:after="0" w:line="260"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Annual Report on Form 10-K for the year ended August 29, 2020 (the "Report") of the Company fully complies with the requirements of Section 13(a) or 15(d) of the Securities Exchange Act of 1934, and</w:t>
      </w:r>
    </w:p>
    <w:p>
      <w:pPr>
        <w:spacing w:after="0" w:line="222" w:lineRule="exact"/>
        <w:rPr>
          <w:rFonts w:ascii="Arial" w:cs="Arial" w:eastAsia="Arial" w:hAnsi="Arial"/>
          <w:sz w:val="16"/>
          <w:szCs w:val="16"/>
          <w:color w:val="auto"/>
        </w:rPr>
      </w:pPr>
    </w:p>
    <w:p>
      <w:pPr>
        <w:ind w:left="660" w:hanging="328"/>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313" w:lineRule="exact"/>
        <w:rPr>
          <w:sz w:val="20"/>
          <w:szCs w:val="20"/>
          <w:color w:val="auto"/>
        </w:rPr>
      </w:pPr>
    </w:p>
    <w:p>
      <w:pPr>
        <w:ind w:left="20"/>
        <w:spacing w:after="0"/>
        <w:tabs>
          <w:tab w:leader="none" w:pos="960" w:val="left"/>
          <w:tab w:leader="none" w:pos="6120" w:val="left"/>
          <w:tab w:leader="none" w:pos="69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21,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29210</wp:posOffset>
            </wp:positionV>
            <wp:extent cx="27000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9">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69"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Bryan L. Hughes</w:t>
      </w:r>
    </w:p>
    <w:p>
      <w:pPr>
        <w:spacing w:after="0" w:line="59"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Senior Vice President, Chief Financial Officer</w:t>
      </w:r>
    </w:p>
    <w:p>
      <w:pPr>
        <w:spacing w:after="0" w:line="5"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240"/>
          </w:cols>
          <w:pgMar w:left="320" w:top="972" w:right="339" w:bottom="1440" w:gutter="0" w:footer="0" w:header="0"/>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5386070</wp:posOffset>
            </wp:positionH>
            <wp:positionV relativeFrom="page">
              <wp:posOffset>911860</wp:posOffset>
            </wp:positionV>
            <wp:extent cx="1954530" cy="291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195453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EXECUTIVE INCENTIVE COMPENSATION PLAN</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Also referred to as the Annual Incentive Plan (AIP)</w:t>
      </w:r>
    </w:p>
    <w:p>
      <w:pPr>
        <w:sectPr>
          <w:pgSz w:w="11900" w:h="16838" w:orient="portrait"/>
          <w:cols w:equalWidth="0" w:num="1">
            <w:col w:w="9019"/>
          </w:cols>
          <w:pgMar w:left="1440" w:top="1440" w:right="1440" w:bottom="1440" w:gutter="0" w:footer="0" w:header="0"/>
          <w:type w:val="continuous"/>
        </w:sectPr>
      </w:pPr>
    </w:p>
    <w:bookmarkStart w:id="90" w:name="page91"/>
    <w:bookmarkEnd w:id="90"/>
    <w:p>
      <w:pPr>
        <w:jc w:val="center"/>
        <w:ind w:right="-71"/>
        <w:spacing w:after="0"/>
        <w:rPr>
          <w:sz w:val="20"/>
          <w:szCs w:val="20"/>
          <w:color w:val="auto"/>
        </w:rPr>
      </w:pPr>
      <w:r>
        <w:rPr>
          <w:rFonts w:ascii="Arial" w:cs="Arial" w:eastAsia="Arial" w:hAnsi="Arial"/>
          <w:sz w:val="25"/>
          <w:szCs w:val="25"/>
          <w:b w:val="1"/>
          <w:bCs w:val="1"/>
          <w:color w:val="auto"/>
        </w:rPr>
        <w:t>WINNEBAGO INDUSTRIES, INC.</w:t>
      </w:r>
    </w:p>
    <w:p>
      <w:pPr>
        <w:spacing w:after="0" w:line="226" w:lineRule="exact"/>
        <w:rPr>
          <w:sz w:val="20"/>
          <w:szCs w:val="20"/>
          <w:color w:val="auto"/>
        </w:rPr>
      </w:pPr>
    </w:p>
    <w:p>
      <w:pPr>
        <w:jc w:val="center"/>
        <w:ind w:right="-71"/>
        <w:spacing w:after="0"/>
        <w:rPr>
          <w:sz w:val="20"/>
          <w:szCs w:val="20"/>
          <w:color w:val="auto"/>
        </w:rPr>
      </w:pPr>
      <w:r>
        <w:rPr>
          <w:rFonts w:ascii="Arial" w:cs="Arial" w:eastAsia="Arial" w:hAnsi="Arial"/>
          <w:sz w:val="25"/>
          <w:szCs w:val="25"/>
          <w:b w:val="1"/>
          <w:bCs w:val="1"/>
          <w:color w:val="auto"/>
        </w:rPr>
        <w:t>EXECUTIVE INCENTIVE COMPENSATION PLAN</w:t>
      </w:r>
    </w:p>
    <w:p>
      <w:pPr>
        <w:spacing w:after="0" w:line="200" w:lineRule="exact"/>
        <w:rPr>
          <w:sz w:val="20"/>
          <w:szCs w:val="20"/>
          <w:color w:val="auto"/>
        </w:rPr>
      </w:pPr>
    </w:p>
    <w:p>
      <w:pPr>
        <w:spacing w:after="0" w:line="278" w:lineRule="exact"/>
        <w:rPr>
          <w:sz w:val="20"/>
          <w:szCs w:val="20"/>
          <w:color w:val="auto"/>
        </w:rPr>
      </w:pPr>
    </w:p>
    <w:p>
      <w:pPr>
        <w:ind w:left="652" w:right="100" w:hanging="652"/>
        <w:spacing w:after="0" w:line="298" w:lineRule="auto"/>
        <w:tabs>
          <w:tab w:leader="none" w:pos="382" w:val="left"/>
        </w:tabs>
        <w:numPr>
          <w:ilvl w:val="0"/>
          <w:numId w:val="53"/>
        </w:numPr>
        <w:rPr>
          <w:rFonts w:ascii="Arial" w:cs="Arial" w:eastAsia="Arial" w:hAnsi="Arial"/>
          <w:sz w:val="19"/>
          <w:szCs w:val="19"/>
          <w:color w:val="auto"/>
        </w:rPr>
      </w:pPr>
      <w:r>
        <w:rPr>
          <w:rFonts w:ascii="Arial" w:cs="Arial" w:eastAsia="Arial" w:hAnsi="Arial"/>
          <w:sz w:val="19"/>
          <w:szCs w:val="19"/>
          <w:b w:val="1"/>
          <w:bCs w:val="1"/>
          <w:u w:val="single" w:color="auto"/>
          <w:color w:val="auto"/>
        </w:rPr>
        <w:t>Purpose</w:t>
      </w:r>
      <w:r>
        <w:rPr>
          <w:rFonts w:ascii="Arial" w:cs="Arial" w:eastAsia="Arial" w:hAnsi="Arial"/>
          <w:sz w:val="19"/>
          <w:szCs w:val="19"/>
          <w:color w:val="auto"/>
        </w:rPr>
        <w:t>. The purpose of the Winnebago Industries, Inc. Executive Incentive Compensation Plan (the “Plan”) is to promote</w:t>
      </w:r>
      <w:r>
        <w:rPr>
          <w:rFonts w:ascii="Arial" w:cs="Arial" w:eastAsia="Arial" w:hAnsi="Arial"/>
          <w:sz w:val="19"/>
          <w:szCs w:val="19"/>
          <w:b w:val="1"/>
          <w:bCs w:val="1"/>
          <w:color w:val="auto"/>
        </w:rPr>
        <w:t xml:space="preserve"> </w:t>
      </w:r>
      <w:r>
        <w:rPr>
          <w:rFonts w:ascii="Arial" w:cs="Arial" w:eastAsia="Arial" w:hAnsi="Arial"/>
          <w:sz w:val="19"/>
          <w:szCs w:val="19"/>
          <w:color w:val="auto"/>
        </w:rPr>
        <w:t>the growth and profitability of Winnebago Industries, Inc. (the “Company”) by providing members of its executive leadership team, together with certain of its officers and other employees designated in the discretion of the Human Resources Committee (the “Committee”) with an incentive to achieve designated corporate objectives and to attract and retain personnel who will contribute to the achievement of growth and profitability of the Company.</w:t>
      </w:r>
    </w:p>
    <w:p>
      <w:pPr>
        <w:spacing w:after="0" w:line="142" w:lineRule="exact"/>
        <w:rPr>
          <w:rFonts w:ascii="Arial" w:cs="Arial" w:eastAsia="Arial" w:hAnsi="Arial"/>
          <w:sz w:val="19"/>
          <w:szCs w:val="19"/>
          <w:color w:val="auto"/>
        </w:rPr>
      </w:pPr>
    </w:p>
    <w:p>
      <w:pPr>
        <w:ind w:left="372" w:hanging="372"/>
        <w:spacing w:after="0"/>
        <w:tabs>
          <w:tab w:leader="none" w:pos="372" w:val="left"/>
        </w:tabs>
        <w:numPr>
          <w:ilvl w:val="0"/>
          <w:numId w:val="53"/>
        </w:numPr>
        <w:rPr>
          <w:rFonts w:ascii="Arial" w:cs="Arial" w:eastAsia="Arial" w:hAnsi="Arial"/>
          <w:sz w:val="22"/>
          <w:szCs w:val="22"/>
          <w:color w:val="auto"/>
        </w:rPr>
      </w:pPr>
      <w:r>
        <w:rPr>
          <w:rFonts w:ascii="Arial" w:cs="Arial" w:eastAsia="Arial" w:hAnsi="Arial"/>
          <w:sz w:val="22"/>
          <w:szCs w:val="22"/>
          <w:b w:val="1"/>
          <w:bCs w:val="1"/>
          <w:u w:val="single" w:color="auto"/>
          <w:color w:val="auto"/>
        </w:rPr>
        <w:t>Authority; Administration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012" w:hanging="364"/>
        <w:spacing w:after="0"/>
        <w:tabs>
          <w:tab w:leader="none" w:pos="1012" w:val="left"/>
        </w:tabs>
        <w:numPr>
          <w:ilvl w:val="1"/>
          <w:numId w:val="53"/>
        </w:numPr>
        <w:rPr>
          <w:rFonts w:ascii="Arial" w:cs="Arial" w:eastAsia="Arial" w:hAnsi="Arial"/>
          <w:sz w:val="22"/>
          <w:szCs w:val="22"/>
          <w:color w:val="auto"/>
        </w:rPr>
      </w:pPr>
      <w:r>
        <w:rPr>
          <w:rFonts w:ascii="Arial" w:cs="Arial" w:eastAsia="Arial" w:hAnsi="Arial"/>
          <w:sz w:val="22"/>
          <w:szCs w:val="22"/>
          <w:b w:val="1"/>
          <w:bCs w:val="1"/>
          <w:u w:val="single" w:color="auto"/>
          <w:color w:val="auto"/>
        </w:rPr>
        <w:t>Administrator</w:t>
      </w:r>
      <w:r>
        <w:rPr>
          <w:rFonts w:ascii="Arial" w:cs="Arial" w:eastAsia="Arial" w:hAnsi="Arial"/>
          <w:sz w:val="22"/>
          <w:szCs w:val="22"/>
          <w:color w:val="auto"/>
        </w:rPr>
        <w:t>. The Plan shall be administered by the Committee appointed by the Board of Directors.</w:t>
      </w:r>
    </w:p>
    <w:p>
      <w:pPr>
        <w:spacing w:after="0" w:line="219" w:lineRule="exact"/>
        <w:rPr>
          <w:rFonts w:ascii="Arial" w:cs="Arial" w:eastAsia="Arial" w:hAnsi="Arial"/>
          <w:sz w:val="22"/>
          <w:szCs w:val="22"/>
          <w:color w:val="auto"/>
        </w:rPr>
      </w:pPr>
    </w:p>
    <w:p>
      <w:pPr>
        <w:ind w:left="1292" w:hanging="644"/>
        <w:spacing w:after="0" w:line="247" w:lineRule="auto"/>
        <w:tabs>
          <w:tab w:leader="none" w:pos="1022" w:val="left"/>
        </w:tabs>
        <w:numPr>
          <w:ilvl w:val="1"/>
          <w:numId w:val="53"/>
        </w:numPr>
        <w:rPr>
          <w:rFonts w:ascii="Arial" w:cs="Arial" w:eastAsia="Arial" w:hAnsi="Arial"/>
          <w:sz w:val="22"/>
          <w:szCs w:val="22"/>
          <w:color w:val="auto"/>
        </w:rPr>
      </w:pPr>
      <w:r>
        <w:rPr>
          <w:rFonts w:ascii="Arial" w:cs="Arial" w:eastAsia="Arial" w:hAnsi="Arial"/>
          <w:sz w:val="22"/>
          <w:szCs w:val="22"/>
          <w:b w:val="1"/>
          <w:bCs w:val="1"/>
          <w:u w:val="single" w:color="auto"/>
          <w:color w:val="auto"/>
        </w:rPr>
        <w:t>Powers and Duties</w:t>
      </w:r>
      <w:r>
        <w:rPr>
          <w:rFonts w:ascii="Arial" w:cs="Arial" w:eastAsia="Arial" w:hAnsi="Arial"/>
          <w:sz w:val="22"/>
          <w:szCs w:val="22"/>
          <w:color w:val="auto"/>
        </w:rPr>
        <w:t>. The Committee shall have sole discretion and authority to make any and all determinations</w:t>
      </w:r>
      <w:r>
        <w:rPr>
          <w:rFonts w:ascii="Arial" w:cs="Arial" w:eastAsia="Arial" w:hAnsi="Arial"/>
          <w:sz w:val="22"/>
          <w:szCs w:val="22"/>
          <w:b w:val="1"/>
          <w:bCs w:val="1"/>
          <w:color w:val="auto"/>
        </w:rPr>
        <w:t xml:space="preserve"> </w:t>
      </w:r>
      <w:r>
        <w:rPr>
          <w:rFonts w:ascii="Arial" w:cs="Arial" w:eastAsia="Arial" w:hAnsi="Arial"/>
          <w:sz w:val="22"/>
          <w:szCs w:val="22"/>
          <w:color w:val="auto"/>
        </w:rPr>
        <w:t>necessary or advisable for administration of the Plan, including but not limited to (i) making awards, (ii) determining when and to whom awards will be granted, (iii) determining the form, amount and other terms and conditions of each award, (iv) establishing the performance measure(s), performance objective(s) and relationship between the performance objective(s) and any award payments, and (v) determining final payouts under any award. All interpretations, decisions, or determinations made by the Committee pursuant to the Plan shall be final and conclusive.</w:t>
      </w:r>
    </w:p>
    <w:p>
      <w:pPr>
        <w:spacing w:after="0" w:line="189" w:lineRule="exact"/>
        <w:rPr>
          <w:rFonts w:ascii="Arial" w:cs="Arial" w:eastAsia="Arial" w:hAnsi="Arial"/>
          <w:sz w:val="22"/>
          <w:szCs w:val="22"/>
          <w:color w:val="auto"/>
        </w:rPr>
      </w:pPr>
    </w:p>
    <w:p>
      <w:pPr>
        <w:ind w:left="1292" w:right="40" w:hanging="644"/>
        <w:spacing w:after="0" w:line="259" w:lineRule="auto"/>
        <w:tabs>
          <w:tab w:leader="none" w:pos="1010" w:val="left"/>
        </w:tabs>
        <w:numPr>
          <w:ilvl w:val="1"/>
          <w:numId w:val="53"/>
        </w:numPr>
        <w:rPr>
          <w:rFonts w:ascii="Arial" w:cs="Arial" w:eastAsia="Arial" w:hAnsi="Arial"/>
          <w:sz w:val="21"/>
          <w:szCs w:val="21"/>
          <w:color w:val="auto"/>
        </w:rPr>
      </w:pPr>
      <w:r>
        <w:rPr>
          <w:rFonts w:ascii="Arial" w:cs="Arial" w:eastAsia="Arial" w:hAnsi="Arial"/>
          <w:sz w:val="21"/>
          <w:szCs w:val="21"/>
          <w:b w:val="1"/>
          <w:bCs w:val="1"/>
          <w:u w:val="single" w:color="auto"/>
          <w:color w:val="auto"/>
        </w:rPr>
        <w:t>Annual Approval</w:t>
      </w:r>
      <w:r>
        <w:rPr>
          <w:rFonts w:ascii="Arial" w:cs="Arial" w:eastAsia="Arial" w:hAnsi="Arial"/>
          <w:sz w:val="21"/>
          <w:szCs w:val="21"/>
          <w:color w:val="auto"/>
        </w:rPr>
        <w:t>. The Committee must approve the Plan and specific performance measures and performance</w:t>
      </w:r>
      <w:r>
        <w:rPr>
          <w:rFonts w:ascii="Arial" w:cs="Arial" w:eastAsia="Arial" w:hAnsi="Arial"/>
          <w:sz w:val="21"/>
          <w:szCs w:val="21"/>
          <w:b w:val="1"/>
          <w:bCs w:val="1"/>
          <w:color w:val="auto"/>
        </w:rPr>
        <w:t xml:space="preserve"> </w:t>
      </w:r>
      <w:r>
        <w:rPr>
          <w:rFonts w:ascii="Arial" w:cs="Arial" w:eastAsia="Arial" w:hAnsi="Arial"/>
          <w:sz w:val="21"/>
          <w:szCs w:val="21"/>
          <w:color w:val="auto"/>
        </w:rPr>
        <w:t>objectives and targets within the first 90 days of each new fiscal year; provided that the Committee may postpone approving the specific performance measures and performance objectives and targets for any performance period that is less than a full fiscal year in length and does not commence at the beginning of the fiscal year of the Company until a date that is within the first 25% of such performance period. Notwithstanding the foregoing, in all cases the performance measures and performance objectives and targets must be set a time when the achievement of the performance objectives and targets is substantially uncertain. The Committee shall approve one or more notices of the performance measures and performance objectives and targets, as well as the form of payments, setting forth such details and any other terms and conditions applicable to the incentive awards for a Plan year.</w:t>
      </w:r>
    </w:p>
    <w:p>
      <w:pPr>
        <w:spacing w:after="0" w:line="175" w:lineRule="exact"/>
        <w:rPr>
          <w:rFonts w:ascii="Arial" w:cs="Arial" w:eastAsia="Arial" w:hAnsi="Arial"/>
          <w:sz w:val="21"/>
          <w:szCs w:val="21"/>
          <w:color w:val="auto"/>
        </w:rPr>
      </w:pPr>
    </w:p>
    <w:p>
      <w:pPr>
        <w:ind w:left="372" w:hanging="372"/>
        <w:spacing w:after="0"/>
        <w:tabs>
          <w:tab w:leader="none" w:pos="372" w:val="left"/>
        </w:tabs>
        <w:numPr>
          <w:ilvl w:val="0"/>
          <w:numId w:val="53"/>
        </w:numPr>
        <w:rPr>
          <w:rFonts w:ascii="Arial" w:cs="Arial" w:eastAsia="Arial" w:hAnsi="Arial"/>
          <w:sz w:val="22"/>
          <w:szCs w:val="22"/>
          <w:color w:val="auto"/>
        </w:rPr>
      </w:pPr>
      <w:r>
        <w:rPr>
          <w:rFonts w:ascii="Arial" w:cs="Arial" w:eastAsia="Arial" w:hAnsi="Arial"/>
          <w:sz w:val="22"/>
          <w:szCs w:val="22"/>
          <w:b w:val="1"/>
          <w:bCs w:val="1"/>
          <w:u w:val="single" w:color="auto"/>
          <w:color w:val="auto"/>
        </w:rPr>
        <w:t>Participation Eligibility</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ind w:left="1012" w:hanging="364"/>
        <w:spacing w:after="0"/>
        <w:tabs>
          <w:tab w:leader="none" w:pos="1012" w:val="left"/>
        </w:tabs>
        <w:numPr>
          <w:ilvl w:val="1"/>
          <w:numId w:val="53"/>
        </w:numPr>
        <w:rPr>
          <w:rFonts w:ascii="Arial" w:cs="Arial" w:eastAsia="Arial" w:hAnsi="Arial"/>
          <w:sz w:val="19"/>
          <w:szCs w:val="19"/>
          <w:color w:val="auto"/>
        </w:rPr>
      </w:pPr>
      <w:r>
        <w:rPr>
          <w:rFonts w:ascii="Arial" w:cs="Arial" w:eastAsia="Arial" w:hAnsi="Arial"/>
          <w:sz w:val="19"/>
          <w:szCs w:val="19"/>
          <w:color w:val="auto"/>
        </w:rPr>
        <w:t>Each Participant must be (i) a member of the Company’s executive leadership team, (ii) an officer of the Company or</w:t>
      </w:r>
    </w:p>
    <w:p>
      <w:pPr>
        <w:spacing w:after="0" w:line="55" w:lineRule="exact"/>
        <w:rPr>
          <w:rFonts w:ascii="Arial" w:cs="Arial" w:eastAsia="Arial" w:hAnsi="Arial"/>
          <w:sz w:val="19"/>
          <w:szCs w:val="19"/>
          <w:color w:val="auto"/>
        </w:rPr>
      </w:pPr>
    </w:p>
    <w:p>
      <w:pPr>
        <w:ind w:left="1672" w:hanging="376"/>
        <w:spacing w:after="0"/>
        <w:tabs>
          <w:tab w:leader="none" w:pos="1672" w:val="left"/>
        </w:tabs>
        <w:numPr>
          <w:ilvl w:val="2"/>
          <w:numId w:val="53"/>
        </w:numPr>
        <w:rPr>
          <w:rFonts w:ascii="Arial" w:cs="Arial" w:eastAsia="Arial" w:hAnsi="Arial"/>
          <w:sz w:val="22"/>
          <w:szCs w:val="22"/>
          <w:color w:val="auto"/>
        </w:rPr>
      </w:pPr>
      <w:r>
        <w:rPr>
          <w:rFonts w:ascii="Arial" w:cs="Arial" w:eastAsia="Arial" w:hAnsi="Arial"/>
          <w:sz w:val="22"/>
          <w:szCs w:val="22"/>
          <w:color w:val="auto"/>
        </w:rPr>
        <w:t>an employee of the Company</w:t>
      </w:r>
    </w:p>
    <w:p>
      <w:pPr>
        <w:sectPr>
          <w:pgSz w:w="11900" w:h="16838" w:orient="portrait"/>
          <w:cols w:equalWidth="0" w:num="1">
            <w:col w:w="11152"/>
          </w:cols>
          <w:pgMar w:left="328" w:top="1413" w:right="419" w:bottom="1440" w:gutter="0" w:footer="0" w:header="0"/>
        </w:sectPr>
      </w:pPr>
    </w:p>
    <w:bookmarkStart w:id="91" w:name="page92"/>
    <w:bookmarkEnd w:id="91"/>
    <w:p>
      <w:pPr>
        <w:ind w:left="1292" w:right="560"/>
        <w:spacing w:after="0" w:line="263" w:lineRule="auto"/>
        <w:rPr>
          <w:sz w:val="20"/>
          <w:szCs w:val="20"/>
          <w:color w:val="auto"/>
        </w:rPr>
      </w:pPr>
      <w:r>
        <w:rPr>
          <w:rFonts w:ascii="Arial" w:cs="Arial" w:eastAsia="Arial" w:hAnsi="Arial"/>
          <w:sz w:val="22"/>
          <w:szCs w:val="22"/>
          <w:color w:val="auto"/>
        </w:rPr>
        <w:t>designated in the discretion of the Committee with responsibilities that may have a significant impact on the Company’s financial or operational results.</w:t>
      </w:r>
    </w:p>
    <w:p>
      <w:pPr>
        <w:spacing w:after="0" w:line="175" w:lineRule="exact"/>
        <w:rPr>
          <w:sz w:val="20"/>
          <w:szCs w:val="20"/>
          <w:color w:val="auto"/>
        </w:rPr>
      </w:pPr>
    </w:p>
    <w:p>
      <w:pPr>
        <w:ind w:left="1292" w:right="180" w:hanging="644"/>
        <w:spacing w:after="0" w:line="253" w:lineRule="auto"/>
        <w:tabs>
          <w:tab w:leader="none" w:pos="1018"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The Committee will approve all initial participation for each new Plan year. The Plan year shall be the fiscal year of the Company. Each Plan year can have one or more performance periods equal in length to a period of no more than one fiscal year of the Company.</w:t>
      </w:r>
    </w:p>
    <w:p>
      <w:pPr>
        <w:spacing w:after="0" w:line="185" w:lineRule="exact"/>
        <w:rPr>
          <w:rFonts w:ascii="Arial" w:cs="Arial" w:eastAsia="Arial" w:hAnsi="Arial"/>
          <w:sz w:val="22"/>
          <w:szCs w:val="22"/>
          <w:color w:val="auto"/>
        </w:rPr>
      </w:pPr>
    </w:p>
    <w:p>
      <w:pPr>
        <w:ind w:left="1292" w:right="280" w:hanging="644"/>
        <w:spacing w:after="0" w:line="343" w:lineRule="auto"/>
        <w:tabs>
          <w:tab w:leader="none" w:pos="1006" w:val="left"/>
        </w:tabs>
        <w:numPr>
          <w:ilvl w:val="1"/>
          <w:numId w:val="54"/>
        </w:numPr>
        <w:rPr>
          <w:rFonts w:ascii="Arial" w:cs="Arial" w:eastAsia="Arial" w:hAnsi="Arial"/>
          <w:sz w:val="19"/>
          <w:szCs w:val="19"/>
          <w:color w:val="auto"/>
        </w:rPr>
      </w:pPr>
      <w:r>
        <w:rPr>
          <w:rFonts w:ascii="Arial" w:cs="Arial" w:eastAsia="Arial" w:hAnsi="Arial"/>
          <w:sz w:val="19"/>
          <w:szCs w:val="19"/>
          <w:color w:val="auto"/>
        </w:rPr>
        <w:t>The Committee will make the determination on participation for new participants. Unless otherwise determined by the Committee, participants must be employed by the Company as of the time the award is paid.</w:t>
      </w:r>
    </w:p>
    <w:p>
      <w:pPr>
        <w:spacing w:after="0" w:line="98" w:lineRule="exact"/>
        <w:rPr>
          <w:rFonts w:ascii="Arial" w:cs="Arial" w:eastAsia="Arial" w:hAnsi="Arial"/>
          <w:sz w:val="19"/>
          <w:szCs w:val="19"/>
          <w:color w:val="auto"/>
        </w:rPr>
      </w:pPr>
    </w:p>
    <w:p>
      <w:pPr>
        <w:ind w:left="652" w:right="40" w:hanging="652"/>
        <w:spacing w:after="0" w:line="293" w:lineRule="auto"/>
        <w:tabs>
          <w:tab w:leader="none" w:pos="382" w:val="left"/>
        </w:tabs>
        <w:numPr>
          <w:ilvl w:val="0"/>
          <w:numId w:val="55"/>
        </w:numPr>
        <w:rPr>
          <w:rFonts w:ascii="Arial" w:cs="Arial" w:eastAsia="Arial" w:hAnsi="Arial"/>
          <w:sz w:val="19"/>
          <w:szCs w:val="19"/>
          <w:color w:val="auto"/>
        </w:rPr>
      </w:pPr>
      <w:r>
        <w:rPr>
          <w:rFonts w:ascii="Arial" w:cs="Arial" w:eastAsia="Arial" w:hAnsi="Arial"/>
          <w:sz w:val="19"/>
          <w:szCs w:val="19"/>
          <w:b w:val="1"/>
          <w:bCs w:val="1"/>
          <w:u w:val="single" w:color="auto"/>
          <w:color w:val="auto"/>
        </w:rPr>
        <w:t>Nature of the Plan</w:t>
      </w:r>
      <w:r>
        <w:rPr>
          <w:rFonts w:ascii="Arial" w:cs="Arial" w:eastAsia="Arial" w:hAnsi="Arial"/>
          <w:sz w:val="19"/>
          <w:szCs w:val="19"/>
          <w:color w:val="auto"/>
        </w:rPr>
        <w:t>. The incentive award is based upon the level of achievement of one or more performance measures</w:t>
      </w:r>
      <w:r>
        <w:rPr>
          <w:rFonts w:ascii="Arial" w:cs="Arial" w:eastAsia="Arial" w:hAnsi="Arial"/>
          <w:sz w:val="19"/>
          <w:szCs w:val="19"/>
          <w:b w:val="1"/>
          <w:bCs w:val="1"/>
          <w:color w:val="auto"/>
        </w:rPr>
        <w:t xml:space="preserve"> </w:t>
      </w:r>
      <w:r>
        <w:rPr>
          <w:rFonts w:ascii="Arial" w:cs="Arial" w:eastAsia="Arial" w:hAnsi="Arial"/>
          <w:sz w:val="19"/>
          <w:szCs w:val="19"/>
          <w:color w:val="auto"/>
        </w:rPr>
        <w:t>applying business criteria to one or more of the Plan participants, one or more business segments, units or divisions of the Company, or the Company as a whole, whether on an absolute basis, rate basis, or relative to a peer group of companies or other benchmark and may also include a performance measure that evaluates a Plan participant’s individual contributions to the Company, as determined in the discretion of the Committee. The Plan is an annual program that provides for measurements of financial, operational and/or individual performance over one or more performance periods and an opportunity for incentive payments based on such performance results.</w:t>
      </w:r>
    </w:p>
    <w:p>
      <w:pPr>
        <w:spacing w:after="0" w:line="150" w:lineRule="exact"/>
        <w:rPr>
          <w:sz w:val="20"/>
          <w:szCs w:val="20"/>
          <w:color w:val="auto"/>
        </w:rPr>
      </w:pPr>
    </w:p>
    <w:p>
      <w:pPr>
        <w:ind w:left="652"/>
        <w:spacing w:after="0" w:line="294" w:lineRule="auto"/>
        <w:rPr>
          <w:sz w:val="20"/>
          <w:szCs w:val="20"/>
          <w:color w:val="auto"/>
        </w:rPr>
      </w:pPr>
      <w:r>
        <w:rPr>
          <w:rFonts w:ascii="Arial" w:cs="Arial" w:eastAsia="Arial" w:hAnsi="Arial"/>
          <w:sz w:val="19"/>
          <w:szCs w:val="19"/>
          <w:color w:val="auto"/>
        </w:rPr>
        <w:t>The Committee shall establish the performance measures for this Plan and they will be based upon one or more pre-established (i) financial or operational performance measures and/or (ii) individual contribution performance measures for each Plan participant as a part of his or her underlying award. The Committee will (i) establish the performance objectives for each of the performance measures for each Plan participant, which may include a target incentive level, a minimum incentive level threshold below which an incentive will not be paid, and a maximum incentive level and (ii) communicate them to each Plan participant through an individual award schedule.</w:t>
      </w:r>
    </w:p>
    <w:p>
      <w:pPr>
        <w:spacing w:after="0" w:line="149" w:lineRule="exact"/>
        <w:rPr>
          <w:sz w:val="20"/>
          <w:szCs w:val="20"/>
          <w:color w:val="auto"/>
        </w:rPr>
      </w:pPr>
    </w:p>
    <w:p>
      <w:pPr>
        <w:ind w:left="652"/>
        <w:spacing w:after="0"/>
        <w:rPr>
          <w:sz w:val="20"/>
          <w:szCs w:val="20"/>
          <w:color w:val="auto"/>
        </w:rPr>
      </w:pPr>
      <w:r>
        <w:rPr>
          <w:rFonts w:ascii="Arial" w:cs="Arial" w:eastAsia="Arial" w:hAnsi="Arial"/>
          <w:sz w:val="19"/>
          <w:szCs w:val="19"/>
          <w:color w:val="auto"/>
        </w:rPr>
        <w:t>The Committee reserves the right to increase or reduce the total amount of any individual’s awards in its discretion.</w:t>
      </w:r>
    </w:p>
    <w:p>
      <w:pPr>
        <w:spacing w:after="0" w:line="254" w:lineRule="exact"/>
        <w:rPr>
          <w:sz w:val="20"/>
          <w:szCs w:val="20"/>
          <w:color w:val="auto"/>
        </w:rPr>
      </w:pPr>
    </w:p>
    <w:p>
      <w:pPr>
        <w:ind w:left="652" w:right="60"/>
        <w:spacing w:after="0" w:line="290" w:lineRule="auto"/>
        <w:rPr>
          <w:sz w:val="20"/>
          <w:szCs w:val="20"/>
          <w:color w:val="auto"/>
        </w:rPr>
      </w:pPr>
      <w:r>
        <w:rPr>
          <w:rFonts w:ascii="Arial" w:cs="Arial" w:eastAsia="Arial" w:hAnsi="Arial"/>
          <w:sz w:val="19"/>
          <w:szCs w:val="19"/>
          <w:color w:val="auto"/>
        </w:rPr>
        <w:t>The Committee may modify a performance period and/or provide adjustments to or waivers of the achievement of performance measures under specified circumstances such as (i) the occurrence of events that are unusual in nature, infrequently occurring or significant that were not anticipated by the Committee when the performance objectives were established, such as a Change in Control (as defined in Section 6), an equity restructuring, acquisitions, divestitures, restructuring activities, recapitalizations, or asset write-downs or (ii) a change in applicable tax laws or accounting principles. Any such modification, waiver and adjustment will be determined by the Committee in its sole discretion. The Committee may, in its discretion and based on such considerations as it deems appropriate, adjust any amount otherwise determined by the application of the performance objectives to be otherwise payable in connection with an Award. To the</w:t>
      </w:r>
    </w:p>
    <w:p>
      <w:pPr>
        <w:sectPr>
          <w:pgSz w:w="11900" w:h="16838" w:orient="portrait"/>
          <w:cols w:equalWidth="0" w:num="1">
            <w:col w:w="11212"/>
          </w:cols>
          <w:pgMar w:left="328" w:top="1428" w:right="359" w:bottom="1440" w:gutter="0" w:footer="0" w:header="0"/>
        </w:sectPr>
      </w:pPr>
    </w:p>
    <w:bookmarkStart w:id="92" w:name="page93"/>
    <w:bookmarkEnd w:id="92"/>
    <w:p>
      <w:pPr>
        <w:ind w:left="652" w:right="380"/>
        <w:spacing w:after="0" w:line="312" w:lineRule="auto"/>
        <w:rPr>
          <w:sz w:val="20"/>
          <w:szCs w:val="20"/>
          <w:color w:val="auto"/>
        </w:rPr>
      </w:pPr>
      <w:r>
        <w:rPr>
          <w:rFonts w:ascii="Arial" w:cs="Arial" w:eastAsia="Arial" w:hAnsi="Arial"/>
          <w:sz w:val="19"/>
          <w:szCs w:val="19"/>
          <w:color w:val="auto"/>
        </w:rPr>
        <w:t>extent not inconsistent with applicable law or stock exchange rules, the Committee delegates to the CEO all or any portion of its authority under the Plan, including the authority to establish the performance measures and performance objectives and incentive Target for employees other than officers subject to Section 16 of the Exchange Act.</w:t>
      </w:r>
    </w:p>
    <w:p>
      <w:pPr>
        <w:spacing w:after="0" w:line="127" w:lineRule="exact"/>
        <w:rPr>
          <w:sz w:val="20"/>
          <w:szCs w:val="20"/>
          <w:color w:val="auto"/>
        </w:rPr>
      </w:pPr>
    </w:p>
    <w:p>
      <w:pPr>
        <w:ind w:left="652" w:right="160" w:hanging="652"/>
        <w:spacing w:after="0" w:line="252" w:lineRule="auto"/>
        <w:tabs>
          <w:tab w:leader="none" w:pos="382" w:val="left"/>
        </w:tabs>
        <w:numPr>
          <w:ilvl w:val="0"/>
          <w:numId w:val="56"/>
        </w:numPr>
        <w:rPr>
          <w:rFonts w:ascii="Arial" w:cs="Arial" w:eastAsia="Arial" w:hAnsi="Arial"/>
          <w:sz w:val="22"/>
          <w:szCs w:val="22"/>
          <w:color w:val="auto"/>
        </w:rPr>
      </w:pPr>
      <w:r>
        <w:rPr>
          <w:rFonts w:ascii="Arial" w:cs="Arial" w:eastAsia="Arial" w:hAnsi="Arial"/>
          <w:sz w:val="22"/>
          <w:szCs w:val="22"/>
          <w:b w:val="1"/>
          <w:bCs w:val="1"/>
          <w:u w:val="single" w:color="auto"/>
          <w:color w:val="auto"/>
        </w:rPr>
        <w:t>Method of Payment</w:t>
      </w:r>
      <w:r>
        <w:rPr>
          <w:rFonts w:ascii="Arial" w:cs="Arial" w:eastAsia="Arial" w:hAnsi="Arial"/>
          <w:sz w:val="22"/>
          <w:szCs w:val="22"/>
          <w:color w:val="auto"/>
        </w:rPr>
        <w:t>. Individual participant incentive performance objectives, expressed as a percentage of base salary or a</w:t>
      </w:r>
      <w:r>
        <w:rPr>
          <w:rFonts w:ascii="Arial" w:cs="Arial" w:eastAsia="Arial" w:hAnsi="Arial"/>
          <w:sz w:val="22"/>
          <w:szCs w:val="22"/>
          <w:b w:val="1"/>
          <w:bCs w:val="1"/>
          <w:color w:val="auto"/>
        </w:rPr>
        <w:t xml:space="preserve"> </w:t>
      </w:r>
      <w:r>
        <w:rPr>
          <w:rFonts w:ascii="Arial" w:cs="Arial" w:eastAsia="Arial" w:hAnsi="Arial"/>
          <w:sz w:val="22"/>
          <w:szCs w:val="22"/>
          <w:color w:val="auto"/>
        </w:rPr>
        <w:t>flat dollar amount, are approved annually by the Committee. Actual incentive awards can range from 0% to 200% of a Plan participant’s incentive performance target and shall be communicated to Plan participants through an individual award schedule.</w:t>
      </w:r>
    </w:p>
    <w:p>
      <w:pPr>
        <w:spacing w:after="0" w:line="186" w:lineRule="exact"/>
        <w:rPr>
          <w:sz w:val="20"/>
          <w:szCs w:val="20"/>
          <w:color w:val="auto"/>
        </w:rPr>
      </w:pPr>
    </w:p>
    <w:p>
      <w:pPr>
        <w:ind w:left="652" w:right="60"/>
        <w:spacing w:after="0" w:line="290" w:lineRule="auto"/>
        <w:rPr>
          <w:sz w:val="20"/>
          <w:szCs w:val="20"/>
          <w:color w:val="auto"/>
        </w:rPr>
      </w:pPr>
      <w:r>
        <w:rPr>
          <w:rFonts w:ascii="Arial" w:cs="Arial" w:eastAsia="Arial" w:hAnsi="Arial"/>
          <w:sz w:val="19"/>
          <w:szCs w:val="19"/>
          <w:color w:val="auto"/>
        </w:rPr>
        <w:t>The amount of each participant’s incentive compensation for the fiscal year (or applicable performance period, if shorter) shall be in direct proportion to the resulting financial or operational performance of the relevant performance measure expressed as a percentage (Performance Factor) against predetermined compensation performance objectives for that participant. The Company’s or applicable business unit’s results for the fiscal year (or applicable performance period, if shorter) will be used in identifying the Performance Factor to be used when calculating the participant’s incentive compensation relating to financial or operational performance measures. If individual contribution performance measures were established by the Committee, the Committee shall evaluate an individual’s relative level of achievement of such contribution performance measures in determining the effect on the amount of the incentive compensation.</w:t>
      </w:r>
    </w:p>
    <w:p>
      <w:pPr>
        <w:spacing w:after="0" w:line="156" w:lineRule="exact"/>
        <w:rPr>
          <w:sz w:val="20"/>
          <w:szCs w:val="20"/>
          <w:color w:val="auto"/>
        </w:rPr>
      </w:pPr>
    </w:p>
    <w:p>
      <w:pPr>
        <w:ind w:left="652"/>
        <w:spacing w:after="0" w:line="283" w:lineRule="auto"/>
        <w:rPr>
          <w:sz w:val="20"/>
          <w:szCs w:val="20"/>
          <w:color w:val="auto"/>
        </w:rPr>
      </w:pPr>
      <w:r>
        <w:rPr>
          <w:rFonts w:ascii="Arial" w:cs="Arial" w:eastAsia="Arial" w:hAnsi="Arial"/>
          <w:sz w:val="19"/>
          <w:szCs w:val="19"/>
          <w:color w:val="auto"/>
        </w:rPr>
        <w:t>Incentive awards are paid in cash unless the Committee has determined, in its sole discretion, at the time that the performance measures for the fiscal year are established that all or any part of an award shall be settled in the form of shares of the Company’s common stock or other equity award granted pursuant to any then-current equity compensation plan that has been approved by the Company’s shareholders. No Participant shall have any ability to influence the form of any payment (cash, stock, or equity award) under the Plan. The cash, stock or equity award payment, if any, for each performance period during the Plan year shall be paid or awarded as soon as practical after the end of the Plan year following final measurement of financial and/or operational performance for all of the performance period(s) within the fiscal year as well as the Committee’s evaluation of any individual contribution performance measures, if any, and overall incentive amounts have been approved by the Committee in October following fiscal year end, but in no event later than 2</w:t>
      </w:r>
    </w:p>
    <w:p>
      <w:pPr>
        <w:spacing w:after="0" w:line="8" w:lineRule="exact"/>
        <w:rPr>
          <w:sz w:val="20"/>
          <w:szCs w:val="20"/>
          <w:color w:val="auto"/>
        </w:rPr>
      </w:pPr>
    </w:p>
    <w:p>
      <w:pPr>
        <w:ind w:left="652" w:right="100" w:hanging="4"/>
        <w:spacing w:after="0" w:line="246" w:lineRule="auto"/>
        <w:tabs>
          <w:tab w:leader="none" w:pos="868" w:val="left"/>
        </w:tabs>
        <w:numPr>
          <w:ilvl w:val="0"/>
          <w:numId w:val="57"/>
        </w:numPr>
        <w:rPr>
          <w:rFonts w:ascii="Arial" w:cs="Arial" w:eastAsia="Arial" w:hAnsi="Arial"/>
          <w:sz w:val="22"/>
          <w:szCs w:val="22"/>
          <w:color w:val="auto"/>
        </w:rPr>
      </w:pPr>
      <w:r>
        <w:rPr>
          <w:rFonts w:ascii="Arial" w:cs="Arial" w:eastAsia="Arial" w:hAnsi="Arial"/>
          <w:sz w:val="22"/>
          <w:szCs w:val="22"/>
          <w:color w:val="auto"/>
        </w:rPr>
        <w:t>months after the end of the fiscal year (subject to any deferred compensation election pursuant to any such plans of the Company).</w:t>
      </w:r>
    </w:p>
    <w:p>
      <w:pPr>
        <w:spacing w:after="0" w:line="192" w:lineRule="exact"/>
        <w:rPr>
          <w:sz w:val="20"/>
          <w:szCs w:val="20"/>
          <w:color w:val="auto"/>
        </w:rPr>
      </w:pPr>
    </w:p>
    <w:p>
      <w:pPr>
        <w:ind w:left="652" w:right="80"/>
        <w:spacing w:after="0" w:line="263" w:lineRule="auto"/>
        <w:rPr>
          <w:sz w:val="20"/>
          <w:szCs w:val="20"/>
          <w:color w:val="auto"/>
        </w:rPr>
      </w:pPr>
      <w:r>
        <w:rPr>
          <w:rFonts w:ascii="Arial" w:cs="Arial" w:eastAsia="Arial" w:hAnsi="Arial"/>
          <w:sz w:val="22"/>
          <w:szCs w:val="22"/>
          <w:color w:val="auto"/>
        </w:rPr>
        <w:t>Any payment made under this Plan shall be subject to any employment and income tax withholding and other deductions as required by law.</w:t>
      </w:r>
    </w:p>
    <w:p>
      <w:pPr>
        <w:spacing w:after="0" w:line="169" w:lineRule="exact"/>
        <w:rPr>
          <w:sz w:val="20"/>
          <w:szCs w:val="20"/>
          <w:color w:val="auto"/>
        </w:rPr>
      </w:pPr>
    </w:p>
    <w:p>
      <w:pPr>
        <w:ind w:left="652" w:right="200" w:hanging="652"/>
        <w:spacing w:after="0" w:line="269" w:lineRule="auto"/>
        <w:tabs>
          <w:tab w:leader="none" w:pos="382" w:val="left"/>
        </w:tabs>
        <w:numPr>
          <w:ilvl w:val="0"/>
          <w:numId w:val="58"/>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w:t>
      </w:r>
      <w:r>
        <w:rPr>
          <w:rFonts w:ascii="Arial" w:cs="Arial" w:eastAsia="Arial" w:hAnsi="Arial"/>
          <w:sz w:val="22"/>
          <w:szCs w:val="22"/>
          <w:color w:val="auto"/>
        </w:rPr>
        <w:t>. In the event of a Corporate Transaction (as defined below), then the surviving or successor entity may</w:t>
      </w:r>
      <w:r>
        <w:rPr>
          <w:rFonts w:ascii="Arial" w:cs="Arial" w:eastAsia="Arial" w:hAnsi="Arial"/>
          <w:sz w:val="22"/>
          <w:szCs w:val="22"/>
          <w:b w:val="1"/>
          <w:bCs w:val="1"/>
          <w:color w:val="auto"/>
        </w:rPr>
        <w:t xml:space="preserve"> </w:t>
      </w:r>
      <w:r>
        <w:rPr>
          <w:rFonts w:ascii="Arial" w:cs="Arial" w:eastAsia="Arial" w:hAnsi="Arial"/>
          <w:sz w:val="22"/>
          <w:szCs w:val="22"/>
          <w:color w:val="auto"/>
        </w:rPr>
        <w:t>continue, assume or replace awards outstanding under</w:t>
      </w:r>
    </w:p>
    <w:p>
      <w:pPr>
        <w:sectPr>
          <w:pgSz w:w="11900" w:h="16838" w:orient="portrait"/>
          <w:cols w:equalWidth="0" w:num="1">
            <w:col w:w="11212"/>
          </w:cols>
          <w:pgMar w:left="328" w:top="1428" w:right="359" w:bottom="1440" w:gutter="0" w:footer="0" w:header="0"/>
        </w:sectPr>
      </w:pPr>
    </w:p>
    <w:bookmarkStart w:id="93" w:name="page94"/>
    <w:bookmarkEnd w:id="93"/>
    <w:p>
      <w:pPr>
        <w:ind w:right="240"/>
        <w:spacing w:after="0" w:line="263" w:lineRule="auto"/>
        <w:rPr>
          <w:sz w:val="20"/>
          <w:szCs w:val="20"/>
          <w:color w:val="auto"/>
        </w:rPr>
      </w:pPr>
      <w:r>
        <w:rPr>
          <w:rFonts w:ascii="Arial" w:cs="Arial" w:eastAsia="Arial" w:hAnsi="Arial"/>
          <w:sz w:val="22"/>
          <w:szCs w:val="22"/>
          <w:color w:val="auto"/>
        </w:rPr>
        <w:t>the Plan as of the date of the Corporate Transaction, and such awards or replacements therefor shall remain outstanding and be governed by their respective terms.</w:t>
      </w:r>
    </w:p>
    <w:p>
      <w:pPr>
        <w:spacing w:after="0" w:line="175" w:lineRule="exact"/>
        <w:rPr>
          <w:sz w:val="20"/>
          <w:szCs w:val="20"/>
          <w:color w:val="auto"/>
        </w:rPr>
      </w:pPr>
    </w:p>
    <w:p>
      <w:pPr>
        <w:ind w:right="200"/>
        <w:spacing w:after="0" w:line="247" w:lineRule="auto"/>
        <w:rPr>
          <w:sz w:val="20"/>
          <w:szCs w:val="20"/>
          <w:color w:val="auto"/>
        </w:rPr>
      </w:pPr>
      <w:r>
        <w:rPr>
          <w:rFonts w:ascii="Arial" w:cs="Arial" w:eastAsia="Arial" w:hAnsi="Arial"/>
          <w:sz w:val="22"/>
          <w:szCs w:val="22"/>
          <w:color w:val="auto"/>
        </w:rPr>
        <w:t>If and to the extent that outstanding awards under the Plan are not continued, assumed or replaced in connection with a Corporate Transaction, then the awards under the Plan shall fully vest immediately prior to the effective time of the Corporate Transaction, meaning that each performance measure is deemed to have been satisfied at the greater of target level of performance or actual level of performance (if determinable) and the vested portion of the award at that level of performance is proportionate to the portion of the performance period that has elapsed as of the effective time of the Corporate Transaction.</w:t>
      </w:r>
    </w:p>
    <w:p>
      <w:pPr>
        <w:spacing w:after="0" w:line="193" w:lineRule="exact"/>
        <w:rPr>
          <w:sz w:val="20"/>
          <w:szCs w:val="20"/>
          <w:color w:val="auto"/>
        </w:rPr>
      </w:pPr>
    </w:p>
    <w:p>
      <w:pPr>
        <w:ind w:right="80"/>
        <w:spacing w:after="0" w:line="261" w:lineRule="auto"/>
        <w:rPr>
          <w:sz w:val="20"/>
          <w:szCs w:val="20"/>
          <w:color w:val="auto"/>
        </w:rPr>
      </w:pPr>
      <w:r>
        <w:rPr>
          <w:rFonts w:ascii="Arial" w:cs="Arial" w:eastAsia="Arial" w:hAnsi="Arial"/>
          <w:sz w:val="21"/>
          <w:szCs w:val="21"/>
          <w:color w:val="auto"/>
        </w:rPr>
        <w:t>If and to the extent that awards under this Plan are continued, assumed or replaced, and participant experiences an involuntary termination of employment to the Company after the Change in Control but prior to the award’s payment, for reasons other than Cause, or, if applicable, terminates his or her employment for Good Reason (as defined in any then-effective written agreement between the participant and the Company, if any), then the awards under this Plan shall immediately vest in full, meaning that each performance measure is deemed to have been satisfied at the greater of target level of performance or actual level of performance (if determinable).</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Cause</w:t>
      </w:r>
      <w:r>
        <w:rPr>
          <w:rFonts w:ascii="Arial" w:cs="Arial" w:eastAsia="Arial" w:hAnsi="Arial"/>
          <w:sz w:val="21"/>
          <w:szCs w:val="21"/>
          <w:color w:val="auto"/>
        </w:rPr>
        <w:t>” means , unless otherwise defined in a then-effective written agreement between a participant and the Company or any affiliate, a participant’s (i) material failure to perform satisfactorily the duties reasonably required of the participant by the Company (other than by reason of Disability); (ii) material violation of any law, rule, regulation, court order or regulatory directive (other than traffic violations, misdemeanors or other minor offenses); (iii) material breach of the Company's business conduct or ethics code or of any fiduciary duty or nondisclosure, non-solicitation, non-competition or similar obligation owed to the Company or any affiliate; (iv) engaging in any act or practice that involves personal dishonesty on the part of the participant or demonstrates a willful and continuing disregard for the best interests of the Company and its affiliates; or (v) engaging in dishonorable or disruptive behavior, practices or acts which would be reasonably expected to harm or bring disrepute to the Company or any of its affiliates, their business or any of their customers, employees or vendors.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in Control</w:t>
      </w:r>
      <w:r>
        <w:rPr>
          <w:rFonts w:ascii="Arial" w:cs="Arial" w:eastAsia="Arial" w:hAnsi="Arial"/>
          <w:sz w:val="22"/>
          <w:szCs w:val="22"/>
          <w:color w:val="auto"/>
        </w:rPr>
        <w:t>” means one of the following:</w:t>
      </w:r>
    </w:p>
    <w:p>
      <w:pPr>
        <w:spacing w:after="0" w:line="226" w:lineRule="exact"/>
        <w:rPr>
          <w:sz w:val="20"/>
          <w:szCs w:val="20"/>
          <w:color w:val="auto"/>
        </w:rPr>
      </w:pPr>
    </w:p>
    <w:p>
      <w:pPr>
        <w:ind w:left="640" w:right="20" w:firstLine="1300"/>
        <w:spacing w:after="0" w:line="260" w:lineRule="auto"/>
        <w:tabs>
          <w:tab w:leader="none" w:pos="2392" w:val="left"/>
        </w:tabs>
        <w:numPr>
          <w:ilvl w:val="0"/>
          <w:numId w:val="59"/>
        </w:numPr>
        <w:rPr>
          <w:rFonts w:ascii="Arial" w:cs="Arial" w:eastAsia="Arial" w:hAnsi="Arial"/>
          <w:sz w:val="21"/>
          <w:szCs w:val="21"/>
          <w:color w:val="auto"/>
        </w:rPr>
      </w:pPr>
      <w:r>
        <w:rPr>
          <w:rFonts w:ascii="Arial" w:cs="Arial" w:eastAsia="Arial" w:hAnsi="Arial"/>
          <w:sz w:val="21"/>
          <w:szCs w:val="21"/>
          <w:color w:val="auto"/>
        </w:rPr>
        <w:t>An Exchange Act Person becomes the beneficial owner (within the meaning of Rule 13d-3 under the Exchange Act) of securities of the Company representing 30% or more of the combined voting power of the Company’s then outstanding Voting Securities, except that the following will not constitute a Change in Control: (A) any acquisition of securities of the Company by an Exchange Act Person from the Company for the purpose of providing financing to the Company; (B) any formation of a Group consisting solely of beneficial owners of the Company's voting securities as of the effective date of this Plan; or (C) any repurchase or other acquisition by the Company of its Voting</w:t>
      </w:r>
    </w:p>
    <w:p>
      <w:pPr>
        <w:sectPr>
          <w:pgSz w:w="11900" w:h="16838" w:orient="portrait"/>
          <w:cols w:equalWidth="0" w:num="1">
            <w:col w:w="10560"/>
          </w:cols>
          <w:pgMar w:left="980" w:top="1428" w:right="359" w:bottom="1440" w:gutter="0" w:footer="0" w:header="0"/>
        </w:sectPr>
      </w:pPr>
    </w:p>
    <w:bookmarkStart w:id="94" w:name="page95"/>
    <w:bookmarkEnd w:id="94"/>
    <w:p>
      <w:pPr>
        <w:ind w:left="644" w:right="40"/>
        <w:spacing w:after="0" w:line="263" w:lineRule="auto"/>
        <w:rPr>
          <w:sz w:val="20"/>
          <w:szCs w:val="20"/>
          <w:color w:val="auto"/>
        </w:rPr>
      </w:pPr>
      <w:r>
        <w:rPr>
          <w:rFonts w:ascii="Arial" w:cs="Arial" w:eastAsia="Arial" w:hAnsi="Arial"/>
          <w:sz w:val="22"/>
          <w:szCs w:val="22"/>
          <w:color w:val="auto"/>
        </w:rPr>
        <w:t>Securities that causes any Exchange Act Person to become the beneficial owner of 30% or more of the Company’s voting securities.</w:t>
      </w:r>
    </w:p>
    <w:p>
      <w:pPr>
        <w:spacing w:after="0" w:line="175" w:lineRule="exact"/>
        <w:rPr>
          <w:sz w:val="20"/>
          <w:szCs w:val="20"/>
          <w:color w:val="auto"/>
        </w:rPr>
      </w:pPr>
    </w:p>
    <w:p>
      <w:pPr>
        <w:ind w:left="644" w:right="80"/>
        <w:spacing w:after="0" w:line="250" w:lineRule="auto"/>
        <w:rPr>
          <w:sz w:val="20"/>
          <w:szCs w:val="20"/>
          <w:color w:val="auto"/>
        </w:rPr>
      </w:pPr>
      <w:r>
        <w:rPr>
          <w:rFonts w:ascii="Arial" w:cs="Arial" w:eastAsia="Arial" w:hAnsi="Arial"/>
          <w:sz w:val="22"/>
          <w:szCs w:val="22"/>
          <w:color w:val="auto"/>
        </w:rPr>
        <w:t>If, however, an Exchange Act Person or Group referenced in clause (A), (B) or (C) above acquires beneficial ownership of additional Company Voting Securities after initially becoming the beneficial owner of 30% or more of the combined voting power of the Company’s Voting Securities by one of the means described in those clauses, then a Change in Control will be deemed to have occurred.</w:t>
      </w:r>
    </w:p>
    <w:p>
      <w:pPr>
        <w:spacing w:after="0" w:line="188" w:lineRule="exact"/>
        <w:rPr>
          <w:sz w:val="20"/>
          <w:szCs w:val="20"/>
          <w:color w:val="auto"/>
        </w:rPr>
      </w:pPr>
    </w:p>
    <w:p>
      <w:pPr>
        <w:ind w:left="644" w:firstLine="16"/>
        <w:spacing w:after="0" w:line="263" w:lineRule="auto"/>
        <w:tabs>
          <w:tab w:leader="none" w:pos="1132" w:val="left"/>
        </w:tabs>
        <w:numPr>
          <w:ilvl w:val="1"/>
          <w:numId w:val="60"/>
        </w:numPr>
        <w:rPr>
          <w:rFonts w:ascii="Arial" w:cs="Arial" w:eastAsia="Arial" w:hAnsi="Arial"/>
          <w:sz w:val="22"/>
          <w:szCs w:val="22"/>
          <w:color w:val="auto"/>
        </w:rPr>
      </w:pPr>
      <w:r>
        <w:rPr>
          <w:rFonts w:ascii="Arial" w:cs="Arial" w:eastAsia="Arial" w:hAnsi="Arial"/>
          <w:sz w:val="22"/>
          <w:szCs w:val="22"/>
          <w:color w:val="auto"/>
        </w:rPr>
        <w:t>Individuals who are Continuing Directors cease for any reason to constitute a majority of the members of the Board of Directors.</w:t>
      </w:r>
    </w:p>
    <w:p>
      <w:pPr>
        <w:spacing w:after="0" w:line="66" w:lineRule="exact"/>
        <w:rPr>
          <w:rFonts w:ascii="Arial" w:cs="Arial" w:eastAsia="Arial" w:hAnsi="Arial"/>
          <w:sz w:val="22"/>
          <w:szCs w:val="22"/>
          <w:color w:val="auto"/>
        </w:rPr>
      </w:pPr>
    </w:p>
    <w:p>
      <w:pPr>
        <w:jc w:val="both"/>
        <w:ind w:left="644" w:firstLine="4"/>
        <w:spacing w:after="0" w:line="246" w:lineRule="auto"/>
        <w:tabs>
          <w:tab w:leader="none" w:pos="1140" w:val="left"/>
        </w:tabs>
        <w:numPr>
          <w:ilvl w:val="0"/>
          <w:numId w:val="61"/>
        </w:numPr>
        <w:rPr>
          <w:rFonts w:ascii="Arial" w:cs="Arial" w:eastAsia="Arial" w:hAnsi="Arial"/>
          <w:sz w:val="22"/>
          <w:szCs w:val="22"/>
          <w:color w:val="auto"/>
        </w:rPr>
      </w:pPr>
      <w:r>
        <w:rPr>
          <w:rFonts w:ascii="Arial" w:cs="Arial" w:eastAsia="Arial" w:hAnsi="Arial"/>
          <w:sz w:val="22"/>
          <w:szCs w:val="22"/>
          <w:color w:val="auto"/>
        </w:rPr>
        <w:t>A Corporate Transaction is consummated, unless, immediately following such Corporate Transaction, all or substantially all of the individuals and entities who were the beneficial owners of the Company’s Voting Securities immediately prior to such Corporate Transaction beneficially own, directly or indirectly, more than 50% of the combined voting power of the then outstanding Voting Securities of the surviving or acquiring entity resulting from such Corporate Transaction (including beneficial ownership through any parent of such entity) in substantially the same proportions as their ownership, immediately prior to such Corporate Transaction, of the Company's Voting Securities.</w:t>
      </w:r>
    </w:p>
    <w:p>
      <w:pPr>
        <w:spacing w:after="0" w:line="190"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Continuing Director</w:t>
      </w:r>
      <w:r>
        <w:rPr>
          <w:rFonts w:ascii="Arial" w:cs="Arial" w:eastAsia="Arial" w:hAnsi="Arial"/>
          <w:sz w:val="19"/>
          <w:szCs w:val="19"/>
          <w:color w:val="auto"/>
        </w:rPr>
        <w:t>” means an individual (i) who is, as of the effective date of the Plan, a director of the Company, or</w:t>
      </w:r>
    </w:p>
    <w:p>
      <w:pPr>
        <w:spacing w:after="0" w:line="62" w:lineRule="exact"/>
        <w:rPr>
          <w:sz w:val="20"/>
          <w:szCs w:val="20"/>
          <w:color w:val="auto"/>
        </w:rPr>
      </w:pPr>
    </w:p>
    <w:p>
      <w:pPr>
        <w:jc w:val="both"/>
        <w:ind w:left="4" w:hanging="4"/>
        <w:spacing w:after="0" w:line="292" w:lineRule="auto"/>
        <w:tabs>
          <w:tab w:leader="none" w:pos="336" w:val="left"/>
        </w:tabs>
        <w:numPr>
          <w:ilvl w:val="0"/>
          <w:numId w:val="62"/>
        </w:numPr>
        <w:rPr>
          <w:rFonts w:ascii="Arial" w:cs="Arial" w:eastAsia="Arial" w:hAnsi="Arial"/>
          <w:sz w:val="19"/>
          <w:szCs w:val="19"/>
          <w:color w:val="auto"/>
        </w:rPr>
      </w:pPr>
      <w:r>
        <w:rPr>
          <w:rFonts w:ascii="Arial" w:cs="Arial" w:eastAsia="Arial" w:hAnsi="Arial"/>
          <w:sz w:val="19"/>
          <w:szCs w:val="19"/>
          <w:color w:val="auto"/>
        </w:rPr>
        <w:t>who becomes a director of the Company after the effective date hereof and whose initial election, or nomination for election by the Company’s stockholders, was approved by at least a majority of the then Continuing Directors but excluding, for purposes of this clause (ii), an individual whose initial assumption of office occurs as the result of an actual or threatened proxy contest involving the solicitation of proxies or consents by a person or Group other than the Board, or by reason of an agreement intended to avoid or settle an actual or threatened proxy contest.</w:t>
      </w:r>
    </w:p>
    <w:p>
      <w:pPr>
        <w:spacing w:after="0" w:line="145"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Corporate Transaction</w:t>
      </w:r>
      <w:r>
        <w:rPr>
          <w:rFonts w:ascii="Arial" w:cs="Arial" w:eastAsia="Arial" w:hAnsi="Arial"/>
          <w:sz w:val="19"/>
          <w:szCs w:val="19"/>
          <w:color w:val="auto"/>
        </w:rPr>
        <w:t>” means (i) a sale or other disposition of all or substantially all of the assets of the Company, or</w:t>
      </w:r>
    </w:p>
    <w:p>
      <w:pPr>
        <w:spacing w:after="0" w:line="62" w:lineRule="exact"/>
        <w:rPr>
          <w:sz w:val="20"/>
          <w:szCs w:val="20"/>
          <w:color w:val="auto"/>
        </w:rPr>
      </w:pPr>
    </w:p>
    <w:p>
      <w:pPr>
        <w:ind w:left="4" w:right="560" w:hanging="4"/>
        <w:spacing w:after="0" w:line="246" w:lineRule="auto"/>
        <w:tabs>
          <w:tab w:leader="none" w:pos="322" w:val="left"/>
        </w:tabs>
        <w:numPr>
          <w:ilvl w:val="0"/>
          <w:numId w:val="63"/>
        </w:numPr>
        <w:rPr>
          <w:rFonts w:ascii="Arial" w:cs="Arial" w:eastAsia="Arial" w:hAnsi="Arial"/>
          <w:sz w:val="22"/>
          <w:szCs w:val="22"/>
          <w:color w:val="auto"/>
        </w:rPr>
      </w:pPr>
      <w:r>
        <w:rPr>
          <w:rFonts w:ascii="Arial" w:cs="Arial" w:eastAsia="Arial" w:hAnsi="Arial"/>
          <w:sz w:val="22"/>
          <w:szCs w:val="22"/>
          <w:color w:val="auto"/>
        </w:rPr>
        <w:t>a merger, consolidation, share exchange or similar transaction involving the Company, regardless of whether the Company is the surviving entity.</w:t>
      </w:r>
    </w:p>
    <w:p>
      <w:pPr>
        <w:spacing w:after="0" w:line="186" w:lineRule="exact"/>
        <w:rPr>
          <w:sz w:val="20"/>
          <w:szCs w:val="20"/>
          <w:color w:val="auto"/>
        </w:rPr>
      </w:pPr>
    </w:p>
    <w:p>
      <w:pPr>
        <w:ind w:left="4" w:right="100" w:firstLine="13"/>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Exchange Act Person</w:t>
      </w:r>
      <w:r>
        <w:rPr>
          <w:rFonts w:ascii="Arial" w:cs="Arial" w:eastAsia="Arial" w:hAnsi="Arial"/>
          <w:sz w:val="19"/>
          <w:szCs w:val="19"/>
          <w:color w:val="auto"/>
        </w:rPr>
        <w:t>” means any natural person, entity or Group other than (i) the Company or any affiliate; (ii) any employee benefit plan (or related trust) sponsored or maintained by the Company or any affiliate; (iii) an underwriter temporarily holding securities in connection with a registered public offering of such securities; or (iv) an entity whose Voting Securities are beneficially owned by the beneficial owners of the Company’s Voting Securities in substantially the same proportions as their beneficial ownership of the Company’s Voting Securities.</w:t>
      </w:r>
    </w:p>
    <w:p>
      <w:pPr>
        <w:sectPr>
          <w:pgSz w:w="11900" w:h="16838" w:orient="portrait"/>
          <w:cols w:equalWidth="0" w:num="1">
            <w:col w:w="10584"/>
          </w:cols>
          <w:pgMar w:left="976" w:top="1428" w:right="339" w:bottom="1440" w:gutter="0" w:footer="0" w:header="0"/>
        </w:sectPr>
      </w:pPr>
    </w:p>
    <w:bookmarkStart w:id="95" w:name="page96"/>
    <w:bookmarkEnd w:id="95"/>
    <w:p>
      <w:pPr>
        <w:ind w:left="652" w:right="160" w:firstLine="13"/>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Group</w:t>
      </w:r>
      <w:r>
        <w:rPr>
          <w:rFonts w:ascii="Arial" w:cs="Arial" w:eastAsia="Arial" w:hAnsi="Arial"/>
          <w:sz w:val="21"/>
          <w:szCs w:val="21"/>
          <w:color w:val="auto"/>
        </w:rPr>
        <w:t>” means two or more persons who act, or agree to act together, as a partnership, limited partnership, syndicate or other group for the purpose of acquiring, holding, voting or disposing of securities of the Company.</w:t>
      </w:r>
    </w:p>
    <w:p>
      <w:pPr>
        <w:spacing w:after="0" w:line="139" w:lineRule="exact"/>
        <w:rPr>
          <w:sz w:val="20"/>
          <w:szCs w:val="20"/>
          <w:color w:val="auto"/>
        </w:rPr>
      </w:pPr>
    </w:p>
    <w:p>
      <w:pPr>
        <w:ind w:left="652"/>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Voting Securities</w:t>
      </w:r>
      <w:r>
        <w:rPr>
          <w:rFonts w:ascii="Arial" w:cs="Arial" w:eastAsia="Arial" w:hAnsi="Arial"/>
          <w:sz w:val="22"/>
          <w:szCs w:val="22"/>
          <w:color w:val="auto"/>
        </w:rPr>
        <w:t>” of an entity means the outstanding equity securities (or comparable equity interests) entitled to vote generally in the election of directors of such entity.</w:t>
      </w:r>
    </w:p>
    <w:p>
      <w:pPr>
        <w:spacing w:after="0" w:line="162" w:lineRule="exact"/>
        <w:rPr>
          <w:sz w:val="20"/>
          <w:szCs w:val="20"/>
          <w:color w:val="auto"/>
        </w:rPr>
      </w:pPr>
    </w:p>
    <w:p>
      <w:pPr>
        <w:ind w:left="652" w:right="60" w:hanging="652"/>
        <w:spacing w:after="0" w:line="291" w:lineRule="auto"/>
        <w:tabs>
          <w:tab w:leader="none" w:pos="382" w:val="left"/>
        </w:tabs>
        <w:numPr>
          <w:ilvl w:val="0"/>
          <w:numId w:val="64"/>
        </w:numPr>
        <w:rPr>
          <w:rFonts w:ascii="Arial" w:cs="Arial" w:eastAsia="Arial" w:hAnsi="Arial"/>
          <w:sz w:val="19"/>
          <w:szCs w:val="19"/>
          <w:color w:val="auto"/>
        </w:rPr>
      </w:pPr>
      <w:r>
        <w:rPr>
          <w:rFonts w:ascii="Arial" w:cs="Arial" w:eastAsia="Arial" w:hAnsi="Arial"/>
          <w:sz w:val="19"/>
          <w:szCs w:val="19"/>
          <w:b w:val="1"/>
          <w:bCs w:val="1"/>
          <w:u w:val="single" w:color="auto"/>
          <w:color w:val="auto"/>
        </w:rPr>
        <w:t>Recoupment of Incentive Compensation</w:t>
      </w:r>
      <w:r>
        <w:rPr>
          <w:rFonts w:ascii="Arial" w:cs="Arial" w:eastAsia="Arial" w:hAnsi="Arial"/>
          <w:sz w:val="19"/>
          <w:szCs w:val="19"/>
          <w:color w:val="auto"/>
        </w:rPr>
        <w:t>. Notwithstanding anything herein to the contrary, payments under the Plan shall</w:t>
      </w:r>
      <w:r>
        <w:rPr>
          <w:rFonts w:ascii="Arial" w:cs="Arial" w:eastAsia="Arial" w:hAnsi="Arial"/>
          <w:sz w:val="19"/>
          <w:szCs w:val="19"/>
          <w:b w:val="1"/>
          <w:bCs w:val="1"/>
          <w:color w:val="auto"/>
        </w:rPr>
        <w:t xml:space="preserve"> </w:t>
      </w:r>
      <w:r>
        <w:rPr>
          <w:rFonts w:ascii="Arial" w:cs="Arial" w:eastAsia="Arial" w:hAnsi="Arial"/>
          <w:sz w:val="19"/>
          <w:szCs w:val="19"/>
          <w:color w:val="auto"/>
        </w:rPr>
        <w:t>be subject to forfeiture and recoupment to the extent required under federal law or other action in accordance with the Company’s Executive Officer Incentive Compensation Recovery Policy, as may be amended or amended and restated from time to time, and any other compensation recovery policy adopted by the Board or the Committee at any time, including in response to the requirements of Section 10D of the Exchange Act and any implementing rules and regulations thereunder adopted by the Securities and Exchange Commission or any national securities exchange on which the Company’s shares of common stock are then listed, or as otherwise required by law. This Plan may be unilaterally amended by the Committee to comply with any such compensation recovery policy.</w:t>
      </w:r>
    </w:p>
    <w:p>
      <w:pPr>
        <w:spacing w:after="0" w:line="148" w:lineRule="exact"/>
        <w:rPr>
          <w:rFonts w:ascii="Arial" w:cs="Arial" w:eastAsia="Arial" w:hAnsi="Arial"/>
          <w:sz w:val="19"/>
          <w:szCs w:val="19"/>
          <w:color w:val="auto"/>
        </w:rPr>
      </w:pPr>
    </w:p>
    <w:p>
      <w:pPr>
        <w:ind w:left="652" w:right="800" w:hanging="652"/>
        <w:spacing w:after="0" w:line="269" w:lineRule="auto"/>
        <w:tabs>
          <w:tab w:leader="none" w:pos="382" w:val="left"/>
        </w:tabs>
        <w:numPr>
          <w:ilvl w:val="0"/>
          <w:numId w:val="64"/>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Except to the extent preempted by federal law, the consideration and operation of the Plan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governed by the laws of the State of Iowa.</w:t>
      </w:r>
    </w:p>
    <w:p>
      <w:pPr>
        <w:spacing w:after="0" w:line="161" w:lineRule="exact"/>
        <w:rPr>
          <w:rFonts w:ascii="Arial" w:cs="Arial" w:eastAsia="Arial" w:hAnsi="Arial"/>
          <w:sz w:val="22"/>
          <w:szCs w:val="22"/>
          <w:color w:val="auto"/>
        </w:rPr>
      </w:pPr>
    </w:p>
    <w:p>
      <w:pPr>
        <w:ind w:left="652" w:right="100" w:hanging="652"/>
        <w:spacing w:after="0" w:line="349" w:lineRule="auto"/>
        <w:tabs>
          <w:tab w:leader="none" w:pos="382" w:val="left"/>
        </w:tabs>
        <w:numPr>
          <w:ilvl w:val="0"/>
          <w:numId w:val="64"/>
        </w:numPr>
        <w:rPr>
          <w:rFonts w:ascii="Arial" w:cs="Arial" w:eastAsia="Arial" w:hAnsi="Arial"/>
          <w:sz w:val="19"/>
          <w:szCs w:val="19"/>
          <w:color w:val="auto"/>
        </w:rPr>
      </w:pPr>
      <w:r>
        <w:rPr>
          <w:rFonts w:ascii="Arial" w:cs="Arial" w:eastAsia="Arial" w:hAnsi="Arial"/>
          <w:sz w:val="19"/>
          <w:szCs w:val="19"/>
          <w:b w:val="1"/>
          <w:bCs w:val="1"/>
          <w:u w:val="single" w:color="auto"/>
          <w:color w:val="auto"/>
        </w:rPr>
        <w:t>Employment Rights</w:t>
      </w:r>
      <w:r>
        <w:rPr>
          <w:rFonts w:ascii="Arial" w:cs="Arial" w:eastAsia="Arial" w:hAnsi="Arial"/>
          <w:sz w:val="19"/>
          <w:szCs w:val="19"/>
          <w:color w:val="auto"/>
        </w:rPr>
        <w:t>. Nothing in this Plan shall confer upon any employee the right to continue in the employ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or affect the right of the Company to terminate an employee’s employment at any time, with or without Cause.</w:t>
      </w:r>
    </w:p>
    <w:p>
      <w:pPr>
        <w:spacing w:after="0" w:line="93" w:lineRule="exact"/>
        <w:rPr>
          <w:rFonts w:ascii="Arial" w:cs="Arial" w:eastAsia="Arial" w:hAnsi="Arial"/>
          <w:sz w:val="19"/>
          <w:szCs w:val="19"/>
          <w:color w:val="auto"/>
        </w:rPr>
      </w:pPr>
    </w:p>
    <w:p>
      <w:pPr>
        <w:ind w:left="652" w:right="220" w:hanging="652"/>
        <w:spacing w:after="0" w:line="256" w:lineRule="auto"/>
        <w:tabs>
          <w:tab w:leader="none" w:pos="490" w:val="left"/>
        </w:tabs>
        <w:numPr>
          <w:ilvl w:val="0"/>
          <w:numId w:val="64"/>
        </w:numPr>
        <w:rPr>
          <w:rFonts w:ascii="Arial" w:cs="Arial" w:eastAsia="Arial" w:hAnsi="Arial"/>
          <w:sz w:val="22"/>
          <w:szCs w:val="22"/>
          <w:color w:val="auto"/>
        </w:rPr>
      </w:pPr>
      <w:r>
        <w:rPr>
          <w:rFonts w:ascii="Arial" w:cs="Arial" w:eastAsia="Arial" w:hAnsi="Arial"/>
          <w:sz w:val="22"/>
          <w:szCs w:val="22"/>
          <w:b w:val="1"/>
          <w:bCs w:val="1"/>
          <w:u w:val="single" w:color="auto"/>
          <w:color w:val="auto"/>
        </w:rPr>
        <w:t>Nontransferability</w:t>
      </w:r>
      <w:r>
        <w:rPr>
          <w:rFonts w:ascii="Arial" w:cs="Arial" w:eastAsia="Arial" w:hAnsi="Arial"/>
          <w:sz w:val="22"/>
          <w:szCs w:val="22"/>
          <w:color w:val="auto"/>
        </w:rPr>
        <w:t>. Participants and beneficiaries shall not have the right to assign, encumber or otherwise anticipate the</w:t>
      </w:r>
      <w:r>
        <w:rPr>
          <w:rFonts w:ascii="Arial" w:cs="Arial" w:eastAsia="Arial" w:hAnsi="Arial"/>
          <w:sz w:val="22"/>
          <w:szCs w:val="22"/>
          <w:b w:val="1"/>
          <w:bCs w:val="1"/>
          <w:color w:val="auto"/>
        </w:rPr>
        <w:t xml:space="preserve"> </w:t>
      </w:r>
      <w:r>
        <w:rPr>
          <w:rFonts w:ascii="Arial" w:cs="Arial" w:eastAsia="Arial" w:hAnsi="Arial"/>
          <w:sz w:val="22"/>
          <w:szCs w:val="22"/>
          <w:color w:val="auto"/>
        </w:rPr>
        <w:t>payments to be made under this Plan, and the benefits provided hereunder shall not be subject to seizure for payment of any debts or judgments against any participant or any beneficiary.</w:t>
      </w:r>
    </w:p>
    <w:p>
      <w:pPr>
        <w:spacing w:after="0" w:line="176" w:lineRule="exact"/>
        <w:rPr>
          <w:rFonts w:ascii="Arial" w:cs="Arial" w:eastAsia="Arial" w:hAnsi="Arial"/>
          <w:sz w:val="22"/>
          <w:szCs w:val="22"/>
          <w:color w:val="auto"/>
        </w:rPr>
      </w:pPr>
    </w:p>
    <w:p>
      <w:pPr>
        <w:ind w:left="652" w:right="300" w:hanging="652"/>
        <w:spacing w:after="0" w:line="256" w:lineRule="auto"/>
        <w:tabs>
          <w:tab w:leader="none" w:pos="482" w:val="left"/>
        </w:tabs>
        <w:numPr>
          <w:ilvl w:val="0"/>
          <w:numId w:val="64"/>
        </w:numPr>
        <w:rPr>
          <w:rFonts w:ascii="Arial" w:cs="Arial" w:eastAsia="Arial" w:hAnsi="Arial"/>
          <w:sz w:val="22"/>
          <w:szCs w:val="22"/>
          <w:color w:val="auto"/>
        </w:rPr>
      </w:pPr>
      <w:r>
        <w:rPr>
          <w:rFonts w:ascii="Arial" w:cs="Arial" w:eastAsia="Arial" w:hAnsi="Arial"/>
          <w:sz w:val="22"/>
          <w:szCs w:val="22"/>
          <w:b w:val="1"/>
          <w:bCs w:val="1"/>
          <w:u w:val="single" w:color="auto"/>
          <w:color w:val="auto"/>
        </w:rPr>
        <w:t>Deferrals of Payments</w:t>
      </w:r>
      <w:r>
        <w:rPr>
          <w:rFonts w:ascii="Arial" w:cs="Arial" w:eastAsia="Arial" w:hAnsi="Arial"/>
          <w:sz w:val="22"/>
          <w:szCs w:val="22"/>
          <w:color w:val="auto"/>
        </w:rPr>
        <w:t>. To the extent permissible by any deferred compensation plan of the Company permitting for</w:t>
      </w:r>
      <w:r>
        <w:rPr>
          <w:rFonts w:ascii="Arial" w:cs="Arial" w:eastAsia="Arial" w:hAnsi="Arial"/>
          <w:sz w:val="22"/>
          <w:szCs w:val="22"/>
          <w:b w:val="1"/>
          <w:bCs w:val="1"/>
          <w:color w:val="auto"/>
        </w:rPr>
        <w:t xml:space="preserve"> </w:t>
      </w:r>
      <w:r>
        <w:rPr>
          <w:rFonts w:ascii="Arial" w:cs="Arial" w:eastAsia="Arial" w:hAnsi="Arial"/>
          <w:sz w:val="22"/>
          <w:szCs w:val="22"/>
          <w:color w:val="auto"/>
        </w:rPr>
        <w:t>deferrals of the payment of awards granted under this Plan, payments under this Plan may be deferred on the terms and conditions set forth in such plan(s).</w:t>
      </w:r>
    </w:p>
    <w:p>
      <w:pPr>
        <w:spacing w:after="0" w:line="176" w:lineRule="exact"/>
        <w:rPr>
          <w:rFonts w:ascii="Arial" w:cs="Arial" w:eastAsia="Arial" w:hAnsi="Arial"/>
          <w:sz w:val="22"/>
          <w:szCs w:val="22"/>
          <w:color w:val="auto"/>
        </w:rPr>
      </w:pPr>
    </w:p>
    <w:p>
      <w:pPr>
        <w:ind w:left="652" w:right="60" w:hanging="652"/>
        <w:spacing w:after="0" w:line="249" w:lineRule="auto"/>
        <w:tabs>
          <w:tab w:leader="none" w:pos="490" w:val="left"/>
        </w:tabs>
        <w:numPr>
          <w:ilvl w:val="0"/>
          <w:numId w:val="64"/>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any provision of this Plan is or becomes or is deemed to be invalid, illegal or unenforceable in any</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 such provision shall be construed or deemed amended to conform to applicable laws, or if it cannot be so construed or deemed amended without, in the determination of the Committee, materially altering the purpose or intent of this Plan, such provision shall be stricken as to such jurisdiction, and the remainder of this Plan shall remain in full force and effect.</w:t>
      </w:r>
    </w:p>
    <w:p>
      <w:pPr>
        <w:spacing w:after="0" w:line="186" w:lineRule="exact"/>
        <w:rPr>
          <w:rFonts w:ascii="Arial" w:cs="Arial" w:eastAsia="Arial" w:hAnsi="Arial"/>
          <w:sz w:val="22"/>
          <w:szCs w:val="22"/>
          <w:color w:val="auto"/>
        </w:rPr>
      </w:pPr>
    </w:p>
    <w:p>
      <w:pPr>
        <w:ind w:left="652" w:right="160" w:hanging="652"/>
        <w:spacing w:after="0" w:line="256" w:lineRule="auto"/>
        <w:tabs>
          <w:tab w:leader="none" w:pos="490" w:val="left"/>
        </w:tabs>
        <w:numPr>
          <w:ilvl w:val="0"/>
          <w:numId w:val="64"/>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w:t>
      </w:r>
      <w:r>
        <w:rPr>
          <w:rFonts w:ascii="Arial" w:cs="Arial" w:eastAsia="Arial" w:hAnsi="Arial"/>
          <w:sz w:val="22"/>
          <w:szCs w:val="22"/>
          <w:color w:val="auto"/>
        </w:rPr>
        <w:t>. The Committee may amend this Plan prospectively at any time and for any reason deemed sufficient by it</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prior notice to any person affected by this Plan, except that no such amendment may materially impair the rights of any participant with</w:t>
      </w:r>
    </w:p>
    <w:p>
      <w:pPr>
        <w:sectPr>
          <w:pgSz w:w="11900" w:h="16838" w:orient="portrait"/>
          <w:cols w:equalWidth="0" w:num="1">
            <w:col w:w="11232"/>
          </w:cols>
          <w:pgMar w:left="328" w:top="1422" w:right="339" w:bottom="1440" w:gutter="0" w:footer="0" w:header="0"/>
        </w:sectPr>
      </w:pPr>
    </w:p>
    <w:bookmarkStart w:id="96" w:name="page97"/>
    <w:bookmarkEnd w:id="96"/>
    <w:p>
      <w:pPr>
        <w:spacing w:after="0" w:line="263" w:lineRule="auto"/>
        <w:rPr>
          <w:sz w:val="20"/>
          <w:szCs w:val="20"/>
          <w:color w:val="auto"/>
        </w:rPr>
      </w:pPr>
      <w:r>
        <w:rPr>
          <w:rFonts w:ascii="Arial" w:cs="Arial" w:eastAsia="Arial" w:hAnsi="Arial"/>
          <w:sz w:val="22"/>
          <w:szCs w:val="22"/>
          <w:color w:val="auto"/>
        </w:rPr>
        <w:t>respect to an outstanding award without the participant’s consent, unless such amendment is necessary to comply with applicable law or stock exchange rules.</w:t>
      </w:r>
    </w:p>
    <w:p>
      <w:pPr>
        <w:sectPr>
          <w:pgSz w:w="11900" w:h="16838" w:orient="portrait"/>
          <w:cols w:equalWidth="0" w:num="1">
            <w:col w:w="10220"/>
          </w:cols>
          <w:pgMar w:left="980" w:top="1428" w:right="699" w:bottom="1440" w:gutter="0" w:footer="0" w:header="0"/>
        </w:sectPr>
      </w:pPr>
    </w:p>
    <w:bookmarkStart w:id="97" w:name="page98"/>
    <w:bookmarkEnd w:id="97"/>
    <w:p>
      <w:pPr>
        <w:jc w:val="center"/>
        <w:ind w:right="-39"/>
        <w:spacing w:after="0"/>
        <w:rPr>
          <w:sz w:val="20"/>
          <w:szCs w:val="20"/>
          <w:color w:val="auto"/>
        </w:rPr>
      </w:pPr>
      <w:r>
        <w:rPr>
          <w:rFonts w:ascii="Arial" w:cs="Arial" w:eastAsia="Arial" w:hAnsi="Arial"/>
          <w:sz w:val="25"/>
          <w:szCs w:val="25"/>
          <w:b w:val="1"/>
          <w:bCs w:val="1"/>
          <w:color w:val="auto"/>
        </w:rPr>
        <w:t>WINNEBAGO INDUSTRIES, INC.</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EXECUTIVE INCENTIVE COMPENSATION PLAN</w:t>
      </w:r>
    </w:p>
    <w:p>
      <w:pPr>
        <w:spacing w:after="0" w:line="4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Annual Incentive Award: Fiscal 2021 Plan Year Notice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This annual incentive award is granted under the Winnebago Industries, Inc. Executive Incentive Compensation Plan (the “Plan”) and is subject to the terms and conditions of such Plan.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The Fiscal 2021 plan year will consist of the following performance periods, performance measures and weightings:</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5640" w:type="dxa"/>
            <w:vAlign w:val="bottom"/>
            <w:tcBorders>
              <w:top w:val="single" w:sz="8" w:color="auto"/>
              <w:left w:val="single" w:sz="8" w:color="auto"/>
              <w:right w:val="single" w:sz="8" w:color="auto"/>
            </w:tcBorders>
            <w:shd w:val="clear" w:color="auto" w:fill="EEECE1"/>
          </w:tcPr>
          <w:p>
            <w:pPr>
              <w:ind w:left="1780"/>
              <w:spacing w:after="0"/>
              <w:rPr>
                <w:sz w:val="20"/>
                <w:szCs w:val="20"/>
                <w:color w:val="auto"/>
              </w:rPr>
            </w:pPr>
            <w:r>
              <w:rPr>
                <w:rFonts w:ascii="Arial" w:cs="Arial" w:eastAsia="Arial" w:hAnsi="Arial"/>
                <w:sz w:val="22"/>
                <w:szCs w:val="22"/>
                <w:b w:val="1"/>
                <w:bCs w:val="1"/>
                <w:color w:val="auto"/>
              </w:rPr>
              <w:t>Performance Measure</w:t>
            </w:r>
          </w:p>
        </w:tc>
        <w:tc>
          <w:tcPr>
            <w:tcW w:w="2740" w:type="dxa"/>
            <w:vAlign w:val="bottom"/>
            <w:tcBorders>
              <w:top w:val="single" w:sz="8" w:color="auto"/>
              <w:right w:val="single" w:sz="8" w:color="auto"/>
            </w:tcBorders>
            <w:shd w:val="clear" w:color="auto" w:fill="EEECE1"/>
          </w:tcPr>
          <w:p>
            <w:pPr>
              <w:ind w:left="420"/>
              <w:spacing w:after="0"/>
              <w:rPr>
                <w:sz w:val="20"/>
                <w:szCs w:val="20"/>
                <w:color w:val="auto"/>
              </w:rPr>
            </w:pPr>
            <w:r>
              <w:rPr>
                <w:rFonts w:ascii="Arial" w:cs="Arial" w:eastAsia="Arial" w:hAnsi="Arial"/>
                <w:sz w:val="22"/>
                <w:szCs w:val="22"/>
                <w:b w:val="1"/>
                <w:bCs w:val="1"/>
                <w:color w:val="auto"/>
              </w:rPr>
              <w:t>Performance Period</w:t>
            </w:r>
          </w:p>
        </w:tc>
        <w:tc>
          <w:tcPr>
            <w:tcW w:w="2660" w:type="dxa"/>
            <w:vAlign w:val="bottom"/>
            <w:tcBorders>
              <w:top w:val="single" w:sz="8" w:color="auto"/>
              <w:right w:val="single" w:sz="8" w:color="auto"/>
            </w:tcBorders>
            <w:shd w:val="clear" w:color="auto" w:fill="EEECE1"/>
          </w:tcPr>
          <w:p>
            <w:pPr>
              <w:jc w:val="center"/>
              <w:spacing w:after="0"/>
              <w:rPr>
                <w:sz w:val="20"/>
                <w:szCs w:val="20"/>
                <w:color w:val="auto"/>
              </w:rPr>
            </w:pPr>
            <w:r>
              <w:rPr>
                <w:rFonts w:ascii="Arial" w:cs="Arial" w:eastAsia="Arial" w:hAnsi="Arial"/>
                <w:sz w:val="22"/>
                <w:szCs w:val="22"/>
                <w:b w:val="1"/>
                <w:bCs w:val="1"/>
                <w:color w:val="auto"/>
                <w:w w:val="91"/>
              </w:rPr>
              <w:t>Weighting (% of total</w:t>
            </w:r>
          </w:p>
        </w:tc>
        <w:tc>
          <w:tcPr>
            <w:tcW w:w="0" w:type="dxa"/>
            <w:vAlign w:val="bottom"/>
          </w:tcPr>
          <w:p>
            <w:pPr>
              <w:spacing w:after="0"/>
              <w:rPr>
                <w:sz w:val="1"/>
                <w:szCs w:val="1"/>
                <w:color w:val="auto"/>
              </w:rPr>
            </w:pPr>
          </w:p>
        </w:tc>
      </w:tr>
      <w:tr>
        <w:trPr>
          <w:trHeight w:val="291"/>
        </w:trPr>
        <w:tc>
          <w:tcPr>
            <w:tcW w:w="5640" w:type="dxa"/>
            <w:vAlign w:val="bottom"/>
            <w:tcBorders>
              <w:left w:val="single" w:sz="8" w:color="auto"/>
              <w:bottom w:val="single" w:sz="8" w:color="auto"/>
              <w:right w:val="single" w:sz="8" w:color="auto"/>
            </w:tcBorders>
            <w:shd w:val="clear" w:color="auto" w:fill="EEECE1"/>
          </w:tcPr>
          <w:p>
            <w:pPr>
              <w:spacing w:after="0"/>
              <w:rPr>
                <w:sz w:val="24"/>
                <w:szCs w:val="24"/>
                <w:color w:val="auto"/>
              </w:rPr>
            </w:pPr>
          </w:p>
        </w:tc>
        <w:tc>
          <w:tcPr>
            <w:tcW w:w="2740" w:type="dxa"/>
            <w:vAlign w:val="bottom"/>
            <w:tcBorders>
              <w:bottom w:val="single" w:sz="8" w:color="auto"/>
              <w:right w:val="single" w:sz="8" w:color="auto"/>
            </w:tcBorders>
            <w:shd w:val="clear" w:color="auto" w:fill="EEECE1"/>
          </w:tcPr>
          <w:p>
            <w:pPr>
              <w:spacing w:after="0"/>
              <w:rPr>
                <w:sz w:val="24"/>
                <w:szCs w:val="24"/>
                <w:color w:val="auto"/>
              </w:rPr>
            </w:pPr>
          </w:p>
        </w:tc>
        <w:tc>
          <w:tcPr>
            <w:tcW w:w="2660" w:type="dxa"/>
            <w:vAlign w:val="bottom"/>
            <w:tcBorders>
              <w:bottom w:val="single" w:sz="8" w:color="auto"/>
              <w:right w:val="single" w:sz="8" w:color="auto"/>
            </w:tcBorders>
            <w:shd w:val="clear" w:color="auto" w:fill="EEECE1"/>
          </w:tcPr>
          <w:p>
            <w:pPr>
              <w:jc w:val="center"/>
              <w:spacing w:after="0"/>
              <w:rPr>
                <w:sz w:val="20"/>
                <w:szCs w:val="20"/>
                <w:color w:val="auto"/>
              </w:rPr>
            </w:pPr>
            <w:r>
              <w:rPr>
                <w:rFonts w:ascii="Arial" w:cs="Arial" w:eastAsia="Arial" w:hAnsi="Arial"/>
                <w:sz w:val="22"/>
                <w:szCs w:val="22"/>
                <w:b w:val="1"/>
                <w:bCs w:val="1"/>
                <w:color w:val="auto"/>
                <w:w w:val="91"/>
              </w:rPr>
              <w:t>target award)</w:t>
            </w:r>
          </w:p>
        </w:tc>
        <w:tc>
          <w:tcPr>
            <w:tcW w:w="0" w:type="dxa"/>
            <w:vAlign w:val="bottom"/>
          </w:tcPr>
          <w:p>
            <w:pPr>
              <w:spacing w:after="0"/>
              <w:rPr>
                <w:sz w:val="1"/>
                <w:szCs w:val="1"/>
                <w:color w:val="auto"/>
              </w:rPr>
            </w:pPr>
          </w:p>
        </w:tc>
      </w:tr>
      <w:tr>
        <w:trPr>
          <w:trHeight w:val="249"/>
        </w:trPr>
        <w:tc>
          <w:tcPr>
            <w:tcW w:w="564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Individual performance measures (see individual award</w:t>
            </w:r>
          </w:p>
        </w:tc>
        <w:tc>
          <w:tcPr>
            <w:tcW w:w="274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98"/>
              </w:rPr>
              <w:t>FY21*</w:t>
            </w:r>
          </w:p>
        </w:tc>
        <w:tc>
          <w:tcPr>
            <w:tcW w:w="266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90"/>
              </w:rPr>
              <w:t>35%</w:t>
            </w:r>
          </w:p>
        </w:tc>
        <w:tc>
          <w:tcPr>
            <w:tcW w:w="0" w:type="dxa"/>
            <w:vAlign w:val="bottom"/>
          </w:tcPr>
          <w:p>
            <w:pPr>
              <w:spacing w:after="0"/>
              <w:rPr>
                <w:sz w:val="1"/>
                <w:szCs w:val="1"/>
                <w:color w:val="auto"/>
              </w:rPr>
            </w:pPr>
          </w:p>
        </w:tc>
      </w:tr>
      <w:tr>
        <w:trPr>
          <w:trHeight w:val="285"/>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schedule for participant’s individual performance metrics)</w:t>
            </w:r>
          </w:p>
        </w:tc>
        <w:tc>
          <w:tcPr>
            <w:tcW w:w="274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564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w w:val="90"/>
              </w:rPr>
              <w:t>Financial measures (see individual award schedule for financial</w:t>
            </w:r>
          </w:p>
        </w:tc>
        <w:tc>
          <w:tcPr>
            <w:tcW w:w="274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98"/>
              </w:rPr>
              <w:t>FY21*</w:t>
            </w:r>
          </w:p>
        </w:tc>
        <w:tc>
          <w:tcPr>
            <w:tcW w:w="266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90"/>
              </w:rPr>
              <w:t>26%</w:t>
            </w:r>
          </w:p>
        </w:tc>
        <w:tc>
          <w:tcPr>
            <w:tcW w:w="0" w:type="dxa"/>
            <w:vAlign w:val="bottom"/>
          </w:tcPr>
          <w:p>
            <w:pPr>
              <w:spacing w:after="0"/>
              <w:rPr>
                <w:sz w:val="1"/>
                <w:szCs w:val="1"/>
                <w:color w:val="auto"/>
              </w:rPr>
            </w:pPr>
          </w:p>
        </w:tc>
      </w:tr>
      <w:tr>
        <w:trPr>
          <w:trHeight w:val="48"/>
        </w:trPr>
        <w:tc>
          <w:tcPr>
            <w:tcW w:w="5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color w:val="auto"/>
                <w:w w:val="97"/>
              </w:rPr>
              <w:t>measures applicable to the FY21, 1H and 2H performance</w:t>
            </w:r>
          </w:p>
        </w:tc>
        <w:tc>
          <w:tcPr>
            <w:tcW w:w="2740" w:type="dxa"/>
            <w:vAlign w:val="bottom"/>
            <w:tcBorders>
              <w:bottom w:val="single" w:sz="8" w:color="auto"/>
              <w:right w:val="single" w:sz="8" w:color="auto"/>
            </w:tcBorders>
          </w:tcPr>
          <w:p>
            <w:pPr>
              <w:spacing w:after="0"/>
              <w:rPr>
                <w:sz w:val="4"/>
                <w:szCs w:val="4"/>
                <w:color w:val="auto"/>
              </w:rPr>
            </w:pPr>
          </w:p>
        </w:tc>
        <w:tc>
          <w:tcPr>
            <w:tcW w:w="26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5640" w:type="dxa"/>
            <w:vAlign w:val="bottom"/>
            <w:tcBorders>
              <w:left w:val="single" w:sz="8" w:color="auto"/>
              <w:right w:val="single" w:sz="8" w:color="auto"/>
            </w:tcBorders>
            <w:vMerge w:val="continue"/>
          </w:tcPr>
          <w:p>
            <w:pPr>
              <w:spacing w:after="0"/>
              <w:rPr>
                <w:sz w:val="18"/>
                <w:szCs w:val="18"/>
                <w:color w:val="auto"/>
              </w:rPr>
            </w:pPr>
          </w:p>
        </w:tc>
        <w:tc>
          <w:tcPr>
            <w:tcW w:w="274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2"/>
                <w:szCs w:val="22"/>
                <w:color w:val="auto"/>
                <w:w w:val="92"/>
              </w:rPr>
              <w:t>1H</w:t>
            </w:r>
          </w:p>
        </w:tc>
        <w:tc>
          <w:tcPr>
            <w:tcW w:w="266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2"/>
                <w:szCs w:val="22"/>
                <w:color w:val="auto"/>
                <w:w w:val="89"/>
              </w:rPr>
              <w:t>19.5%</w:t>
            </w:r>
          </w:p>
        </w:tc>
        <w:tc>
          <w:tcPr>
            <w:tcW w:w="0" w:type="dxa"/>
            <w:vAlign w:val="bottom"/>
          </w:tcPr>
          <w:p>
            <w:pPr>
              <w:spacing w:after="0"/>
              <w:rPr>
                <w:sz w:val="1"/>
                <w:szCs w:val="1"/>
                <w:color w:val="auto"/>
              </w:rPr>
            </w:pPr>
          </w:p>
        </w:tc>
      </w:tr>
      <w:tr>
        <w:trPr>
          <w:trHeight w:val="81"/>
        </w:trPr>
        <w:tc>
          <w:tcPr>
            <w:tcW w:w="5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color w:val="auto"/>
              </w:rPr>
              <w:t>periods)</w:t>
            </w:r>
          </w:p>
        </w:tc>
        <w:tc>
          <w:tcPr>
            <w:tcW w:w="2740" w:type="dxa"/>
            <w:vAlign w:val="bottom"/>
            <w:tcBorders>
              <w:bottom w:val="single" w:sz="8" w:color="auto"/>
              <w:right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5640" w:type="dxa"/>
            <w:vAlign w:val="bottom"/>
            <w:tcBorders>
              <w:left w:val="single" w:sz="8" w:color="auto"/>
              <w:right w:val="single" w:sz="8" w:color="auto"/>
            </w:tcBorders>
            <w:vMerge w:val="continue"/>
          </w:tcPr>
          <w:p>
            <w:pPr>
              <w:spacing w:after="0"/>
              <w:rPr>
                <w:sz w:val="15"/>
                <w:szCs w:val="15"/>
                <w:color w:val="auto"/>
              </w:rPr>
            </w:pPr>
          </w:p>
        </w:tc>
        <w:tc>
          <w:tcPr>
            <w:tcW w:w="2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2"/>
              </w:rPr>
              <w:t>2H</w:t>
            </w:r>
          </w:p>
        </w:tc>
        <w:tc>
          <w:tcPr>
            <w:tcW w:w="2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19.5%</w:t>
            </w:r>
          </w:p>
        </w:tc>
        <w:tc>
          <w:tcPr>
            <w:tcW w:w="0" w:type="dxa"/>
            <w:vAlign w:val="bottom"/>
          </w:tcPr>
          <w:p>
            <w:pPr>
              <w:spacing w:after="0"/>
              <w:rPr>
                <w:sz w:val="1"/>
                <w:szCs w:val="1"/>
                <w:color w:val="auto"/>
              </w:rPr>
            </w:pPr>
          </w:p>
        </w:tc>
      </w:tr>
      <w:tr>
        <w:trPr>
          <w:trHeight w:val="111"/>
        </w:trPr>
        <w:tc>
          <w:tcPr>
            <w:tcW w:w="5640" w:type="dxa"/>
            <w:vAlign w:val="bottom"/>
            <w:tcBorders>
              <w:left w:val="single" w:sz="8" w:color="auto"/>
              <w:bottom w:val="single" w:sz="8" w:color="auto"/>
              <w:right w:val="single" w:sz="8" w:color="auto"/>
            </w:tcBorders>
          </w:tcPr>
          <w:p>
            <w:pPr>
              <w:spacing w:after="0"/>
              <w:rPr>
                <w:sz w:val="9"/>
                <w:szCs w:val="9"/>
                <w:color w:val="auto"/>
              </w:rPr>
            </w:pPr>
          </w:p>
        </w:tc>
        <w:tc>
          <w:tcPr>
            <w:tcW w:w="2740" w:type="dxa"/>
            <w:vAlign w:val="bottom"/>
            <w:tcBorders>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right="440" w:firstLine="8"/>
        <w:spacing w:after="0" w:line="310" w:lineRule="auto"/>
        <w:tabs>
          <w:tab w:leader="none" w:pos="121" w:val="left"/>
        </w:tabs>
        <w:numPr>
          <w:ilvl w:val="0"/>
          <w:numId w:val="65"/>
        </w:numPr>
        <w:rPr>
          <w:rFonts w:ascii="Arial" w:cs="Arial" w:eastAsia="Arial" w:hAnsi="Arial"/>
          <w:sz w:val="15"/>
          <w:szCs w:val="15"/>
          <w:color w:val="auto"/>
        </w:rPr>
      </w:pPr>
      <w:r>
        <w:rPr>
          <w:rFonts w:ascii="Arial" w:cs="Arial" w:eastAsia="Arial" w:hAnsi="Arial"/>
          <w:sz w:val="15"/>
          <w:szCs w:val="15"/>
          <w:color w:val="auto"/>
        </w:rPr>
        <w:t>If you elect to defer all or a portion of your bonus under the Company’s Executive Deferred Compensation Plan, such election will only apply to the portion of your incentive award for the FY21 performance periods (and will not apply to the portion of your incentive award for the 1H or 2H performance periods).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FY21 = the full fiscal year ending August 28, 2021</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1H = the first two fiscal quarters of FY21</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2H = the last two fiscal quarters of FY21</w:t>
      </w:r>
    </w:p>
    <w:p>
      <w:pPr>
        <w:spacing w:after="0" w:line="220" w:lineRule="exact"/>
        <w:rPr>
          <w:sz w:val="20"/>
          <w:szCs w:val="20"/>
          <w:color w:val="auto"/>
        </w:rPr>
      </w:pPr>
    </w:p>
    <w:p>
      <w:pPr>
        <w:ind w:right="300"/>
        <w:spacing w:after="0" w:line="263" w:lineRule="auto"/>
        <w:rPr>
          <w:sz w:val="20"/>
          <w:szCs w:val="20"/>
          <w:color w:val="auto"/>
        </w:rPr>
      </w:pPr>
      <w:r>
        <w:rPr>
          <w:rFonts w:ascii="Arial" w:cs="Arial" w:eastAsia="Arial" w:hAnsi="Arial"/>
          <w:sz w:val="22"/>
          <w:szCs w:val="22"/>
          <w:color w:val="auto"/>
        </w:rPr>
        <w:t>The financial measures component for each performance period may be sub-divided into multiple performance measures with associated weightings as set forth on the participant’s individual award schedule.</w:t>
      </w:r>
    </w:p>
    <w:p>
      <w:pPr>
        <w:spacing w:after="0" w:line="175"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Each financial metric sets forth a threshold, target and maximum level of achievement, with the target being expressed as a range (the “target zone”), such that achievement of results at any level within the target zone will result in a payout at target. Payouts for achievement of results between the threshold and the low-end of the target zone or the high-end of the target zone and maximum levels shall be determined by straight-line interpolation.</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color w:val="auto"/>
        </w:rPr>
        <w:t>All financial measures set forth in the individual award schedule shall have the definitions set forth below and shall be calculated in accordance with GAAP, subject to adjustment as set forth in the Plan:</w:t>
      </w:r>
    </w:p>
    <w:p>
      <w:pPr>
        <w:spacing w:after="0" w:line="175"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Operating Income: Net Sales less Cost of Goods Sold less Selling, General and Administrative costs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Net Sales: Gross sales (list price to dealer) less allowances and discounts</w:t>
      </w:r>
    </w:p>
    <w:p>
      <w:pPr>
        <w:sectPr>
          <w:pgSz w:w="11900" w:h="16838" w:orient="portrait"/>
          <w:cols w:equalWidth="0" w:num="1">
            <w:col w:w="11200"/>
          </w:cols>
          <w:pgMar w:left="320" w:top="1413" w:right="379" w:bottom="1440" w:gutter="0" w:footer="0" w:header="0"/>
        </w:sectPr>
      </w:pPr>
    </w:p>
    <w:bookmarkStart w:id="98" w:name="page99"/>
    <w:bookmarkEnd w:id="98"/>
    <w:p>
      <w:pPr>
        <w:ind w:left="660" w:right="460" w:hanging="328"/>
        <w:spacing w:after="0" w:line="263" w:lineRule="auto"/>
        <w:tabs>
          <w:tab w:leader="none" w:pos="655" w:val="left"/>
        </w:tabs>
        <w:numPr>
          <w:ilvl w:val="0"/>
          <w:numId w:val="67"/>
        </w:numPr>
        <w:rPr>
          <w:rFonts w:ascii="Arial" w:cs="Arial" w:eastAsia="Arial" w:hAnsi="Arial"/>
          <w:sz w:val="22"/>
          <w:szCs w:val="22"/>
          <w:color w:val="auto"/>
        </w:rPr>
      </w:pPr>
      <w:r>
        <w:rPr>
          <w:rFonts w:ascii="Arial" w:cs="Arial" w:eastAsia="Arial" w:hAnsi="Arial"/>
          <w:sz w:val="22"/>
          <w:szCs w:val="22"/>
          <w:color w:val="auto"/>
        </w:rPr>
        <w:t xml:space="preserve">Working Capital: Trailing </w:t>
      </w:r>
      <w:r>
        <w:rPr>
          <w:rFonts w:ascii="Arial" w:cs="Arial" w:eastAsia="Arial" w:hAnsi="Arial"/>
          <w:sz w:val="22"/>
          <w:szCs w:val="22"/>
          <w:u w:val="single" w:color="auto"/>
          <w:color w:val="auto"/>
        </w:rPr>
        <w:t>X</w:t>
      </w:r>
      <w:r>
        <w:rPr>
          <w:rFonts w:ascii="Arial" w:cs="Arial" w:eastAsia="Arial" w:hAnsi="Arial"/>
          <w:sz w:val="22"/>
          <w:szCs w:val="22"/>
          <w:color w:val="auto"/>
        </w:rPr>
        <w:t xml:space="preserve"> month average Working Capital (Inventory + Accounts Receivable – Accounts Payable) divided by trailing </w:t>
      </w:r>
      <w:r>
        <w:rPr>
          <w:rFonts w:ascii="Arial" w:cs="Arial" w:eastAsia="Arial" w:hAnsi="Arial"/>
          <w:sz w:val="22"/>
          <w:szCs w:val="22"/>
          <w:u w:val="single" w:color="auto"/>
          <w:color w:val="auto"/>
        </w:rPr>
        <w:t>X</w:t>
      </w:r>
      <w:r>
        <w:rPr>
          <w:rFonts w:ascii="Arial" w:cs="Arial" w:eastAsia="Arial" w:hAnsi="Arial"/>
          <w:sz w:val="22"/>
          <w:szCs w:val="22"/>
          <w:color w:val="auto"/>
        </w:rPr>
        <w:t xml:space="preserve"> months net sales</w:t>
      </w:r>
    </w:p>
    <w:p>
      <w:pPr>
        <w:spacing w:after="0" w:line="66" w:lineRule="exact"/>
        <w:rPr>
          <w:rFonts w:ascii="Arial" w:cs="Arial" w:eastAsia="Arial" w:hAnsi="Arial"/>
          <w:sz w:val="22"/>
          <w:szCs w:val="22"/>
          <w:color w:val="auto"/>
        </w:rPr>
      </w:pPr>
    </w:p>
    <w:p>
      <w:pPr>
        <w:ind w:left="1300" w:hanging="320"/>
        <w:spacing w:after="0"/>
        <w:tabs>
          <w:tab w:leader="none" w:pos="1300" w:val="left"/>
        </w:tabs>
        <w:numPr>
          <w:ilvl w:val="1"/>
          <w:numId w:val="67"/>
        </w:numPr>
        <w:rPr>
          <w:rFonts w:ascii="Courier New" w:cs="Courier New" w:eastAsia="Courier New" w:hAnsi="Courier New"/>
          <w:sz w:val="22"/>
          <w:szCs w:val="22"/>
          <w:color w:val="auto"/>
        </w:rPr>
      </w:pPr>
      <w:r>
        <w:rPr>
          <w:rFonts w:ascii="Arial" w:cs="Arial" w:eastAsia="Arial" w:hAnsi="Arial"/>
          <w:sz w:val="22"/>
          <w:szCs w:val="22"/>
          <w:color w:val="auto"/>
        </w:rPr>
        <w:t xml:space="preserve">For the 1H and 2H periods, </w:t>
      </w:r>
      <w:r>
        <w:rPr>
          <w:rFonts w:ascii="Arial" w:cs="Arial" w:eastAsia="Arial" w:hAnsi="Arial"/>
          <w:sz w:val="22"/>
          <w:szCs w:val="22"/>
          <w:u w:val="single" w:color="auto"/>
          <w:color w:val="auto"/>
        </w:rPr>
        <w:t>X</w:t>
      </w:r>
      <w:r>
        <w:rPr>
          <w:rFonts w:ascii="Arial" w:cs="Arial" w:eastAsia="Arial" w:hAnsi="Arial"/>
          <w:sz w:val="22"/>
          <w:szCs w:val="22"/>
          <w:color w:val="auto"/>
        </w:rPr>
        <w:t xml:space="preserve"> is 6, as of the end of that period</w:t>
      </w:r>
    </w:p>
    <w:p>
      <w:pPr>
        <w:spacing w:after="0" w:line="119" w:lineRule="exact"/>
        <w:rPr>
          <w:rFonts w:ascii="Courier New" w:cs="Courier New" w:eastAsia="Courier New" w:hAnsi="Courier New"/>
          <w:sz w:val="22"/>
          <w:szCs w:val="22"/>
          <w:color w:val="auto"/>
        </w:rPr>
      </w:pPr>
    </w:p>
    <w:p>
      <w:pPr>
        <w:ind w:left="1300" w:hanging="320"/>
        <w:spacing w:after="0"/>
        <w:tabs>
          <w:tab w:leader="none" w:pos="1300" w:val="left"/>
        </w:tabs>
        <w:numPr>
          <w:ilvl w:val="1"/>
          <w:numId w:val="67"/>
        </w:numPr>
        <w:rPr>
          <w:rFonts w:ascii="Courier New" w:cs="Courier New" w:eastAsia="Courier New" w:hAnsi="Courier New"/>
          <w:sz w:val="22"/>
          <w:szCs w:val="22"/>
          <w:color w:val="auto"/>
        </w:rPr>
      </w:pPr>
      <w:r>
        <w:rPr>
          <w:rFonts w:ascii="Arial" w:cs="Arial" w:eastAsia="Arial" w:hAnsi="Arial"/>
          <w:sz w:val="22"/>
          <w:szCs w:val="22"/>
          <w:color w:val="auto"/>
        </w:rPr>
        <w:t xml:space="preserve">For the FY21 period, </w:t>
      </w:r>
      <w:r>
        <w:rPr>
          <w:rFonts w:ascii="Arial" w:cs="Arial" w:eastAsia="Arial" w:hAnsi="Arial"/>
          <w:sz w:val="22"/>
          <w:szCs w:val="22"/>
          <w:u w:val="single" w:color="auto"/>
          <w:color w:val="auto"/>
        </w:rPr>
        <w:t>X</w:t>
      </w:r>
      <w:r>
        <w:rPr>
          <w:rFonts w:ascii="Arial" w:cs="Arial" w:eastAsia="Arial" w:hAnsi="Arial"/>
          <w:sz w:val="22"/>
          <w:szCs w:val="22"/>
          <w:color w:val="auto"/>
        </w:rPr>
        <w:t xml:space="preserve"> is 13, as of the end of that period</w:t>
      </w:r>
    </w:p>
    <w:p>
      <w:pPr>
        <w:spacing w:after="0" w:line="113" w:lineRule="exact"/>
        <w:rPr>
          <w:sz w:val="20"/>
          <w:szCs w:val="20"/>
          <w:color w:val="auto"/>
        </w:rPr>
      </w:pPr>
    </w:p>
    <w:p>
      <w:pPr>
        <w:ind w:right="140"/>
        <w:spacing w:after="0" w:line="269" w:lineRule="auto"/>
        <w:rPr>
          <w:sz w:val="20"/>
          <w:szCs w:val="20"/>
          <w:color w:val="auto"/>
        </w:rPr>
      </w:pPr>
      <w:r>
        <w:rPr>
          <w:rFonts w:ascii="Arial" w:cs="Arial" w:eastAsia="Arial" w:hAnsi="Arial"/>
          <w:sz w:val="22"/>
          <w:szCs w:val="22"/>
          <w:b w:val="1"/>
          <w:bCs w:val="1"/>
          <w:color w:val="auto"/>
        </w:rPr>
        <w:t xml:space="preserve">Form of Payouts: </w:t>
      </w:r>
      <w:r>
        <w:rPr>
          <w:rFonts w:ascii="Arial" w:cs="Arial" w:eastAsia="Arial" w:hAnsi="Arial"/>
          <w:sz w:val="22"/>
          <w:szCs w:val="22"/>
          <w:color w:val="auto"/>
        </w:rPr>
        <w:t>Payouts under these incentive award for the performance periods shall be made in the form of cash following</w:t>
      </w:r>
      <w:r>
        <w:rPr>
          <w:rFonts w:ascii="Arial" w:cs="Arial" w:eastAsia="Arial" w:hAnsi="Arial"/>
          <w:sz w:val="22"/>
          <w:szCs w:val="22"/>
          <w:b w:val="1"/>
          <w:bCs w:val="1"/>
          <w:color w:val="auto"/>
        </w:rPr>
        <w:t xml:space="preserve"> </w:t>
      </w:r>
      <w:r>
        <w:rPr>
          <w:rFonts w:ascii="Arial" w:cs="Arial" w:eastAsia="Arial" w:hAnsi="Arial"/>
          <w:sz w:val="22"/>
          <w:szCs w:val="22"/>
          <w:color w:val="auto"/>
        </w:rPr>
        <w:t>the end of FY21, in accordance with the terms of the Plan.</w:t>
      </w:r>
    </w:p>
    <w:p>
      <w:pPr>
        <w:spacing w:after="0" w:line="162" w:lineRule="exact"/>
        <w:rPr>
          <w:sz w:val="20"/>
          <w:szCs w:val="20"/>
          <w:color w:val="auto"/>
        </w:rPr>
      </w:pPr>
    </w:p>
    <w:p>
      <w:pPr>
        <w:spacing w:after="0" w:line="252" w:lineRule="auto"/>
        <w:rPr>
          <w:sz w:val="20"/>
          <w:szCs w:val="20"/>
          <w:color w:val="auto"/>
        </w:rPr>
      </w:pPr>
      <w:r>
        <w:rPr>
          <w:rFonts w:ascii="Arial" w:cs="Arial" w:eastAsia="Arial" w:hAnsi="Arial"/>
          <w:sz w:val="22"/>
          <w:szCs w:val="22"/>
          <w:b w:val="1"/>
          <w:bCs w:val="1"/>
          <w:color w:val="auto"/>
        </w:rPr>
        <w:t xml:space="preserve">Individual Award Schedule: </w:t>
      </w:r>
      <w:r>
        <w:rPr>
          <w:rFonts w:ascii="Arial" w:cs="Arial" w:eastAsia="Arial" w:hAnsi="Arial"/>
          <w:sz w:val="22"/>
          <w:szCs w:val="22"/>
          <w:color w:val="auto"/>
        </w:rPr>
        <w:t>Each participant will receive an individual award schedule setting forth the individual and financial</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measures applicable to such participant for the performance periods set forth above, including the applicable weightings of financial measures for each performance period. The individual award schedule also sets forth the participant’s target bonus.</w:t>
      </w:r>
    </w:p>
    <w:p>
      <w:pPr>
        <w:sectPr>
          <w:pgSz w:w="11900" w:h="16838" w:orient="portrait"/>
          <w:cols w:equalWidth="0" w:num="1">
            <w:col w:w="11240"/>
          </w:cols>
          <w:pgMar w:left="320" w:top="1428" w:right="339" w:bottom="1440" w:gutter="0" w:footer="0" w:header="0"/>
        </w:sectPr>
      </w:pPr>
    </w:p>
    <w:bookmarkStart w:id="99" w:name="page100"/>
    <w:bookmarkEnd w:id="99"/>
    <w:p>
      <w:pPr>
        <w:ind w:left="4100"/>
        <w:spacing w:after="0"/>
        <w:rPr>
          <w:sz w:val="20"/>
          <w:szCs w:val="20"/>
          <w:color w:val="auto"/>
        </w:rPr>
      </w:pPr>
      <w:r>
        <w:rPr>
          <w:rFonts w:ascii="Arial" w:cs="Arial" w:eastAsia="Arial" w:hAnsi="Arial"/>
          <w:sz w:val="20"/>
          <w:szCs w:val="20"/>
          <w:b w:val="1"/>
          <w:bCs w:val="1"/>
          <w:color w:val="auto"/>
        </w:rPr>
        <w:t>WINNEBAGO INDUSTRIES, INC.</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2019 OMNIBUS INCENTIVE PLAN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Performance Stock Unit Agreement</w:t>
      </w:r>
    </w:p>
    <w:p>
      <w:pPr>
        <w:spacing w:after="0" w:line="24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Winnebago Industries, Inc. (the “</w:t>
      </w:r>
      <w:r>
        <w:rPr>
          <w:rFonts w:ascii="Arial" w:cs="Arial" w:eastAsia="Arial" w:hAnsi="Arial"/>
          <w:sz w:val="18"/>
          <w:szCs w:val="18"/>
          <w:u w:val="single" w:color="auto"/>
          <w:color w:val="auto"/>
        </w:rPr>
        <w:t>Company</w:t>
      </w:r>
      <w:r>
        <w:rPr>
          <w:rFonts w:ascii="Arial" w:cs="Arial" w:eastAsia="Arial" w:hAnsi="Arial"/>
          <w:sz w:val="18"/>
          <w:szCs w:val="18"/>
          <w:color w:val="auto"/>
        </w:rPr>
        <w:t>”), pursuant to its 2019 Omnibus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hereby grants an award of Performance Stock Units to you, the Participant named below. The terms and conditions of this Award are set forth in this Performance Stock Unit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consisting of this cover page, the Terms and Conditions on the following pages and the attached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1</w:t>
      </w:r>
      <w:r>
        <w:rPr>
          <w:rFonts w:ascii="Arial" w:cs="Arial" w:eastAsia="Arial" w:hAnsi="Arial"/>
          <w:sz w:val="18"/>
          <w:szCs w:val="18"/>
          <w:color w:val="auto"/>
        </w:rPr>
        <w:t>, and in the Plan document, a copy of which has been provided to you. Any capitalized term that is used but not defined in this Agreement shall have the meaning assigned to it in the Plan as it currently exists or as it is amended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149860</wp:posOffset>
            </wp:positionV>
            <wp:extent cx="6814820" cy="25031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1">
                      <a:extLst>
                        <a:ext uri="{28A0092B-C50C-407E-A947-70E740481C1C}"/>
                      </a:extLst>
                    </a:blip>
                    <a:srcRect/>
                    <a:stretch>
                      <a:fillRect/>
                    </a:stretch>
                  </pic:blipFill>
                  <pic:spPr bwMode="auto">
                    <a:xfrm>
                      <a:off x="0" y="0"/>
                      <a:ext cx="6814820" cy="2503170"/>
                    </a:xfrm>
                    <a:prstGeom prst="rect">
                      <a:avLst/>
                    </a:prstGeom>
                    <a:noFill/>
                  </pic:spPr>
                </pic:pic>
              </a:graphicData>
            </a:graphic>
          </wp:anchor>
        </w:drawing>
      </w:r>
    </w:p>
    <w:p>
      <w:pPr>
        <w:spacing w:after="0" w:line="280" w:lineRule="exact"/>
        <w:rPr>
          <w:sz w:val="20"/>
          <w:szCs w:val="20"/>
          <w:color w:val="auto"/>
        </w:rPr>
      </w:pPr>
    </w:p>
    <w:tbl>
      <w:tblPr>
        <w:tblLayout w:type="fixed"/>
        <w:tblInd w:w="60" w:type="dxa"/>
        <w:tblCellMar>
          <w:top w:w="0" w:type="dxa"/>
          <w:left w:w="0" w:type="dxa"/>
          <w:bottom w:w="0" w:type="dxa"/>
          <w:right w:w="0" w:type="dxa"/>
        </w:tblCellMar>
      </w:tblPr>
      <w:tr>
        <w:trPr>
          <w:trHeight w:val="250"/>
        </w:trPr>
        <w:tc>
          <w:tcPr>
            <w:tcW w:w="3520" w:type="dxa"/>
            <w:vAlign w:val="bottom"/>
          </w:tcPr>
          <w:p>
            <w:pPr>
              <w:spacing w:after="0"/>
              <w:rPr>
                <w:sz w:val="20"/>
                <w:szCs w:val="20"/>
                <w:color w:val="auto"/>
              </w:rPr>
            </w:pPr>
            <w:r>
              <w:rPr>
                <w:rFonts w:ascii="Arial" w:cs="Arial" w:eastAsia="Arial" w:hAnsi="Arial"/>
                <w:sz w:val="20"/>
                <w:szCs w:val="20"/>
                <w:color w:val="auto"/>
              </w:rPr>
              <w:t>Name of Participant:</w:t>
            </w: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520" w:type="dxa"/>
            <w:vAlign w:val="bottom"/>
          </w:tcPr>
          <w:p>
            <w:pPr>
              <w:spacing w:after="0"/>
              <w:rPr>
                <w:sz w:val="20"/>
                <w:szCs w:val="20"/>
                <w:color w:val="auto"/>
              </w:rPr>
            </w:pPr>
            <w:r>
              <w:rPr>
                <w:rFonts w:ascii="Arial" w:cs="Arial" w:eastAsia="Arial" w:hAnsi="Arial"/>
                <w:sz w:val="20"/>
                <w:szCs w:val="20"/>
                <w:color w:val="auto"/>
                <w:w w:val="89"/>
              </w:rPr>
              <w:t>Target Number of Performance Stock Units:</w:t>
            </w: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20" w:type="dxa"/>
            <w:vAlign w:val="bottom"/>
          </w:tcPr>
          <w:p>
            <w:pPr>
              <w:spacing w:after="0"/>
              <w:rPr>
                <w:sz w:val="20"/>
                <w:szCs w:val="20"/>
                <w:color w:val="auto"/>
              </w:rPr>
            </w:pPr>
            <w:r>
              <w:rPr>
                <w:rFonts w:ascii="Arial" w:cs="Arial" w:eastAsia="Arial" w:hAnsi="Arial"/>
                <w:sz w:val="20"/>
                <w:szCs w:val="20"/>
                <w:color w:val="auto"/>
                <w:w w:val="96"/>
              </w:rPr>
              <w:t>Maximum Number of Performance Stock</w:t>
            </w: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0"/>
                <w:szCs w:val="20"/>
                <w:color w:val="auto"/>
              </w:rPr>
            </w:pPr>
            <w:r>
              <w:rPr>
                <w:rFonts w:ascii="Arial" w:cs="Arial" w:eastAsia="Arial" w:hAnsi="Arial"/>
                <w:sz w:val="20"/>
                <w:szCs w:val="20"/>
                <w:color w:val="auto"/>
              </w:rPr>
              <w:t>Units:</w:t>
            </w: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520" w:type="dxa"/>
            <w:vAlign w:val="bottom"/>
          </w:tcPr>
          <w:p>
            <w:pPr>
              <w:spacing w:after="0"/>
              <w:rPr>
                <w:sz w:val="20"/>
                <w:szCs w:val="20"/>
                <w:color w:val="auto"/>
              </w:rPr>
            </w:pPr>
            <w:r>
              <w:rPr>
                <w:rFonts w:ascii="Arial" w:cs="Arial" w:eastAsia="Arial" w:hAnsi="Arial"/>
                <w:sz w:val="20"/>
                <w:szCs w:val="20"/>
                <w:color w:val="auto"/>
              </w:rPr>
              <w:t>Grant Date:</w:t>
            </w: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520" w:type="dxa"/>
            <w:vAlign w:val="bottom"/>
          </w:tcPr>
          <w:p>
            <w:pPr>
              <w:spacing w:after="0"/>
              <w:rPr>
                <w:sz w:val="20"/>
                <w:szCs w:val="20"/>
                <w:color w:val="auto"/>
              </w:rPr>
            </w:pPr>
            <w:r>
              <w:rPr>
                <w:rFonts w:ascii="Arial" w:cs="Arial" w:eastAsia="Arial" w:hAnsi="Arial"/>
                <w:sz w:val="20"/>
                <w:szCs w:val="20"/>
                <w:color w:val="auto"/>
              </w:rPr>
              <w:t>Performance Period:</w:t>
            </w:r>
          </w:p>
        </w:tc>
        <w:tc>
          <w:tcPr>
            <w:tcW w:w="6960" w:type="dxa"/>
            <w:vAlign w:val="bottom"/>
            <w:gridSpan w:val="5"/>
          </w:tcPr>
          <w:p>
            <w:pPr>
              <w:ind w:left="40"/>
              <w:spacing w:after="0"/>
              <w:rPr>
                <w:sz w:val="20"/>
                <w:szCs w:val="20"/>
                <w:color w:val="auto"/>
              </w:rPr>
            </w:pPr>
            <w:r>
              <w:rPr>
                <w:rFonts w:ascii="Arial" w:cs="Arial" w:eastAsia="Arial" w:hAnsi="Arial"/>
                <w:sz w:val="20"/>
                <w:szCs w:val="20"/>
                <w:color w:val="auto"/>
              </w:rPr>
              <w:t>August 30, 2020 – August 28, 2021</w:t>
            </w:r>
          </w:p>
        </w:tc>
        <w:tc>
          <w:tcPr>
            <w:tcW w:w="0" w:type="dxa"/>
            <w:vAlign w:val="bottom"/>
          </w:tcPr>
          <w:p>
            <w:pPr>
              <w:spacing w:after="0"/>
              <w:rPr>
                <w:sz w:val="1"/>
                <w:szCs w:val="1"/>
                <w:color w:val="auto"/>
              </w:rPr>
            </w:pPr>
          </w:p>
        </w:tc>
      </w:tr>
      <w:tr>
        <w:trPr>
          <w:trHeight w:val="283"/>
        </w:trPr>
        <w:tc>
          <w:tcPr>
            <w:tcW w:w="3520" w:type="dxa"/>
            <w:vAlign w:val="bottom"/>
          </w:tcPr>
          <w:p>
            <w:pPr>
              <w:spacing w:after="0"/>
              <w:rPr>
                <w:sz w:val="20"/>
                <w:szCs w:val="20"/>
                <w:color w:val="auto"/>
              </w:rPr>
            </w:pPr>
            <w:r>
              <w:rPr>
                <w:rFonts w:ascii="Arial" w:cs="Arial" w:eastAsia="Arial" w:hAnsi="Arial"/>
                <w:sz w:val="20"/>
                <w:szCs w:val="20"/>
                <w:color w:val="auto"/>
              </w:rPr>
              <w:t>Vesting Schedule:</w:t>
            </w:r>
          </w:p>
        </w:tc>
        <w:tc>
          <w:tcPr>
            <w:tcW w:w="6960" w:type="dxa"/>
            <w:vAlign w:val="bottom"/>
            <w:gridSpan w:val="5"/>
            <w:vMerge w:val="restart"/>
          </w:tcPr>
          <w:p>
            <w:pPr>
              <w:ind w:left="40"/>
              <w:spacing w:after="0"/>
              <w:rPr>
                <w:sz w:val="20"/>
                <w:szCs w:val="20"/>
                <w:color w:val="auto"/>
              </w:rPr>
            </w:pPr>
            <w:r>
              <w:rPr>
                <w:rFonts w:ascii="Arial" w:cs="Arial" w:eastAsia="Arial" w:hAnsi="Arial"/>
                <w:sz w:val="20"/>
                <w:szCs w:val="20"/>
                <w:color w:val="auto"/>
                <w:w w:val="89"/>
              </w:rPr>
              <w:t>Of the Units determined in accordance with Exhibit 1 to have been earned as of the end</w:t>
            </w:r>
          </w:p>
        </w:tc>
        <w:tc>
          <w:tcPr>
            <w:tcW w:w="0" w:type="dxa"/>
            <w:vAlign w:val="bottom"/>
          </w:tcPr>
          <w:p>
            <w:pPr>
              <w:spacing w:after="0"/>
              <w:rPr>
                <w:sz w:val="1"/>
                <w:szCs w:val="1"/>
                <w:color w:val="auto"/>
              </w:rPr>
            </w:pPr>
          </w:p>
        </w:tc>
      </w:tr>
      <w:tr>
        <w:trPr>
          <w:trHeight w:val="63"/>
        </w:trPr>
        <w:tc>
          <w:tcPr>
            <w:tcW w:w="3520" w:type="dxa"/>
            <w:vAlign w:val="bottom"/>
          </w:tcPr>
          <w:p>
            <w:pPr>
              <w:spacing w:after="0"/>
              <w:rPr>
                <w:sz w:val="5"/>
                <w:szCs w:val="5"/>
                <w:color w:val="auto"/>
              </w:rPr>
            </w:pPr>
          </w:p>
        </w:tc>
        <w:tc>
          <w:tcPr>
            <w:tcW w:w="69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520" w:type="dxa"/>
            <w:vAlign w:val="bottom"/>
          </w:tcPr>
          <w:p>
            <w:pPr>
              <w:spacing w:after="0"/>
              <w:rPr>
                <w:sz w:val="20"/>
                <w:szCs w:val="20"/>
                <w:color w:val="auto"/>
              </w:rPr>
            </w:pPr>
          </w:p>
        </w:tc>
        <w:tc>
          <w:tcPr>
            <w:tcW w:w="6960" w:type="dxa"/>
            <w:vAlign w:val="bottom"/>
            <w:gridSpan w:val="5"/>
          </w:tcPr>
          <w:p>
            <w:pPr>
              <w:ind w:left="40"/>
              <w:spacing w:after="0"/>
              <w:rPr>
                <w:sz w:val="20"/>
                <w:szCs w:val="20"/>
                <w:color w:val="auto"/>
              </w:rPr>
            </w:pPr>
            <w:r>
              <w:rPr>
                <w:rFonts w:ascii="Arial" w:cs="Arial" w:eastAsia="Arial" w:hAnsi="Arial"/>
                <w:sz w:val="20"/>
                <w:szCs w:val="20"/>
                <w:color w:val="auto"/>
                <w:w w:val="97"/>
              </w:rPr>
              <w:t>of the Performance Period, (i) 50% will vest* on the date the Company’s Human</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19"/>
                <w:szCs w:val="19"/>
                <w:color w:val="auto"/>
              </w:rPr>
            </w:pPr>
          </w:p>
        </w:tc>
        <w:tc>
          <w:tcPr>
            <w:tcW w:w="6960" w:type="dxa"/>
            <w:vAlign w:val="bottom"/>
            <w:gridSpan w:val="5"/>
          </w:tcPr>
          <w:p>
            <w:pPr>
              <w:ind w:left="40"/>
              <w:spacing w:after="0"/>
              <w:rPr>
                <w:sz w:val="20"/>
                <w:szCs w:val="20"/>
                <w:color w:val="auto"/>
              </w:rPr>
            </w:pPr>
            <w:r>
              <w:rPr>
                <w:rFonts w:ascii="Arial" w:cs="Arial" w:eastAsia="Arial" w:hAnsi="Arial"/>
                <w:sz w:val="20"/>
                <w:szCs w:val="20"/>
                <w:color w:val="auto"/>
                <w:w w:val="91"/>
              </w:rPr>
              <w:t>Resources Committee certifies such performance results, which shall be no later than</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19"/>
                <w:szCs w:val="19"/>
                <w:color w:val="auto"/>
              </w:rPr>
            </w:pPr>
          </w:p>
        </w:tc>
        <w:tc>
          <w:tcPr>
            <w:tcW w:w="6960" w:type="dxa"/>
            <w:vAlign w:val="bottom"/>
            <w:gridSpan w:val="5"/>
          </w:tcPr>
          <w:p>
            <w:pPr>
              <w:ind w:left="40"/>
              <w:spacing w:after="0"/>
              <w:rPr>
                <w:sz w:val="20"/>
                <w:szCs w:val="20"/>
                <w:color w:val="auto"/>
              </w:rPr>
            </w:pPr>
            <w:r>
              <w:rPr>
                <w:rFonts w:ascii="Arial" w:cs="Arial" w:eastAsia="Arial" w:hAnsi="Arial"/>
                <w:sz w:val="20"/>
                <w:szCs w:val="20"/>
                <w:color w:val="auto"/>
                <w:w w:val="92"/>
              </w:rPr>
              <w:t>the 10th day of the third calendar month following the end of the Performance Period</w:t>
            </w: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1"/>
                <w:szCs w:val="21"/>
                <w:color w:val="auto"/>
              </w:rPr>
            </w:pPr>
          </w:p>
        </w:tc>
        <w:tc>
          <w:tcPr>
            <w:tcW w:w="6960" w:type="dxa"/>
            <w:vAlign w:val="bottom"/>
            <w:gridSpan w:val="5"/>
          </w:tcPr>
          <w:p>
            <w:pPr>
              <w:ind w:left="40"/>
              <w:spacing w:after="0"/>
              <w:rPr>
                <w:sz w:val="20"/>
                <w:szCs w:val="20"/>
                <w:color w:val="auto"/>
              </w:rPr>
            </w:pPr>
            <w:r>
              <w:rPr>
                <w:rFonts w:ascii="Arial" w:cs="Arial" w:eastAsia="Arial" w:hAnsi="Arial"/>
                <w:sz w:val="20"/>
                <w:szCs w:val="20"/>
                <w:color w:val="auto"/>
                <w:w w:val="96"/>
              </w:rPr>
              <w:t>and (ii) the remaining 50% will vest on the second anniversary of the Grant Date.</w:t>
            </w:r>
          </w:p>
        </w:tc>
        <w:tc>
          <w:tcPr>
            <w:tcW w:w="0" w:type="dxa"/>
            <w:vAlign w:val="bottom"/>
          </w:tcPr>
          <w:p>
            <w:pPr>
              <w:spacing w:after="0"/>
              <w:rPr>
                <w:sz w:val="1"/>
                <w:szCs w:val="1"/>
                <w:color w:val="auto"/>
              </w:rPr>
            </w:pPr>
          </w:p>
        </w:tc>
      </w:tr>
      <w:tr>
        <w:trPr>
          <w:trHeight w:val="391"/>
        </w:trPr>
        <w:tc>
          <w:tcPr>
            <w:tcW w:w="3520" w:type="dxa"/>
            <w:vAlign w:val="bottom"/>
          </w:tcPr>
          <w:p>
            <w:pPr>
              <w:spacing w:after="0"/>
              <w:rPr>
                <w:sz w:val="20"/>
                <w:szCs w:val="20"/>
                <w:color w:val="auto"/>
              </w:rPr>
            </w:pPr>
            <w:r>
              <w:rPr>
                <w:rFonts w:ascii="Arial" w:cs="Arial" w:eastAsia="Arial" w:hAnsi="Arial"/>
                <w:sz w:val="20"/>
                <w:szCs w:val="20"/>
                <w:color w:val="auto"/>
              </w:rPr>
              <w:t>Performance Goals:</w:t>
            </w:r>
          </w:p>
        </w:tc>
        <w:tc>
          <w:tcPr>
            <w:tcW w:w="6960" w:type="dxa"/>
            <w:vAlign w:val="bottom"/>
            <w:gridSpan w:val="5"/>
            <w:vMerge w:val="restart"/>
          </w:tcPr>
          <w:p>
            <w:pPr>
              <w:ind w:left="40"/>
              <w:spacing w:after="0"/>
              <w:rPr>
                <w:sz w:val="20"/>
                <w:szCs w:val="20"/>
                <w:color w:val="auto"/>
              </w:rPr>
            </w:pPr>
            <w:r>
              <w:rPr>
                <w:rFonts w:ascii="Arial" w:cs="Arial" w:eastAsia="Arial" w:hAnsi="Arial"/>
                <w:sz w:val="20"/>
                <w:szCs w:val="20"/>
                <w:color w:val="auto"/>
              </w:rPr>
              <w:t>See Exhibit 1</w:t>
            </w:r>
          </w:p>
        </w:tc>
        <w:tc>
          <w:tcPr>
            <w:tcW w:w="0" w:type="dxa"/>
            <w:vAlign w:val="bottom"/>
          </w:tcPr>
          <w:p>
            <w:pPr>
              <w:spacing w:after="0"/>
              <w:rPr>
                <w:sz w:val="1"/>
                <w:szCs w:val="1"/>
                <w:color w:val="auto"/>
              </w:rPr>
            </w:pPr>
          </w:p>
        </w:tc>
      </w:tr>
      <w:tr>
        <w:trPr>
          <w:trHeight w:val="64"/>
        </w:trPr>
        <w:tc>
          <w:tcPr>
            <w:tcW w:w="3520" w:type="dxa"/>
            <w:vAlign w:val="bottom"/>
          </w:tcPr>
          <w:p>
            <w:pPr>
              <w:spacing w:after="0"/>
              <w:rPr>
                <w:sz w:val="5"/>
                <w:szCs w:val="5"/>
                <w:color w:val="auto"/>
              </w:rPr>
            </w:pPr>
          </w:p>
        </w:tc>
        <w:tc>
          <w:tcPr>
            <w:tcW w:w="69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Assumes your service has been continuous from the Grant Date to the vesting date.</w:t>
      </w:r>
    </w:p>
    <w:p>
      <w:pPr>
        <w:spacing w:after="0" w:line="200" w:lineRule="exact"/>
        <w:rPr>
          <w:sz w:val="20"/>
          <w:szCs w:val="20"/>
          <w:color w:val="auto"/>
        </w:rPr>
      </w:pPr>
    </w:p>
    <w:p>
      <w:pPr>
        <w:spacing w:after="0" w:line="239" w:lineRule="exact"/>
        <w:rPr>
          <w:sz w:val="20"/>
          <w:szCs w:val="20"/>
          <w:color w:val="auto"/>
        </w:rPr>
      </w:pPr>
    </w:p>
    <w:p>
      <w:pPr>
        <w:jc w:val="both"/>
        <w:ind w:firstLine="231"/>
        <w:spacing w:after="0" w:line="250" w:lineRule="auto"/>
        <w:rPr>
          <w:sz w:val="20"/>
          <w:szCs w:val="20"/>
          <w:color w:val="auto"/>
        </w:rPr>
      </w:pPr>
      <w:r>
        <w:rPr>
          <w:rFonts w:ascii="Arial" w:cs="Arial" w:eastAsia="Arial" w:hAnsi="Arial"/>
          <w:sz w:val="20"/>
          <w:szCs w:val="20"/>
          <w:color w:val="auto"/>
        </w:rPr>
        <w:t>By signing below or otherwise evidencing your acceptance of this Agreement in a manner approved by the Company, you agree to all of the terms and conditions contained in this Agreement and in the Plan document. You acknowledge that you have received and reviewed these documents.</w:t>
      </w:r>
    </w:p>
    <w:p>
      <w:pPr>
        <w:spacing w:after="0" w:line="213" w:lineRule="exact"/>
        <w:rPr>
          <w:sz w:val="20"/>
          <w:szCs w:val="20"/>
          <w:color w:val="auto"/>
        </w:rPr>
      </w:pPr>
    </w:p>
    <w:p>
      <w:pPr>
        <w:spacing w:after="0"/>
        <w:tabs>
          <w:tab w:leader="none" w:pos="2260" w:val="left"/>
        </w:tabs>
        <w:rPr>
          <w:sz w:val="20"/>
          <w:szCs w:val="20"/>
          <w:color w:val="auto"/>
        </w:rPr>
      </w:pPr>
      <w:r>
        <w:rPr>
          <w:rFonts w:ascii="Arial" w:cs="Arial" w:eastAsia="Arial" w:hAnsi="Arial"/>
          <w:sz w:val="20"/>
          <w:szCs w:val="20"/>
          <w:color w:val="auto"/>
        </w:rPr>
        <w:t>PARTICIPANT:</w:t>
      </w:r>
      <w:r>
        <w:rPr>
          <w:sz w:val="20"/>
          <w:szCs w:val="20"/>
          <w:color w:val="auto"/>
        </w:rPr>
        <w:tab/>
      </w:r>
      <w:r>
        <w:rPr>
          <w:rFonts w:ascii="Arial" w:cs="Arial" w:eastAsia="Arial" w:hAnsi="Arial"/>
          <w:sz w:val="20"/>
          <w:szCs w:val="20"/>
          <w:color w:val="auto"/>
        </w:rPr>
        <w:t>WINNEBAGO INDUSTRIES, INC.</w:t>
      </w:r>
    </w:p>
    <w:p>
      <w:pPr>
        <w:spacing w:after="0" w:line="200" w:lineRule="exact"/>
        <w:rPr>
          <w:sz w:val="20"/>
          <w:szCs w:val="20"/>
          <w:color w:val="auto"/>
        </w:rPr>
      </w:pPr>
    </w:p>
    <w:p>
      <w:pPr>
        <w:spacing w:after="0" w:line="28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483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2">
                      <a:extLst>
                        <a:ext uri="{28A0092B-C50C-407E-A947-70E740481C1C}"/>
                      </a:extLst>
                    </a:blip>
                    <a:srcRect/>
                    <a:stretch>
                      <a:fillRect/>
                    </a:stretch>
                  </pic:blipFill>
                  <pic:spPr bwMode="auto">
                    <a:xfrm>
                      <a:off x="0" y="0"/>
                      <a:ext cx="1814830" cy="825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1149985</wp:posOffset>
            </wp:positionH>
            <wp:positionV relativeFrom="paragraph">
              <wp:posOffset>-24765</wp:posOffset>
            </wp:positionV>
            <wp:extent cx="75374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3">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100" w:name="page101"/>
    <w:bookmarkEnd w:id="100"/>
    <w:p>
      <w:pPr>
        <w:ind w:left="4100"/>
        <w:spacing w:after="0"/>
        <w:rPr>
          <w:sz w:val="20"/>
          <w:szCs w:val="20"/>
          <w:color w:val="auto"/>
        </w:rPr>
      </w:pPr>
      <w:r>
        <w:rPr>
          <w:rFonts w:ascii="Arial" w:cs="Arial" w:eastAsia="Arial" w:hAnsi="Arial"/>
          <w:sz w:val="20"/>
          <w:szCs w:val="20"/>
          <w:b w:val="1"/>
          <w:bCs w:val="1"/>
          <w:color w:val="auto"/>
        </w:rPr>
        <w:t>WINNEBAGO INDUSTRIES, INC.</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2019 OMNIBUS INCENTIVE PLAN</w:t>
      </w:r>
    </w:p>
    <w:p>
      <w:pPr>
        <w:spacing w:after="0" w:line="26" w:lineRule="exact"/>
        <w:rPr>
          <w:sz w:val="20"/>
          <w:szCs w:val="20"/>
          <w:color w:val="auto"/>
        </w:rPr>
      </w:pPr>
    </w:p>
    <w:p>
      <w:pPr>
        <w:ind w:left="4120"/>
        <w:spacing w:after="0"/>
        <w:rPr>
          <w:sz w:val="20"/>
          <w:szCs w:val="20"/>
          <w:color w:val="auto"/>
        </w:rPr>
      </w:pPr>
      <w:r>
        <w:rPr>
          <w:rFonts w:ascii="Arial" w:cs="Arial" w:eastAsia="Arial" w:hAnsi="Arial"/>
          <w:sz w:val="20"/>
          <w:szCs w:val="20"/>
          <w:b w:val="1"/>
          <w:bCs w:val="1"/>
          <w:color w:val="auto"/>
        </w:rPr>
        <w:t>Performance Stock Unit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Terms and Conditions</w:t>
      </w:r>
    </w:p>
    <w:p>
      <w:pPr>
        <w:spacing w:after="0" w:line="256" w:lineRule="exact"/>
        <w:rPr>
          <w:sz w:val="20"/>
          <w:szCs w:val="20"/>
          <w:color w:val="auto"/>
        </w:rPr>
      </w:pPr>
    </w:p>
    <w:p>
      <w:pPr>
        <w:ind w:right="640" w:firstLine="8"/>
        <w:spacing w:after="0" w:line="281" w:lineRule="auto"/>
        <w:tabs>
          <w:tab w:leader="none" w:pos="346"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Defined Terms</w:t>
      </w:r>
      <w:r>
        <w:rPr>
          <w:rFonts w:ascii="Arial" w:cs="Arial" w:eastAsia="Arial" w:hAnsi="Arial"/>
          <w:sz w:val="20"/>
          <w:szCs w:val="20"/>
          <w:b w:val="1"/>
          <w:bCs w:val="1"/>
          <w:color w:val="auto"/>
        </w:rPr>
        <w:t>. For purposes of this Agreement, the definitions of terms contained in the Plan hereby are incorporated by reference, except to the extent that any such term is specifically defined in this Agreement.</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“Good Reason” shall have the meaning set forth in your change in control agreement, if applicable.</w:t>
      </w:r>
    </w:p>
    <w:p>
      <w:pPr>
        <w:spacing w:after="0" w:line="216" w:lineRule="exact"/>
        <w:rPr>
          <w:sz w:val="20"/>
          <w:szCs w:val="20"/>
          <w:color w:val="auto"/>
        </w:rPr>
      </w:pPr>
    </w:p>
    <w:p>
      <w:pPr>
        <w:jc w:val="both"/>
        <w:ind w:firstLine="8"/>
        <w:spacing w:after="0" w:line="256" w:lineRule="auto"/>
        <w:tabs>
          <w:tab w:leader="none" w:pos="360" w:val="left"/>
        </w:tabs>
        <w:numPr>
          <w:ilvl w:val="0"/>
          <w:numId w:val="69"/>
        </w:numPr>
        <w:rPr>
          <w:rFonts w:ascii="Arial" w:cs="Arial" w:eastAsia="Arial" w:hAnsi="Arial"/>
          <w:sz w:val="19"/>
          <w:szCs w:val="19"/>
          <w:color w:val="auto"/>
        </w:rPr>
      </w:pPr>
      <w:r>
        <w:rPr>
          <w:rFonts w:ascii="Arial" w:cs="Arial" w:eastAsia="Arial" w:hAnsi="Arial"/>
          <w:sz w:val="19"/>
          <w:szCs w:val="19"/>
          <w:b w:val="1"/>
          <w:bCs w:val="1"/>
          <w:u w:val="single" w:color="auto"/>
          <w:color w:val="auto"/>
        </w:rPr>
        <w:t>Award of Performance Stock Units</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hereby confirms the grant to you, as of the Grant Date and subject to the terms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conditions of this Agreement and the Plan, of an award of Performance Stock Units (the “Units”) in an amount initially equal to the Target Number of Performance Stock Units specified on the cover page of this Agreement. The number of Units that may actually be earned and become eligible to vest pursuant to this Award can be between 0% and 200% of the Target Number of Performance Stock Units, but may not exceed the Maximum Number of Performance Stock Units specified on the cover page of this Agreement. Each Unit that is earned as a result of the performance goals specified in </w:t>
      </w:r>
      <w:r>
        <w:rPr>
          <w:rFonts w:ascii="Arial" w:cs="Arial" w:eastAsia="Arial" w:hAnsi="Arial"/>
          <w:sz w:val="19"/>
          <w:szCs w:val="19"/>
          <w:u w:val="single" w:color="auto"/>
          <w:color w:val="auto"/>
        </w:rPr>
        <w:t>Exhibit 1</w:t>
      </w:r>
      <w:r>
        <w:rPr>
          <w:rFonts w:ascii="Arial" w:cs="Arial" w:eastAsia="Arial" w:hAnsi="Arial"/>
          <w:sz w:val="19"/>
          <w:szCs w:val="19"/>
          <w:color w:val="auto"/>
        </w:rPr>
        <w:t xml:space="preserve"> to this Agreement having been satisfied and which thereafter vests represents the right to receive one share of the Company’s common stock (each, a “Share”). Prior to their settlement or forfeiture in accordance with the terms of this Agreement, the Units granted to you will be credited to a performance stock unit account in your name maintained by the Company. This account will be unfunded and maintained for book-keeping purposes only, with the Units simply representing an unfunded and unsecured contingent obligation of the Company.</w:t>
      </w:r>
    </w:p>
    <w:p>
      <w:pPr>
        <w:spacing w:after="0" w:line="207" w:lineRule="exact"/>
        <w:rPr>
          <w:rFonts w:ascii="Arial" w:cs="Arial" w:eastAsia="Arial" w:hAnsi="Arial"/>
          <w:sz w:val="19"/>
          <w:szCs w:val="19"/>
          <w:color w:val="auto"/>
        </w:rPr>
      </w:pPr>
    </w:p>
    <w:p>
      <w:pPr>
        <w:jc w:val="both"/>
        <w:ind w:firstLine="8"/>
        <w:spacing w:after="0" w:line="277" w:lineRule="auto"/>
        <w:tabs>
          <w:tab w:leader="none" w:pos="360" w:val="left"/>
        </w:tabs>
        <w:numPr>
          <w:ilvl w:val="0"/>
          <w:numId w:val="69"/>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Restrictions Applicable to Units</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this Award nor the Units subject to this Award may be sold, assigned, transferred, exchanged</w:t>
      </w:r>
      <w:r>
        <w:rPr>
          <w:rFonts w:ascii="Arial" w:cs="Arial" w:eastAsia="Arial" w:hAnsi="Arial"/>
          <w:sz w:val="18"/>
          <w:szCs w:val="18"/>
          <w:b w:val="1"/>
          <w:bCs w:val="1"/>
          <w:color w:val="auto"/>
        </w:rPr>
        <w:t xml:space="preserve"> </w:t>
      </w:r>
      <w:r>
        <w:rPr>
          <w:rFonts w:ascii="Arial" w:cs="Arial" w:eastAsia="Arial" w:hAnsi="Arial"/>
          <w:sz w:val="18"/>
          <w:szCs w:val="18"/>
          <w:color w:val="auto"/>
        </w:rPr>
        <w:t>or encumbered, voluntarily or involuntarily, other than a transfer upon your death in accordance with your will, by the laws of descent and distribution or pursuant to a beneficiary designation submitted in accordance with the Plan. Following any such transfer, this Award shall continue to be subject to the same terms and conditions that were applicable to the Award immediately prior to its transfer. Any attempted transfer in violation of this Section 3 shall be void and without effect. The Units and your right to receive Shares in settlement of any Units under this Agreement shall be subject to forfeiture except to extent the Units have been earned and thereafter vest as provided in Section 5a.</w:t>
      </w:r>
    </w:p>
    <w:p>
      <w:pPr>
        <w:spacing w:after="0" w:line="186" w:lineRule="exact"/>
        <w:rPr>
          <w:rFonts w:ascii="Arial" w:cs="Arial" w:eastAsia="Arial" w:hAnsi="Arial"/>
          <w:sz w:val="18"/>
          <w:szCs w:val="18"/>
          <w:color w:val="auto"/>
        </w:rPr>
      </w:pPr>
    </w:p>
    <w:p>
      <w:pPr>
        <w:jc w:val="both"/>
        <w:ind w:firstLine="8"/>
        <w:spacing w:after="0" w:line="272" w:lineRule="auto"/>
        <w:tabs>
          <w:tab w:leader="none" w:pos="373" w:val="left"/>
        </w:tabs>
        <w:numPr>
          <w:ilvl w:val="0"/>
          <w:numId w:val="69"/>
        </w:numPr>
        <w:rPr>
          <w:rFonts w:ascii="Arial" w:cs="Arial" w:eastAsia="Arial" w:hAnsi="Arial"/>
          <w:sz w:val="19"/>
          <w:szCs w:val="19"/>
          <w:color w:val="auto"/>
        </w:rPr>
      </w:pPr>
      <w:r>
        <w:rPr>
          <w:rFonts w:ascii="Arial" w:cs="Arial" w:eastAsia="Arial" w:hAnsi="Arial"/>
          <w:sz w:val="19"/>
          <w:szCs w:val="19"/>
          <w:b w:val="1"/>
          <w:bCs w:val="1"/>
          <w:u w:val="single" w:color="auto"/>
          <w:color w:val="auto"/>
        </w:rPr>
        <w:t>No Shareholder Rights</w:t>
      </w:r>
      <w:r>
        <w:rPr>
          <w:rFonts w:ascii="Arial" w:cs="Arial" w:eastAsia="Arial" w:hAnsi="Arial"/>
          <w:sz w:val="19"/>
          <w:szCs w:val="19"/>
          <w:color w:val="auto"/>
        </w:rPr>
        <w:t>. The Units subject to this Award do not entitle you to any rights of a holder of the Company’s common stock.</w:t>
      </w:r>
      <w:r>
        <w:rPr>
          <w:rFonts w:ascii="Arial" w:cs="Arial" w:eastAsia="Arial" w:hAnsi="Arial"/>
          <w:sz w:val="19"/>
          <w:szCs w:val="19"/>
          <w:b w:val="1"/>
          <w:bCs w:val="1"/>
          <w:color w:val="auto"/>
        </w:rPr>
        <w:t xml:space="preserve"> </w:t>
      </w:r>
      <w:r>
        <w:rPr>
          <w:rFonts w:ascii="Arial" w:cs="Arial" w:eastAsia="Arial" w:hAnsi="Arial"/>
          <w:sz w:val="19"/>
          <w:szCs w:val="19"/>
          <w:color w:val="auto"/>
        </w:rPr>
        <w:t>You will not have any of the rights of a shareholder of the Company in connection with any Units granted or earned pursuant to this Agreement unless and until Shares are issued to you in settlement of earned and vested Units as provided in Section 6.</w:t>
      </w:r>
    </w:p>
    <w:p>
      <w:pPr>
        <w:spacing w:after="0" w:line="188" w:lineRule="exact"/>
        <w:rPr>
          <w:rFonts w:ascii="Arial" w:cs="Arial" w:eastAsia="Arial" w:hAnsi="Arial"/>
          <w:sz w:val="19"/>
          <w:szCs w:val="19"/>
          <w:color w:val="auto"/>
        </w:rPr>
      </w:pPr>
    </w:p>
    <w:p>
      <w:pPr>
        <w:jc w:val="both"/>
        <w:ind w:firstLine="8"/>
        <w:spacing w:after="0" w:line="253" w:lineRule="auto"/>
        <w:tabs>
          <w:tab w:leader="none" w:pos="373" w:val="left"/>
        </w:tabs>
        <w:numPr>
          <w:ilvl w:val="0"/>
          <w:numId w:val="69"/>
        </w:numPr>
        <w:rPr>
          <w:rFonts w:ascii="Arial" w:cs="Arial" w:eastAsia="Arial" w:hAnsi="Arial"/>
          <w:sz w:val="20"/>
          <w:szCs w:val="20"/>
          <w:color w:val="auto"/>
        </w:rPr>
      </w:pPr>
      <w:r>
        <w:rPr>
          <w:rFonts w:ascii="Arial" w:cs="Arial" w:eastAsia="Arial" w:hAnsi="Arial"/>
          <w:sz w:val="20"/>
          <w:szCs w:val="20"/>
          <w:b w:val="1"/>
          <w:bCs w:val="1"/>
          <w:u w:val="single" w:color="auto"/>
          <w:color w:val="auto"/>
        </w:rPr>
        <w:t>Vesting and Forfeiture of Units</w:t>
      </w:r>
      <w:r>
        <w:rPr>
          <w:rFonts w:ascii="Arial" w:cs="Arial" w:eastAsia="Arial" w:hAnsi="Arial"/>
          <w:sz w:val="20"/>
          <w:szCs w:val="20"/>
          <w:b w:val="1"/>
          <w:bCs w:val="1"/>
          <w:color w:val="auto"/>
        </w:rPr>
        <w:t xml:space="preserve">. </w:t>
      </w:r>
      <w:r>
        <w:rPr>
          <w:rFonts w:ascii="Arial" w:cs="Arial" w:eastAsia="Arial" w:hAnsi="Arial"/>
          <w:sz w:val="20"/>
          <w:szCs w:val="20"/>
          <w:color w:val="auto"/>
        </w:rPr>
        <w:t>For purposes of this Agreement, “Vesting Date” means any date, including a Scheduled Vesting Date</w:t>
      </w:r>
      <w:r>
        <w:rPr>
          <w:rFonts w:ascii="Arial" w:cs="Arial" w:eastAsia="Arial" w:hAnsi="Arial"/>
          <w:sz w:val="20"/>
          <w:szCs w:val="20"/>
          <w:b w:val="1"/>
          <w:bCs w:val="1"/>
          <w:color w:val="auto"/>
        </w:rPr>
        <w:t xml:space="preserve"> </w:t>
      </w:r>
      <w:r>
        <w:rPr>
          <w:rFonts w:ascii="Arial" w:cs="Arial" w:eastAsia="Arial" w:hAnsi="Arial"/>
          <w:sz w:val="20"/>
          <w:szCs w:val="20"/>
          <w:color w:val="auto"/>
        </w:rPr>
        <w:t>(defined below), on which Units subject to this Agreement vest as provided in this Section 5. Subject in all cases to Section 16(i) of the Plan, the Units shall vest at the earliest of the following times and to the degree specified.</w:t>
      </w:r>
    </w:p>
    <w:p>
      <w:pPr>
        <w:spacing w:after="0" w:line="210" w:lineRule="exact"/>
        <w:rPr>
          <w:rFonts w:ascii="Arial" w:cs="Arial" w:eastAsia="Arial" w:hAnsi="Arial"/>
          <w:sz w:val="20"/>
          <w:szCs w:val="20"/>
          <w:color w:val="auto"/>
        </w:rPr>
      </w:pPr>
    </w:p>
    <w:p>
      <w:pPr>
        <w:ind w:right="20" w:firstLine="656"/>
        <w:spacing w:after="0" w:line="260" w:lineRule="auto"/>
        <w:tabs>
          <w:tab w:leader="none" w:pos="1065" w:val="left"/>
        </w:tabs>
        <w:numPr>
          <w:ilvl w:val="1"/>
          <w:numId w:val="69"/>
        </w:numPr>
        <w:rPr>
          <w:rFonts w:ascii="Arial" w:cs="Arial" w:eastAsia="Arial" w:hAnsi="Arial"/>
          <w:sz w:val="20"/>
          <w:szCs w:val="20"/>
          <w:color w:val="auto"/>
        </w:rPr>
      </w:pPr>
      <w:r>
        <w:rPr>
          <w:rFonts w:ascii="Arial" w:cs="Arial" w:eastAsia="Arial" w:hAnsi="Arial"/>
          <w:sz w:val="20"/>
          <w:szCs w:val="20"/>
          <w:u w:val="single" w:color="auto"/>
          <w:color w:val="auto"/>
        </w:rPr>
        <w:t>Scheduled Vesting</w:t>
      </w:r>
      <w:r>
        <w:rPr>
          <w:rFonts w:ascii="Arial" w:cs="Arial" w:eastAsia="Arial" w:hAnsi="Arial"/>
          <w:sz w:val="20"/>
          <w:szCs w:val="20"/>
          <w:color w:val="auto"/>
        </w:rPr>
        <w:t xml:space="preserve">. One-half of the number of Units that have been earned during the Performance Period, as determined by the Committee in accordance with </w:t>
      </w:r>
      <w:r>
        <w:rPr>
          <w:rFonts w:ascii="Arial" w:cs="Arial" w:eastAsia="Arial" w:hAnsi="Arial"/>
          <w:sz w:val="20"/>
          <w:szCs w:val="20"/>
          <w:u w:val="single" w:color="auto"/>
          <w:color w:val="auto"/>
        </w:rPr>
        <w:t>Exhibit 1</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Earned Units</w:t>
      </w:r>
      <w:r>
        <w:rPr>
          <w:rFonts w:ascii="Arial" w:cs="Arial" w:eastAsia="Arial" w:hAnsi="Arial"/>
          <w:sz w:val="20"/>
          <w:szCs w:val="20"/>
          <w:color w:val="auto"/>
        </w:rPr>
        <w:t>”),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2180" w:val="left"/>
        </w:tabs>
        <w:rPr>
          <w:sz w:val="20"/>
          <w:szCs w:val="20"/>
          <w:color w:val="auto"/>
        </w:rPr>
      </w:pPr>
      <w:r>
        <w:rPr>
          <w:rFonts w:ascii="Arial" w:cs="Arial" w:eastAsia="Arial" w:hAnsi="Arial"/>
          <w:sz w:val="16"/>
          <w:szCs w:val="16"/>
          <w:color w:val="auto"/>
        </w:rPr>
        <w:t>PSU Agreement (2019 Plan)</w:t>
      </w:r>
      <w:r>
        <w:rPr>
          <w:sz w:val="20"/>
          <w:szCs w:val="20"/>
          <w:color w:val="auto"/>
        </w:rPr>
        <w:tab/>
      </w:r>
      <w:r>
        <w:rPr>
          <w:rFonts w:ascii="Arial" w:cs="Arial" w:eastAsia="Arial" w:hAnsi="Arial"/>
          <w:sz w:val="13"/>
          <w:szCs w:val="13"/>
          <w:color w:val="auto"/>
        </w:rPr>
        <w:t>Page 2</w:t>
      </w:r>
    </w:p>
    <w:p>
      <w:pPr>
        <w:sectPr>
          <w:pgSz w:w="11900" w:h="16838" w:orient="portrait"/>
          <w:cols w:equalWidth="0" w:num="1">
            <w:col w:w="11240"/>
          </w:cols>
          <w:pgMar w:left="320" w:top="1426" w:right="339" w:bottom="1440" w:gutter="0" w:footer="0" w:header="0"/>
        </w:sectPr>
      </w:pPr>
    </w:p>
    <w:bookmarkStart w:id="101" w:name="page102"/>
    <w:bookmarkEnd w:id="101"/>
    <w:p>
      <w:pPr>
        <w:jc w:val="both"/>
        <w:spacing w:after="0" w:line="257" w:lineRule="auto"/>
        <w:rPr>
          <w:sz w:val="20"/>
          <w:szCs w:val="20"/>
          <w:color w:val="auto"/>
        </w:rPr>
      </w:pPr>
      <w:r>
        <w:rPr>
          <w:rFonts w:ascii="Arial" w:cs="Arial" w:eastAsia="Arial" w:hAnsi="Arial"/>
          <w:sz w:val="19"/>
          <w:szCs w:val="19"/>
          <w:color w:val="auto"/>
        </w:rPr>
        <w:t>vest on the First Scheduled Vesting Date, so long as your Service has been continuous from the Grant Date to the First Scheduled Vesting Date, and the remaining one-half of the Earned Units will vest on the Second Scheduled Vesting Date, so long as your Service has been continuous from the Grant Date to the Second Scheduled Vesting Date. For these purposes, the “First Scheduled Vesting Date” means the date the Committee certifies (i) the degree to which the applicable performance goals for the Performance Period have been satisfied, and (ii) the number of Earned Units, which certification shall occur no later than the 10th day of the third calendar month following the end of the Performance Period, and the “Second Scheduled Vesting Date” is the second anniversary of the Grant Date. The First Scheduled Vesting Date and the Second Scheduled Vesting Date are each a “Scheduled Vesting Date.”</w:t>
      </w:r>
    </w:p>
    <w:p>
      <w:pPr>
        <w:spacing w:after="0" w:line="212" w:lineRule="exact"/>
        <w:rPr>
          <w:sz w:val="20"/>
          <w:szCs w:val="20"/>
          <w:color w:val="auto"/>
        </w:rPr>
      </w:pPr>
    </w:p>
    <w:p>
      <w:pPr>
        <w:jc w:val="both"/>
        <w:ind w:firstLine="656"/>
        <w:spacing w:after="0" w:line="246" w:lineRule="auto"/>
        <w:tabs>
          <w:tab w:leader="none" w:pos="1090" w:val="left"/>
        </w:tabs>
        <w:numPr>
          <w:ilvl w:val="1"/>
          <w:numId w:val="70"/>
        </w:numPr>
        <w:rPr>
          <w:rFonts w:ascii="Arial" w:cs="Arial" w:eastAsia="Arial" w:hAnsi="Arial"/>
          <w:sz w:val="20"/>
          <w:szCs w:val="20"/>
          <w:color w:val="auto"/>
        </w:rPr>
      </w:pPr>
      <w:r>
        <w:rPr>
          <w:rFonts w:ascii="Arial" w:cs="Arial" w:eastAsia="Arial" w:hAnsi="Arial"/>
          <w:sz w:val="20"/>
          <w:szCs w:val="20"/>
          <w:u w:val="single" w:color="auto"/>
          <w:color w:val="auto"/>
        </w:rPr>
        <w:t>Death or Disability</w:t>
      </w:r>
      <w:r>
        <w:rPr>
          <w:rFonts w:ascii="Arial" w:cs="Arial" w:eastAsia="Arial" w:hAnsi="Arial"/>
          <w:sz w:val="20"/>
          <w:szCs w:val="20"/>
          <w:color w:val="auto"/>
        </w:rPr>
        <w:t>. If your Service terminates by reason of your death or Disability prior to the conclusion of the Performance Period, then as of the date of your termination of Service, the Target Number of Performance Stock Units shall vest. If your Service terminates by reason of your death or Disability after the Performance Period, then as of your termination of Service, the number of Earned Units shall vest.</w:t>
      </w:r>
    </w:p>
    <w:p>
      <w:pPr>
        <w:spacing w:after="0" w:line="218" w:lineRule="exact"/>
        <w:rPr>
          <w:rFonts w:ascii="Arial" w:cs="Arial" w:eastAsia="Arial" w:hAnsi="Arial"/>
          <w:sz w:val="20"/>
          <w:szCs w:val="20"/>
          <w:color w:val="auto"/>
        </w:rPr>
      </w:pPr>
    </w:p>
    <w:p>
      <w:pPr>
        <w:jc w:val="both"/>
        <w:ind w:firstLine="656"/>
        <w:spacing w:after="0" w:line="250" w:lineRule="auto"/>
        <w:tabs>
          <w:tab w:leader="none" w:pos="1106" w:val="left"/>
        </w:tabs>
        <w:numPr>
          <w:ilvl w:val="1"/>
          <w:numId w:val="70"/>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If a Change in Control occurs after the Grant Date but before a Scheduled Vesting Date and your Service continues to the date of the Change in Control, the provisions of Section 12 of the Plan shall apply, including those providing for benefits upon termination of Service for Good Reason.</w:t>
      </w:r>
    </w:p>
    <w:p>
      <w:pPr>
        <w:spacing w:after="0" w:line="212" w:lineRule="exact"/>
        <w:rPr>
          <w:rFonts w:ascii="Arial" w:cs="Arial" w:eastAsia="Arial" w:hAnsi="Arial"/>
          <w:sz w:val="20"/>
          <w:szCs w:val="20"/>
          <w:color w:val="auto"/>
        </w:rPr>
      </w:pPr>
    </w:p>
    <w:p>
      <w:pPr>
        <w:jc w:val="both"/>
        <w:ind w:firstLine="656"/>
        <w:spacing w:after="0" w:line="269" w:lineRule="auto"/>
        <w:tabs>
          <w:tab w:leader="none" w:pos="1117" w:val="left"/>
        </w:tabs>
        <w:numPr>
          <w:ilvl w:val="1"/>
          <w:numId w:val="70"/>
        </w:numPr>
        <w:rPr>
          <w:rFonts w:ascii="Arial" w:cs="Arial" w:eastAsia="Arial" w:hAnsi="Arial"/>
          <w:sz w:val="19"/>
          <w:szCs w:val="19"/>
          <w:color w:val="auto"/>
        </w:rPr>
      </w:pPr>
      <w:r>
        <w:rPr>
          <w:rFonts w:ascii="Arial" w:cs="Arial" w:eastAsia="Arial" w:hAnsi="Arial"/>
          <w:sz w:val="19"/>
          <w:szCs w:val="19"/>
          <w:u w:val="single" w:color="auto"/>
          <w:color w:val="auto"/>
        </w:rPr>
        <w:t>Forfeiture of Unvested Units</w:t>
      </w:r>
      <w:r>
        <w:rPr>
          <w:rFonts w:ascii="Arial" w:cs="Arial" w:eastAsia="Arial" w:hAnsi="Arial"/>
          <w:sz w:val="19"/>
          <w:szCs w:val="19"/>
          <w:color w:val="auto"/>
        </w:rPr>
        <w:t>. To the extent any of Sections 5(a) through (c) is applicable to this Award, any Units that do not vest on the Vesting Date as provided therein shall immediately be forfeited. If your Service terminates prior to a Scheduled Vesting Date under circumstances other than as set forth in Sections 5(b) and 5(c), all unvested Units shall immediately be forfeited.</w:t>
      </w:r>
    </w:p>
    <w:p>
      <w:pPr>
        <w:spacing w:after="0" w:line="190" w:lineRule="exact"/>
        <w:rPr>
          <w:rFonts w:ascii="Arial" w:cs="Arial" w:eastAsia="Arial" w:hAnsi="Arial"/>
          <w:sz w:val="19"/>
          <w:szCs w:val="19"/>
          <w:color w:val="auto"/>
        </w:rPr>
      </w:pPr>
    </w:p>
    <w:p>
      <w:pPr>
        <w:jc w:val="both"/>
        <w:ind w:firstLine="8"/>
        <w:spacing w:after="0" w:line="263" w:lineRule="auto"/>
        <w:tabs>
          <w:tab w:leader="none" w:pos="346" w:val="left"/>
        </w:tabs>
        <w:numPr>
          <w:ilvl w:val="0"/>
          <w:numId w:val="71"/>
        </w:numPr>
        <w:rPr>
          <w:rFonts w:ascii="Arial" w:cs="Arial" w:eastAsia="Arial" w:hAnsi="Arial"/>
          <w:sz w:val="18"/>
          <w:szCs w:val="18"/>
          <w:color w:val="auto"/>
        </w:rPr>
      </w:pPr>
      <w:r>
        <w:rPr>
          <w:rFonts w:ascii="Arial" w:cs="Arial" w:eastAsia="Arial" w:hAnsi="Arial"/>
          <w:sz w:val="18"/>
          <w:szCs w:val="18"/>
          <w:b w:val="1"/>
          <w:bCs w:val="1"/>
          <w:u w:val="single" w:color="auto"/>
          <w:color w:val="auto"/>
        </w:rPr>
        <w:t>Settlement of Units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As soon as practicable after any date on which Units vest (but no later than the 15</w:t>
      </w:r>
      <w:r>
        <w:rPr>
          <w:rFonts w:ascii="Arial" w:cs="Arial" w:eastAsia="Arial" w:hAnsi="Arial"/>
          <w:sz w:val="23"/>
          <w:szCs w:val="23"/>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the third calendar month</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the Vesting Date), the Company shall cause to be issued and delivered to you (or to your personal representative or your designated beneficiary or estate in the event of your death, as applicable) one Share in payment and settlement of each vested Unit. Delivery of the Shares shall be effected by the issuance of a stock certificate to you, by an appropriate entry in the stock register maintained by the Company’s transfer agent with a notice of issuance provided to you, or by the electronic delivery of the Shares to a brokerage account you designate, and shall be subject to the tax withholding provisions of Section 8 and compliance with all applicable legal requirements as provided in Section 16 of the Plan, and shall be in complete satisfaction and settlement of such vested Units. If the Units that vest include a fractional Unit, the Company shall round the number of vested Units to the nearest whole Unit prior to issuance of Shares as provided herein.</w:t>
      </w:r>
    </w:p>
    <w:p>
      <w:pPr>
        <w:spacing w:after="0" w:line="201" w:lineRule="exact"/>
        <w:rPr>
          <w:rFonts w:ascii="Arial" w:cs="Arial" w:eastAsia="Arial" w:hAnsi="Arial"/>
          <w:sz w:val="18"/>
          <w:szCs w:val="18"/>
          <w:color w:val="auto"/>
        </w:rPr>
      </w:pPr>
    </w:p>
    <w:p>
      <w:pPr>
        <w:jc w:val="both"/>
        <w:ind w:firstLine="8"/>
        <w:spacing w:after="0" w:line="275" w:lineRule="auto"/>
        <w:tabs>
          <w:tab w:leader="none" w:pos="400" w:val="left"/>
        </w:tabs>
        <w:numPr>
          <w:ilvl w:val="0"/>
          <w:numId w:val="71"/>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 Equivalents</w:t>
      </w:r>
      <w:r>
        <w:rPr>
          <w:rFonts w:ascii="Arial" w:cs="Arial" w:eastAsia="Arial" w:hAnsi="Arial"/>
          <w:sz w:val="18"/>
          <w:szCs w:val="18"/>
          <w:color w:val="auto"/>
        </w:rPr>
        <w:t>. If the Company pays cash dividends on its Shares while any Units subject to this Agreement are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then on the date any Units vests pursuant to Section 5 above, the Total Dividend Equivalent Amount will be credited to your performance stock unit account in cash. The “Total Dividend Equivalent Amount” will be determined by multiplying the number of underlying Units determined to have vested as of the Vesting Date by the per share amount of each cash dividend paid on the Company’s common stock with a record date and payment date occurring between the Grant Date and the Vesting Date, and adding those products together. The Total Dividend Equivalent Amount so credited will be fully vested and subject to settlement at the same time as the underlying Units as provided in Section 6 above. Any dividend equivalents accrued on Units that are forfeited in accordance with this Agreement shall also be forfeited.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tabs>
          <w:tab w:leader="none" w:pos="2180" w:val="left"/>
        </w:tabs>
        <w:rPr>
          <w:sz w:val="20"/>
          <w:szCs w:val="20"/>
          <w:color w:val="auto"/>
        </w:rPr>
      </w:pPr>
      <w:r>
        <w:rPr>
          <w:rFonts w:ascii="Arial" w:cs="Arial" w:eastAsia="Arial" w:hAnsi="Arial"/>
          <w:sz w:val="16"/>
          <w:szCs w:val="16"/>
          <w:color w:val="auto"/>
        </w:rPr>
        <w:t>PSU Agreement (2019 Plan)</w:t>
      </w:r>
      <w:r>
        <w:rPr>
          <w:sz w:val="20"/>
          <w:szCs w:val="20"/>
          <w:color w:val="auto"/>
        </w:rPr>
        <w:tab/>
      </w:r>
      <w:r>
        <w:rPr>
          <w:rFonts w:ascii="Arial" w:cs="Arial" w:eastAsia="Arial" w:hAnsi="Arial"/>
          <w:sz w:val="13"/>
          <w:szCs w:val="13"/>
          <w:color w:val="auto"/>
        </w:rPr>
        <w:t>Page 3</w:t>
      </w:r>
    </w:p>
    <w:p>
      <w:pPr>
        <w:sectPr>
          <w:pgSz w:w="11900" w:h="16838" w:orient="portrait"/>
          <w:cols w:equalWidth="0" w:num="1">
            <w:col w:w="11240"/>
          </w:cols>
          <w:pgMar w:left="320" w:top="1419" w:right="339" w:bottom="1440" w:gutter="0" w:footer="0" w:header="0"/>
        </w:sectPr>
      </w:pPr>
    </w:p>
    <w:bookmarkStart w:id="102" w:name="page103"/>
    <w:bookmarkEnd w:id="102"/>
    <w:p>
      <w:pPr>
        <w:jc w:val="both"/>
        <w:ind w:firstLine="8"/>
        <w:spacing w:after="0" w:line="256" w:lineRule="auto"/>
        <w:tabs>
          <w:tab w:leader="none" w:pos="373" w:val="left"/>
        </w:tabs>
        <w:numPr>
          <w:ilvl w:val="0"/>
          <w:numId w:val="72"/>
        </w:numPr>
        <w:rPr>
          <w:rFonts w:ascii="Arial" w:cs="Arial" w:eastAsia="Arial" w:hAnsi="Arial"/>
          <w:sz w:val="19"/>
          <w:szCs w:val="19"/>
          <w:color w:val="auto"/>
        </w:rPr>
      </w:pPr>
      <w:r>
        <w:rPr>
          <w:rFonts w:ascii="Arial" w:cs="Arial" w:eastAsia="Arial" w:hAnsi="Arial"/>
          <w:sz w:val="19"/>
          <w:szCs w:val="19"/>
          <w:b w:val="1"/>
          <w:bCs w:val="1"/>
          <w:u w:val="single" w:color="auto"/>
          <w:color w:val="auto"/>
        </w:rPr>
        <w:t>Tax Consequences and Withholding</w:t>
      </w:r>
      <w:r>
        <w:rPr>
          <w:rFonts w:ascii="Arial" w:cs="Arial" w:eastAsia="Arial" w:hAnsi="Arial"/>
          <w:sz w:val="19"/>
          <w:szCs w:val="19"/>
          <w:color w:val="auto"/>
        </w:rPr>
        <w:t>. No Shares will be delivered to you in settlement of vested Units, and no payment of any vested</w:t>
      </w:r>
      <w:r>
        <w:rPr>
          <w:rFonts w:ascii="Arial" w:cs="Arial" w:eastAsia="Arial" w:hAnsi="Arial"/>
          <w:sz w:val="19"/>
          <w:szCs w:val="19"/>
          <w:b w:val="1"/>
          <w:bCs w:val="1"/>
          <w:color w:val="auto"/>
        </w:rPr>
        <w:t xml:space="preserve"> </w:t>
      </w:r>
      <w:r>
        <w:rPr>
          <w:rFonts w:ascii="Arial" w:cs="Arial" w:eastAsia="Arial" w:hAnsi="Arial"/>
          <w:sz w:val="19"/>
          <w:szCs w:val="19"/>
          <w:color w:val="auto"/>
        </w:rPr>
        <w:t>Total Dividend Equivalent Amount will be made, unless you have made arrangements acceptable to the Company for payment of any federal, state, local or foreign withholding taxes that may be due as a result of the delivery of the Shares and any such payment. You hereby authorize the Company (or any Affiliate) to withhold from the Total Dividend Equivalent Amount, payroll or other amounts payable to you any sums required to satisfy such withholding tax obligations, and otherwise agree to satisfy such obligations in accordance with the provisions of Section 14 of the Plan. You further authorize and consent to the Company, or its respective agents, that all withholding tax obligations may be satisfied by having the Company or its agent withhold a number of Shares that would otherwise be issued to you in settlement of the Units and that have a fair market value equal to the then-outstanding amount of such withholding tax obligations, unless in lieu thereof, you elect at the time of conversion of the Units such other then-permitted method or combination of methods established by the Committee in its discretion, if any, to satisfy your withholding tax obligations.</w:t>
      </w:r>
    </w:p>
    <w:p>
      <w:pPr>
        <w:spacing w:after="0" w:line="207" w:lineRule="exact"/>
        <w:rPr>
          <w:rFonts w:ascii="Arial" w:cs="Arial" w:eastAsia="Arial" w:hAnsi="Arial"/>
          <w:sz w:val="19"/>
          <w:szCs w:val="19"/>
          <w:color w:val="auto"/>
        </w:rPr>
      </w:pPr>
    </w:p>
    <w:p>
      <w:pPr>
        <w:jc w:val="both"/>
        <w:ind w:firstLine="8"/>
        <w:spacing w:after="0" w:line="275" w:lineRule="auto"/>
        <w:tabs>
          <w:tab w:leader="none" w:pos="481"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Every notice or other communication relating to this Agreement shall be in writing and shall be mailed to or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electronically) to the party for whom it is intended at such address as may from time to time be designated by it in a notice mailed or delivered to the other party as herein provided. Unless and until some other address is so designated, all notices or communications by you to the Company shall be mailed or delivered to the Company, to the attention of its Senior Vice President, General Counsel and Secretary, at its office at 13200 Pioneer Trail, Suite 150, Eden Prairie, MN 55347, slbogart@winnebagoind.com, and all notices or communications by the Company to you may be given to you personally or may be mailed or, if you are still a Service Provider, emailed to you at the address indicated in the Company's records as your most recent mailing or email address.</w:t>
      </w:r>
    </w:p>
    <w:p>
      <w:pPr>
        <w:spacing w:after="0" w:line="162" w:lineRule="exact"/>
        <w:rPr>
          <w:rFonts w:ascii="Arial" w:cs="Arial" w:eastAsia="Arial" w:hAnsi="Arial"/>
          <w:sz w:val="18"/>
          <w:szCs w:val="18"/>
          <w:color w:val="auto"/>
        </w:rPr>
      </w:pPr>
    </w:p>
    <w:p>
      <w:pPr>
        <w:ind w:left="460" w:hanging="452"/>
        <w:spacing w:after="0"/>
        <w:tabs>
          <w:tab w:leader="none" w:pos="460" w:val="left"/>
        </w:tabs>
        <w:numPr>
          <w:ilvl w:val="0"/>
          <w:numId w:val="72"/>
        </w:numPr>
        <w:rPr>
          <w:rFonts w:ascii="Arial" w:cs="Arial" w:eastAsia="Arial" w:hAnsi="Arial"/>
          <w:sz w:val="20"/>
          <w:szCs w:val="20"/>
          <w:color w:val="auto"/>
        </w:rPr>
      </w:pPr>
      <w:r>
        <w:rPr>
          <w:rFonts w:ascii="Arial" w:cs="Arial" w:eastAsia="Arial" w:hAnsi="Arial"/>
          <w:sz w:val="20"/>
          <w:szCs w:val="20"/>
          <w:b w:val="1"/>
          <w:bCs w:val="1"/>
          <w:u w:val="single" w:color="auto"/>
          <w:color w:val="auto"/>
        </w:rPr>
        <w:t>Additional Provisions</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jc w:val="both"/>
        <w:ind w:firstLine="656"/>
        <w:spacing w:after="0" w:line="250" w:lineRule="auto"/>
        <w:tabs>
          <w:tab w:leader="none" w:pos="1160" w:val="left"/>
        </w:tabs>
        <w:numPr>
          <w:ilvl w:val="1"/>
          <w:numId w:val="72"/>
        </w:numPr>
        <w:rPr>
          <w:rFonts w:ascii="Arial" w:cs="Arial" w:eastAsia="Arial" w:hAnsi="Arial"/>
          <w:sz w:val="20"/>
          <w:szCs w:val="20"/>
          <w:color w:val="auto"/>
        </w:rPr>
      </w:pPr>
      <w:r>
        <w:rPr>
          <w:rFonts w:ascii="Arial" w:cs="Arial" w:eastAsia="Arial" w:hAnsi="Arial"/>
          <w:sz w:val="20"/>
          <w:szCs w:val="20"/>
          <w:u w:val="single" w:color="auto"/>
          <w:color w:val="auto"/>
        </w:rPr>
        <w:t>No Right to Continued Service</w:t>
      </w:r>
      <w:r>
        <w:rPr>
          <w:rFonts w:ascii="Arial" w:cs="Arial" w:eastAsia="Arial" w:hAnsi="Arial"/>
          <w:sz w:val="20"/>
          <w:szCs w:val="20"/>
          <w:color w:val="auto"/>
        </w:rPr>
        <w:t>. This Agreement does not give you a right to continued Service with the Company or any Affiliate, and the Company or any such Affiliate may terminate your Service at any time and otherwise deal with you without regard to the effect it may have upon you under this Agreement.</w:t>
      </w:r>
    </w:p>
    <w:p>
      <w:pPr>
        <w:spacing w:after="0" w:line="212" w:lineRule="exact"/>
        <w:rPr>
          <w:rFonts w:ascii="Arial" w:cs="Arial" w:eastAsia="Arial" w:hAnsi="Arial"/>
          <w:sz w:val="20"/>
          <w:szCs w:val="20"/>
          <w:color w:val="auto"/>
        </w:rPr>
      </w:pPr>
    </w:p>
    <w:p>
      <w:pPr>
        <w:jc w:val="both"/>
        <w:ind w:firstLine="656"/>
        <w:spacing w:after="0" w:line="250" w:lineRule="auto"/>
        <w:tabs>
          <w:tab w:leader="none" w:pos="1279" w:val="left"/>
        </w:tabs>
        <w:numPr>
          <w:ilvl w:val="1"/>
          <w:numId w:val="72"/>
        </w:numPr>
        <w:rPr>
          <w:rFonts w:ascii="Arial" w:cs="Arial" w:eastAsia="Arial" w:hAnsi="Arial"/>
          <w:sz w:val="20"/>
          <w:szCs w:val="20"/>
          <w:color w:val="auto"/>
        </w:rPr>
      </w:pPr>
      <w:r>
        <w:rPr>
          <w:rFonts w:ascii="Arial" w:cs="Arial" w:eastAsia="Arial" w:hAnsi="Arial"/>
          <w:sz w:val="20"/>
          <w:szCs w:val="20"/>
          <w:u w:val="single" w:color="auto"/>
          <w:color w:val="auto"/>
        </w:rPr>
        <w:t>Governing Plan Document</w:t>
      </w:r>
      <w:r>
        <w:rPr>
          <w:rFonts w:ascii="Arial" w:cs="Arial" w:eastAsia="Arial" w:hAnsi="Arial"/>
          <w:sz w:val="20"/>
          <w:szCs w:val="20"/>
          <w:color w:val="auto"/>
        </w:rPr>
        <w:t>. This Agreement and the Award are subject to all the provisions of the 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spacing w:after="0" w:line="212" w:lineRule="exact"/>
        <w:rPr>
          <w:rFonts w:ascii="Arial" w:cs="Arial" w:eastAsia="Arial" w:hAnsi="Arial"/>
          <w:sz w:val="20"/>
          <w:szCs w:val="20"/>
          <w:color w:val="auto"/>
        </w:rPr>
      </w:pPr>
    </w:p>
    <w:p>
      <w:pPr>
        <w:ind w:right="20" w:firstLine="656"/>
        <w:spacing w:after="0" w:line="316" w:lineRule="auto"/>
        <w:tabs>
          <w:tab w:leader="none" w:pos="1079"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the parties’ performance hereunder, and the relationship between them shall be governed by, construed, and enforced in accordance with the laws of the State of Iowa, without giving effect to the choice of law principles thereof.</w:t>
      </w:r>
    </w:p>
    <w:p>
      <w:pPr>
        <w:spacing w:after="0" w:line="156" w:lineRule="exact"/>
        <w:rPr>
          <w:rFonts w:ascii="Arial" w:cs="Arial" w:eastAsia="Arial" w:hAnsi="Arial"/>
          <w:sz w:val="18"/>
          <w:szCs w:val="18"/>
          <w:color w:val="auto"/>
        </w:rPr>
      </w:pPr>
    </w:p>
    <w:p>
      <w:pPr>
        <w:jc w:val="both"/>
        <w:ind w:firstLine="656"/>
        <w:spacing w:after="0" w:line="246" w:lineRule="auto"/>
        <w:tabs>
          <w:tab w:leader="none" w:pos="1090" w:val="left"/>
        </w:tabs>
        <w:numPr>
          <w:ilvl w:val="1"/>
          <w:numId w:val="72"/>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provisions of this Agreement shall be severable and if any provision of this Agreement is found by any court to be unenforceable, in whole or in part, the remainder of this Agreement shall nevertheless be enforceable and binding on the parties. You also agree that any trier of fact may modify any invalid, overbroad or unenforceable provision of this Agreement so that such provision, as modified, is valid and enforceable under applicable law.</w:t>
      </w:r>
    </w:p>
    <w:p>
      <w:pPr>
        <w:spacing w:after="0" w:line="218" w:lineRule="exact"/>
        <w:rPr>
          <w:rFonts w:ascii="Arial" w:cs="Arial" w:eastAsia="Arial" w:hAnsi="Arial"/>
          <w:sz w:val="20"/>
          <w:szCs w:val="20"/>
          <w:color w:val="auto"/>
        </w:rPr>
      </w:pPr>
    </w:p>
    <w:p>
      <w:pPr>
        <w:ind w:firstLine="656"/>
        <w:spacing w:after="0" w:line="260" w:lineRule="auto"/>
        <w:tabs>
          <w:tab w:leader="none" w:pos="1065" w:val="left"/>
        </w:tabs>
        <w:numPr>
          <w:ilvl w:val="1"/>
          <w:numId w:val="72"/>
        </w:numPr>
        <w:rPr>
          <w:rFonts w:ascii="Arial" w:cs="Arial" w:eastAsia="Arial" w:hAnsi="Arial"/>
          <w:sz w:val="20"/>
          <w:szCs w:val="20"/>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This Agreement will be binding in all respects on your heirs, representatives, successors and assigns, and on the successors and assigns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2180" w:val="left"/>
        </w:tabs>
        <w:rPr>
          <w:sz w:val="20"/>
          <w:szCs w:val="20"/>
          <w:color w:val="auto"/>
        </w:rPr>
      </w:pPr>
      <w:r>
        <w:rPr>
          <w:rFonts w:ascii="Arial" w:cs="Arial" w:eastAsia="Arial" w:hAnsi="Arial"/>
          <w:sz w:val="16"/>
          <w:szCs w:val="16"/>
          <w:color w:val="auto"/>
        </w:rPr>
        <w:t>PSU Agreement (2019 Plan)</w:t>
      </w:r>
      <w:r>
        <w:rPr>
          <w:sz w:val="20"/>
          <w:szCs w:val="20"/>
          <w:color w:val="auto"/>
        </w:rPr>
        <w:tab/>
      </w:r>
      <w:r>
        <w:rPr>
          <w:rFonts w:ascii="Arial" w:cs="Arial" w:eastAsia="Arial" w:hAnsi="Arial"/>
          <w:sz w:val="13"/>
          <w:szCs w:val="13"/>
          <w:color w:val="auto"/>
        </w:rPr>
        <w:t>Page 4</w:t>
      </w:r>
    </w:p>
    <w:p>
      <w:pPr>
        <w:sectPr>
          <w:pgSz w:w="11900" w:h="16838" w:orient="portrait"/>
          <w:cols w:equalWidth="0" w:num="1">
            <w:col w:w="11240"/>
          </w:cols>
          <w:pgMar w:left="320" w:top="1413" w:right="339" w:bottom="1440" w:gutter="0" w:footer="0" w:header="0"/>
        </w:sectPr>
      </w:pPr>
    </w:p>
    <w:bookmarkStart w:id="103" w:name="page104"/>
    <w:bookmarkEnd w:id="103"/>
    <w:p>
      <w:pPr>
        <w:spacing w:after="0" w:line="222" w:lineRule="exact"/>
        <w:rPr>
          <w:sz w:val="20"/>
          <w:szCs w:val="20"/>
          <w:color w:val="auto"/>
        </w:rPr>
      </w:pPr>
    </w:p>
    <w:p>
      <w:pPr>
        <w:jc w:val="both"/>
        <w:ind w:firstLine="656"/>
        <w:spacing w:after="0" w:line="250" w:lineRule="auto"/>
        <w:tabs>
          <w:tab w:leader="none" w:pos="1044"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Section 409A of the Code</w:t>
      </w:r>
      <w:r>
        <w:rPr>
          <w:rFonts w:ascii="Arial" w:cs="Arial" w:eastAsia="Arial" w:hAnsi="Arial"/>
          <w:sz w:val="20"/>
          <w:szCs w:val="20"/>
          <w:color w:val="auto"/>
        </w:rPr>
        <w:t>. The award of Units as provided in this Agreement and any issuance of Shares or payment pursuant to this Agreement are intended to be exempt from Section 409A of the Code under the short-term deferral exception specified in Treas. Reg. § 1.409A-l(b)(4).</w:t>
      </w:r>
    </w:p>
    <w:p>
      <w:pPr>
        <w:spacing w:after="0" w:line="212" w:lineRule="exact"/>
        <w:rPr>
          <w:rFonts w:ascii="Arial" w:cs="Arial" w:eastAsia="Arial" w:hAnsi="Arial"/>
          <w:sz w:val="20"/>
          <w:szCs w:val="20"/>
          <w:color w:val="auto"/>
        </w:rPr>
      </w:pPr>
    </w:p>
    <w:p>
      <w:pPr>
        <w:jc w:val="both"/>
        <w:ind w:firstLine="656"/>
        <w:spacing w:after="0" w:line="246" w:lineRule="auto"/>
        <w:tabs>
          <w:tab w:leader="none" w:pos="1103"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Electronic Delivery and Acceptance</w:t>
      </w:r>
      <w:r>
        <w:rPr>
          <w:rFonts w:ascii="Arial" w:cs="Arial" w:eastAsia="Arial" w:hAnsi="Arial"/>
          <w:sz w:val="20"/>
          <w:szCs w:val="20"/>
          <w:color w:val="auto"/>
        </w:rPr>
        <w:t>. The Company may deliver any documents related to this Performance Stock Unit Award by electronic means and request your acceptance of this Agreement by electronic means. You hereby consent to receive all applicable documentation by electronic delivery and to participate in the Plan through an on-line (and/or voice activated) system established and maintained by the Company or the Company’s third-party stock plan administrator.</w:t>
      </w:r>
    </w:p>
    <w:p>
      <w:pPr>
        <w:spacing w:after="0" w:line="83" w:lineRule="exact"/>
        <w:rPr>
          <w:rFonts w:ascii="Arial" w:cs="Arial" w:eastAsia="Arial" w:hAnsi="Arial"/>
          <w:sz w:val="20"/>
          <w:szCs w:val="20"/>
          <w:color w:val="auto"/>
        </w:rPr>
      </w:pPr>
    </w:p>
    <w:p>
      <w:pPr>
        <w:jc w:val="both"/>
        <w:ind w:firstLine="656"/>
        <w:spacing w:after="0" w:line="273" w:lineRule="auto"/>
        <w:tabs>
          <w:tab w:leader="none" w:pos="1103"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Forfeiture and Compensation Recovery</w:t>
      </w:r>
      <w:r>
        <w:rPr>
          <w:rFonts w:ascii="Arial" w:cs="Arial" w:eastAsia="Arial" w:hAnsi="Arial"/>
          <w:sz w:val="18"/>
          <w:szCs w:val="18"/>
          <w:color w:val="auto"/>
        </w:rPr>
        <w:t>. To the extent that this Award and any compensation associated herewith is considered “incentive-based compensation” within the meaning and subject to the requirements of Section 10D of the Exchange Act, this Award and any compensation associated herewith shall be subject to potential forfeiture or recovery by the Company or other action in accordance with the Company’s Executive Officer Incentive Compensation Recovery Policy, as may be amended or amended and restated from time to time, and any other compensation recovery policy adopted by the Board or the Committee at any time, including in response to the requirements of Section 10D of the Exchange Act and any implementing rules and regulations thereunder adopted by the Securities and Exchange Commission or any national securities exchange on which the Company’s Shares are then listed, or as otherwise required by law. This Agreement may be unilaterally amended by the Committee to comply with any such compensation recovery policy.</w:t>
      </w:r>
    </w:p>
    <w:p>
      <w:pPr>
        <w:spacing w:after="0" w:line="195"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b w:val="1"/>
          <w:bCs w:val="1"/>
          <w:i w:val="1"/>
          <w:iCs w:val="1"/>
          <w:color w:val="auto"/>
        </w:rPr>
        <w:t>By signing the cover page of this Agreement or otherwise accepting this Agreement in a manner approved by the Company, you agree to all the terms and conditions described above and in the Plan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2180" w:val="left"/>
        </w:tabs>
        <w:rPr>
          <w:sz w:val="20"/>
          <w:szCs w:val="20"/>
          <w:color w:val="auto"/>
        </w:rPr>
      </w:pPr>
      <w:r>
        <w:rPr>
          <w:rFonts w:ascii="Arial" w:cs="Arial" w:eastAsia="Arial" w:hAnsi="Arial"/>
          <w:sz w:val="16"/>
          <w:szCs w:val="16"/>
          <w:color w:val="auto"/>
        </w:rPr>
        <w:t>PSU Agreement (2019 Plan)</w:t>
      </w:r>
      <w:r>
        <w:rPr>
          <w:sz w:val="20"/>
          <w:szCs w:val="20"/>
          <w:color w:val="auto"/>
        </w:rPr>
        <w:tab/>
      </w:r>
      <w:r>
        <w:rPr>
          <w:rFonts w:ascii="Arial" w:cs="Arial" w:eastAsia="Arial" w:hAnsi="Arial"/>
          <w:sz w:val="13"/>
          <w:szCs w:val="13"/>
          <w:color w:val="auto"/>
        </w:rPr>
        <w:t>Page 5</w:t>
      </w:r>
    </w:p>
    <w:p>
      <w:pPr>
        <w:sectPr>
          <w:pgSz w:w="11900" w:h="16838" w:orient="portrait"/>
          <w:cols w:equalWidth="0" w:num="1">
            <w:col w:w="11240"/>
          </w:cols>
          <w:pgMar w:left="320" w:top="1440"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22"/>
          <w:szCs w:val="22"/>
          <w:b w:val="1"/>
          <w:bCs w:val="1"/>
          <w:color w:val="auto"/>
        </w:rPr>
        <w:t>FY21-FY23 LTIP/PSU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100"/>
        <w:spacing w:after="0"/>
        <w:rPr>
          <w:sz w:val="20"/>
          <w:szCs w:val="20"/>
          <w:color w:val="auto"/>
        </w:rPr>
      </w:pPr>
      <w:r>
        <w:rPr>
          <w:rFonts w:ascii="Arial" w:cs="Arial" w:eastAsia="Arial" w:hAnsi="Arial"/>
          <w:sz w:val="20"/>
          <w:szCs w:val="20"/>
          <w:b w:val="1"/>
          <w:bCs w:val="1"/>
          <w:color w:val="auto"/>
        </w:rPr>
        <w:t>WINNEBAGO INDUSTRIES, INC.</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2019 OMNIBUS INCENTIVE PLAN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Performance Stock Unit Agreement</w:t>
      </w:r>
    </w:p>
    <w:p>
      <w:pPr>
        <w:spacing w:after="0" w:line="24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Winnebago Industries, Inc. (the “</w:t>
      </w:r>
      <w:r>
        <w:rPr>
          <w:rFonts w:ascii="Arial" w:cs="Arial" w:eastAsia="Arial" w:hAnsi="Arial"/>
          <w:sz w:val="18"/>
          <w:szCs w:val="18"/>
          <w:u w:val="single" w:color="auto"/>
          <w:color w:val="auto"/>
        </w:rPr>
        <w:t>Company</w:t>
      </w:r>
      <w:r>
        <w:rPr>
          <w:rFonts w:ascii="Arial" w:cs="Arial" w:eastAsia="Arial" w:hAnsi="Arial"/>
          <w:sz w:val="18"/>
          <w:szCs w:val="18"/>
          <w:color w:val="auto"/>
        </w:rPr>
        <w:t>”), pursuant to its 2019 Omnibus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hereby grants an award of Performance Stock Units to you, the Participant named below. The terms and conditions of this Award are set forth in this Performance Stock Unit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consisting of this cover page, the Terms and Conditions on the following pages and the attached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1</w:t>
      </w:r>
      <w:r>
        <w:rPr>
          <w:rFonts w:ascii="Arial" w:cs="Arial" w:eastAsia="Arial" w:hAnsi="Arial"/>
          <w:sz w:val="18"/>
          <w:szCs w:val="18"/>
          <w:color w:val="auto"/>
        </w:rPr>
        <w:t>, and in the Plan document, a copy of which has been provided to you. Any capitalized term that is used but not defined in this Agreement shall have the meaning assigned to it in the Plan as it currently exists or as it is amended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149860</wp:posOffset>
            </wp:positionV>
            <wp:extent cx="7020560" cy="25031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4">
                      <a:extLst>
                        <a:ext uri="{28A0092B-C50C-407E-A947-70E740481C1C}"/>
                      </a:extLst>
                    </a:blip>
                    <a:srcRect/>
                    <a:stretch>
                      <a:fillRect/>
                    </a:stretch>
                  </pic:blipFill>
                  <pic:spPr bwMode="auto">
                    <a:xfrm>
                      <a:off x="0" y="0"/>
                      <a:ext cx="7020560" cy="2503170"/>
                    </a:xfrm>
                    <a:prstGeom prst="rect">
                      <a:avLst/>
                    </a:prstGeom>
                    <a:noFill/>
                  </pic:spPr>
                </pic:pic>
              </a:graphicData>
            </a:graphic>
          </wp:anchor>
        </w:drawing>
      </w:r>
    </w:p>
    <w:p>
      <w:pPr>
        <w:spacing w:after="0" w:line="280" w:lineRule="exact"/>
        <w:rPr>
          <w:sz w:val="20"/>
          <w:szCs w:val="20"/>
          <w:color w:val="auto"/>
        </w:rPr>
      </w:pPr>
    </w:p>
    <w:tbl>
      <w:tblPr>
        <w:tblLayout w:type="fixed"/>
        <w:tblInd w:w="60" w:type="dxa"/>
        <w:tblCellMar>
          <w:top w:w="0" w:type="dxa"/>
          <w:left w:w="0" w:type="dxa"/>
          <w:bottom w:w="0" w:type="dxa"/>
          <w:right w:w="0" w:type="dxa"/>
        </w:tblCellMar>
      </w:tblPr>
      <w:tr>
        <w:trPr>
          <w:trHeight w:val="250"/>
        </w:trPr>
        <w:tc>
          <w:tcPr>
            <w:tcW w:w="3580" w:type="dxa"/>
            <w:vAlign w:val="bottom"/>
          </w:tcPr>
          <w:p>
            <w:pPr>
              <w:spacing w:after="0"/>
              <w:rPr>
                <w:sz w:val="20"/>
                <w:szCs w:val="20"/>
                <w:color w:val="auto"/>
              </w:rPr>
            </w:pPr>
            <w:r>
              <w:rPr>
                <w:rFonts w:ascii="Arial" w:cs="Arial" w:eastAsia="Arial" w:hAnsi="Arial"/>
                <w:sz w:val="20"/>
                <w:szCs w:val="20"/>
                <w:color w:val="auto"/>
              </w:rPr>
              <w:t>Name of Participant:</w:t>
            </w: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580" w:type="dxa"/>
            <w:vAlign w:val="bottom"/>
          </w:tcPr>
          <w:p>
            <w:pPr>
              <w:spacing w:after="0"/>
              <w:rPr>
                <w:sz w:val="20"/>
                <w:szCs w:val="20"/>
                <w:color w:val="auto"/>
              </w:rPr>
            </w:pPr>
            <w:r>
              <w:rPr>
                <w:rFonts w:ascii="Arial" w:cs="Arial" w:eastAsia="Arial" w:hAnsi="Arial"/>
                <w:sz w:val="20"/>
                <w:szCs w:val="20"/>
                <w:color w:val="auto"/>
                <w:w w:val="91"/>
              </w:rPr>
              <w:t>Target Number of Performance Stock Units:</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80" w:type="dxa"/>
            <w:vAlign w:val="bottom"/>
          </w:tcPr>
          <w:p>
            <w:pPr>
              <w:spacing w:after="0"/>
              <w:rPr>
                <w:sz w:val="20"/>
                <w:szCs w:val="20"/>
                <w:color w:val="auto"/>
              </w:rPr>
            </w:pPr>
            <w:r>
              <w:rPr>
                <w:rFonts w:ascii="Arial" w:cs="Arial" w:eastAsia="Arial" w:hAnsi="Arial"/>
                <w:sz w:val="20"/>
                <w:szCs w:val="20"/>
                <w:color w:val="auto"/>
                <w:w w:val="98"/>
              </w:rPr>
              <w:t>Maximum Number of Performance Stock</w:t>
            </w: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580" w:type="dxa"/>
            <w:vAlign w:val="bottom"/>
          </w:tcPr>
          <w:p>
            <w:pPr>
              <w:spacing w:after="0"/>
              <w:rPr>
                <w:sz w:val="20"/>
                <w:szCs w:val="20"/>
                <w:color w:val="auto"/>
              </w:rPr>
            </w:pPr>
            <w:r>
              <w:rPr>
                <w:rFonts w:ascii="Arial" w:cs="Arial" w:eastAsia="Arial" w:hAnsi="Arial"/>
                <w:sz w:val="20"/>
                <w:szCs w:val="20"/>
                <w:color w:val="auto"/>
              </w:rPr>
              <w:t>Units:</w:t>
            </w: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580" w:type="dxa"/>
            <w:vAlign w:val="bottom"/>
          </w:tcPr>
          <w:p>
            <w:pPr>
              <w:spacing w:after="0"/>
              <w:rPr>
                <w:sz w:val="20"/>
                <w:szCs w:val="20"/>
                <w:color w:val="auto"/>
              </w:rPr>
            </w:pPr>
            <w:r>
              <w:rPr>
                <w:rFonts w:ascii="Arial" w:cs="Arial" w:eastAsia="Arial" w:hAnsi="Arial"/>
                <w:sz w:val="20"/>
                <w:szCs w:val="20"/>
                <w:color w:val="auto"/>
              </w:rPr>
              <w:t>Grant Date:</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80" w:type="dxa"/>
            <w:vAlign w:val="bottom"/>
          </w:tcPr>
          <w:p>
            <w:pPr>
              <w:spacing w:after="0"/>
              <w:rPr>
                <w:sz w:val="20"/>
                <w:szCs w:val="20"/>
                <w:color w:val="auto"/>
              </w:rPr>
            </w:pPr>
            <w:r>
              <w:rPr>
                <w:rFonts w:ascii="Arial" w:cs="Arial" w:eastAsia="Arial" w:hAnsi="Arial"/>
                <w:sz w:val="20"/>
                <w:szCs w:val="20"/>
                <w:color w:val="auto"/>
              </w:rPr>
              <w:t>Performance Period:</w:t>
            </w:r>
          </w:p>
        </w:tc>
        <w:tc>
          <w:tcPr>
            <w:tcW w:w="7320" w:type="dxa"/>
            <w:vAlign w:val="bottom"/>
            <w:gridSpan w:val="5"/>
          </w:tcPr>
          <w:p>
            <w:pPr>
              <w:ind w:left="80"/>
              <w:spacing w:after="0"/>
              <w:rPr>
                <w:sz w:val="20"/>
                <w:szCs w:val="20"/>
                <w:color w:val="auto"/>
              </w:rPr>
            </w:pPr>
            <w:r>
              <w:rPr>
                <w:rFonts w:ascii="Arial" w:cs="Arial" w:eastAsia="Arial" w:hAnsi="Arial"/>
                <w:sz w:val="20"/>
                <w:szCs w:val="20"/>
                <w:color w:val="auto"/>
                <w:w w:val="90"/>
              </w:rPr>
              <w:t>August 30, 2020 – August 26, 2023, which may include one or more periods of time within</w:t>
            </w:r>
          </w:p>
        </w:tc>
        <w:tc>
          <w:tcPr>
            <w:tcW w:w="0" w:type="dxa"/>
            <w:vAlign w:val="bottom"/>
          </w:tcPr>
          <w:p>
            <w:pPr>
              <w:spacing w:after="0"/>
              <w:rPr>
                <w:sz w:val="1"/>
                <w:szCs w:val="1"/>
                <w:color w:val="auto"/>
              </w:rPr>
            </w:pPr>
          </w:p>
        </w:tc>
      </w:tr>
      <w:tr>
        <w:trPr>
          <w:trHeight w:val="250"/>
        </w:trPr>
        <w:tc>
          <w:tcPr>
            <w:tcW w:w="3580" w:type="dxa"/>
            <w:vAlign w:val="bottom"/>
          </w:tcPr>
          <w:p>
            <w:pPr>
              <w:spacing w:after="0"/>
              <w:rPr>
                <w:sz w:val="21"/>
                <w:szCs w:val="21"/>
                <w:color w:val="auto"/>
              </w:rPr>
            </w:pPr>
          </w:p>
        </w:tc>
        <w:tc>
          <w:tcPr>
            <w:tcW w:w="7320" w:type="dxa"/>
            <w:vAlign w:val="bottom"/>
            <w:gridSpan w:val="5"/>
          </w:tcPr>
          <w:p>
            <w:pPr>
              <w:ind w:left="80"/>
              <w:spacing w:after="0"/>
              <w:rPr>
                <w:sz w:val="20"/>
                <w:szCs w:val="20"/>
                <w:color w:val="auto"/>
              </w:rPr>
            </w:pPr>
            <w:r>
              <w:rPr>
                <w:rFonts w:ascii="Arial" w:cs="Arial" w:eastAsia="Arial" w:hAnsi="Arial"/>
                <w:sz w:val="20"/>
                <w:szCs w:val="20"/>
                <w:color w:val="auto"/>
              </w:rPr>
              <w:t>such Performance Period (each, a “Sub-Performance Period”)</w:t>
            </w:r>
          </w:p>
        </w:tc>
        <w:tc>
          <w:tcPr>
            <w:tcW w:w="0" w:type="dxa"/>
            <w:vAlign w:val="bottom"/>
          </w:tcPr>
          <w:p>
            <w:pPr>
              <w:spacing w:after="0"/>
              <w:rPr>
                <w:sz w:val="1"/>
                <w:szCs w:val="1"/>
                <w:color w:val="auto"/>
              </w:rPr>
            </w:pPr>
          </w:p>
        </w:tc>
      </w:tr>
      <w:tr>
        <w:trPr>
          <w:trHeight w:val="283"/>
        </w:trPr>
        <w:tc>
          <w:tcPr>
            <w:tcW w:w="3580" w:type="dxa"/>
            <w:vAlign w:val="bottom"/>
          </w:tcPr>
          <w:p>
            <w:pPr>
              <w:spacing w:after="0"/>
              <w:rPr>
                <w:sz w:val="20"/>
                <w:szCs w:val="20"/>
                <w:color w:val="auto"/>
              </w:rPr>
            </w:pPr>
            <w:r>
              <w:rPr>
                <w:rFonts w:ascii="Arial" w:cs="Arial" w:eastAsia="Arial" w:hAnsi="Arial"/>
                <w:sz w:val="20"/>
                <w:szCs w:val="20"/>
                <w:color w:val="auto"/>
              </w:rPr>
              <w:t>Vesting Schedule:</w:t>
            </w:r>
          </w:p>
        </w:tc>
        <w:tc>
          <w:tcPr>
            <w:tcW w:w="7320" w:type="dxa"/>
            <w:vAlign w:val="bottom"/>
            <w:gridSpan w:val="5"/>
            <w:vMerge w:val="restart"/>
          </w:tcPr>
          <w:p>
            <w:pPr>
              <w:ind w:left="80"/>
              <w:spacing w:after="0"/>
              <w:rPr>
                <w:sz w:val="20"/>
                <w:szCs w:val="20"/>
                <w:color w:val="auto"/>
              </w:rPr>
            </w:pPr>
            <w:r>
              <w:rPr>
                <w:rFonts w:ascii="Arial" w:cs="Arial" w:eastAsia="Arial" w:hAnsi="Arial"/>
                <w:sz w:val="20"/>
                <w:szCs w:val="20"/>
                <w:color w:val="auto"/>
                <w:w w:val="92"/>
              </w:rPr>
              <w:t>The number of Units determined in accordance with Exhibit 1 to have been earned as of</w:t>
            </w:r>
          </w:p>
        </w:tc>
        <w:tc>
          <w:tcPr>
            <w:tcW w:w="0" w:type="dxa"/>
            <w:vAlign w:val="bottom"/>
          </w:tcPr>
          <w:p>
            <w:pPr>
              <w:spacing w:after="0"/>
              <w:rPr>
                <w:sz w:val="1"/>
                <w:szCs w:val="1"/>
                <w:color w:val="auto"/>
              </w:rPr>
            </w:pPr>
          </w:p>
        </w:tc>
      </w:tr>
      <w:tr>
        <w:trPr>
          <w:trHeight w:val="63"/>
        </w:trPr>
        <w:tc>
          <w:tcPr>
            <w:tcW w:w="3580" w:type="dxa"/>
            <w:vAlign w:val="bottom"/>
          </w:tcPr>
          <w:p>
            <w:pPr>
              <w:spacing w:after="0"/>
              <w:rPr>
                <w:sz w:val="5"/>
                <w:szCs w:val="5"/>
                <w:color w:val="auto"/>
              </w:rPr>
            </w:pPr>
          </w:p>
        </w:tc>
        <w:tc>
          <w:tcPr>
            <w:tcW w:w="732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580" w:type="dxa"/>
            <w:vAlign w:val="bottom"/>
          </w:tcPr>
          <w:p>
            <w:pPr>
              <w:spacing w:after="0"/>
              <w:rPr>
                <w:sz w:val="20"/>
                <w:szCs w:val="20"/>
                <w:color w:val="auto"/>
              </w:rPr>
            </w:pPr>
          </w:p>
        </w:tc>
        <w:tc>
          <w:tcPr>
            <w:tcW w:w="7320" w:type="dxa"/>
            <w:vAlign w:val="bottom"/>
            <w:gridSpan w:val="5"/>
          </w:tcPr>
          <w:p>
            <w:pPr>
              <w:ind w:left="80"/>
              <w:spacing w:after="0"/>
              <w:rPr>
                <w:sz w:val="20"/>
                <w:szCs w:val="20"/>
                <w:color w:val="auto"/>
              </w:rPr>
            </w:pPr>
            <w:r>
              <w:rPr>
                <w:rFonts w:ascii="Arial" w:cs="Arial" w:eastAsia="Arial" w:hAnsi="Arial"/>
                <w:sz w:val="20"/>
                <w:szCs w:val="20"/>
                <w:color w:val="auto"/>
                <w:w w:val="89"/>
              </w:rPr>
              <w:t>the end of the Performance Period will vest* on the date the Company’s Human Resources</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19"/>
                <w:szCs w:val="19"/>
                <w:color w:val="auto"/>
              </w:rPr>
            </w:pPr>
          </w:p>
        </w:tc>
        <w:tc>
          <w:tcPr>
            <w:tcW w:w="7320" w:type="dxa"/>
            <w:vAlign w:val="bottom"/>
            <w:gridSpan w:val="5"/>
          </w:tcPr>
          <w:p>
            <w:pPr>
              <w:ind w:left="80"/>
              <w:spacing w:after="0"/>
              <w:rPr>
                <w:sz w:val="20"/>
                <w:szCs w:val="20"/>
                <w:color w:val="auto"/>
              </w:rPr>
            </w:pPr>
            <w:r>
              <w:rPr>
                <w:rFonts w:ascii="Arial" w:cs="Arial" w:eastAsia="Arial" w:hAnsi="Arial"/>
                <w:sz w:val="20"/>
                <w:szCs w:val="20"/>
                <w:color w:val="auto"/>
                <w:w w:val="91"/>
              </w:rPr>
              <w:t>Committee certifies such performance results, which shall be no later than the 10th day of</w:t>
            </w:r>
          </w:p>
        </w:tc>
        <w:tc>
          <w:tcPr>
            <w:tcW w:w="0" w:type="dxa"/>
            <w:vAlign w:val="bottom"/>
          </w:tcPr>
          <w:p>
            <w:pPr>
              <w:spacing w:after="0"/>
              <w:rPr>
                <w:sz w:val="1"/>
                <w:szCs w:val="1"/>
                <w:color w:val="auto"/>
              </w:rPr>
            </w:pPr>
          </w:p>
        </w:tc>
      </w:tr>
      <w:tr>
        <w:trPr>
          <w:trHeight w:val="250"/>
        </w:trPr>
        <w:tc>
          <w:tcPr>
            <w:tcW w:w="3580" w:type="dxa"/>
            <w:vAlign w:val="bottom"/>
          </w:tcPr>
          <w:p>
            <w:pPr>
              <w:spacing w:after="0"/>
              <w:rPr>
                <w:sz w:val="21"/>
                <w:szCs w:val="21"/>
                <w:color w:val="auto"/>
              </w:rPr>
            </w:pPr>
          </w:p>
        </w:tc>
        <w:tc>
          <w:tcPr>
            <w:tcW w:w="7320" w:type="dxa"/>
            <w:vAlign w:val="bottom"/>
            <w:gridSpan w:val="5"/>
          </w:tcPr>
          <w:p>
            <w:pPr>
              <w:ind w:left="80"/>
              <w:spacing w:after="0"/>
              <w:rPr>
                <w:sz w:val="20"/>
                <w:szCs w:val="20"/>
                <w:color w:val="auto"/>
              </w:rPr>
            </w:pPr>
            <w:r>
              <w:rPr>
                <w:rFonts w:ascii="Arial" w:cs="Arial" w:eastAsia="Arial" w:hAnsi="Arial"/>
                <w:sz w:val="20"/>
                <w:szCs w:val="20"/>
                <w:color w:val="auto"/>
              </w:rPr>
              <w:t>the third calendar month following the end of the Performance Period.</w:t>
            </w:r>
          </w:p>
        </w:tc>
        <w:tc>
          <w:tcPr>
            <w:tcW w:w="0" w:type="dxa"/>
            <w:vAlign w:val="bottom"/>
          </w:tcPr>
          <w:p>
            <w:pPr>
              <w:spacing w:after="0"/>
              <w:rPr>
                <w:sz w:val="1"/>
                <w:szCs w:val="1"/>
                <w:color w:val="auto"/>
              </w:rPr>
            </w:pPr>
          </w:p>
        </w:tc>
      </w:tr>
      <w:tr>
        <w:trPr>
          <w:trHeight w:val="392"/>
        </w:trPr>
        <w:tc>
          <w:tcPr>
            <w:tcW w:w="3580" w:type="dxa"/>
            <w:vAlign w:val="bottom"/>
          </w:tcPr>
          <w:p>
            <w:pPr>
              <w:spacing w:after="0"/>
              <w:rPr>
                <w:sz w:val="20"/>
                <w:szCs w:val="20"/>
                <w:color w:val="auto"/>
              </w:rPr>
            </w:pPr>
            <w:r>
              <w:rPr>
                <w:rFonts w:ascii="Arial" w:cs="Arial" w:eastAsia="Arial" w:hAnsi="Arial"/>
                <w:sz w:val="20"/>
                <w:szCs w:val="20"/>
                <w:color w:val="auto"/>
              </w:rPr>
              <w:t>Performance Goals:</w:t>
            </w:r>
          </w:p>
        </w:tc>
        <w:tc>
          <w:tcPr>
            <w:tcW w:w="7320" w:type="dxa"/>
            <w:vAlign w:val="bottom"/>
            <w:gridSpan w:val="5"/>
            <w:vMerge w:val="restart"/>
          </w:tcPr>
          <w:p>
            <w:pPr>
              <w:ind w:left="80"/>
              <w:spacing w:after="0"/>
              <w:rPr>
                <w:sz w:val="20"/>
                <w:szCs w:val="20"/>
                <w:color w:val="auto"/>
              </w:rPr>
            </w:pPr>
            <w:r>
              <w:rPr>
                <w:rFonts w:ascii="Arial" w:cs="Arial" w:eastAsia="Arial" w:hAnsi="Arial"/>
                <w:sz w:val="20"/>
                <w:szCs w:val="20"/>
                <w:color w:val="auto"/>
              </w:rPr>
              <w:t>See Exhibit 1</w:t>
            </w:r>
          </w:p>
        </w:tc>
        <w:tc>
          <w:tcPr>
            <w:tcW w:w="0" w:type="dxa"/>
            <w:vAlign w:val="bottom"/>
          </w:tcPr>
          <w:p>
            <w:pPr>
              <w:spacing w:after="0"/>
              <w:rPr>
                <w:sz w:val="1"/>
                <w:szCs w:val="1"/>
                <w:color w:val="auto"/>
              </w:rPr>
            </w:pPr>
          </w:p>
        </w:tc>
      </w:tr>
      <w:tr>
        <w:trPr>
          <w:trHeight w:val="63"/>
        </w:trPr>
        <w:tc>
          <w:tcPr>
            <w:tcW w:w="3580" w:type="dxa"/>
            <w:vAlign w:val="bottom"/>
          </w:tcPr>
          <w:p>
            <w:pPr>
              <w:spacing w:after="0"/>
              <w:rPr>
                <w:sz w:val="5"/>
                <w:szCs w:val="5"/>
                <w:color w:val="auto"/>
              </w:rPr>
            </w:pPr>
          </w:p>
        </w:tc>
        <w:tc>
          <w:tcPr>
            <w:tcW w:w="732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Assumes your service has been continuous from the Grant Date to the vesting date.</w:t>
      </w:r>
    </w:p>
    <w:p>
      <w:pPr>
        <w:spacing w:after="0" w:line="200" w:lineRule="exact"/>
        <w:rPr>
          <w:sz w:val="20"/>
          <w:szCs w:val="20"/>
          <w:color w:val="auto"/>
        </w:rPr>
      </w:pPr>
    </w:p>
    <w:p>
      <w:pPr>
        <w:spacing w:after="0" w:line="239" w:lineRule="exact"/>
        <w:rPr>
          <w:sz w:val="20"/>
          <w:szCs w:val="20"/>
          <w:color w:val="auto"/>
        </w:rPr>
      </w:pPr>
    </w:p>
    <w:p>
      <w:pPr>
        <w:jc w:val="both"/>
        <w:ind w:firstLine="231"/>
        <w:spacing w:after="0" w:line="250" w:lineRule="auto"/>
        <w:rPr>
          <w:sz w:val="20"/>
          <w:szCs w:val="20"/>
          <w:color w:val="auto"/>
        </w:rPr>
      </w:pPr>
      <w:r>
        <w:rPr>
          <w:rFonts w:ascii="Arial" w:cs="Arial" w:eastAsia="Arial" w:hAnsi="Arial"/>
          <w:sz w:val="20"/>
          <w:szCs w:val="20"/>
          <w:color w:val="auto"/>
        </w:rPr>
        <w:t>By signing below or otherwise evidencing your acceptance of this Agreement in a manner approved by the Company, you agree to all of the terms and conditions contained in this Agreement and in the Plan document. You acknowledge that you have received and reviewed these documents.</w:t>
      </w:r>
    </w:p>
    <w:p>
      <w:pPr>
        <w:spacing w:after="0" w:line="200" w:lineRule="exact"/>
        <w:rPr>
          <w:sz w:val="20"/>
          <w:szCs w:val="20"/>
          <w:color w:val="auto"/>
        </w:rPr>
      </w:pPr>
    </w:p>
    <w:p>
      <w:pPr>
        <w:spacing w:after="0" w:line="256" w:lineRule="exact"/>
        <w:rPr>
          <w:sz w:val="20"/>
          <w:szCs w:val="20"/>
          <w:color w:val="auto"/>
        </w:rPr>
      </w:pPr>
    </w:p>
    <w:p>
      <w:pPr>
        <w:spacing w:after="0"/>
        <w:tabs>
          <w:tab w:leader="none" w:pos="2260" w:val="left"/>
        </w:tabs>
        <w:rPr>
          <w:sz w:val="20"/>
          <w:szCs w:val="20"/>
          <w:color w:val="auto"/>
        </w:rPr>
      </w:pPr>
      <w:r>
        <w:rPr>
          <w:rFonts w:ascii="Arial" w:cs="Arial" w:eastAsia="Arial" w:hAnsi="Arial"/>
          <w:sz w:val="20"/>
          <w:szCs w:val="20"/>
          <w:color w:val="auto"/>
        </w:rPr>
        <w:t>PARTICIPANT:</w:t>
      </w:r>
      <w:r>
        <w:rPr>
          <w:sz w:val="20"/>
          <w:szCs w:val="20"/>
          <w:color w:val="auto"/>
        </w:rPr>
        <w:tab/>
      </w:r>
      <w:r>
        <w:rPr>
          <w:rFonts w:ascii="Arial" w:cs="Arial" w:eastAsia="Arial" w:hAnsi="Arial"/>
          <w:sz w:val="20"/>
          <w:szCs w:val="20"/>
          <w:color w:val="auto"/>
        </w:rPr>
        <w:t>WINNEBAGO INDUSTRIES, INC.</w:t>
      </w:r>
    </w:p>
    <w:p>
      <w:pPr>
        <w:spacing w:after="0" w:line="200" w:lineRule="exact"/>
        <w:rPr>
          <w:sz w:val="20"/>
          <w:szCs w:val="20"/>
          <w:color w:val="auto"/>
        </w:rPr>
      </w:pPr>
    </w:p>
    <w:p>
      <w:pPr>
        <w:spacing w:after="0" w:line="28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483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5">
                      <a:extLst>
                        <a:ext uri="{28A0092B-C50C-407E-A947-70E740481C1C}"/>
                      </a:extLst>
                    </a:blip>
                    <a:srcRect/>
                    <a:stretch>
                      <a:fillRect/>
                    </a:stretch>
                  </pic:blipFill>
                  <pic:spPr bwMode="auto">
                    <a:xfrm>
                      <a:off x="0" y="0"/>
                      <a:ext cx="1814830" cy="889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1149985</wp:posOffset>
            </wp:positionH>
            <wp:positionV relativeFrom="paragraph">
              <wp:posOffset>-24765</wp:posOffset>
            </wp:positionV>
            <wp:extent cx="75374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6">
                      <a:extLst>
                        <a:ext uri="{28A0092B-C50C-407E-A947-70E740481C1C}"/>
                      </a:extLst>
                    </a:blip>
                    <a:srcRect/>
                    <a:stretch>
                      <a:fillRect/>
                    </a:stretch>
                  </pic:blipFill>
                  <pic:spPr bwMode="auto">
                    <a:xfrm>
                      <a:off x="0" y="0"/>
                      <a:ext cx="753745"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5" w:name="page106"/>
    <w:bookmarkEnd w:id="105"/>
    <w:p>
      <w:pPr>
        <w:ind w:left="4100"/>
        <w:spacing w:after="0"/>
        <w:rPr>
          <w:sz w:val="20"/>
          <w:szCs w:val="20"/>
          <w:color w:val="auto"/>
        </w:rPr>
      </w:pPr>
      <w:r>
        <w:rPr>
          <w:rFonts w:ascii="Arial" w:cs="Arial" w:eastAsia="Arial" w:hAnsi="Arial"/>
          <w:sz w:val="20"/>
          <w:szCs w:val="20"/>
          <w:b w:val="1"/>
          <w:bCs w:val="1"/>
          <w:color w:val="auto"/>
        </w:rPr>
        <w:t>WINNEBAGO INDUSTRIES, INC.</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2019 OMNIBUS INCENTIVE PLAN</w:t>
      </w:r>
    </w:p>
    <w:p>
      <w:pPr>
        <w:spacing w:after="0" w:line="26" w:lineRule="exact"/>
        <w:rPr>
          <w:sz w:val="20"/>
          <w:szCs w:val="20"/>
          <w:color w:val="auto"/>
        </w:rPr>
      </w:pPr>
    </w:p>
    <w:p>
      <w:pPr>
        <w:ind w:left="4120"/>
        <w:spacing w:after="0"/>
        <w:rPr>
          <w:sz w:val="20"/>
          <w:szCs w:val="20"/>
          <w:color w:val="auto"/>
        </w:rPr>
      </w:pPr>
      <w:r>
        <w:rPr>
          <w:rFonts w:ascii="Arial" w:cs="Arial" w:eastAsia="Arial" w:hAnsi="Arial"/>
          <w:sz w:val="20"/>
          <w:szCs w:val="20"/>
          <w:b w:val="1"/>
          <w:bCs w:val="1"/>
          <w:color w:val="auto"/>
        </w:rPr>
        <w:t>Performance Stock Unit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Terms and Conditions</w:t>
      </w:r>
    </w:p>
    <w:p>
      <w:pPr>
        <w:spacing w:after="0" w:line="256" w:lineRule="exact"/>
        <w:rPr>
          <w:sz w:val="20"/>
          <w:szCs w:val="20"/>
          <w:color w:val="auto"/>
        </w:rPr>
      </w:pPr>
    </w:p>
    <w:p>
      <w:pPr>
        <w:ind w:right="640" w:firstLine="8"/>
        <w:spacing w:after="0" w:line="281" w:lineRule="auto"/>
        <w:tabs>
          <w:tab w:leader="none" w:pos="346"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Defined Terms</w:t>
      </w:r>
      <w:r>
        <w:rPr>
          <w:rFonts w:ascii="Arial" w:cs="Arial" w:eastAsia="Arial" w:hAnsi="Arial"/>
          <w:sz w:val="20"/>
          <w:szCs w:val="20"/>
          <w:b w:val="1"/>
          <w:bCs w:val="1"/>
          <w:color w:val="auto"/>
        </w:rPr>
        <w:t>. For purposes of this Agreement, the definitions of terms contained in the Plan hereby are incorporated by reference, except to the extent that any such term is specifically defined in this Agreement.</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“Good Reason” shall have the meaning set forth in your change in control agreement, if applicable.</w:t>
      </w:r>
    </w:p>
    <w:p>
      <w:pPr>
        <w:spacing w:after="0" w:line="216" w:lineRule="exact"/>
        <w:rPr>
          <w:sz w:val="20"/>
          <w:szCs w:val="20"/>
          <w:color w:val="auto"/>
        </w:rPr>
      </w:pPr>
    </w:p>
    <w:p>
      <w:pPr>
        <w:jc w:val="both"/>
        <w:ind w:firstLine="8"/>
        <w:spacing w:after="0" w:line="256" w:lineRule="auto"/>
        <w:tabs>
          <w:tab w:leader="none" w:pos="360" w:val="left"/>
        </w:tabs>
        <w:numPr>
          <w:ilvl w:val="0"/>
          <w:numId w:val="75"/>
        </w:numPr>
        <w:rPr>
          <w:rFonts w:ascii="Arial" w:cs="Arial" w:eastAsia="Arial" w:hAnsi="Arial"/>
          <w:sz w:val="19"/>
          <w:szCs w:val="19"/>
          <w:color w:val="auto"/>
        </w:rPr>
      </w:pPr>
      <w:r>
        <w:rPr>
          <w:rFonts w:ascii="Arial" w:cs="Arial" w:eastAsia="Arial" w:hAnsi="Arial"/>
          <w:sz w:val="19"/>
          <w:szCs w:val="19"/>
          <w:b w:val="1"/>
          <w:bCs w:val="1"/>
          <w:u w:val="single" w:color="auto"/>
          <w:color w:val="auto"/>
        </w:rPr>
        <w:t>Award of Performance Stock Units</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hereby confirms the grant to you, as of the Grant Date and subject to the terms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conditions of this Agreement and the Plan, of an award of Performance Stock Units (the “Units”) in an amount initially equal to the Target Number of Performance Stock Units specified on the cover page of this Agreement. The number of Units that may actually be earned and become eligible to vest pursuant to this Award can be between 0% and 200% of the Target Number of Performance Stock Units, but may not exceed the Maximum Number of Performance Stock Units specified on the cover page of this Agreement. Each Unit that is earned as a result of the performance goals specified in </w:t>
      </w:r>
      <w:r>
        <w:rPr>
          <w:rFonts w:ascii="Arial" w:cs="Arial" w:eastAsia="Arial" w:hAnsi="Arial"/>
          <w:sz w:val="19"/>
          <w:szCs w:val="19"/>
          <w:u w:val="single" w:color="auto"/>
          <w:color w:val="auto"/>
        </w:rPr>
        <w:t>Exhibit 1</w:t>
      </w:r>
      <w:r>
        <w:rPr>
          <w:rFonts w:ascii="Arial" w:cs="Arial" w:eastAsia="Arial" w:hAnsi="Arial"/>
          <w:sz w:val="19"/>
          <w:szCs w:val="19"/>
          <w:color w:val="auto"/>
        </w:rPr>
        <w:t xml:space="preserve"> to this Agreement having been satisfied and which thereafter vests represents the right to receive one share of the Company’s common stock (each, a “Share”). Prior to their settlement or forfeiture in accordance with the terms of this Agreement, the Units granted to you will be credited to a performance stock unit account in your name maintained by the Company. This account will be unfunded and maintained for book-keeping purposes only, with the Units simply representing an unfunded and unsecured contingent obligation of the Company.</w:t>
      </w:r>
    </w:p>
    <w:p>
      <w:pPr>
        <w:spacing w:after="0" w:line="207" w:lineRule="exact"/>
        <w:rPr>
          <w:rFonts w:ascii="Arial" w:cs="Arial" w:eastAsia="Arial" w:hAnsi="Arial"/>
          <w:sz w:val="19"/>
          <w:szCs w:val="19"/>
          <w:color w:val="auto"/>
        </w:rPr>
      </w:pPr>
    </w:p>
    <w:p>
      <w:pPr>
        <w:jc w:val="both"/>
        <w:ind w:firstLine="8"/>
        <w:spacing w:after="0" w:line="277" w:lineRule="auto"/>
        <w:tabs>
          <w:tab w:leader="none" w:pos="360"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Restrictions Applicable to Units</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this Award nor the Units subject to this Award may be sold, assigned, transferred, exchanged</w:t>
      </w:r>
      <w:r>
        <w:rPr>
          <w:rFonts w:ascii="Arial" w:cs="Arial" w:eastAsia="Arial" w:hAnsi="Arial"/>
          <w:sz w:val="18"/>
          <w:szCs w:val="18"/>
          <w:b w:val="1"/>
          <w:bCs w:val="1"/>
          <w:color w:val="auto"/>
        </w:rPr>
        <w:t xml:space="preserve"> </w:t>
      </w:r>
      <w:r>
        <w:rPr>
          <w:rFonts w:ascii="Arial" w:cs="Arial" w:eastAsia="Arial" w:hAnsi="Arial"/>
          <w:sz w:val="18"/>
          <w:szCs w:val="18"/>
          <w:color w:val="auto"/>
        </w:rPr>
        <w:t>or encumbered, voluntarily or involuntarily, other than a transfer upon your death in accordance with your will, by the laws of descent and distribution or pursuant to a beneficiary designation submitted in accordance with the Plan. Following any such transfer, this Award shall continue to be subject to the same terms and conditions that were applicable to the Award immediately prior to its transfer. Any attempted transfer in violation of this Section 3 shall be void and without effect. The Units and your right to receive Shares in settlement of any Units under this Agreement shall be subject to forfeiture except to extent the Units have been earned and thereafter vest as provided in Section 5a.</w:t>
      </w:r>
    </w:p>
    <w:p>
      <w:pPr>
        <w:spacing w:after="0" w:line="186" w:lineRule="exact"/>
        <w:rPr>
          <w:rFonts w:ascii="Arial" w:cs="Arial" w:eastAsia="Arial" w:hAnsi="Arial"/>
          <w:sz w:val="18"/>
          <w:szCs w:val="18"/>
          <w:color w:val="auto"/>
        </w:rPr>
      </w:pPr>
    </w:p>
    <w:p>
      <w:pPr>
        <w:jc w:val="both"/>
        <w:ind w:firstLine="8"/>
        <w:spacing w:after="0" w:line="272" w:lineRule="auto"/>
        <w:tabs>
          <w:tab w:leader="none" w:pos="373" w:val="left"/>
        </w:tabs>
        <w:numPr>
          <w:ilvl w:val="0"/>
          <w:numId w:val="75"/>
        </w:numPr>
        <w:rPr>
          <w:rFonts w:ascii="Arial" w:cs="Arial" w:eastAsia="Arial" w:hAnsi="Arial"/>
          <w:sz w:val="19"/>
          <w:szCs w:val="19"/>
          <w:color w:val="auto"/>
        </w:rPr>
      </w:pPr>
      <w:r>
        <w:rPr>
          <w:rFonts w:ascii="Arial" w:cs="Arial" w:eastAsia="Arial" w:hAnsi="Arial"/>
          <w:sz w:val="19"/>
          <w:szCs w:val="19"/>
          <w:b w:val="1"/>
          <w:bCs w:val="1"/>
          <w:u w:val="single" w:color="auto"/>
          <w:color w:val="auto"/>
        </w:rPr>
        <w:t>No Shareholder Rights</w:t>
      </w:r>
      <w:r>
        <w:rPr>
          <w:rFonts w:ascii="Arial" w:cs="Arial" w:eastAsia="Arial" w:hAnsi="Arial"/>
          <w:sz w:val="19"/>
          <w:szCs w:val="19"/>
          <w:color w:val="auto"/>
        </w:rPr>
        <w:t>. The Units subject to this Award do not entitle you to any rights of a holder of the Company’s common stock.</w:t>
      </w:r>
      <w:r>
        <w:rPr>
          <w:rFonts w:ascii="Arial" w:cs="Arial" w:eastAsia="Arial" w:hAnsi="Arial"/>
          <w:sz w:val="19"/>
          <w:szCs w:val="19"/>
          <w:b w:val="1"/>
          <w:bCs w:val="1"/>
          <w:color w:val="auto"/>
        </w:rPr>
        <w:t xml:space="preserve"> </w:t>
      </w:r>
      <w:r>
        <w:rPr>
          <w:rFonts w:ascii="Arial" w:cs="Arial" w:eastAsia="Arial" w:hAnsi="Arial"/>
          <w:sz w:val="19"/>
          <w:szCs w:val="19"/>
          <w:color w:val="auto"/>
        </w:rPr>
        <w:t>You will not have any of the rights of a shareholder of the Company in connection with any Units granted or earned pursuant to this Agreement unless and until Shares are issued to you in settlement of earned and vested Units as provided in Section 6.</w:t>
      </w:r>
    </w:p>
    <w:p>
      <w:pPr>
        <w:spacing w:after="0" w:line="188" w:lineRule="exact"/>
        <w:rPr>
          <w:rFonts w:ascii="Arial" w:cs="Arial" w:eastAsia="Arial" w:hAnsi="Arial"/>
          <w:sz w:val="19"/>
          <w:szCs w:val="19"/>
          <w:color w:val="auto"/>
        </w:rPr>
      </w:pPr>
    </w:p>
    <w:p>
      <w:pPr>
        <w:jc w:val="both"/>
        <w:ind w:firstLine="8"/>
        <w:spacing w:after="0" w:line="253" w:lineRule="auto"/>
        <w:tabs>
          <w:tab w:leader="none" w:pos="346" w:val="left"/>
        </w:tabs>
        <w:numPr>
          <w:ilvl w:val="0"/>
          <w:numId w:val="75"/>
        </w:numPr>
        <w:rPr>
          <w:rFonts w:ascii="Arial" w:cs="Arial" w:eastAsia="Arial" w:hAnsi="Arial"/>
          <w:sz w:val="20"/>
          <w:szCs w:val="20"/>
          <w:color w:val="auto"/>
        </w:rPr>
      </w:pPr>
      <w:r>
        <w:rPr>
          <w:rFonts w:ascii="Arial" w:cs="Arial" w:eastAsia="Arial" w:hAnsi="Arial"/>
          <w:sz w:val="20"/>
          <w:szCs w:val="20"/>
          <w:b w:val="1"/>
          <w:bCs w:val="1"/>
          <w:u w:val="single" w:color="auto"/>
          <w:color w:val="auto"/>
        </w:rPr>
        <w:t>Vesting and Forfeiture of Units</w:t>
      </w:r>
      <w:r>
        <w:rPr>
          <w:rFonts w:ascii="Arial" w:cs="Arial" w:eastAsia="Arial" w:hAnsi="Arial"/>
          <w:sz w:val="20"/>
          <w:szCs w:val="20"/>
          <w:b w:val="1"/>
          <w:bCs w:val="1"/>
          <w:color w:val="auto"/>
        </w:rPr>
        <w:t xml:space="preserve">. </w:t>
      </w:r>
      <w:r>
        <w:rPr>
          <w:rFonts w:ascii="Arial" w:cs="Arial" w:eastAsia="Arial" w:hAnsi="Arial"/>
          <w:sz w:val="20"/>
          <w:szCs w:val="20"/>
          <w:color w:val="auto"/>
        </w:rPr>
        <w:t>For purposes of this Agreement, “Vesting Date” means any date, including the Scheduled Vesting Date</w:t>
      </w:r>
      <w:r>
        <w:rPr>
          <w:rFonts w:ascii="Arial" w:cs="Arial" w:eastAsia="Arial" w:hAnsi="Arial"/>
          <w:sz w:val="20"/>
          <w:szCs w:val="20"/>
          <w:b w:val="1"/>
          <w:bCs w:val="1"/>
          <w:color w:val="auto"/>
        </w:rPr>
        <w:t xml:space="preserve"> </w:t>
      </w:r>
      <w:r>
        <w:rPr>
          <w:rFonts w:ascii="Arial" w:cs="Arial" w:eastAsia="Arial" w:hAnsi="Arial"/>
          <w:sz w:val="20"/>
          <w:szCs w:val="20"/>
          <w:color w:val="auto"/>
        </w:rPr>
        <w:t>(defined below), on which Units subject to this Agreement vest as provided in this Section 5. Subject in all cases to Section 16(i) of the Plan, the Units shall vest at the earliest of the following times and to the degree specified.</w:t>
      </w:r>
    </w:p>
    <w:p>
      <w:pPr>
        <w:spacing w:after="0" w:line="210" w:lineRule="exact"/>
        <w:rPr>
          <w:rFonts w:ascii="Arial" w:cs="Arial" w:eastAsia="Arial" w:hAnsi="Arial"/>
          <w:sz w:val="20"/>
          <w:szCs w:val="20"/>
          <w:color w:val="auto"/>
        </w:rPr>
      </w:pPr>
    </w:p>
    <w:p>
      <w:pPr>
        <w:ind w:right="20" w:firstLine="656"/>
        <w:spacing w:after="0" w:line="260" w:lineRule="auto"/>
        <w:tabs>
          <w:tab w:leader="none" w:pos="1065" w:val="left"/>
        </w:tabs>
        <w:numPr>
          <w:ilvl w:val="1"/>
          <w:numId w:val="75"/>
        </w:numPr>
        <w:rPr>
          <w:rFonts w:ascii="Arial" w:cs="Arial" w:eastAsia="Arial" w:hAnsi="Arial"/>
          <w:sz w:val="20"/>
          <w:szCs w:val="20"/>
          <w:color w:val="auto"/>
        </w:rPr>
      </w:pPr>
      <w:r>
        <w:rPr>
          <w:rFonts w:ascii="Arial" w:cs="Arial" w:eastAsia="Arial" w:hAnsi="Arial"/>
          <w:sz w:val="20"/>
          <w:szCs w:val="20"/>
          <w:u w:val="single" w:color="auto"/>
          <w:color w:val="auto"/>
        </w:rPr>
        <w:t>Scheduled Vesting</w:t>
      </w:r>
      <w:r>
        <w:rPr>
          <w:rFonts w:ascii="Arial" w:cs="Arial" w:eastAsia="Arial" w:hAnsi="Arial"/>
          <w:sz w:val="20"/>
          <w:szCs w:val="20"/>
          <w:color w:val="auto"/>
        </w:rPr>
        <w:t xml:space="preserve">. The number of Units that have been earned during the Performance Period, as determined by the Committee in accordance with </w:t>
      </w:r>
      <w:r>
        <w:rPr>
          <w:rFonts w:ascii="Arial" w:cs="Arial" w:eastAsia="Arial" w:hAnsi="Arial"/>
          <w:sz w:val="20"/>
          <w:szCs w:val="20"/>
          <w:u w:val="single" w:color="auto"/>
          <w:color w:val="auto"/>
        </w:rPr>
        <w:t>Exhibit 1</w:t>
      </w:r>
      <w:r>
        <w:rPr>
          <w:rFonts w:ascii="Arial" w:cs="Arial" w:eastAsia="Arial" w:hAnsi="Arial"/>
          <w:sz w:val="20"/>
          <w:szCs w:val="20"/>
          <w:color w:val="auto"/>
        </w:rPr>
        <w:t>, will vest on the Scheduled Vesting</w:t>
      </w:r>
    </w:p>
    <w:p>
      <w:pPr>
        <w:sectPr>
          <w:pgSz w:w="11900" w:h="16838" w:orient="portrait"/>
          <w:cols w:equalWidth="0" w:num="1">
            <w:col w:w="11240"/>
          </w:cols>
          <w:pgMar w:left="320" w:top="1426" w:right="339" w:bottom="1440" w:gutter="0" w:footer="0" w:header="0"/>
        </w:sectPr>
      </w:pPr>
    </w:p>
    <w:bookmarkStart w:id="106" w:name="page107"/>
    <w:bookmarkEnd w:id="106"/>
    <w:p>
      <w:pPr>
        <w:jc w:val="both"/>
        <w:spacing w:after="0" w:line="282" w:lineRule="auto"/>
        <w:rPr>
          <w:sz w:val="20"/>
          <w:szCs w:val="20"/>
          <w:color w:val="auto"/>
        </w:rPr>
      </w:pPr>
      <w:r>
        <w:rPr>
          <w:rFonts w:ascii="Arial" w:cs="Arial" w:eastAsia="Arial" w:hAnsi="Arial"/>
          <w:sz w:val="18"/>
          <w:szCs w:val="18"/>
          <w:color w:val="auto"/>
        </w:rPr>
        <w:t xml:space="preserve">Date, so long as your Service has been continuous from the Grant Date to the Scheduled Vesting Date. For these purposes, the “Scheduled Vesting Date” means the date the Committee certifies (i) the degree to which the applicable performance goals for the Performance Period have been satisfied, and (ii) the number of Units that have been earned during the Performance Period as determined in accordance </w:t>
      </w:r>
      <w:r>
        <w:rPr>
          <w:rFonts w:ascii="Arial" w:cs="Arial" w:eastAsia="Arial" w:hAnsi="Arial"/>
          <w:sz w:val="18"/>
          <w:szCs w:val="18"/>
          <w:u w:val="single" w:color="auto"/>
          <w:color w:val="auto"/>
        </w:rPr>
        <w:t>Exhibit 1</w:t>
      </w:r>
      <w:r>
        <w:rPr>
          <w:rFonts w:ascii="Arial" w:cs="Arial" w:eastAsia="Arial" w:hAnsi="Arial"/>
          <w:sz w:val="18"/>
          <w:szCs w:val="18"/>
          <w:color w:val="auto"/>
        </w:rPr>
        <w:t>, which certification shall occur no later than the 10th day of the third calendar month following the end of the Performance Period.</w:t>
      </w:r>
    </w:p>
    <w:p>
      <w:pPr>
        <w:spacing w:after="0" w:line="188" w:lineRule="exact"/>
        <w:rPr>
          <w:sz w:val="20"/>
          <w:szCs w:val="20"/>
          <w:color w:val="auto"/>
        </w:rPr>
      </w:pPr>
    </w:p>
    <w:p>
      <w:pPr>
        <w:jc w:val="both"/>
        <w:ind w:firstLine="656"/>
        <w:spacing w:after="0" w:line="243" w:lineRule="auto"/>
        <w:tabs>
          <w:tab w:leader="none" w:pos="1103" w:val="left"/>
        </w:tabs>
        <w:numPr>
          <w:ilvl w:val="1"/>
          <w:numId w:val="76"/>
        </w:numPr>
        <w:rPr>
          <w:rFonts w:ascii="Arial" w:cs="Arial" w:eastAsia="Arial" w:hAnsi="Arial"/>
          <w:sz w:val="20"/>
          <w:szCs w:val="20"/>
          <w:color w:val="auto"/>
        </w:rPr>
      </w:pPr>
      <w:r>
        <w:rPr>
          <w:rFonts w:ascii="Arial" w:cs="Arial" w:eastAsia="Arial" w:hAnsi="Arial"/>
          <w:sz w:val="20"/>
          <w:szCs w:val="20"/>
          <w:u w:val="single" w:color="auto"/>
          <w:color w:val="auto"/>
        </w:rPr>
        <w:t>Death or Disability</w:t>
      </w:r>
      <w:r>
        <w:rPr>
          <w:rFonts w:ascii="Arial" w:cs="Arial" w:eastAsia="Arial" w:hAnsi="Arial"/>
          <w:sz w:val="20"/>
          <w:szCs w:val="20"/>
          <w:color w:val="auto"/>
        </w:rPr>
        <w:t>. If your Service terminates by reason of your death or Disability prior to the Scheduled Vesting Date, then as of the date of your termination of Service, a number of Units shall vest determined as follows (i) the number of Units earned based on the actual level of performance for any Sub-Performance Period that has concluded prior to your termination of Service, plus (ii) either (A) the Target Number of Performance Stock Units allocated to the Performance Period or any Sub-Performance Period that has not concluded prior to your termination of Service or (B) in the discretion of the Committee upon its determination of the actual level of performance (if determinable) through the date of your termination of Service, the number of Units specified by the Committee as having been earned based on such performance.</w:t>
      </w:r>
    </w:p>
    <w:p>
      <w:pPr>
        <w:spacing w:after="0" w:line="219" w:lineRule="exact"/>
        <w:rPr>
          <w:rFonts w:ascii="Arial" w:cs="Arial" w:eastAsia="Arial" w:hAnsi="Arial"/>
          <w:sz w:val="20"/>
          <w:szCs w:val="20"/>
          <w:color w:val="auto"/>
        </w:rPr>
      </w:pPr>
    </w:p>
    <w:p>
      <w:pPr>
        <w:jc w:val="both"/>
        <w:ind w:firstLine="656"/>
        <w:spacing w:after="0" w:line="250" w:lineRule="auto"/>
        <w:tabs>
          <w:tab w:leader="none" w:pos="1079" w:val="left"/>
        </w:tabs>
        <w:numPr>
          <w:ilvl w:val="1"/>
          <w:numId w:val="76"/>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If a Change in Control occurs after the Grant Date but before the Scheduled Vesting Date and your Service continues to the date of the Change in Control, the provisions of Section 12 of the Plan shall apply, including those providing for benefits upon termination of Service for Good Reason.</w:t>
      </w:r>
    </w:p>
    <w:p>
      <w:pPr>
        <w:spacing w:after="0" w:line="212" w:lineRule="exact"/>
        <w:rPr>
          <w:rFonts w:ascii="Arial" w:cs="Arial" w:eastAsia="Arial" w:hAnsi="Arial"/>
          <w:sz w:val="20"/>
          <w:szCs w:val="20"/>
          <w:color w:val="auto"/>
        </w:rPr>
      </w:pPr>
    </w:p>
    <w:p>
      <w:pPr>
        <w:jc w:val="both"/>
        <w:ind w:firstLine="656"/>
        <w:spacing w:after="0" w:line="269" w:lineRule="auto"/>
        <w:tabs>
          <w:tab w:leader="none" w:pos="1117" w:val="left"/>
        </w:tabs>
        <w:numPr>
          <w:ilvl w:val="1"/>
          <w:numId w:val="76"/>
        </w:numPr>
        <w:rPr>
          <w:rFonts w:ascii="Arial" w:cs="Arial" w:eastAsia="Arial" w:hAnsi="Arial"/>
          <w:sz w:val="19"/>
          <w:szCs w:val="19"/>
          <w:color w:val="auto"/>
        </w:rPr>
      </w:pPr>
      <w:r>
        <w:rPr>
          <w:rFonts w:ascii="Arial" w:cs="Arial" w:eastAsia="Arial" w:hAnsi="Arial"/>
          <w:sz w:val="19"/>
          <w:szCs w:val="19"/>
          <w:u w:val="single" w:color="auto"/>
          <w:color w:val="auto"/>
        </w:rPr>
        <w:t>Forfeiture of Unvested Units</w:t>
      </w:r>
      <w:r>
        <w:rPr>
          <w:rFonts w:ascii="Arial" w:cs="Arial" w:eastAsia="Arial" w:hAnsi="Arial"/>
          <w:sz w:val="19"/>
          <w:szCs w:val="19"/>
          <w:color w:val="auto"/>
        </w:rPr>
        <w:t>. To the extent any of Sections 5(a) through (c) is applicable to this Award, any Units that do not vest on the Vesting Date as provided therein shall immediately be forfeited. If your Service terminates prior to the Scheduled Vesting Date under circumstances other than as set forth in Sections 5(b) and 5(c), all unvested Units shall immediately be forfeited.</w:t>
      </w:r>
    </w:p>
    <w:p>
      <w:pPr>
        <w:spacing w:after="0" w:line="190" w:lineRule="exact"/>
        <w:rPr>
          <w:rFonts w:ascii="Arial" w:cs="Arial" w:eastAsia="Arial" w:hAnsi="Arial"/>
          <w:sz w:val="19"/>
          <w:szCs w:val="19"/>
          <w:color w:val="auto"/>
        </w:rPr>
      </w:pPr>
    </w:p>
    <w:p>
      <w:pPr>
        <w:jc w:val="both"/>
        <w:ind w:firstLine="8"/>
        <w:spacing w:after="0" w:line="263" w:lineRule="auto"/>
        <w:tabs>
          <w:tab w:leader="none" w:pos="346"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Settlement of Units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As soon as practicable after any date on which Units vest (but no later than the 15</w:t>
      </w:r>
      <w:r>
        <w:rPr>
          <w:rFonts w:ascii="Arial" w:cs="Arial" w:eastAsia="Arial" w:hAnsi="Arial"/>
          <w:sz w:val="23"/>
          <w:szCs w:val="23"/>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the third calendar month</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the Vesting Date), the Company shall cause to be issued and delivered to you (or to your personal representative or your designated beneficiary or estate in the event of your death, as applicable) one Share in payment and settlement of each vested Unit. Delivery of the Shares shall be effected by the issuance of a stock certificate to you, by an appropriate entry in the stock register maintained by the Company’s transfer agent with a notice of issuance provided to you, or by the electronic delivery of the Shares to a brokerage account you designate, and shall be subject to the tax withholding provisions of Section 8 and compliance with all applicable legal requirements as provided in Section 16 of the Plan, and shall be in complete satisfaction and settlement of such vested Units. If the Units that vest include a fractional Unit, the Company shall round the number of vested Units to the nearest whole Unit prior to issuance of Shares as provided herein.</w:t>
      </w:r>
    </w:p>
    <w:p>
      <w:pPr>
        <w:spacing w:after="0" w:line="201" w:lineRule="exact"/>
        <w:rPr>
          <w:rFonts w:ascii="Arial" w:cs="Arial" w:eastAsia="Arial" w:hAnsi="Arial"/>
          <w:sz w:val="18"/>
          <w:szCs w:val="18"/>
          <w:color w:val="auto"/>
        </w:rPr>
      </w:pPr>
    </w:p>
    <w:p>
      <w:pPr>
        <w:jc w:val="both"/>
        <w:ind w:firstLine="8"/>
        <w:spacing w:after="0" w:line="275" w:lineRule="auto"/>
        <w:tabs>
          <w:tab w:leader="none" w:pos="400"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 Equivalents</w:t>
      </w:r>
      <w:r>
        <w:rPr>
          <w:rFonts w:ascii="Arial" w:cs="Arial" w:eastAsia="Arial" w:hAnsi="Arial"/>
          <w:sz w:val="18"/>
          <w:szCs w:val="18"/>
          <w:color w:val="auto"/>
        </w:rPr>
        <w:t>. If the Company pays cash dividends on its Shares while any Units subject to this Agreement are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then on the date this Award vests pursuant to Section 5 above, the Total Dividend Equivalent Amount will be credited to your performance stock unit account in cash. The “Total Dividend Equivalent Amount” will be determined by multiplying the number of underlying Units determined to have vested as of the Vesting Date by the per share amount of each cash dividend paid on the Company’s common stock with a record date and payment date occurring between the Grant Date and the Vesting Date, and adding those products together. The Total Dividend Equivalent Amount so credited will be fully vested and subject to settlement at the same time as the underlying Units as provided in Section 6 above. Any dividend equivalents accrued on Units that are forfeited in accordance with this Agreement shall also be forfeited.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tabs>
          <w:tab w:leader="none" w:pos="3920" w:val="left"/>
        </w:tabs>
        <w:rPr>
          <w:sz w:val="20"/>
          <w:szCs w:val="20"/>
          <w:color w:val="auto"/>
        </w:rPr>
      </w:pPr>
      <w:r>
        <w:rPr>
          <w:rFonts w:ascii="Arial" w:cs="Arial" w:eastAsia="Arial" w:hAnsi="Arial"/>
          <w:sz w:val="16"/>
          <w:szCs w:val="16"/>
          <w:color w:val="auto"/>
        </w:rPr>
        <w:t>PSU Agreement (2019 Omnibus Plan – FY21-23 LTIP)</w:t>
      </w:r>
      <w:r>
        <w:rPr>
          <w:sz w:val="20"/>
          <w:szCs w:val="20"/>
          <w:color w:val="auto"/>
        </w:rPr>
        <w:tab/>
      </w:r>
      <w:r>
        <w:rPr>
          <w:rFonts w:ascii="Arial" w:cs="Arial" w:eastAsia="Arial" w:hAnsi="Arial"/>
          <w:sz w:val="13"/>
          <w:szCs w:val="13"/>
          <w:color w:val="auto"/>
        </w:rPr>
        <w:t>Page 3</w:t>
      </w:r>
    </w:p>
    <w:p>
      <w:pPr>
        <w:sectPr>
          <w:pgSz w:w="11900" w:h="16838" w:orient="portrait"/>
          <w:cols w:equalWidth="0" w:num="1">
            <w:col w:w="11240"/>
          </w:cols>
          <w:pgMar w:left="320" w:top="1419" w:right="339" w:bottom="1440" w:gutter="0" w:footer="0" w:header="0"/>
        </w:sectPr>
      </w:pPr>
    </w:p>
    <w:bookmarkStart w:id="107" w:name="page108"/>
    <w:bookmarkEnd w:id="107"/>
    <w:p>
      <w:pPr>
        <w:jc w:val="both"/>
        <w:ind w:firstLine="8"/>
        <w:spacing w:after="0" w:line="256" w:lineRule="auto"/>
        <w:tabs>
          <w:tab w:leader="none" w:pos="373" w:val="left"/>
        </w:tabs>
        <w:numPr>
          <w:ilvl w:val="0"/>
          <w:numId w:val="78"/>
        </w:numPr>
        <w:rPr>
          <w:rFonts w:ascii="Arial" w:cs="Arial" w:eastAsia="Arial" w:hAnsi="Arial"/>
          <w:sz w:val="19"/>
          <w:szCs w:val="19"/>
          <w:color w:val="auto"/>
        </w:rPr>
      </w:pPr>
      <w:r>
        <w:rPr>
          <w:rFonts w:ascii="Arial" w:cs="Arial" w:eastAsia="Arial" w:hAnsi="Arial"/>
          <w:sz w:val="19"/>
          <w:szCs w:val="19"/>
          <w:b w:val="1"/>
          <w:bCs w:val="1"/>
          <w:u w:val="single" w:color="auto"/>
          <w:color w:val="auto"/>
        </w:rPr>
        <w:t>Tax Consequences and Withholding</w:t>
      </w:r>
      <w:r>
        <w:rPr>
          <w:rFonts w:ascii="Arial" w:cs="Arial" w:eastAsia="Arial" w:hAnsi="Arial"/>
          <w:sz w:val="19"/>
          <w:szCs w:val="19"/>
          <w:color w:val="auto"/>
        </w:rPr>
        <w:t>. No Shares will be delivered to you in settlement of vested Units, and no payment of any vested</w:t>
      </w:r>
      <w:r>
        <w:rPr>
          <w:rFonts w:ascii="Arial" w:cs="Arial" w:eastAsia="Arial" w:hAnsi="Arial"/>
          <w:sz w:val="19"/>
          <w:szCs w:val="19"/>
          <w:b w:val="1"/>
          <w:bCs w:val="1"/>
          <w:color w:val="auto"/>
        </w:rPr>
        <w:t xml:space="preserve"> </w:t>
      </w:r>
      <w:r>
        <w:rPr>
          <w:rFonts w:ascii="Arial" w:cs="Arial" w:eastAsia="Arial" w:hAnsi="Arial"/>
          <w:sz w:val="19"/>
          <w:szCs w:val="19"/>
          <w:color w:val="auto"/>
        </w:rPr>
        <w:t>Total Dividend Equivalent Amount will be made, unless you have made arrangements acceptable to the Company for payment of any federal, state, local or foreign withholding taxes that may be due as a result of the delivery of the Shares and any such payment. You hereby authorize the Company (or any Affiliate) to withhold from the Total Dividend Equivalent Amount, payroll or other amounts payable to you any sums required to satisfy such withholding tax obligations, and otherwise agree to satisfy such obligations in accordance with the provisions of Section 14 of the Plan. You further authorize and consent to the Company, or its respective agents, that all withholding tax obligations may be satisfied by having the Company or its agent withhold a number of Shares that would otherwise be issued to you in settlement of the Units and that have a fair market value equal to the then-outstanding amount of such withholding tax obligations, unless in lieu thereof, you elect at the time of conversion of the Units such other then-permitted method or combination of methods established by the Committee in its discretion, if any, to satisfy your withholding tax obligations.</w:t>
      </w:r>
    </w:p>
    <w:p>
      <w:pPr>
        <w:spacing w:after="0" w:line="207" w:lineRule="exact"/>
        <w:rPr>
          <w:rFonts w:ascii="Arial" w:cs="Arial" w:eastAsia="Arial" w:hAnsi="Arial"/>
          <w:sz w:val="19"/>
          <w:szCs w:val="19"/>
          <w:color w:val="auto"/>
        </w:rPr>
      </w:pPr>
    </w:p>
    <w:p>
      <w:pPr>
        <w:jc w:val="both"/>
        <w:ind w:firstLine="8"/>
        <w:spacing w:after="0" w:line="275" w:lineRule="auto"/>
        <w:tabs>
          <w:tab w:leader="none" w:pos="481"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Every notice or other communication relating to this Agreement shall be in writing and shall be mailed to or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electronically) to the party for whom it is intended at such address as may from time to time be designated by it in a notice mailed or delivered to the other party as herein provided. Unless and until some other address is so designated, all notices or communications by you to the Company shall be mailed or delivered to the Company, to the attention of its Senior Vice President, General Counsel and Secretary, at its office at 13200 Pioneer Trail, Suite 150, Eden Prairie, MN 55347, slbogart@winnebagoind.com, and all notices or communications by the Company to you may be given to you personally or may be mailed or, if you are still a Service Provider, emailed to you at the address indicated in the Company's records as your most recent mailing or email address.</w:t>
      </w:r>
    </w:p>
    <w:p>
      <w:pPr>
        <w:spacing w:after="0" w:line="162" w:lineRule="exact"/>
        <w:rPr>
          <w:rFonts w:ascii="Arial" w:cs="Arial" w:eastAsia="Arial" w:hAnsi="Arial"/>
          <w:sz w:val="18"/>
          <w:szCs w:val="18"/>
          <w:color w:val="auto"/>
        </w:rPr>
      </w:pPr>
    </w:p>
    <w:p>
      <w:pPr>
        <w:ind w:left="460" w:hanging="452"/>
        <w:spacing w:after="0"/>
        <w:tabs>
          <w:tab w:leader="none" w:pos="460" w:val="left"/>
        </w:tabs>
        <w:numPr>
          <w:ilvl w:val="0"/>
          <w:numId w:val="78"/>
        </w:numPr>
        <w:rPr>
          <w:rFonts w:ascii="Arial" w:cs="Arial" w:eastAsia="Arial" w:hAnsi="Arial"/>
          <w:sz w:val="20"/>
          <w:szCs w:val="20"/>
          <w:color w:val="auto"/>
        </w:rPr>
      </w:pPr>
      <w:r>
        <w:rPr>
          <w:rFonts w:ascii="Arial" w:cs="Arial" w:eastAsia="Arial" w:hAnsi="Arial"/>
          <w:sz w:val="20"/>
          <w:szCs w:val="20"/>
          <w:b w:val="1"/>
          <w:bCs w:val="1"/>
          <w:u w:val="single" w:color="auto"/>
          <w:color w:val="auto"/>
        </w:rPr>
        <w:t>Additional Provisions</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jc w:val="both"/>
        <w:ind w:firstLine="656"/>
        <w:spacing w:after="0" w:line="250" w:lineRule="auto"/>
        <w:tabs>
          <w:tab w:leader="none" w:pos="1160" w:val="left"/>
        </w:tabs>
        <w:numPr>
          <w:ilvl w:val="1"/>
          <w:numId w:val="78"/>
        </w:numPr>
        <w:rPr>
          <w:rFonts w:ascii="Arial" w:cs="Arial" w:eastAsia="Arial" w:hAnsi="Arial"/>
          <w:sz w:val="20"/>
          <w:szCs w:val="20"/>
          <w:color w:val="auto"/>
        </w:rPr>
      </w:pPr>
      <w:r>
        <w:rPr>
          <w:rFonts w:ascii="Arial" w:cs="Arial" w:eastAsia="Arial" w:hAnsi="Arial"/>
          <w:sz w:val="20"/>
          <w:szCs w:val="20"/>
          <w:u w:val="single" w:color="auto"/>
          <w:color w:val="auto"/>
        </w:rPr>
        <w:t>No Right to Continued Service</w:t>
      </w:r>
      <w:r>
        <w:rPr>
          <w:rFonts w:ascii="Arial" w:cs="Arial" w:eastAsia="Arial" w:hAnsi="Arial"/>
          <w:sz w:val="20"/>
          <w:szCs w:val="20"/>
          <w:color w:val="auto"/>
        </w:rPr>
        <w:t>. This Agreement does not give you a right to continued Service with the Company or any Affiliate, and the Company or any such Affiliate may terminate your Service at any time and otherwise deal with you without regard to the effect it may have upon you under this Agreement.</w:t>
      </w:r>
    </w:p>
    <w:p>
      <w:pPr>
        <w:spacing w:after="0" w:line="212" w:lineRule="exact"/>
        <w:rPr>
          <w:rFonts w:ascii="Arial" w:cs="Arial" w:eastAsia="Arial" w:hAnsi="Arial"/>
          <w:sz w:val="20"/>
          <w:szCs w:val="20"/>
          <w:color w:val="auto"/>
        </w:rPr>
      </w:pPr>
    </w:p>
    <w:p>
      <w:pPr>
        <w:jc w:val="both"/>
        <w:ind w:firstLine="656"/>
        <w:spacing w:after="0" w:line="250" w:lineRule="auto"/>
        <w:tabs>
          <w:tab w:leader="none" w:pos="1279" w:val="left"/>
        </w:tabs>
        <w:numPr>
          <w:ilvl w:val="1"/>
          <w:numId w:val="78"/>
        </w:numPr>
        <w:rPr>
          <w:rFonts w:ascii="Arial" w:cs="Arial" w:eastAsia="Arial" w:hAnsi="Arial"/>
          <w:sz w:val="20"/>
          <w:szCs w:val="20"/>
          <w:color w:val="auto"/>
        </w:rPr>
      </w:pPr>
      <w:r>
        <w:rPr>
          <w:rFonts w:ascii="Arial" w:cs="Arial" w:eastAsia="Arial" w:hAnsi="Arial"/>
          <w:sz w:val="20"/>
          <w:szCs w:val="20"/>
          <w:u w:val="single" w:color="auto"/>
          <w:color w:val="auto"/>
        </w:rPr>
        <w:t>Governing Plan Document</w:t>
      </w:r>
      <w:r>
        <w:rPr>
          <w:rFonts w:ascii="Arial" w:cs="Arial" w:eastAsia="Arial" w:hAnsi="Arial"/>
          <w:sz w:val="20"/>
          <w:szCs w:val="20"/>
          <w:color w:val="auto"/>
        </w:rPr>
        <w:t>. This Agreement and the Award are subject to all the provisions of the 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spacing w:after="0" w:line="212" w:lineRule="exact"/>
        <w:rPr>
          <w:rFonts w:ascii="Arial" w:cs="Arial" w:eastAsia="Arial" w:hAnsi="Arial"/>
          <w:sz w:val="20"/>
          <w:szCs w:val="20"/>
          <w:color w:val="auto"/>
        </w:rPr>
      </w:pPr>
    </w:p>
    <w:p>
      <w:pPr>
        <w:ind w:right="20" w:firstLine="656"/>
        <w:spacing w:after="0" w:line="316" w:lineRule="auto"/>
        <w:tabs>
          <w:tab w:leader="none" w:pos="1079"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the parties’ performance hereunder, and the relationship between them shall be governed by, construed, and enforced in accordance with the laws of the State of Iowa, without giving effect to the choice of law principles thereof.</w:t>
      </w:r>
    </w:p>
    <w:p>
      <w:pPr>
        <w:spacing w:after="0" w:line="156" w:lineRule="exact"/>
        <w:rPr>
          <w:rFonts w:ascii="Arial" w:cs="Arial" w:eastAsia="Arial" w:hAnsi="Arial"/>
          <w:sz w:val="18"/>
          <w:szCs w:val="18"/>
          <w:color w:val="auto"/>
        </w:rPr>
      </w:pPr>
    </w:p>
    <w:p>
      <w:pPr>
        <w:jc w:val="both"/>
        <w:ind w:firstLine="656"/>
        <w:spacing w:after="0" w:line="246" w:lineRule="auto"/>
        <w:tabs>
          <w:tab w:leader="none" w:pos="1090" w:val="left"/>
        </w:tabs>
        <w:numPr>
          <w:ilvl w:val="1"/>
          <w:numId w:val="78"/>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provisions of this Agreement shall be severable and if any provision of this Agreement is found by any court to be unenforceable, in whole or in part, the remainder of this Agreement shall nevertheless be enforceable and binding on the parties. You also agree that any trier of fact may modify any invalid, overbroad or unenforceable provision of this Agreement so that such provision, as modified, is valid and enforceable under applicable law.</w:t>
      </w:r>
    </w:p>
    <w:p>
      <w:pPr>
        <w:spacing w:after="0" w:line="218" w:lineRule="exact"/>
        <w:rPr>
          <w:rFonts w:ascii="Arial" w:cs="Arial" w:eastAsia="Arial" w:hAnsi="Arial"/>
          <w:sz w:val="20"/>
          <w:szCs w:val="20"/>
          <w:color w:val="auto"/>
        </w:rPr>
      </w:pPr>
    </w:p>
    <w:p>
      <w:pPr>
        <w:ind w:firstLine="656"/>
        <w:spacing w:after="0" w:line="260" w:lineRule="auto"/>
        <w:tabs>
          <w:tab w:leader="none" w:pos="1065" w:val="left"/>
        </w:tabs>
        <w:numPr>
          <w:ilvl w:val="1"/>
          <w:numId w:val="78"/>
        </w:numPr>
        <w:rPr>
          <w:rFonts w:ascii="Arial" w:cs="Arial" w:eastAsia="Arial" w:hAnsi="Arial"/>
          <w:sz w:val="20"/>
          <w:szCs w:val="20"/>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This Agreement will be binding in all respects on your heirs, representatives, successors and assigns, and on the successors and assigns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3920" w:val="left"/>
        </w:tabs>
        <w:rPr>
          <w:sz w:val="20"/>
          <w:szCs w:val="20"/>
          <w:color w:val="auto"/>
        </w:rPr>
      </w:pPr>
      <w:r>
        <w:rPr>
          <w:rFonts w:ascii="Arial" w:cs="Arial" w:eastAsia="Arial" w:hAnsi="Arial"/>
          <w:sz w:val="16"/>
          <w:szCs w:val="16"/>
          <w:color w:val="auto"/>
        </w:rPr>
        <w:t>PSU Agreement (2019 Omnibus Plan – FY21-23 LTIP)</w:t>
      </w:r>
      <w:r>
        <w:rPr>
          <w:sz w:val="20"/>
          <w:szCs w:val="20"/>
          <w:color w:val="auto"/>
        </w:rPr>
        <w:tab/>
      </w:r>
      <w:r>
        <w:rPr>
          <w:rFonts w:ascii="Arial" w:cs="Arial" w:eastAsia="Arial" w:hAnsi="Arial"/>
          <w:sz w:val="13"/>
          <w:szCs w:val="13"/>
          <w:color w:val="auto"/>
        </w:rPr>
        <w:t>Page 4</w:t>
      </w:r>
    </w:p>
    <w:p>
      <w:pPr>
        <w:sectPr>
          <w:pgSz w:w="11900" w:h="16838" w:orient="portrait"/>
          <w:cols w:equalWidth="0" w:num="1">
            <w:col w:w="11240"/>
          </w:cols>
          <w:pgMar w:left="320" w:top="1413" w:right="339" w:bottom="1440" w:gutter="0" w:footer="0" w:header="0"/>
        </w:sectPr>
      </w:pPr>
    </w:p>
    <w:bookmarkStart w:id="108" w:name="page109"/>
    <w:bookmarkEnd w:id="108"/>
    <w:p>
      <w:pPr>
        <w:spacing w:after="0" w:line="222" w:lineRule="exact"/>
        <w:rPr>
          <w:sz w:val="20"/>
          <w:szCs w:val="20"/>
          <w:color w:val="auto"/>
        </w:rPr>
      </w:pPr>
    </w:p>
    <w:p>
      <w:pPr>
        <w:jc w:val="both"/>
        <w:ind w:firstLine="656"/>
        <w:spacing w:after="0" w:line="250" w:lineRule="auto"/>
        <w:tabs>
          <w:tab w:leader="none" w:pos="1044"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Section 409A of the Code</w:t>
      </w:r>
      <w:r>
        <w:rPr>
          <w:rFonts w:ascii="Arial" w:cs="Arial" w:eastAsia="Arial" w:hAnsi="Arial"/>
          <w:sz w:val="20"/>
          <w:szCs w:val="20"/>
          <w:color w:val="auto"/>
        </w:rPr>
        <w:t>. The award of Units as provided in this Agreement and any issuance of Shares or payment pursuant to this Agreement are intended to be exempt from Section 409A of the Code under the short-term deferral exception specified in Treas. Reg. § 1.409A-l(b)(4).</w:t>
      </w:r>
    </w:p>
    <w:p>
      <w:pPr>
        <w:spacing w:after="0" w:line="212" w:lineRule="exact"/>
        <w:rPr>
          <w:rFonts w:ascii="Arial" w:cs="Arial" w:eastAsia="Arial" w:hAnsi="Arial"/>
          <w:sz w:val="20"/>
          <w:szCs w:val="20"/>
          <w:color w:val="auto"/>
        </w:rPr>
      </w:pPr>
    </w:p>
    <w:p>
      <w:pPr>
        <w:jc w:val="both"/>
        <w:ind w:firstLine="656"/>
        <w:spacing w:after="0" w:line="246" w:lineRule="auto"/>
        <w:tabs>
          <w:tab w:leader="none" w:pos="1103"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Electronic Delivery and Acceptance</w:t>
      </w:r>
      <w:r>
        <w:rPr>
          <w:rFonts w:ascii="Arial" w:cs="Arial" w:eastAsia="Arial" w:hAnsi="Arial"/>
          <w:sz w:val="20"/>
          <w:szCs w:val="20"/>
          <w:color w:val="auto"/>
        </w:rPr>
        <w:t>. The Company may deliver any documents related to this Performance Stock Unit Award by electronic means and request your acceptance of this Agreement by electronic means. You hereby consent to receive all applicable documentation by electronic delivery and to participate in the Plan through an on-line (and/or voice activated) system established and maintained by the Company or the Company’s third-party stock plan administrator.</w:t>
      </w:r>
    </w:p>
    <w:p>
      <w:pPr>
        <w:spacing w:after="0" w:line="83" w:lineRule="exact"/>
        <w:rPr>
          <w:rFonts w:ascii="Arial" w:cs="Arial" w:eastAsia="Arial" w:hAnsi="Arial"/>
          <w:sz w:val="20"/>
          <w:szCs w:val="20"/>
          <w:color w:val="auto"/>
        </w:rPr>
      </w:pPr>
    </w:p>
    <w:p>
      <w:pPr>
        <w:jc w:val="both"/>
        <w:ind w:firstLine="656"/>
        <w:spacing w:after="0" w:line="273" w:lineRule="auto"/>
        <w:tabs>
          <w:tab w:leader="none" w:pos="1103"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Forfeiture and Compensation Recovery</w:t>
      </w:r>
      <w:r>
        <w:rPr>
          <w:rFonts w:ascii="Arial" w:cs="Arial" w:eastAsia="Arial" w:hAnsi="Arial"/>
          <w:sz w:val="18"/>
          <w:szCs w:val="18"/>
          <w:color w:val="auto"/>
        </w:rPr>
        <w:t>. To the extent that this Award and any compensation associated herewith is considered “incentive-based compensation” within the meaning and subject to the requirements of Section 10D of the Exchange Act, this Award and any compensation associated herewith shall be subject to potential forfeiture or recovery by the Company or other action in accordance with the Company’s Executive Officer Incentive Compensation Recovery Policy, as may be amended or amended and restated from time to time, and any other compensation recovery policy adopted by the Board or the Committee at any time, including in response to the requirements of Section 10D of the Exchange Act and any implementing rules and regulations thereunder adopted by the Securities and Exchange Commission or any national securities exchange on which the Company’s Shares are then listed, or as otherwise required by law. This Agreement may be unilaterally amended by the Committee to comply with any such compensation recovery policy.</w:t>
      </w:r>
    </w:p>
    <w:p>
      <w:pPr>
        <w:spacing w:after="0" w:line="195"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b w:val="1"/>
          <w:bCs w:val="1"/>
          <w:i w:val="1"/>
          <w:iCs w:val="1"/>
          <w:color w:val="auto"/>
        </w:rPr>
        <w:t>By signing the cover page of this Agreement or otherwise accepting this Agreement in a manner approved by the Company, you agree to all the terms and conditions described above and in the Plan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3920" w:val="left"/>
        </w:tabs>
        <w:rPr>
          <w:sz w:val="20"/>
          <w:szCs w:val="20"/>
          <w:color w:val="auto"/>
        </w:rPr>
      </w:pPr>
      <w:r>
        <w:rPr>
          <w:rFonts w:ascii="Arial" w:cs="Arial" w:eastAsia="Arial" w:hAnsi="Arial"/>
          <w:sz w:val="16"/>
          <w:szCs w:val="16"/>
          <w:color w:val="auto"/>
        </w:rPr>
        <w:t>PSU Agreement (2019 Omnibus Plan – FY21-23 LTIP)</w:t>
      </w:r>
      <w:r>
        <w:rPr>
          <w:sz w:val="20"/>
          <w:szCs w:val="20"/>
          <w:color w:val="auto"/>
        </w:rPr>
        <w:tab/>
      </w:r>
      <w:r>
        <w:rPr>
          <w:rFonts w:ascii="Arial" w:cs="Arial" w:eastAsia="Arial" w:hAnsi="Arial"/>
          <w:sz w:val="13"/>
          <w:szCs w:val="13"/>
          <w:color w:val="auto"/>
        </w:rPr>
        <w:t>Page 5</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1)"/>
      <w:numFmt w:val="decimal"/>
      <w:start w:val="1"/>
    </w:lvl>
  </w:abstractNum>
  <w:abstractNum w:abstractNumId="7">
    <w:nsid w:val="1D4ED43B"/>
    <w:multiLevelType w:val="hybridMultilevel"/>
    <w:lvl w:ilvl="0">
      <w:lvlJc w:val="left"/>
      <w:lvlText w:val="(%1)"/>
      <w:numFmt w:val="decimal"/>
      <w:start w:val="1"/>
    </w:lvl>
  </w:abstractNum>
  <w:abstractNum w:abstractNumId="8">
    <w:nsid w:val="725A06FB"/>
    <w:multiLevelType w:val="hybridMultilevel"/>
    <w:lvl w:ilvl="0">
      <w:lvlJc w:val="left"/>
      <w:lvlText w:val="(%1)"/>
      <w:numFmt w:val="decimal"/>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1)"/>
      <w:numFmt w:val="decimal"/>
      <w:start w:val="1"/>
    </w:lvl>
  </w:abstractNum>
  <w:abstractNum w:abstractNumId="12">
    <w:nsid w:val="4B588F54"/>
    <w:multiLevelType w:val="hybridMultilevel"/>
    <w:lvl w:ilvl="0">
      <w:lvlJc w:val="left"/>
      <w:lvlText w:val="(%1)"/>
      <w:numFmt w:val="decimal"/>
      <w:start w:val="1"/>
    </w:lvl>
  </w:abstractNum>
  <w:abstractNum w:abstractNumId="13">
    <w:nsid w:val="542289EC"/>
    <w:multiLevelType w:val="hybridMultilevel"/>
    <w:lvl w:ilvl="0">
      <w:lvlJc w:val="left"/>
      <w:lvlText w:val="(%1)"/>
      <w:numFmt w:val="decimal"/>
      <w:start w:val="1"/>
    </w:lvl>
  </w:abstractNum>
  <w:abstractNum w:abstractNumId="14">
    <w:nsid w:val="6DE91B18"/>
    <w:multiLevelType w:val="hybridMultilevel"/>
    <w:lvl w:ilvl="0">
      <w:lvlJc w:val="left"/>
      <w:lvlText w:val="(%1)"/>
      <w:numFmt w:val="decimal"/>
      <w:start w:val="1"/>
    </w:lvl>
  </w:abstractNum>
  <w:abstractNum w:abstractNumId="15">
    <w:nsid w:val="38437FDB"/>
    <w:multiLevelType w:val="hybridMultilevel"/>
    <w:lvl w:ilvl="0">
      <w:lvlJc w:val="left"/>
      <w:lvlText w:val="(%1)"/>
      <w:numFmt w:val="decimal"/>
      <w:start w:val="1"/>
    </w:lvl>
  </w:abstractNum>
  <w:abstractNum w:abstractNumId="16">
    <w:nsid w:val="7644A45C"/>
    <w:multiLevelType w:val="hybridMultilevel"/>
    <w:lvl w:ilvl="0">
      <w:lvlJc w:val="left"/>
      <w:lvlText w:val="(%1)"/>
      <w:numFmt w:val="decimal"/>
      <w:start w:val="1"/>
    </w:lvl>
  </w:abstractNum>
  <w:abstractNum w:abstractNumId="17">
    <w:nsid w:val="32FFF902"/>
    <w:multiLevelType w:val="hybridMultilevel"/>
    <w:lvl w:ilvl="0">
      <w:lvlJc w:val="left"/>
      <w:lvlText w:val="(%1)"/>
      <w:numFmt w:val="decimal"/>
      <w:start w:val="1"/>
    </w:lvl>
  </w:abstractNum>
  <w:abstractNum w:abstractNumId="18">
    <w:nsid w:val="684A481A"/>
    <w:multiLevelType w:val="hybridMultilevel"/>
    <w:lvl w:ilvl="0">
      <w:lvlJc w:val="left"/>
      <w:lvlText w:val="(%1)"/>
      <w:numFmt w:val="decimal"/>
      <w:start w:val="1"/>
    </w:lvl>
  </w:abstractNum>
  <w:abstractNum w:abstractNumId="19">
    <w:nsid w:val="579478FE"/>
    <w:multiLevelType w:val="hybridMultilevel"/>
    <w:lvl w:ilvl="0">
      <w:lvlJc w:val="left"/>
      <w:lvlText w:val="(%1)"/>
      <w:numFmt w:val="decimal"/>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1."/>
      <w:numFmt w:val="decimal"/>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lvl w:ilvl="1">
      <w:lvlJc w:val="left"/>
      <w:lvlText w:val="◦"/>
      <w:numFmt w:val="bullet"/>
      <w:start w:val="1"/>
    </w:lvl>
  </w:abstractNum>
  <w:abstractNum w:abstractNumId="26">
    <w:nsid w:val="70C6A529"/>
    <w:multiLevelType w:val="hybridMultilevel"/>
    <w:lvl w:ilvl="0">
      <w:lvlJc w:val="left"/>
      <w:lvlText w:val="•"/>
      <w:numFmt w:val="bullet"/>
      <w:start w:val="1"/>
    </w:lvl>
    <w:lvl w:ilvl="1">
      <w:lvlJc w:val="left"/>
      <w:lvlText w:val="◦"/>
      <w:numFmt w:val="bullet"/>
      <w:start w:val="1"/>
    </w:lvl>
  </w:abstractNum>
  <w:abstractNum w:abstractNumId="27">
    <w:nsid w:val="520EEDD1"/>
    <w:multiLevelType w:val="hybridMultilevel"/>
    <w:lvl w:ilvl="0">
      <w:lvlJc w:val="left"/>
      <w:lvlText w:val="(%1)"/>
      <w:numFmt w:val="decimal"/>
      <w:start w:val="1"/>
    </w:lvl>
  </w:abstractNum>
  <w:abstractNum w:abstractNumId="28">
    <w:nsid w:val="374A3FE6"/>
    <w:multiLevelType w:val="hybridMultilevel"/>
    <w:lvl w:ilvl="0">
      <w:lvlJc w:val="left"/>
      <w:lvlText w:val="(%1)"/>
      <w:numFmt w:val="decimal"/>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1)"/>
      <w:numFmt w:val="decimal"/>
      <w:start w:val="1"/>
    </w:lvl>
  </w:abstractNum>
  <w:abstractNum w:abstractNumId="31">
    <w:nsid w:val="649BB77C"/>
    <w:multiLevelType w:val="hybridMultilevel"/>
    <w:lvl w:ilvl="0">
      <w:lvlJc w:val="left"/>
      <w:lvlText w:val="(%1)"/>
      <w:numFmt w:val="decimal"/>
      <w:start w:val="1"/>
    </w:lvl>
  </w:abstractNum>
  <w:abstractNum w:abstractNumId="32">
    <w:nsid w:val="275AC794"/>
    <w:multiLevelType w:val="hybridMultilevel"/>
    <w:lvl w:ilvl="0">
      <w:lvlJc w:val="left"/>
      <w:lvlText w:val="(%1)"/>
      <w:numFmt w:val="decimal"/>
      <w:start w:val="1"/>
    </w:lvl>
  </w:abstractNum>
  <w:abstractNum w:abstractNumId="33">
    <w:nsid w:val="39386575"/>
    <w:multiLevelType w:val="hybridMultilevel"/>
    <w:lvl w:ilvl="0">
      <w:lvlJc w:val="left"/>
      <w:lvlText w:val="(%1)"/>
      <w:numFmt w:val="decimal"/>
      <w:start w:val="2"/>
    </w:lvl>
  </w:abstractNum>
  <w:abstractNum w:abstractNumId="34">
    <w:nsid w:val="1CF10FD8"/>
    <w:multiLevelType w:val="hybridMultilevel"/>
    <w:lvl w:ilvl="0">
      <w:lvlJc w:val="left"/>
      <w:lvlText w:val="(%1)"/>
      <w:numFmt w:val="decimal"/>
      <w:start w:val="1"/>
    </w:lvl>
  </w:abstractNum>
  <w:abstractNum w:abstractNumId="35">
    <w:nsid w:val="180115BE"/>
    <w:multiLevelType w:val="hybridMultilevel"/>
    <w:lvl w:ilvl="0">
      <w:lvlJc w:val="left"/>
      <w:lvlText w:val="(%1)"/>
      <w:numFmt w:val="decimal"/>
      <w:start w:val="1"/>
    </w:lvl>
  </w:abstractNum>
  <w:abstractNum w:abstractNumId="36">
    <w:nsid w:val="235BA861"/>
    <w:multiLevelType w:val="hybridMultilevel"/>
    <w:lvl w:ilvl="0">
      <w:lvlJc w:val="left"/>
      <w:lvlText w:val="(%1)"/>
      <w:numFmt w:val="decimal"/>
      <w:start w:val="1"/>
    </w:lvl>
  </w:abstractNum>
  <w:abstractNum w:abstractNumId="37">
    <w:nsid w:val="47398C89"/>
    <w:multiLevelType w:val="hybridMultilevel"/>
    <w:lvl w:ilvl="0">
      <w:lvlJc w:val="left"/>
      <w:lvlText w:val="(%1)"/>
      <w:numFmt w:val="decimal"/>
      <w:start w:val="1"/>
    </w:lvl>
  </w:abstractNum>
  <w:abstractNum w:abstractNumId="38">
    <w:nsid w:val="354FE9F9"/>
    <w:multiLevelType w:val="hybridMultilevel"/>
    <w:lvl w:ilvl="0">
      <w:lvlJc w:val="left"/>
      <w:lvlText w:val="(%1)"/>
      <w:numFmt w:val="decimal"/>
      <w:start w:val="1"/>
    </w:lvl>
  </w:abstractNum>
  <w:abstractNum w:abstractNumId="39">
    <w:nsid w:val="15B5AF5C"/>
    <w:multiLevelType w:val="hybridMultilevel"/>
    <w:lvl w:ilvl="0">
      <w:lvlJc w:val="left"/>
      <w:lvlText w:val="(%1)"/>
      <w:numFmt w:val="decimal"/>
      <w:start w:val="1"/>
    </w:lvl>
  </w:abstractNum>
  <w:abstractNum w:abstractNumId="40">
    <w:nsid w:val="741226BB"/>
    <w:multiLevelType w:val="hybridMultilevel"/>
    <w:lvl w:ilvl="0">
      <w:lvlJc w:val="left"/>
      <w:lvlText w:val="(%1)"/>
      <w:numFmt w:val="decimal"/>
      <w:start w:val="1"/>
    </w:lvl>
  </w:abstractNum>
  <w:abstractNum w:abstractNumId="41">
    <w:nsid w:val="D34B6A8"/>
    <w:multiLevelType w:val="hybridMultilevel"/>
    <w:lvl w:ilvl="0">
      <w:lvlJc w:val="left"/>
      <w:lvlText w:val="(%1)"/>
      <w:numFmt w:val="decimal"/>
      <w:start w:val="1"/>
    </w:lvl>
  </w:abstractNum>
  <w:abstractNum w:abstractNumId="42">
    <w:nsid w:val="10233C99"/>
    <w:multiLevelType w:val="hybridMultilevel"/>
    <w:lvl w:ilvl="0">
      <w:lvlJc w:val="left"/>
      <w:lvlText w:val="%1."/>
      <w:numFmt w:val="decimal"/>
      <w:start w:val="1"/>
    </w:lvl>
  </w:abstractNum>
  <w:abstractNum w:abstractNumId="43">
    <w:nsid w:val="3F6AB60F"/>
    <w:multiLevelType w:val="hybridMultilevel"/>
    <w:lvl w:ilvl="0">
      <w:lvlJc w:val="left"/>
      <w:lvlText w:val="%1."/>
      <w:numFmt w:val="decimal"/>
      <w:start w:val="3"/>
    </w:lvl>
  </w:abstractNum>
  <w:abstractNum w:abstractNumId="44">
    <w:nsid w:val="61574095"/>
    <w:multiLevelType w:val="hybridMultilevel"/>
    <w:lvl w:ilvl="0">
      <w:lvlJc w:val="left"/>
      <w:lvlText w:val="%1"/>
      <w:numFmt w:val="decimal"/>
      <w:start w:val="21"/>
    </w:lvl>
  </w:abstractNum>
  <w:abstractNum w:abstractNumId="45">
    <w:nsid w:val="7E0C57B1"/>
    <w:multiLevelType w:val="hybridMultilevel"/>
    <w:lvl w:ilvl="0">
      <w:lvlJc w:val="left"/>
      <w:lvlText w:val="%1"/>
      <w:numFmt w:val="decimal"/>
      <w:start w:val="23"/>
    </w:lvl>
  </w:abstractNum>
  <w:abstractNum w:abstractNumId="46">
    <w:nsid w:val="77AE35EB"/>
    <w:multiLevelType w:val="hybridMultilevel"/>
    <w:lvl w:ilvl="0">
      <w:lvlJc w:val="left"/>
      <w:lvlText w:val="%1"/>
      <w:numFmt w:val="decimal"/>
      <w:start w:val="101"/>
    </w:lvl>
  </w:abstractNum>
  <w:abstractNum w:abstractNumId="47">
    <w:nsid w:val="579BE4F1"/>
    <w:multiLevelType w:val="hybridMultilevel"/>
    <w:lvl w:ilvl="0">
      <w:lvlJc w:val="left"/>
      <w:lvlText w:val="*"/>
      <w:numFmt w:val="bullet"/>
      <w:start w:val="1"/>
    </w:lvl>
    <w:lvl w:ilvl="1">
      <w:lvlJc w:val="left"/>
      <w:lvlText w:val="%2"/>
      <w:numFmt w:val="decimal"/>
      <w:start w:val="104"/>
    </w:lvl>
  </w:abstractNum>
  <w:abstractNum w:abstractNumId="48">
    <w:nsid w:val="310C50B3"/>
    <w:multiLevelType w:val="hybridMultilevel"/>
    <w:lvl w:ilvl="0">
      <w:lvlJc w:val="left"/>
      <w:lvlText w:val="%1."/>
      <w:numFmt w:val="decimal"/>
      <w:start w:val="1"/>
    </w:lvl>
    <w:lvl w:ilvl="1">
      <w:lvlJc w:val="left"/>
      <w:lvlText w:val="%2."/>
      <w:numFmt w:val="lowerLetter"/>
      <w:start w:val="1"/>
    </w:lvl>
  </w:abstractNum>
  <w:abstractNum w:abstractNumId="49">
    <w:nsid w:val="5FF87E05"/>
    <w:multiLevelType w:val="hybridMultilevel"/>
    <w:lvl w:ilvl="0">
      <w:lvlJc w:val="left"/>
      <w:lvlText w:val="%1."/>
      <w:numFmt w:val="decimal"/>
      <w:start w:val="1"/>
    </w:lvl>
    <w:lvl w:ilvl="1">
      <w:lvlJc w:val="left"/>
      <w:lvlText w:val="%2."/>
      <w:numFmt w:val="lowerLetter"/>
      <w:start w:val="1"/>
    </w:lvl>
  </w:abstractNum>
  <w:abstractNum w:abstractNumId="50">
    <w:nsid w:val="2F305DEF"/>
    <w:multiLevelType w:val="hybridMultilevel"/>
    <w:lvl w:ilvl="0">
      <w:lvlJc w:val="left"/>
      <w:lvlText w:val="%1."/>
      <w:numFmt w:val="lowerLetter"/>
      <w:start w:val="1"/>
    </w:lvl>
  </w:abstractNum>
  <w:abstractNum w:abstractNumId="51">
    <w:nsid w:val="25A70BF7"/>
    <w:multiLevelType w:val="hybridMultilevel"/>
    <w:lvl w:ilvl="0">
      <w:lvlJc w:val="left"/>
      <w:lvlText w:val="%1."/>
      <w:numFmt w:val="lowerLetter"/>
      <w:start w:val="1"/>
    </w:lvl>
  </w:abstractNum>
  <w:abstractNum w:abstractNumId="52">
    <w:nsid w:val="1DBABF0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53">
    <w:nsid w:val="4AD084E9"/>
    <w:multiLevelType w:val="hybridMultilevel"/>
    <w:lvl w:ilvl="0">
      <w:lvlJc w:val="left"/>
      <w:lvlText w:val="%1"/>
      <w:numFmt w:val="decimal"/>
      <w:start w:val="1"/>
    </w:lvl>
    <w:lvl w:ilvl="1">
      <w:lvlJc w:val="left"/>
      <w:lvlText w:val="%2."/>
      <w:numFmt w:val="lowerLetter"/>
      <w:start w:val="2"/>
    </w:lvl>
  </w:abstractNum>
  <w:abstractNum w:abstractNumId="54">
    <w:nsid w:val="1F48EAA1"/>
    <w:multiLevelType w:val="hybridMultilevel"/>
    <w:lvl w:ilvl="0">
      <w:lvlJc w:val="left"/>
      <w:lvlText w:val="%1."/>
      <w:numFmt w:val="decimal"/>
      <w:start w:val="4"/>
    </w:lvl>
    <w:lvl w:ilvl="1">
      <w:lvlJc w:val="left"/>
      <w:lvlText w:val="%2"/>
      <w:numFmt w:val="lowerLetter"/>
      <w:start w:val="1"/>
    </w:lvl>
  </w:abstractNum>
  <w:abstractNum w:abstractNumId="55">
    <w:nsid w:val="1381823A"/>
    <w:multiLevelType w:val="hybridMultilevel"/>
    <w:lvl w:ilvl="0">
      <w:lvlJc w:val="left"/>
      <w:lvlText w:val="%1."/>
      <w:numFmt w:val="decimal"/>
      <w:start w:val="5"/>
    </w:lvl>
  </w:abstractNum>
  <w:abstractNum w:abstractNumId="56">
    <w:nsid w:val="5DB70AE5"/>
    <w:multiLevelType w:val="hybridMultilevel"/>
    <w:lvl w:ilvl="0">
      <w:lvlJc w:val="left"/>
      <w:lvlText w:val="½"/>
      <w:numFmt w:val="bullet"/>
      <w:start w:val="1"/>
    </w:lvl>
  </w:abstractNum>
  <w:abstractNum w:abstractNumId="57">
    <w:nsid w:val="100F8FCA"/>
    <w:multiLevelType w:val="hybridMultilevel"/>
    <w:lvl w:ilvl="0">
      <w:lvlJc w:val="left"/>
      <w:lvlText w:val="%1."/>
      <w:numFmt w:val="decimal"/>
      <w:start w:val="6"/>
    </w:lvl>
  </w:abstractNum>
  <w:abstractNum w:abstractNumId="58">
    <w:nsid w:val="6590700B"/>
    <w:multiLevelType w:val="hybridMultilevel"/>
    <w:lvl w:ilvl="0">
      <w:lvlJc w:val="left"/>
      <w:lvlText w:val="(%1)"/>
      <w:numFmt w:val="decimal"/>
      <w:start w:val="1"/>
    </w:lvl>
  </w:abstractNum>
  <w:abstractNum w:abstractNumId="59">
    <w:nsid w:val="15014ACB"/>
    <w:multiLevelType w:val="hybridMultilevel"/>
    <w:lvl w:ilvl="0">
      <w:lvlJc w:val="left"/>
      <w:lvlText w:val="%1"/>
      <w:numFmt w:val="decimal"/>
      <w:start w:val="1"/>
    </w:lvl>
    <w:lvl w:ilvl="1">
      <w:lvlJc w:val="left"/>
      <w:lvlText w:val="(%2)"/>
      <w:numFmt w:val="decimal"/>
      <w:start w:val="2"/>
    </w:lvl>
  </w:abstractNum>
  <w:abstractNum w:abstractNumId="60">
    <w:nsid w:val="5F5E7FD0"/>
    <w:multiLevelType w:val="hybridMultilevel"/>
    <w:lvl w:ilvl="0">
      <w:lvlJc w:val="left"/>
      <w:lvlText w:val="(%1)"/>
      <w:numFmt w:val="decimal"/>
      <w:start w:val="3"/>
    </w:lvl>
    <w:lvl w:ilvl="1">
      <w:lvlJc w:val="left"/>
      <w:lvlText w:val="%2"/>
      <w:numFmt w:val="decimal"/>
      <w:start w:val="1"/>
    </w:lvl>
  </w:abstractNum>
  <w:abstractNum w:abstractNumId="61">
    <w:nsid w:val="98A3148"/>
    <w:multiLevelType w:val="hybridMultilevel"/>
    <w:lvl w:ilvl="0">
      <w:lvlJc w:val="left"/>
      <w:lvlText w:val="(%1)"/>
      <w:numFmt w:val="lowerRoman"/>
      <w:start w:val="2"/>
    </w:lvl>
  </w:abstractNum>
  <w:abstractNum w:abstractNumId="62">
    <w:nsid w:val="799D0247"/>
    <w:multiLevelType w:val="hybridMultilevel"/>
    <w:lvl w:ilvl="0">
      <w:lvlJc w:val="left"/>
      <w:lvlText w:val="(%1)"/>
      <w:numFmt w:val="lowerRoman"/>
      <w:start w:val="2"/>
    </w:lvl>
  </w:abstractNum>
  <w:abstractNum w:abstractNumId="63">
    <w:nsid w:val="6B94764"/>
    <w:multiLevelType w:val="hybridMultilevel"/>
    <w:lvl w:ilvl="0">
      <w:lvlJc w:val="left"/>
      <w:lvlText w:val="%1."/>
      <w:numFmt w:val="decimal"/>
      <w:start w:val="7"/>
    </w:lvl>
  </w:abstractNum>
  <w:abstractNum w:abstractNumId="64">
    <w:nsid w:val="42C296BD"/>
    <w:multiLevelType w:val="hybridMultilevel"/>
    <w:lvl w:ilvl="0">
      <w:lvlJc w:val="left"/>
      <w:lvlText w:val="*"/>
      <w:numFmt w:val="bullet"/>
      <w:start w:val="1"/>
    </w:lvl>
  </w:abstractNum>
  <w:abstractNum w:abstractNumId="65">
    <w:nsid w:val="168E121F"/>
    <w:multiLevelType w:val="hybridMultilevel"/>
    <w:lvl w:ilvl="0">
      <w:lvlJc w:val="left"/>
      <w:lvlText w:val="•"/>
      <w:numFmt w:val="bullet"/>
      <w:start w:val="1"/>
    </w:lvl>
  </w:abstractNum>
  <w:abstractNum w:abstractNumId="66">
    <w:nsid w:val="1EBA5D23"/>
    <w:multiLevelType w:val="hybridMultilevel"/>
    <w:lvl w:ilvl="0">
      <w:lvlJc w:val="left"/>
      <w:lvlText w:val="•"/>
      <w:numFmt w:val="bullet"/>
      <w:start w:val="1"/>
    </w:lvl>
    <w:lvl w:ilvl="1">
      <w:lvlJc w:val="left"/>
      <w:lvlText w:val="◦"/>
      <w:numFmt w:val="bullet"/>
      <w:start w:val="1"/>
    </w:lvl>
  </w:abstractNum>
  <w:abstractNum w:abstractNumId="67">
    <w:nsid w:val="661E3F1E"/>
    <w:multiLevelType w:val="hybridMultilevel"/>
    <w:lvl w:ilvl="0">
      <w:lvlJc w:val="left"/>
      <w:lvlText w:val="%1."/>
      <w:numFmt w:val="decimal"/>
      <w:start w:val="1"/>
    </w:lvl>
  </w:abstractNum>
  <w:abstractNum w:abstractNumId="68">
    <w:nsid w:val="5DC79EA8"/>
    <w:multiLevelType w:val="hybridMultilevel"/>
    <w:lvl w:ilvl="0">
      <w:lvlJc w:val="left"/>
      <w:lvlText w:val="%1."/>
      <w:numFmt w:val="decimal"/>
      <w:start w:val="2"/>
    </w:lvl>
    <w:lvl w:ilvl="1">
      <w:lvlJc w:val="left"/>
      <w:lvlText w:val="(%2)"/>
      <w:numFmt w:val="lowerLetter"/>
      <w:start w:val="1"/>
    </w:lvl>
  </w:abstractNum>
  <w:abstractNum w:abstractNumId="69">
    <w:nsid w:val="540A471C"/>
    <w:multiLevelType w:val="hybridMultilevel"/>
    <w:lvl w:ilvl="0">
      <w:lvlJc w:val="left"/>
      <w:lvlText w:val="%1"/>
      <w:numFmt w:val="decimal"/>
      <w:start w:val="1"/>
    </w:lvl>
    <w:lvl w:ilvl="1">
      <w:lvlJc w:val="left"/>
      <w:lvlText w:val="(%2)"/>
      <w:numFmt w:val="lowerLetter"/>
      <w:start w:val="2"/>
    </w:lvl>
  </w:abstractNum>
  <w:abstractNum w:abstractNumId="70">
    <w:nsid w:val="7BD3EE7B"/>
    <w:multiLevelType w:val="hybridMultilevel"/>
    <w:lvl w:ilvl="0">
      <w:lvlJc w:val="left"/>
      <w:lvlText w:val="%1."/>
      <w:numFmt w:val="decimal"/>
      <w:start w:val="6"/>
    </w:lvl>
    <w:lvl w:ilvl="1">
      <w:lvlJc w:val="left"/>
      <w:lvlText w:val="%2"/>
      <w:numFmt w:val="lowerLetter"/>
      <w:start w:val="1"/>
    </w:lvl>
  </w:abstractNum>
  <w:abstractNum w:abstractNumId="71">
    <w:nsid w:val="51D9C564"/>
    <w:multiLevelType w:val="hybridMultilevel"/>
    <w:lvl w:ilvl="0">
      <w:lvlJc w:val="left"/>
      <w:lvlText w:val="%1."/>
      <w:numFmt w:val="decimal"/>
      <w:start w:val="8"/>
    </w:lvl>
    <w:lvl w:ilvl="1">
      <w:lvlJc w:val="left"/>
      <w:lvlText w:val="(%2)"/>
      <w:numFmt w:val="lowerLetter"/>
      <w:start w:val="1"/>
    </w:lvl>
  </w:abstractNum>
  <w:abstractNum w:abstractNumId="72">
    <w:nsid w:val="613EFDC5"/>
    <w:multiLevelType w:val="hybridMultilevel"/>
    <w:lvl w:ilvl="0">
      <w:lvlJc w:val="left"/>
      <w:lvlText w:val="(%1)"/>
      <w:numFmt w:val="lowerLetter"/>
      <w:start w:val="6"/>
    </w:lvl>
  </w:abstractNum>
  <w:abstractNum w:abstractNumId="73">
    <w:nsid w:val="BF72B14"/>
    <w:multiLevelType w:val="hybridMultilevel"/>
    <w:lvl w:ilvl="0">
      <w:lvlJc w:val="left"/>
      <w:lvlText w:val="%1."/>
      <w:numFmt w:val="decimal"/>
      <w:start w:val="1"/>
    </w:lvl>
  </w:abstractNum>
  <w:abstractNum w:abstractNumId="74">
    <w:nsid w:val="11447B73"/>
    <w:multiLevelType w:val="hybridMultilevel"/>
    <w:lvl w:ilvl="0">
      <w:lvlJc w:val="left"/>
      <w:lvlText w:val="%1."/>
      <w:numFmt w:val="decimal"/>
      <w:start w:val="2"/>
    </w:lvl>
    <w:lvl w:ilvl="1">
      <w:lvlJc w:val="left"/>
      <w:lvlText w:val="(%2)"/>
      <w:numFmt w:val="lowerLetter"/>
      <w:start w:val="1"/>
    </w:lvl>
  </w:abstractNum>
  <w:abstractNum w:abstractNumId="75">
    <w:nsid w:val="42963E5A"/>
    <w:multiLevelType w:val="hybridMultilevel"/>
    <w:lvl w:ilvl="0">
      <w:lvlJc w:val="left"/>
      <w:lvlText w:val="%1"/>
      <w:numFmt w:val="decimal"/>
      <w:start w:val="1"/>
    </w:lvl>
    <w:lvl w:ilvl="1">
      <w:lvlJc w:val="left"/>
      <w:lvlText w:val="(%2)"/>
      <w:numFmt w:val="lowerLetter"/>
      <w:start w:val="2"/>
    </w:lvl>
  </w:abstractNum>
  <w:abstractNum w:abstractNumId="76">
    <w:nsid w:val="A0382C5"/>
    <w:multiLevelType w:val="hybridMultilevel"/>
    <w:lvl w:ilvl="0">
      <w:lvlJc w:val="left"/>
      <w:lvlText w:val="%1."/>
      <w:numFmt w:val="decimal"/>
      <w:start w:val="6"/>
    </w:lvl>
    <w:lvl w:ilvl="1">
      <w:lvlJc w:val="left"/>
      <w:lvlText w:val="%2"/>
      <w:numFmt w:val="lowerLetter"/>
      <w:start w:val="1"/>
    </w:lvl>
  </w:abstractNum>
  <w:abstractNum w:abstractNumId="77">
    <w:nsid w:val="8F2B15E"/>
    <w:multiLevelType w:val="hybridMultilevel"/>
    <w:lvl w:ilvl="0">
      <w:lvlJc w:val="left"/>
      <w:lvlText w:val="%1."/>
      <w:numFmt w:val="decimal"/>
      <w:start w:val="8"/>
    </w:lvl>
    <w:lvl w:ilvl="1">
      <w:lvlJc w:val="left"/>
      <w:lvlText w:val="(%2)"/>
      <w:numFmt w:val="lowerLetter"/>
      <w:start w:val="1"/>
    </w:lvl>
  </w:abstractNum>
  <w:abstractNum w:abstractNumId="78">
    <w:nsid w:val="1A32234B"/>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8" Type="http://schemas.openxmlformats.org/officeDocument/2006/relationships/image" Target="media/image98.png"/><Relationship Id="rId111" Type="http://schemas.openxmlformats.org/officeDocument/2006/relationships/image" Target="media/image99.png"/><Relationship Id="rId113" Type="http://schemas.openxmlformats.org/officeDocument/2006/relationships/image" Target="media/image100.png"/><Relationship Id="rId115" Type="http://schemas.openxmlformats.org/officeDocument/2006/relationships/image" Target="media/image101.png"/><Relationship Id="rId117"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4" Type="http://schemas.openxmlformats.org/officeDocument/2006/relationships/image" Target="media/image105.png"/><Relationship Id="rId127" Type="http://schemas.openxmlformats.org/officeDocument/2006/relationships/image" Target="media/image106.png"/><Relationship Id="rId129" Type="http://schemas.openxmlformats.org/officeDocument/2006/relationships/image" Target="media/image107.png"/><Relationship Id="rId132" Type="http://schemas.openxmlformats.org/officeDocument/2006/relationships/image" Target="media/image108.png"/><Relationship Id="rId135" Type="http://schemas.openxmlformats.org/officeDocument/2006/relationships/image" Target="media/image109.png"/><Relationship Id="rId139" Type="http://schemas.openxmlformats.org/officeDocument/2006/relationships/image" Target="media/image110.png"/><Relationship Id="rId140" Type="http://schemas.openxmlformats.org/officeDocument/2006/relationships/image" Target="media/image111.png"/><Relationship Id="rId141" Type="http://schemas.openxmlformats.org/officeDocument/2006/relationships/image" Target="media/image112.png"/><Relationship Id="rId142" Type="http://schemas.openxmlformats.org/officeDocument/2006/relationships/image" Target="media/image113.png"/><Relationship Id="rId145" Type="http://schemas.openxmlformats.org/officeDocument/2006/relationships/image" Target="media/image114.png"/><Relationship Id="rId148" Type="http://schemas.openxmlformats.org/officeDocument/2006/relationships/image" Target="media/image115.png"/><Relationship Id="rId151" Type="http://schemas.openxmlformats.org/officeDocument/2006/relationships/image" Target="media/image116.png"/><Relationship Id="rId154" Type="http://schemas.openxmlformats.org/officeDocument/2006/relationships/image" Target="media/image117.png"/><Relationship Id="rId157" Type="http://schemas.openxmlformats.org/officeDocument/2006/relationships/image" Target="media/image118.png"/><Relationship Id="rId160" Type="http://schemas.openxmlformats.org/officeDocument/2006/relationships/image" Target="media/image119.png"/><Relationship Id="rId164" Type="http://schemas.openxmlformats.org/officeDocument/2006/relationships/image" Target="media/image120.png"/><Relationship Id="rId165" Type="http://schemas.openxmlformats.org/officeDocument/2006/relationships/image" Target="media/image121.png"/><Relationship Id="rId166" Type="http://schemas.openxmlformats.org/officeDocument/2006/relationships/image" Target="media/image122.png"/><Relationship Id="rId169" Type="http://schemas.openxmlformats.org/officeDocument/2006/relationships/image" Target="media/image123.png"/><Relationship Id="rId172" Type="http://schemas.openxmlformats.org/officeDocument/2006/relationships/image" Target="media/image124.png"/><Relationship Id="rId175" Type="http://schemas.openxmlformats.org/officeDocument/2006/relationships/image" Target="media/image125.png"/><Relationship Id="rId178" Type="http://schemas.openxmlformats.org/officeDocument/2006/relationships/image" Target="media/image126.png"/><Relationship Id="rId180" Type="http://schemas.openxmlformats.org/officeDocument/2006/relationships/image" Target="media/image127.png"/><Relationship Id="rId184" Type="http://schemas.openxmlformats.org/officeDocument/2006/relationships/image" Target="media/image128.png"/><Relationship Id="rId186" Type="http://schemas.openxmlformats.org/officeDocument/2006/relationships/image" Target="media/image129.png"/><Relationship Id="rId188" Type="http://schemas.openxmlformats.org/officeDocument/2006/relationships/image" Target="media/image130.png"/><Relationship Id="rId189" Type="http://schemas.openxmlformats.org/officeDocument/2006/relationships/image" Target="media/image131.png"/><Relationship Id="rId190" Type="http://schemas.openxmlformats.org/officeDocument/2006/relationships/image" Target="media/image132.png"/><Relationship Id="rId191" Type="http://schemas.openxmlformats.org/officeDocument/2006/relationships/image" Target="media/image133.png"/><Relationship Id="rId192" Type="http://schemas.openxmlformats.org/officeDocument/2006/relationships/image" Target="media/image134.png"/><Relationship Id="rId193" Type="http://schemas.openxmlformats.org/officeDocument/2006/relationships/image" Target="media/image135.png"/><Relationship Id="rId194" Type="http://schemas.openxmlformats.org/officeDocument/2006/relationships/image" Target="media/image136.png"/><Relationship Id="rId195" Type="http://schemas.openxmlformats.org/officeDocument/2006/relationships/image" Target="media/image137.png"/><Relationship Id="rId196" Type="http://schemas.openxmlformats.org/officeDocument/2006/relationships/image" Target="media/image138.png"/><Relationship Id="rId197" Type="http://schemas.openxmlformats.org/officeDocument/2006/relationships/image" Target="media/image139.png"/><Relationship Id="rId198" Type="http://schemas.openxmlformats.org/officeDocument/2006/relationships/image" Target="media/image140.png"/><Relationship Id="rId199" Type="http://schemas.openxmlformats.org/officeDocument/2006/relationships/image" Target="media/image141.png"/><Relationship Id="rId200" Type="http://schemas.openxmlformats.org/officeDocument/2006/relationships/image" Target="media/image142.jpeg"/><Relationship Id="rId201" Type="http://schemas.openxmlformats.org/officeDocument/2006/relationships/image" Target="media/image143.png"/><Relationship Id="rId202" Type="http://schemas.openxmlformats.org/officeDocument/2006/relationships/image" Target="media/image144.png"/><Relationship Id="rId203" Type="http://schemas.openxmlformats.org/officeDocument/2006/relationships/image" Target="media/image145.png"/><Relationship Id="rId204" Type="http://schemas.openxmlformats.org/officeDocument/2006/relationships/image" Target="media/image146.png"/><Relationship Id="rId205" Type="http://schemas.openxmlformats.org/officeDocument/2006/relationships/image" Target="media/image147.png"/><Relationship Id="rId206" Type="http://schemas.openxmlformats.org/officeDocument/2006/relationships/image" Target="media/image148.png"/><Relationship Id="rId105" Type="http://schemas.openxmlformats.org/officeDocument/2006/relationships/hyperlink" Target="http://www.sec.gov/Archives/edgar/data/107687/000010768716000120/exh21securitiespurchaseagr.htm" TargetMode="External"/><Relationship Id="rId106" Type="http://schemas.openxmlformats.org/officeDocument/2006/relationships/hyperlink" Target="http://www.sec.gov/Archives/edgar/data/107687/000010768719000017/ex2120198-k0916.htm" TargetMode="External"/><Relationship Id="rId107" Type="http://schemas.openxmlformats.org/officeDocument/2006/relationships/hyperlink" Target="http://www.sec.gov/Archives/edgar/data/107687/000010768718000026/exhibit3aarticlesofincor.htm" TargetMode="External"/><Relationship Id="rId109" Type="http://schemas.openxmlformats.org/officeDocument/2006/relationships/hyperlink" Target="http://www.sec.gov/Archives/edgar/data/107687/000010768716000075/exh31by-lawsasamended3x16x.htm" TargetMode="External"/><Relationship Id="rId110" Type="http://schemas.openxmlformats.org/officeDocument/2006/relationships/hyperlink" Target="https://www.sec.gov/Archives/edgar/data/107687/000010768719000024/exh4a201910-k.htm" TargetMode="External"/><Relationship Id="rId112" Type="http://schemas.openxmlformats.org/officeDocument/2006/relationships/hyperlink" Target="https://www.sec.gov/Archives/edgar/data/107687/000110465919059604/a19-21005_2ex4d1.htm#Exhibit4_1_114535" TargetMode="External"/><Relationship Id="rId114" Type="http://schemas.openxmlformats.org/officeDocument/2006/relationships/hyperlink" Target="https://www.sec.gov/Archives/edgar/data/107687/000110465920082433/tm2024371d1_ex4-1.htm" TargetMode="External"/><Relationship Id="rId116" Type="http://schemas.openxmlformats.org/officeDocument/2006/relationships/hyperlink" Target="http://www.sec.gov/Archives/edgar/data/107687/0000897101-95-000449.txt" TargetMode="External"/><Relationship Id="rId118" Type="http://schemas.openxmlformats.org/officeDocument/2006/relationships/hyperlink" Target="http://www.sec.gov/Archives/edgar/data/107687/000089710101500122/winnebago010807_ex10-i.txt" TargetMode="External"/><Relationship Id="rId119" Type="http://schemas.openxmlformats.org/officeDocument/2006/relationships/hyperlink" Target="http://www.sec.gov/Archives/edgar/data/107687/000010768711000049/exh10bbexecdefcompplan.htm" TargetMode="External"/><Relationship Id="rId122" Type="http://schemas.openxmlformats.org/officeDocument/2006/relationships/hyperlink" Target="http://www.sec.gov/Archives/edgar/data/107687/000010768711000029/exh1012004incentivecompens.htm" TargetMode="External"/><Relationship Id="rId123" Type="http://schemas.openxmlformats.org/officeDocument/2006/relationships/hyperlink" Target="http://www.sec.gov/Archives/edgar/data/107687/000010768713000055/exh1012014omnibusequityper.htm" TargetMode="External"/><Relationship Id="rId125" Type="http://schemas.openxmlformats.org/officeDocument/2006/relationships/hyperlink" Target="http://www.sec.gov/Archives/edgar/data/107687/000010768718000029/wgo2018proxy.htm" TargetMode="External"/><Relationship Id="rId126" Type="http://schemas.openxmlformats.org/officeDocument/2006/relationships/hyperlink" Target="http://www.sec.gov/Archives/edgar/data/107687/000010768713000040/wgo2013q3exh101.htm" TargetMode="External"/><Relationship Id="rId128" Type="http://schemas.openxmlformats.org/officeDocument/2006/relationships/hyperlink" Target="http://www.sec.gov/Archives/edgar/data/107687/000010768717000091/ex9922018-2020officersltin.htm" TargetMode="External"/><Relationship Id="rId130" Type="http://schemas.openxmlformats.org/officeDocument/2006/relationships/hyperlink" Target="http://www.sec.gov/Archives/edgar/data/107687/000010768718000038/a2019q1exh10boptions.htm" TargetMode="External"/><Relationship Id="rId131" Type="http://schemas.openxmlformats.org/officeDocument/2006/relationships/hyperlink" Target="http://www.sec.gov/Archives/edgar/data/107687/000010768718000038/a2019q1exh10crsuexecutives.htm" TargetMode="External"/><Relationship Id="rId133" Type="http://schemas.openxmlformats.org/officeDocument/2006/relationships/hyperlink" Target="http://www.sec.gov/Archives/edgar/data/107687/000010768718000038/a2019q1exh10dpsu.htm" TargetMode="External"/><Relationship Id="rId134" Type="http://schemas.openxmlformats.org/officeDocument/2006/relationships/hyperlink" Target="http://www.sec.gov/Archives/edgar/data/107687/000010768718000038/a2019q1exh10ersudirector.htm" TargetMode="External"/><Relationship Id="rId136" Type="http://schemas.openxmlformats.org/officeDocument/2006/relationships/hyperlink" Target="https://www.sec.gov/Archives/edgar/data/107687/000010768719000024/happecicnovember2018.htm" TargetMode="External"/><Relationship Id="rId137" Type="http://schemas.openxmlformats.org/officeDocument/2006/relationships/hyperlink" Target="http://www.sec.gov/Archives/edgar/data/107687/000010768718000038/a2019q1exh10fcic.htm" TargetMode="External"/><Relationship Id="rId138" Type="http://schemas.openxmlformats.org/officeDocument/2006/relationships/hyperlink" Target="http://www.sec.gov/Archives/edgar/data/107687/000089710109002143/wgo094796_ex10z.htm" TargetMode="External"/><Relationship Id="rId143" Type="http://schemas.openxmlformats.org/officeDocument/2006/relationships/hyperlink" Target="http://www.sec.gov/Archives/edgar/data/107687/000010768716000120/exh101non-compnonxsolicita.htm" TargetMode="External"/><Relationship Id="rId144" Type="http://schemas.openxmlformats.org/officeDocument/2006/relationships/hyperlink" Target="http://www.sec.gov/Archives/edgar/data/107687/000010768716000120/exh102non-solicitationandc.htm" TargetMode="External"/><Relationship Id="rId146" Type="http://schemas.openxmlformats.org/officeDocument/2006/relationships/hyperlink" Target="http://www.sec.gov/Archives/edgar/data/107687/000010768716000120/exh103registrationrights.htm" TargetMode="External"/><Relationship Id="rId147" Type="http://schemas.openxmlformats.org/officeDocument/2006/relationships/hyperlink" Target="http://www.sec.gov/Archives/edgar/data/107687/000010768716000120/exh109clarkemploymentagree.htm" TargetMode="External"/><Relationship Id="rId149" Type="http://schemas.openxmlformats.org/officeDocument/2006/relationships/hyperlink" Target="http://www.sec.gov/Archives/edgar/data/107687/000010768716000138/exh992loanagreement2016.htm" TargetMode="External"/><Relationship Id="rId150" Type="http://schemas.openxmlformats.org/officeDocument/2006/relationships/hyperlink" Target="http://www.sec.gov/Archives/edgar/data/107687/000010768717000118/exh101amendmentno1toloanag.htm" TargetMode="External"/><Relationship Id="rId152" Type="http://schemas.openxmlformats.org/officeDocument/2006/relationships/hyperlink" Target="http://www.sec.gov/Archives/edgar/data/107687/000010768719000022/wgoamendedandrestatedcre.htm" TargetMode="External"/><Relationship Id="rId153" Type="http://schemas.openxmlformats.org/officeDocument/2006/relationships/hyperlink" Target="http://www.sec.gov/Archives/edgar/data/107687/000010768716000160/exh994leaseagreementmainfa.htm" TargetMode="External"/><Relationship Id="rId155" Type="http://schemas.openxmlformats.org/officeDocument/2006/relationships/hyperlink" Target="http://www.sec.gov/Archives/edgar/data/107687/000010768716000160/exh995leaseagreementexpans.htm" TargetMode="External"/><Relationship Id="rId156" Type="http://schemas.openxmlformats.org/officeDocument/2006/relationships/hyperlink" Target="http://www.sec.gov/Archives/edgar/data/107687/000010768719000015/employmentagreementdclar.htm" TargetMode="External"/><Relationship Id="rId158" Type="http://schemas.openxmlformats.org/officeDocument/2006/relationships/hyperlink" Target="http://www.sec.gov/Archives/edgar/data/107687/000010768719000015/changeincontrolagreement.htm" TargetMode="External"/><Relationship Id="rId159" Type="http://schemas.openxmlformats.org/officeDocument/2006/relationships/hyperlink" Target="http://www.sec.gov/Archives/edgar/data/107687/000010768719000017/ex10120198-k0916.htm" TargetMode="External"/><Relationship Id="rId161" Type="http://schemas.openxmlformats.org/officeDocument/2006/relationships/hyperlink" Target="https://www.sec.gov/Archives/edgar/data/107687/000010768719000022/wgoamendedandrestatedcre.htm" TargetMode="External"/><Relationship Id="rId162" Type="http://schemas.openxmlformats.org/officeDocument/2006/relationships/hyperlink" Target="https://www.sec.gov/Archives/edgar/data/107687/000110465919059604/a19-21005_2ex10d1.htm#Exhibit10_1_034908" TargetMode="External"/><Relationship Id="rId163" Type="http://schemas.openxmlformats.org/officeDocument/2006/relationships/hyperlink" Target="https://www.sec.gov/Archives/edgar/data/107687/000110465919059604/a19-21005_2ex10d2.htm#Exhibit10_2_040203" TargetMode="External"/><Relationship Id="rId167" Type="http://schemas.openxmlformats.org/officeDocument/2006/relationships/hyperlink" Target="https://www.sec.gov/Archives/edgar/data/107687/000110465919059604/a19-21005_2ex10d3.htm#Exhibit10_3_041616" TargetMode="External"/><Relationship Id="rId168" Type="http://schemas.openxmlformats.org/officeDocument/2006/relationships/hyperlink" Target="https://www.sec.gov/Archives/edgar/data/107687/000110465919059604/a19-21005_2ex10d4.htm#Exhibit10_5_074927" TargetMode="External"/><Relationship Id="rId170" Type="http://schemas.openxmlformats.org/officeDocument/2006/relationships/hyperlink" Target="https://www.sec.gov/Archives/edgar/data/107687/000110465919059604/a19-21005_2ex10d5.htm#Exhibit10_45_010935" TargetMode="External"/><Relationship Id="rId171" Type="http://schemas.openxmlformats.org/officeDocument/2006/relationships/hyperlink" Target="https://www.sec.gov/Archives/edgar/data/107687/000110465919059604/a19-21005_2ex10d6.htm#Exhibit10_6_042233" TargetMode="External"/><Relationship Id="rId173" Type="http://schemas.openxmlformats.org/officeDocument/2006/relationships/hyperlink" Target="https://www.sec.gov/Archives/edgar/data/107687/000110465919059604/a19-21005_2ex10d7.htm#Exhibit10_7_043941" TargetMode="External"/><Relationship Id="rId174" Type="http://schemas.openxmlformats.org/officeDocument/2006/relationships/hyperlink" Target="https://www.sec.gov/Archives/edgar/data/107687/000110465919059604/a19-21005_2ex10d8.htm#Exhibit10_8_085444" TargetMode="External"/><Relationship Id="rId176" Type="http://schemas.openxmlformats.org/officeDocument/2006/relationships/hyperlink" Target="https://www.sec.gov/Archives/edgar/data/107687/000110465919059604/a19-21005_2ex10d9.htm#Exhibit10_9_105341" TargetMode="External"/><Relationship Id="rId177" Type="http://schemas.openxmlformats.org/officeDocument/2006/relationships/hyperlink" Target="https://www.sec.gov/Archives/edgar/data/107687/000110465919061779/a19-21005_4ex10d1.htm#Exhibit10_1_041337" TargetMode="External"/><Relationship Id="rId179" Type="http://schemas.openxmlformats.org/officeDocument/2006/relationships/hyperlink" Target="https://www.sec.gov/Archives/edgar/data/107687/000110465919061779/a19-21005_4ex10d2.htm#Exhibit10_2_052712" TargetMode="External"/><Relationship Id="rId181" Type="http://schemas.openxmlformats.org/officeDocument/2006/relationships/hyperlink" Target="https://www.sec.gov/Archives/edgar/data/107687/000010768719000036/amendmentno1toaandrcredi.htm" TargetMode="External"/><Relationship Id="rId182" Type="http://schemas.openxmlformats.org/officeDocument/2006/relationships/hyperlink" Target="https://www.sec.gov/Archives/edgar/data/107687/000010768719000036/firstrestatedandamendedl.htm" TargetMode="External"/><Relationship Id="rId183" Type="http://schemas.openxmlformats.org/officeDocument/2006/relationships/hyperlink" Target="https://www.sec.gov/Archives/edgar/data/107687/000010768719000036/secondrestatedandamended.htm" TargetMode="External"/><Relationship Id="rId185" Type="http://schemas.openxmlformats.org/officeDocument/2006/relationships/hyperlink" Target="https://www.sec.gov/Archives/edgar/data/107687/000110465920082433/tm2024371d1_ex10-1.htm" TargetMode="External"/><Relationship Id="rId187" Type="http://schemas.openxmlformats.org/officeDocument/2006/relationships/hyperlink" Target="https://www.sec.gov/Archives/edgar/data/107687/000110465920082433/tm2024371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2020-10-21T15:13:30Z</dcterms:created>
  <dcterms:modified xsi:type="dcterms:W3CDTF">2020-10-21T15:13:30Z</dcterms:modified>
</cp:coreProperties>
</file>