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Since the date of the reporting person's last ownership report, she transferred 719 shares of Issuer common stock to her ex-spouse pursuant to a domestic relations order.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0597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2025-10-27T08:32:43Z</dcterms:created>
  <dcterms:modified xsi:type="dcterms:W3CDTF">2025-10-27T08:32:43Z</dcterms:modified>
</cp:coreProperties>
</file>